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9E95F" w14:textId="0CD4AF17" w:rsidR="00854849" w:rsidRDefault="00854849">
      <w:r>
        <w:t>INTERNAL MEMORANDUM</w:t>
      </w:r>
    </w:p>
    <w:p w14:paraId="564DBB61" w14:textId="28D3AA03" w:rsidR="00854849" w:rsidRDefault="00854849">
      <w:r>
        <w:t>TO: Thomas Trinity</w:t>
      </w:r>
    </w:p>
    <w:p w14:paraId="369EC87B" w14:textId="07BDD600" w:rsidR="00854849" w:rsidRDefault="00854849">
      <w:r>
        <w:t>FROM: Kamilaah Shah</w:t>
      </w:r>
    </w:p>
    <w:p w14:paraId="113BEF6C" w14:textId="491F58DC" w:rsidR="00854849" w:rsidRDefault="00854849">
      <w:r>
        <w:t>MATTER: The case of SARAH JONES</w:t>
      </w:r>
    </w:p>
    <w:p w14:paraId="1443D30F" w14:textId="5F73DFA6" w:rsidR="00854849" w:rsidRDefault="00854849">
      <w:r>
        <w:t>DATE: 10/11/2022</w:t>
      </w:r>
    </w:p>
    <w:p w14:paraId="7B57C455" w14:textId="1696C2F2" w:rsidR="00854849" w:rsidRDefault="00854849">
      <w:r>
        <w:t xml:space="preserve">This is the case of </w:t>
      </w:r>
      <w:r w:rsidR="007105CC">
        <w:t xml:space="preserve">defendant </w:t>
      </w:r>
      <w:r>
        <w:t xml:space="preserve">Miss Sarah Jones. She is arrested on suspicion of theft and assault. </w:t>
      </w:r>
    </w:p>
    <w:p w14:paraId="3FB000C7" w14:textId="661F9C7C" w:rsidR="00854849" w:rsidRDefault="00854849">
      <w:r>
        <w:t xml:space="preserve">The offence of theft is in </w:t>
      </w:r>
      <w:r w:rsidR="009B36E9">
        <w:t>“</w:t>
      </w:r>
      <w:r>
        <w:rPr>
          <w:b/>
          <w:bCs/>
          <w:i/>
          <w:iCs/>
        </w:rPr>
        <w:t xml:space="preserve">s.1 (1) Theft Act </w:t>
      </w:r>
      <w:proofErr w:type="gramStart"/>
      <w:r>
        <w:rPr>
          <w:b/>
          <w:bCs/>
          <w:i/>
          <w:iCs/>
        </w:rPr>
        <w:t>1968</w:t>
      </w:r>
      <w:r w:rsidR="009B36E9">
        <w:rPr>
          <w:b/>
          <w:bCs/>
          <w:i/>
          <w:iCs/>
        </w:rPr>
        <w:t>”</w:t>
      </w:r>
      <w:r w:rsidR="00CA6CA8">
        <w:rPr>
          <w:b/>
          <w:bCs/>
          <w:i/>
          <w:iCs/>
        </w:rPr>
        <w:t xml:space="preserve"> </w:t>
      </w:r>
      <w:r>
        <w:rPr>
          <w:b/>
          <w:bCs/>
          <w:i/>
          <w:iCs/>
        </w:rPr>
        <w:t xml:space="preserve"> </w:t>
      </w:r>
      <w:r w:rsidR="00CA6CA8">
        <w:rPr>
          <w:b/>
          <w:bCs/>
          <w:i/>
          <w:iCs/>
        </w:rPr>
        <w:t>“</w:t>
      </w:r>
      <w:proofErr w:type="gramEnd"/>
      <w:r>
        <w:t>which states that a person is guilty of theft if they</w:t>
      </w:r>
      <w:r w:rsidR="00CA6CA8">
        <w:t>”</w:t>
      </w:r>
      <w:r>
        <w:t xml:space="preserve"> deceitfully take possession of something without permission, with the intention of </w:t>
      </w:r>
      <w:r w:rsidRPr="00854849">
        <w:t>permanently</w:t>
      </w:r>
      <w:r>
        <w:t xml:space="preserve"> possessing the property belonging to someone else. </w:t>
      </w:r>
      <w:r w:rsidR="00CA6CA8">
        <w:t>“</w:t>
      </w:r>
      <w:r>
        <w:t>The maximum penalty for theft is 7 years</w:t>
      </w:r>
      <w:r w:rsidR="00CA6CA8">
        <w:t>”</w:t>
      </w:r>
      <w:r>
        <w:t xml:space="preserve">. </w:t>
      </w:r>
      <w:bookmarkStart w:id="0" w:name="_Hlk118992677"/>
      <w:r>
        <w:t>(</w:t>
      </w:r>
      <w:proofErr w:type="gramStart"/>
      <w:r>
        <w:t>Theft(</w:t>
      </w:r>
      <w:proofErr w:type="gramEnd"/>
      <w:r>
        <w:t xml:space="preserve">no date) Available at </w:t>
      </w:r>
      <w:hyperlink r:id="rId4" w:history="1">
        <w:r w:rsidRPr="001E3221">
          <w:rPr>
            <w:rStyle w:val="Hyperlink"/>
          </w:rPr>
          <w:t>http://e-lawresources.co.uk/Theft.php</w:t>
        </w:r>
      </w:hyperlink>
      <w:r>
        <w:t>)</w:t>
      </w:r>
    </w:p>
    <w:bookmarkEnd w:id="0"/>
    <w:p w14:paraId="1ADD9DF4" w14:textId="23B22CBB" w:rsidR="00854849" w:rsidRDefault="00854849">
      <w:r>
        <w:t xml:space="preserve">There are three basis types of assault that fall under the </w:t>
      </w:r>
      <w:r w:rsidR="00CA6CA8">
        <w:t>“</w:t>
      </w:r>
      <w:r>
        <w:rPr>
          <w:b/>
          <w:bCs/>
          <w:i/>
          <w:iCs/>
        </w:rPr>
        <w:t xml:space="preserve">Offences Against </w:t>
      </w:r>
      <w:proofErr w:type="gramStart"/>
      <w:r>
        <w:rPr>
          <w:b/>
          <w:bCs/>
          <w:i/>
          <w:iCs/>
        </w:rPr>
        <w:t>The</w:t>
      </w:r>
      <w:proofErr w:type="gramEnd"/>
      <w:r>
        <w:rPr>
          <w:b/>
          <w:bCs/>
          <w:i/>
          <w:iCs/>
        </w:rPr>
        <w:t xml:space="preserve"> Person Act 1861,</w:t>
      </w:r>
      <w:r w:rsidR="00CA6CA8">
        <w:rPr>
          <w:b/>
          <w:bCs/>
          <w:i/>
          <w:iCs/>
        </w:rPr>
        <w:t>”</w:t>
      </w:r>
      <w:r>
        <w:rPr>
          <w:b/>
          <w:bCs/>
          <w:i/>
          <w:iCs/>
        </w:rPr>
        <w:t xml:space="preserve"> </w:t>
      </w:r>
      <w:r>
        <w:t xml:space="preserve">the </w:t>
      </w:r>
      <w:r w:rsidR="004434AA">
        <w:t>“</w:t>
      </w:r>
      <w:r>
        <w:rPr>
          <w:b/>
          <w:bCs/>
          <w:i/>
          <w:iCs/>
        </w:rPr>
        <w:t>Criminal Justice Act 19</w:t>
      </w:r>
      <w:r w:rsidR="00792C48">
        <w:rPr>
          <w:b/>
          <w:bCs/>
          <w:i/>
          <w:iCs/>
        </w:rPr>
        <w:t>8</w:t>
      </w:r>
      <w:r>
        <w:rPr>
          <w:b/>
          <w:bCs/>
          <w:i/>
          <w:iCs/>
        </w:rPr>
        <w:t>8</w:t>
      </w:r>
      <w:r w:rsidR="00792C48">
        <w:rPr>
          <w:b/>
          <w:bCs/>
          <w:i/>
          <w:iCs/>
        </w:rPr>
        <w:t>,</w:t>
      </w:r>
      <w:r w:rsidR="004434AA">
        <w:rPr>
          <w:b/>
          <w:bCs/>
          <w:i/>
          <w:iCs/>
        </w:rPr>
        <w:t>”</w:t>
      </w:r>
      <w:r w:rsidR="00792C48">
        <w:rPr>
          <w:b/>
          <w:bCs/>
          <w:i/>
          <w:iCs/>
        </w:rPr>
        <w:t xml:space="preserve"> </w:t>
      </w:r>
      <w:r w:rsidR="00792C48">
        <w:t xml:space="preserve">and the </w:t>
      </w:r>
      <w:r w:rsidR="004434AA">
        <w:t>“</w:t>
      </w:r>
      <w:r w:rsidR="00792C48">
        <w:rPr>
          <w:b/>
          <w:bCs/>
          <w:i/>
          <w:iCs/>
        </w:rPr>
        <w:t>Crime and Disorder Act 1998</w:t>
      </w:r>
      <w:r w:rsidR="004434AA">
        <w:rPr>
          <w:b/>
          <w:bCs/>
          <w:i/>
          <w:iCs/>
        </w:rPr>
        <w:t>”</w:t>
      </w:r>
      <w:r w:rsidR="00792C48">
        <w:rPr>
          <w:b/>
          <w:bCs/>
          <w:i/>
          <w:iCs/>
        </w:rPr>
        <w:t xml:space="preserve"> </w:t>
      </w:r>
      <w:r w:rsidR="00792C48">
        <w:t>these are;</w:t>
      </w:r>
    </w:p>
    <w:p w14:paraId="0995AAEB" w14:textId="05BFCCD3" w:rsidR="00792C48" w:rsidRDefault="004434AA">
      <w:r>
        <w:rPr>
          <w:b/>
          <w:bCs/>
        </w:rPr>
        <w:t>“</w:t>
      </w:r>
      <w:r w:rsidR="00792C48" w:rsidRPr="00085236">
        <w:rPr>
          <w:b/>
          <w:bCs/>
        </w:rPr>
        <w:t>Common Assault:</w:t>
      </w:r>
      <w:r>
        <w:rPr>
          <w:b/>
          <w:bCs/>
        </w:rPr>
        <w:t>”</w:t>
      </w:r>
      <w:r w:rsidR="00792C48">
        <w:t xml:space="preserve"> When a person </w:t>
      </w:r>
      <w:r w:rsidR="00F90898">
        <w:t>causes</w:t>
      </w:r>
      <w:r w:rsidR="00792C48">
        <w:t xml:space="preserve"> </w:t>
      </w:r>
      <w:r w:rsidR="00F90898">
        <w:t>brutality</w:t>
      </w:r>
      <w:r w:rsidR="00792C48">
        <w:t xml:space="preserve"> on someone else or implies/threatens that they will. Common assault does not have to </w:t>
      </w:r>
      <w:r w:rsidR="00F90898">
        <w:t>require</w:t>
      </w:r>
      <w:r w:rsidR="00792C48">
        <w:t xml:space="preserve"> physical </w:t>
      </w:r>
      <w:r w:rsidR="00F90898">
        <w:t>violent behaviour</w:t>
      </w:r>
      <w:r w:rsidR="00792C48">
        <w:t xml:space="preserve"> as </w:t>
      </w:r>
      <w:r w:rsidR="00F90898">
        <w:t>frightening</w:t>
      </w:r>
      <w:r w:rsidR="00792C48">
        <w:t xml:space="preserve"> behaviour is enough for the crime if the victim thinks they will be </w:t>
      </w:r>
      <w:r w:rsidR="00AE21E0">
        <w:t>assaulted</w:t>
      </w:r>
      <w:r w:rsidR="00792C48">
        <w:t xml:space="preserve">. </w:t>
      </w:r>
      <w:r w:rsidR="00AE21E0">
        <w:t>“</w:t>
      </w:r>
      <w:r w:rsidR="00792C48" w:rsidRPr="00792C48">
        <w:rPr>
          <w:b/>
          <w:bCs/>
        </w:rPr>
        <w:t>Actual Bodily Harm (ABH):</w:t>
      </w:r>
      <w:r w:rsidR="00AE21E0">
        <w:rPr>
          <w:b/>
          <w:bCs/>
        </w:rPr>
        <w:t>”</w:t>
      </w:r>
      <w:r w:rsidR="00792C48">
        <w:t xml:space="preserve"> Means when injury or hurt has been inflicted on the victim it does not have to be serious injury but must’ve caused at least pain or discomfort. </w:t>
      </w:r>
      <w:r w:rsidR="00AE21E0">
        <w:t>“</w:t>
      </w:r>
      <w:r w:rsidR="00792C48" w:rsidRPr="00792C48">
        <w:rPr>
          <w:b/>
          <w:bCs/>
        </w:rPr>
        <w:t>Grievous Bodily Harm (GBH):</w:t>
      </w:r>
      <w:r w:rsidR="00AE21E0">
        <w:rPr>
          <w:b/>
          <w:bCs/>
        </w:rPr>
        <w:t>”</w:t>
      </w:r>
      <w:r w:rsidR="00792C48">
        <w:t xml:space="preserve"> This means the </w:t>
      </w:r>
      <w:r w:rsidR="00AE21E0">
        <w:t>attack</w:t>
      </w:r>
      <w:r w:rsidR="00792C48">
        <w:t xml:space="preserve"> has resulted in serious physical injury or harm.</w:t>
      </w:r>
      <w:r w:rsidR="00085236">
        <w:t xml:space="preserve"> </w:t>
      </w:r>
      <w:r w:rsidR="00992ECA">
        <w:t>“</w:t>
      </w:r>
      <w:r w:rsidR="00085236">
        <w:t xml:space="preserve">(Assault-sentencing (no date). Available at </w:t>
      </w:r>
      <w:hyperlink r:id="rId5" w:history="1">
        <w:r w:rsidR="00085236" w:rsidRPr="001E3221">
          <w:rPr>
            <w:rStyle w:val="Hyperlink"/>
          </w:rPr>
          <w:t>https://www.sentencingcouncil.org.uk/outlines/assault</w:t>
        </w:r>
      </w:hyperlink>
      <w:r w:rsidR="00085236">
        <w:t>.)</w:t>
      </w:r>
    </w:p>
    <w:p w14:paraId="19E2A68A" w14:textId="71F95F96" w:rsidR="00085236" w:rsidRDefault="00085236">
      <w:r>
        <w:t>There is a range of possible sentences for the alleged crime, for example some include a custodial sentence; a community order; or a fine depending on how serious the crime of theft is.</w:t>
      </w:r>
    </w:p>
    <w:p w14:paraId="6A3EC1DD" w14:textId="6ADEA3A6" w:rsidR="00085236" w:rsidRDefault="00085236">
      <w:r>
        <w:t xml:space="preserve">The court must acknowledge and take in to account the level of harm caused by the theft and how much the defendant is blameworthy when deciding what sentence, the defendant should receive. </w:t>
      </w:r>
    </w:p>
    <w:p w14:paraId="06D4FBC0" w14:textId="46F559B1" w:rsidR="00085236" w:rsidRDefault="00085236">
      <w:r>
        <w:t xml:space="preserve">There are different levels of blameworthiness (culpability). For example, a person who has broken a high decree of trust or responsibility (solicitor, banker etc.) they would get a higher level of culpability; </w:t>
      </w:r>
      <w:r w:rsidR="00F812FC">
        <w:t>however,</w:t>
      </w:r>
      <w:r>
        <w:t xml:space="preserve"> if the person had a limited understanding of the offence or was under the influence of another </w:t>
      </w:r>
      <w:proofErr w:type="gramStart"/>
      <w:r>
        <w:t>person</w:t>
      </w:r>
      <w:proofErr w:type="gramEnd"/>
      <w:r>
        <w:t xml:space="preserve"> they would get lower/less culpability. </w:t>
      </w:r>
      <w:r w:rsidR="003E4CF3">
        <w:t>“</w:t>
      </w:r>
      <w:r w:rsidR="00F812FC">
        <w:t xml:space="preserve">(Stuart Miller Solicitors (2022) What are the theft sentencing guidelines in 2022? Available at: </w:t>
      </w:r>
      <w:hyperlink r:id="rId6" w:history="1">
        <w:r w:rsidR="00F812FC" w:rsidRPr="001E3221">
          <w:rPr>
            <w:rStyle w:val="Hyperlink"/>
          </w:rPr>
          <w:t>https://www.stuartmillerssolicitors.co.uk/sentences/theft-sentencing-guidelines/</w:t>
        </w:r>
      </w:hyperlink>
      <w:r w:rsidR="00F812FC">
        <w:t>.)</w:t>
      </w:r>
      <w:r w:rsidR="003E4CF3">
        <w:t>”</w:t>
      </w:r>
      <w:r w:rsidR="00F812FC">
        <w:t xml:space="preserve"> </w:t>
      </w:r>
    </w:p>
    <w:p w14:paraId="7A862465" w14:textId="6A5AA70D" w:rsidR="00F812FC" w:rsidRDefault="00F304D2">
      <w:r>
        <w:t>The actus reus of theft is appropriation</w:t>
      </w:r>
      <w:r w:rsidR="00AF20F2">
        <w:t>.</w:t>
      </w:r>
    </w:p>
    <w:p w14:paraId="5D17D936" w14:textId="680904FF" w:rsidR="00792C48" w:rsidRDefault="00F304D2">
      <w:r>
        <w:t>“</w:t>
      </w:r>
      <w:r w:rsidRPr="00F304D2">
        <w:t xml:space="preserve">Any assumption by a person of the rights of an </w:t>
      </w:r>
      <w:r w:rsidR="00684CE6" w:rsidRPr="00F304D2">
        <w:t>owner amount</w:t>
      </w:r>
      <w:r w:rsidRPr="00F304D2">
        <w:t xml:space="preserve"> to an appropriation, and this includes, where he has come by the property (innocently or not) without stealing it, any later assumption of a right to it by keeping or dealing with it as owner.</w:t>
      </w:r>
      <w:r>
        <w:t xml:space="preserve">” </w:t>
      </w:r>
      <w:r w:rsidR="00AF20F2">
        <w:t>“</w:t>
      </w:r>
      <w:r>
        <w:t>(</w:t>
      </w:r>
      <w:r w:rsidRPr="00F304D2">
        <w:t>s.3 (1) Theft Act 1968</w:t>
      </w:r>
      <w:r>
        <w:t>)</w:t>
      </w:r>
      <w:r w:rsidR="00AF20F2">
        <w:t>”</w:t>
      </w:r>
    </w:p>
    <w:p w14:paraId="2B476923" w14:textId="19AAAB23" w:rsidR="00684CE6" w:rsidRDefault="00684CE6">
      <w:r>
        <w:t>An appropriation example is (RV Morris 1984). The defendants changed the price on some items to pay a lower amount. One of the defendants was arrested before he paid, and the second defendant was arrested after he paid. The lords decided that there does</w:t>
      </w:r>
      <w:r w:rsidR="00563A94">
        <w:t xml:space="preserve"> </w:t>
      </w:r>
      <w:r>
        <w:t>n</w:t>
      </w:r>
      <w:r w:rsidR="00563A94">
        <w:t>o</w:t>
      </w:r>
      <w:r>
        <w:t xml:space="preserve">t </w:t>
      </w:r>
      <w:r w:rsidR="00563A94">
        <w:t>require</w:t>
      </w:r>
      <w:r>
        <w:t xml:space="preserve"> to be an appropriation of all the rights of an owner, </w:t>
      </w:r>
      <w:r w:rsidRPr="00684CE6">
        <w:t xml:space="preserve">to appropriate you </w:t>
      </w:r>
      <w:r w:rsidR="00500251" w:rsidRPr="00684CE6">
        <w:t>have got</w:t>
      </w:r>
      <w:r w:rsidRPr="00684CE6">
        <w:t xml:space="preserve"> to </w:t>
      </w:r>
      <w:r>
        <w:t>violate</w:t>
      </w:r>
      <w:r w:rsidRPr="00684CE6">
        <w:t xml:space="preserve"> only one of the many rights of an owner, not all of them.</w:t>
      </w:r>
      <w:r>
        <w:t xml:space="preserve"> The appropriation happened </w:t>
      </w:r>
      <w:r w:rsidR="00500251">
        <w:t>w</w:t>
      </w:r>
      <w:r w:rsidR="00F61361">
        <w:t>hen</w:t>
      </w:r>
      <w:r>
        <w:t xml:space="preserve"> there was a harmful interference or a violation of the rights of an owner, which was when they switched the label.</w:t>
      </w:r>
      <w:r w:rsidR="004B195E">
        <w:t xml:space="preserve"> </w:t>
      </w:r>
      <w:r w:rsidR="004B195E" w:rsidRPr="004B195E">
        <w:t>(</w:t>
      </w:r>
      <w:proofErr w:type="gramStart"/>
      <w:r w:rsidR="004B195E" w:rsidRPr="004B195E">
        <w:t>Theft(</w:t>
      </w:r>
      <w:proofErr w:type="gramEnd"/>
      <w:r w:rsidR="004B195E" w:rsidRPr="004B195E">
        <w:t xml:space="preserve">no date) Available at </w:t>
      </w:r>
      <w:hyperlink r:id="rId7" w:history="1">
        <w:r w:rsidR="004B195E" w:rsidRPr="003D2137">
          <w:rPr>
            <w:rStyle w:val="Hyperlink"/>
          </w:rPr>
          <w:t>http://e-lawresources.co.uk/Theft.php</w:t>
        </w:r>
      </w:hyperlink>
      <w:r w:rsidR="004B195E" w:rsidRPr="004B195E">
        <w:t>)</w:t>
      </w:r>
      <w:r w:rsidR="004B195E">
        <w:t xml:space="preserve"> </w:t>
      </w:r>
    </w:p>
    <w:p w14:paraId="76B2EDDD" w14:textId="6D69587A" w:rsidR="004B195E" w:rsidRDefault="004B195E">
      <w:r>
        <w:lastRenderedPageBreak/>
        <w:t xml:space="preserve">The </w:t>
      </w:r>
      <w:proofErr w:type="spellStart"/>
      <w:r>
        <w:t>Mens</w:t>
      </w:r>
      <w:proofErr w:type="spellEnd"/>
      <w:r>
        <w:t xml:space="preserve"> Rea of theft is when the defendant is </w:t>
      </w:r>
      <w:r w:rsidR="00F61361">
        <w:t>deceitful</w:t>
      </w:r>
      <w:r>
        <w:t xml:space="preserve"> or has the </w:t>
      </w:r>
      <w:r w:rsidR="00F61361">
        <w:t>intent</w:t>
      </w:r>
      <w:r>
        <w:t xml:space="preserve"> to deprive the owner permanently.</w:t>
      </w:r>
      <w:r w:rsidRPr="004B195E">
        <w:t xml:space="preserve"> </w:t>
      </w:r>
      <w:r>
        <w:t>(</w:t>
      </w:r>
      <w:hyperlink r:id="rId8" w:history="1">
        <w:r w:rsidRPr="003D2137">
          <w:rPr>
            <w:rStyle w:val="Hyperlink"/>
          </w:rPr>
          <w:t>http://e-lawresources.co.uk/Theft.php</w:t>
        </w:r>
      </w:hyperlink>
      <w:r w:rsidRPr="004B195E">
        <w:t>)</w:t>
      </w:r>
      <w:r>
        <w:t xml:space="preserve"> </w:t>
      </w:r>
    </w:p>
    <w:p w14:paraId="6027A193" w14:textId="3C89B2F3" w:rsidR="004B195E" w:rsidRDefault="004B195E">
      <w:r>
        <w:t xml:space="preserve">The </w:t>
      </w:r>
      <w:proofErr w:type="spellStart"/>
      <w:r>
        <w:t>Mens</w:t>
      </w:r>
      <w:proofErr w:type="spellEnd"/>
      <w:r>
        <w:t xml:space="preserve"> Rea of assault is when the defendant is when the defendant intentionally makes the victim think they will inflict injury or harm or cause fear of violence. </w:t>
      </w:r>
      <w:r w:rsidR="00DB7C7E">
        <w:t>(</w:t>
      </w:r>
      <w:r w:rsidR="00DB7C7E" w:rsidRPr="00DB7C7E">
        <w:t xml:space="preserve">Section 39 – Common Assault (no date). Available at: </w:t>
      </w:r>
      <w:hyperlink r:id="rId9" w:history="1">
        <w:r w:rsidR="00DB7C7E" w:rsidRPr="003D2137">
          <w:rPr>
            <w:rStyle w:val="Hyperlink"/>
          </w:rPr>
          <w:t>https://www.grayandcosolicitors.co.uk/section-39-common-assault/</w:t>
        </w:r>
      </w:hyperlink>
      <w:r w:rsidR="00DB7C7E" w:rsidRPr="00DB7C7E">
        <w:t>.</w:t>
      </w:r>
      <w:r w:rsidR="00DB7C7E">
        <w:t xml:space="preserve">) </w:t>
      </w:r>
    </w:p>
    <w:p w14:paraId="09A2DB8A" w14:textId="5CEDF23B" w:rsidR="00C13236" w:rsidRDefault="00C13236">
      <w:r>
        <w:t>The evidence is not strong as there is no CCTV footage, so we can not know for certain who instigated the fight. However, there is risk of appropriation as Miss Jones had taken the bag after she had found it knowing it did not belong to her and she was depriving the owner of its personal property. (R V Morris 1984)</w:t>
      </w:r>
    </w:p>
    <w:p w14:paraId="2F72B7A2" w14:textId="7B9A4460" w:rsidR="00C13236" w:rsidRDefault="00C13236">
      <w:r>
        <w:t xml:space="preserve">Miss Jones’ history does not favour her as it is </w:t>
      </w:r>
      <w:proofErr w:type="gramStart"/>
      <w:r>
        <w:t>similar to</w:t>
      </w:r>
      <w:proofErr w:type="gramEnd"/>
      <w:r>
        <w:t xml:space="preserve"> what she was arrested for. She has a criminal record for robbery. </w:t>
      </w:r>
      <w:r w:rsidR="00ED3F4A">
        <w:t>However,</w:t>
      </w:r>
      <w:r>
        <w:t xml:space="preserve"> records show that she was released early for good behaviour and has since become a member of a respected community making her foundation good and strong as she is a </w:t>
      </w:r>
      <w:r w:rsidR="002E1C5F">
        <w:t>committed</w:t>
      </w:r>
      <w:r>
        <w:t xml:space="preserve"> member of the church and </w:t>
      </w:r>
      <w:r w:rsidR="002E1C5F">
        <w:t>contributes</w:t>
      </w:r>
      <w:r>
        <w:t xml:space="preserve"> </w:t>
      </w:r>
      <w:proofErr w:type="gramStart"/>
      <w:r>
        <w:t>in</w:t>
      </w:r>
      <w:proofErr w:type="gramEnd"/>
      <w:r>
        <w:t xml:space="preserve"> </w:t>
      </w:r>
      <w:r w:rsidR="00ED3F4A">
        <w:t>several</w:t>
      </w:r>
      <w:r>
        <w:t xml:space="preserve"> </w:t>
      </w:r>
      <w:r w:rsidR="00ED3F4A">
        <w:t>charitable</w:t>
      </w:r>
      <w:r>
        <w:t xml:space="preserve"> causes. </w:t>
      </w:r>
    </w:p>
    <w:p w14:paraId="66AAF9C4" w14:textId="5AD5D175" w:rsidR="00C13236" w:rsidRDefault="00C13236">
      <w:r>
        <w:t xml:space="preserve">There are some advantages in remaining silent in a police interview. You may be telling the truth but unintentionally miss out some information which can be used against you. If certain details change or </w:t>
      </w:r>
      <w:r w:rsidR="00ED3F4A">
        <w:t>c</w:t>
      </w:r>
      <w:r>
        <w:t xml:space="preserve">ome to light that was not initially said, it may </w:t>
      </w:r>
      <w:r w:rsidR="00ED3F4A">
        <w:t>arouse</w:t>
      </w:r>
      <w:r>
        <w:t xml:space="preserve"> </w:t>
      </w:r>
      <w:r w:rsidR="00ED3F4A">
        <w:t>suspicion</w:t>
      </w:r>
      <w:r>
        <w:t xml:space="preserve">. You may also be accidentally untruthful because of stress and pressure </w:t>
      </w:r>
      <w:r w:rsidR="00ED3F4A">
        <w:t>by talking to the police and worry/fear of being wrongly accused can make you scared in to saying things that are not true or are exaggerated as you may feel intimidated.</w:t>
      </w:r>
      <w:r w:rsidR="00EC5295">
        <w:t xml:space="preserve"> You could</w:t>
      </w:r>
      <w:r w:rsidR="00671B7A">
        <w:t xml:space="preserve"> protect yourself from self-incriminating by remaining silent.</w:t>
      </w:r>
      <w:r>
        <w:t xml:space="preserve"> </w:t>
      </w:r>
      <w:proofErr w:type="gramStart"/>
      <w:r w:rsidR="0022647C">
        <w:t xml:space="preserve">( </w:t>
      </w:r>
      <w:proofErr w:type="spellStart"/>
      <w:r w:rsidR="0022647C" w:rsidRPr="0022647C">
        <w:t>Llc</w:t>
      </w:r>
      <w:proofErr w:type="spellEnd"/>
      <w:proofErr w:type="gramEnd"/>
      <w:r w:rsidR="0022647C" w:rsidRPr="0022647C">
        <w:t xml:space="preserve">, M.V. (2021) Why should you remain silent during police questioning? Available at: </w:t>
      </w:r>
      <w:hyperlink r:id="rId10" w:history="1">
        <w:r w:rsidR="0022647C" w:rsidRPr="003D2137">
          <w:rPr>
            <w:rStyle w:val="Hyperlink"/>
          </w:rPr>
          <w:t>https://www.mccormickandvilushis.com/blog/2018/12/why-should-you-remain-silent-during-police-questioning/</w:t>
        </w:r>
      </w:hyperlink>
      <w:proofErr w:type="gramStart"/>
      <w:r w:rsidR="0022647C" w:rsidRPr="0022647C">
        <w:t>.</w:t>
      </w:r>
      <w:r w:rsidR="0022647C">
        <w:t xml:space="preserve"> )</w:t>
      </w:r>
      <w:proofErr w:type="gramEnd"/>
    </w:p>
    <w:p w14:paraId="17BA8828" w14:textId="1A32871C" w:rsidR="00671B7A" w:rsidRDefault="00436FA0">
      <w:r>
        <w:t>When a criminal case goes to c</w:t>
      </w:r>
      <w:r w:rsidR="00572EFB">
        <w:t xml:space="preserve">ourt, they are heard in a </w:t>
      </w:r>
      <w:r w:rsidR="000D6672">
        <w:t>magistrates’</w:t>
      </w:r>
      <w:r w:rsidR="00572EFB">
        <w:t xml:space="preserve"> court and </w:t>
      </w:r>
      <w:r w:rsidR="00A27359">
        <w:t xml:space="preserve">the court then </w:t>
      </w:r>
      <w:r w:rsidR="000D6672">
        <w:t>decide</w:t>
      </w:r>
      <w:r w:rsidR="00A27359">
        <w:t xml:space="preserve"> whether it will try the case or send it to crown court to be tried there</w:t>
      </w:r>
      <w:r w:rsidR="003B740F">
        <w:t xml:space="preserve"> depending on the severity of the case. Majority of cases stay at </w:t>
      </w:r>
      <w:r w:rsidR="000D6672">
        <w:t>magistrates’</w:t>
      </w:r>
      <w:r w:rsidR="003B740F">
        <w:t xml:space="preserve"> court. You will </w:t>
      </w:r>
      <w:r w:rsidR="00F66DBE">
        <w:t>be asked whether you plead guilty or not guilty.</w:t>
      </w:r>
      <w:r w:rsidR="008B6ED9">
        <w:t xml:space="preserve"> If you plead not guilty the court will decide whether your trial will stay in </w:t>
      </w:r>
      <w:r w:rsidR="000D6672">
        <w:t>magistrates</w:t>
      </w:r>
      <w:r w:rsidR="008B6ED9">
        <w:t xml:space="preserve"> or b</w:t>
      </w:r>
      <w:r w:rsidR="00CA1466">
        <w:t xml:space="preserve">e tried by a jury in crown court. If you plead guilty </w:t>
      </w:r>
      <w:r w:rsidR="0054098E">
        <w:t xml:space="preserve">the court will then decide whether the defendant is tried in crown court or magistrates. </w:t>
      </w:r>
      <w:r w:rsidR="00F66DBE">
        <w:t xml:space="preserve"> </w:t>
      </w:r>
      <w:proofErr w:type="gramStart"/>
      <w:r w:rsidR="00801D29">
        <w:t xml:space="preserve">( </w:t>
      </w:r>
      <w:r w:rsidR="00801D29" w:rsidRPr="00801D29">
        <w:t>Will</w:t>
      </w:r>
      <w:proofErr w:type="gramEnd"/>
      <w:r w:rsidR="00801D29" w:rsidRPr="00801D29">
        <w:t xml:space="preserve"> my case go to the Magistrates’ Court or Crown Court? (</w:t>
      </w:r>
      <w:proofErr w:type="gramStart"/>
      <w:r w:rsidR="00801D29" w:rsidRPr="00801D29">
        <w:t>no</w:t>
      </w:r>
      <w:proofErr w:type="gramEnd"/>
      <w:r w:rsidR="00801D29" w:rsidRPr="00801D29">
        <w:t xml:space="preserve"> date). Available at: </w:t>
      </w:r>
      <w:hyperlink r:id="rId11" w:history="1">
        <w:r w:rsidR="00801D29" w:rsidRPr="003D2137">
          <w:rPr>
            <w:rStyle w:val="Hyperlink"/>
          </w:rPr>
          <w:t>https://www.defence-barrister.co.uk/which-court-will-i-go-to</w:t>
        </w:r>
      </w:hyperlink>
      <w:r w:rsidR="00801D29" w:rsidRPr="00801D29">
        <w:t>.</w:t>
      </w:r>
      <w:r w:rsidR="00801D29">
        <w:t xml:space="preserve">) </w:t>
      </w:r>
    </w:p>
    <w:p w14:paraId="41469D3B" w14:textId="59FF41BD" w:rsidR="00FF6D32" w:rsidRDefault="000579CA">
      <w:r>
        <w:t xml:space="preserve">The </w:t>
      </w:r>
      <w:r w:rsidR="002B3A16">
        <w:t>defendant’s</w:t>
      </w:r>
      <w:r w:rsidR="00E32A3F">
        <w:t xml:space="preserve"> criminal history </w:t>
      </w:r>
      <w:r w:rsidR="002B3A16">
        <w:t>is</w:t>
      </w:r>
      <w:r w:rsidR="00E32A3F">
        <w:t xml:space="preserve"> </w:t>
      </w:r>
      <w:r w:rsidR="002B3A16">
        <w:t>considered</w:t>
      </w:r>
      <w:r w:rsidR="00E32A3F">
        <w:t xml:space="preserve"> along with the type of theft in a sentencing hearing. There are 4 </w:t>
      </w:r>
      <w:r w:rsidR="002B3A16">
        <w:t>categories</w:t>
      </w:r>
      <w:r w:rsidR="009F307E">
        <w:t xml:space="preserve"> in which it is assessed to determine sentencing. Category 1- </w:t>
      </w:r>
      <w:r w:rsidR="004D0C47">
        <w:t xml:space="preserve">high value items that are stolen valuing more than £100,000 with substantial </w:t>
      </w:r>
      <w:r w:rsidR="00BD196A">
        <w:t xml:space="preserve">harm to </w:t>
      </w:r>
      <w:r w:rsidR="002B3A16">
        <w:t>victim</w:t>
      </w:r>
      <w:r w:rsidR="00BD196A">
        <w:t>. Category 2 – high value items between £10,000 - £100,000</w:t>
      </w:r>
      <w:r w:rsidR="000D0CA1">
        <w:t xml:space="preserve"> stolen with </w:t>
      </w:r>
      <w:r w:rsidR="002B3A16">
        <w:t>n</w:t>
      </w:r>
      <w:r w:rsidR="000D0CA1">
        <w:t>o major to medium harm inflicted on vic</w:t>
      </w:r>
      <w:r w:rsidR="00F02EB7">
        <w:t xml:space="preserve">tim. Category 3 – medium value items between £500-£10,000 </w:t>
      </w:r>
      <w:r w:rsidR="006B0554">
        <w:t xml:space="preserve">and low to none harm to victims. Category 4- low value items with no harm to anyone </w:t>
      </w:r>
      <w:r w:rsidR="00FF6D32">
        <w:t xml:space="preserve">up to £500. As the </w:t>
      </w:r>
      <w:r w:rsidR="002B3A16">
        <w:t>defendant’s</w:t>
      </w:r>
      <w:r w:rsidR="00FF6D32">
        <w:t xml:space="preserve"> crime was a category 3 crime, </w:t>
      </w:r>
      <w:r w:rsidR="00581E5C">
        <w:t>the sentencing; if found guilty, could range between 26 weeks</w:t>
      </w:r>
      <w:r w:rsidR="001C59C2">
        <w:t xml:space="preserve"> – 2 years custody, or </w:t>
      </w:r>
      <w:r w:rsidR="002B3A16">
        <w:t>low-level</w:t>
      </w:r>
      <w:r w:rsidR="001C59C2">
        <w:t xml:space="preserve"> community order</w:t>
      </w:r>
      <w:r w:rsidR="002B3A16">
        <w:t xml:space="preserve"> to 36 weeks custody or a Band B fine.</w:t>
      </w:r>
      <w:r w:rsidR="00866264">
        <w:t xml:space="preserve"> </w:t>
      </w:r>
      <w:proofErr w:type="gramStart"/>
      <w:r w:rsidR="00866264">
        <w:t xml:space="preserve">( </w:t>
      </w:r>
      <w:r w:rsidR="00866264" w:rsidRPr="00866264">
        <w:t>Theft</w:t>
      </w:r>
      <w:proofErr w:type="gramEnd"/>
      <w:r w:rsidR="00866264" w:rsidRPr="00866264">
        <w:t xml:space="preserve"> – general – Sentencing (no date). Available at: </w:t>
      </w:r>
      <w:hyperlink r:id="rId12" w:history="1">
        <w:r w:rsidR="00866264" w:rsidRPr="003D2137">
          <w:rPr>
            <w:rStyle w:val="Hyperlink"/>
          </w:rPr>
          <w:t>https://www.sentencingcouncil.org.uk/offences/magistrates-court/item/theft-general/</w:t>
        </w:r>
      </w:hyperlink>
      <w:r w:rsidR="00866264" w:rsidRPr="00866264">
        <w:t>.</w:t>
      </w:r>
      <w:r w:rsidR="00866264">
        <w:t>)</w:t>
      </w:r>
    </w:p>
    <w:p w14:paraId="313426CF" w14:textId="77777777" w:rsidR="00E90C96" w:rsidRDefault="00E90C96"/>
    <w:p w14:paraId="33A68981" w14:textId="77777777" w:rsidR="00684CE6" w:rsidRPr="00792C48" w:rsidRDefault="00684CE6"/>
    <w:p w14:paraId="6139D40A" w14:textId="77777777" w:rsidR="00792C48" w:rsidRPr="00792C48" w:rsidRDefault="00792C48"/>
    <w:p w14:paraId="66F38F77" w14:textId="77777777" w:rsidR="00854849" w:rsidRDefault="00854849"/>
    <w:sectPr w:rsidR="008548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849"/>
    <w:rsid w:val="000579CA"/>
    <w:rsid w:val="00085236"/>
    <w:rsid w:val="000D0CA1"/>
    <w:rsid w:val="000D6672"/>
    <w:rsid w:val="001C59C2"/>
    <w:rsid w:val="0022647C"/>
    <w:rsid w:val="00265150"/>
    <w:rsid w:val="002B3A16"/>
    <w:rsid w:val="002E1C5F"/>
    <w:rsid w:val="003716D1"/>
    <w:rsid w:val="003B740F"/>
    <w:rsid w:val="003E4CF3"/>
    <w:rsid w:val="00436FA0"/>
    <w:rsid w:val="004434AA"/>
    <w:rsid w:val="004B195E"/>
    <w:rsid w:val="004D0C47"/>
    <w:rsid w:val="00500251"/>
    <w:rsid w:val="0054098E"/>
    <w:rsid w:val="00563A94"/>
    <w:rsid w:val="00572EFB"/>
    <w:rsid w:val="00581E5C"/>
    <w:rsid w:val="00671B7A"/>
    <w:rsid w:val="00684CE6"/>
    <w:rsid w:val="006B0554"/>
    <w:rsid w:val="007105CC"/>
    <w:rsid w:val="007733E7"/>
    <w:rsid w:val="00792C48"/>
    <w:rsid w:val="00801D29"/>
    <w:rsid w:val="00854849"/>
    <w:rsid w:val="00866264"/>
    <w:rsid w:val="008B6ED9"/>
    <w:rsid w:val="00992ECA"/>
    <w:rsid w:val="009B36E9"/>
    <w:rsid w:val="009F307E"/>
    <w:rsid w:val="00A27359"/>
    <w:rsid w:val="00AE21E0"/>
    <w:rsid w:val="00AF20F2"/>
    <w:rsid w:val="00BC378F"/>
    <w:rsid w:val="00BD196A"/>
    <w:rsid w:val="00C13236"/>
    <w:rsid w:val="00CA1466"/>
    <w:rsid w:val="00CA6CA8"/>
    <w:rsid w:val="00DB7C7E"/>
    <w:rsid w:val="00E32A3F"/>
    <w:rsid w:val="00E90C96"/>
    <w:rsid w:val="00EC5295"/>
    <w:rsid w:val="00ED3F4A"/>
    <w:rsid w:val="00F02EB7"/>
    <w:rsid w:val="00F304D2"/>
    <w:rsid w:val="00F61361"/>
    <w:rsid w:val="00F66DBE"/>
    <w:rsid w:val="00F812FC"/>
    <w:rsid w:val="00F90898"/>
    <w:rsid w:val="00FF6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EA0CE"/>
  <w15:chartTrackingRefBased/>
  <w15:docId w15:val="{8D07C1D1-3DBB-4BBB-994D-054FA9F7E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4849"/>
    <w:rPr>
      <w:color w:val="0563C1" w:themeColor="hyperlink"/>
      <w:u w:val="single"/>
    </w:rPr>
  </w:style>
  <w:style w:type="character" w:styleId="UnresolvedMention">
    <w:name w:val="Unresolved Mention"/>
    <w:basedOn w:val="DefaultParagraphFont"/>
    <w:uiPriority w:val="99"/>
    <w:semiHidden/>
    <w:unhideWhenUsed/>
    <w:rsid w:val="008548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lawresources.co.uk/Theft.php"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e-lawresources.co.uk/Theft.php" TargetMode="External"/><Relationship Id="rId12" Type="http://schemas.openxmlformats.org/officeDocument/2006/relationships/hyperlink" Target="https://www.sentencingcouncil.org.uk/offences/magistrates-court/item/theft-genera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uartmillerssolicitors.co.uk/sentences/theft-sentencing-guidelines/" TargetMode="External"/><Relationship Id="rId11" Type="http://schemas.openxmlformats.org/officeDocument/2006/relationships/hyperlink" Target="https://www.defence-barrister.co.uk/which-court-will-i-go-to" TargetMode="External"/><Relationship Id="rId5" Type="http://schemas.openxmlformats.org/officeDocument/2006/relationships/hyperlink" Target="https://www.sentencingcouncil.org.uk/outlines/assault" TargetMode="External"/><Relationship Id="rId10" Type="http://schemas.openxmlformats.org/officeDocument/2006/relationships/hyperlink" Target="https://www.mccormickandvilushis.com/blog/2018/12/why-should-you-remain-silent-during-police-questioning/" TargetMode="External"/><Relationship Id="rId4" Type="http://schemas.openxmlformats.org/officeDocument/2006/relationships/hyperlink" Target="http://e-lawresources.co.uk/Theft.php" TargetMode="External"/><Relationship Id="rId9" Type="http://schemas.openxmlformats.org/officeDocument/2006/relationships/hyperlink" Target="https://www.grayandcosolicitors.co.uk/section-39-common-assaul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3</Pages>
  <Words>1116</Words>
  <Characters>6367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kamilaah shah</dc:creator>
  <cp:keywords/>
  <dc:description/>
  <cp:lastModifiedBy>kamilaah shah</cp:lastModifiedBy>
  <cp:revision>46</cp:revision>
  <dcterms:created xsi:type="dcterms:W3CDTF">2022-11-10T17:55:00Z</dcterms:created>
  <dcterms:modified xsi:type="dcterms:W3CDTF">2022-11-10T20:58:00Z</dcterms:modified>
</cp:coreProperties>
</file>