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styles.xml" ContentType="application/vnd.openxmlformats-officedocument.wordprocessingml.styles+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footer3.xml" ContentType="application/vnd.openxmlformats-officedocument.wordprocessingml.footer+xml"/>
  <Override PartName="/word/settings.xml" ContentType="application/vnd.openxmlformats-officedocument.wordprocessingml.settings+xml"/>
  <Override PartName="/word/fontTable.xml" ContentType="application/vnd.openxmlformats-officedocument.wordprocessingml.fontTable+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360"/>
        <w:ind w:hanging="0" w:start="0" w:end="0"/>
        <w:jc w:val="center"/>
        <w:rPr>
          <w:rFonts w:ascii="Arial" w:hAnsi="Arial"/>
        </w:rPr>
      </w:pPr>
      <w:r>
        <w:rPr>
          <w:rFonts w:ascii="Arial" w:hAnsi="Arial"/>
        </w:rPr>
        <w:drawing>
          <wp:inline distT="0" distB="0" distL="0" distR="0">
            <wp:extent cx="3381375" cy="1352550"/>
            <wp:effectExtent l="0" t="0" r="0" b="0"/>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2"/>
                    <a:stretch>
                      <a:fillRect/>
                    </a:stretch>
                  </pic:blipFill>
                  <pic:spPr bwMode="auto">
                    <a:xfrm>
                      <a:off x="0" y="0"/>
                      <a:ext cx="3381375" cy="1352550"/>
                    </a:xfrm>
                    <a:prstGeom prst="rect">
                      <a:avLst/>
                    </a:prstGeom>
                    <a:noFill/>
                  </pic:spPr>
                </pic:pic>
              </a:graphicData>
            </a:graphic>
          </wp:inline>
        </w:drawing>
      </w:r>
    </w:p>
    <w:p>
      <w:pPr>
        <w:pStyle w:val="Normal"/>
        <w:bidi w:val="0"/>
        <w:spacing w:lineRule="auto" w:line="360"/>
        <w:ind w:hanging="0" w:start="0" w:end="0"/>
        <w:jc w:val="center"/>
        <w:rPr>
          <w:rFonts w:ascii="Arial" w:hAnsi="Arial" w:cs="Arial"/>
          <w:b/>
          <w:bCs/>
          <w:sz w:val="28"/>
          <w:szCs w:val="28"/>
        </w:rPr>
      </w:pPr>
      <w:r>
        <w:rPr>
          <w:rFonts w:cs="Arial" w:ascii="Arial" w:hAnsi="Arial"/>
          <w:b/>
          <w:bCs/>
          <w:sz w:val="28"/>
          <w:szCs w:val="28"/>
        </w:rPr>
      </w:r>
    </w:p>
    <w:p>
      <w:pPr>
        <w:pStyle w:val="Normal"/>
        <w:bidi w:val="0"/>
        <w:spacing w:lineRule="auto" w:line="360"/>
        <w:ind w:hanging="0" w:start="0" w:end="0"/>
        <w:jc w:val="center"/>
        <w:rPr>
          <w:rFonts w:ascii="Arial" w:hAnsi="Arial" w:cs="Arial"/>
          <w:b/>
          <w:bCs/>
          <w:sz w:val="28"/>
          <w:szCs w:val="28"/>
        </w:rPr>
      </w:pPr>
      <w:r>
        <w:rPr>
          <w:rFonts w:cs="Arial" w:ascii="Arial" w:hAnsi="Arial"/>
          <w:b/>
          <w:bCs/>
          <w:sz w:val="28"/>
          <w:szCs w:val="28"/>
        </w:rPr>
      </w:r>
    </w:p>
    <w:p>
      <w:pPr>
        <w:pStyle w:val="Normal"/>
        <w:bidi w:val="0"/>
        <w:spacing w:lineRule="auto" w:line="360"/>
        <w:ind w:hanging="0" w:start="0" w:end="0"/>
        <w:jc w:val="center"/>
        <w:rPr>
          <w:rFonts w:ascii="Arial" w:hAnsi="Arial"/>
        </w:rPr>
      </w:pPr>
      <w:r>
        <w:rPr>
          <w:rFonts w:cs="Arial" w:ascii="Arial" w:hAnsi="Arial"/>
          <w:b/>
          <w:bCs/>
          <w:sz w:val="28"/>
          <w:szCs w:val="28"/>
        </w:rPr>
        <w:t xml:space="preserve">Student Name: </w:t>
      </w:r>
      <w:r>
        <w:rPr>
          <w:rFonts w:cs="Arial" w:ascii="Arial" w:hAnsi="Arial"/>
          <w:b w:val="false"/>
          <w:bCs w:val="false"/>
          <w:sz w:val="28"/>
          <w:szCs w:val="28"/>
        </w:rPr>
        <w:t>Jasmini Patel</w:t>
      </w:r>
    </w:p>
    <w:p>
      <w:pPr>
        <w:pStyle w:val="Normal"/>
        <w:bidi w:val="0"/>
        <w:spacing w:lineRule="auto" w:line="360"/>
        <w:ind w:hanging="0" w:start="0" w:end="0"/>
        <w:jc w:val="center"/>
        <w:rPr>
          <w:rFonts w:ascii="Arial" w:hAnsi="Arial"/>
        </w:rPr>
      </w:pPr>
      <w:r>
        <w:rPr>
          <w:rFonts w:cs="Arial" w:ascii="Arial" w:hAnsi="Arial"/>
          <w:b/>
          <w:bCs/>
          <w:sz w:val="28"/>
          <w:szCs w:val="28"/>
        </w:rPr>
        <w:t xml:space="preserve">Student ID: </w:t>
      </w:r>
      <w:r>
        <w:rPr>
          <w:rFonts w:cs="Arial" w:ascii="Arial" w:hAnsi="Arial"/>
          <w:sz w:val="28"/>
          <w:szCs w:val="28"/>
        </w:rPr>
        <w:t>25</w:t>
      </w:r>
      <w:r>
        <w:rPr>
          <w:rFonts w:cs="Arial" w:ascii="Arial" w:hAnsi="Arial"/>
          <w:sz w:val="28"/>
          <w:szCs w:val="28"/>
        </w:rPr>
        <w:t>30735</w:t>
      </w:r>
    </w:p>
    <w:p>
      <w:pPr>
        <w:pStyle w:val="Normal"/>
        <w:bidi w:val="0"/>
        <w:spacing w:lineRule="auto" w:line="360"/>
        <w:ind w:hanging="0" w:start="0" w:end="0"/>
        <w:rPr>
          <w:rFonts w:ascii="Arial" w:hAnsi="Arial" w:cs="Arial"/>
          <w:sz w:val="28"/>
          <w:szCs w:val="28"/>
        </w:rPr>
      </w:pPr>
      <w:r>
        <w:rPr>
          <w:rFonts w:cs="Arial" w:ascii="Arial" w:hAnsi="Arial"/>
          <w:sz w:val="28"/>
          <w:szCs w:val="28"/>
        </w:rPr>
      </w:r>
    </w:p>
    <w:p>
      <w:pPr>
        <w:pStyle w:val="Normal"/>
        <w:bidi w:val="0"/>
        <w:spacing w:lineRule="auto" w:line="360"/>
        <w:ind w:hanging="0" w:start="0" w:end="0"/>
        <w:jc w:val="center"/>
        <w:rPr>
          <w:rFonts w:ascii="Arial" w:hAnsi="Arial"/>
        </w:rPr>
      </w:pPr>
      <w:r>
        <w:rPr>
          <w:rFonts w:cs="Arial" w:ascii="Arial" w:hAnsi="Arial"/>
          <w:b/>
          <w:bCs/>
          <w:sz w:val="28"/>
          <w:szCs w:val="28"/>
        </w:rPr>
        <w:t xml:space="preserve">Module Name: </w:t>
      </w:r>
      <w:r>
        <w:rPr>
          <w:rFonts w:cs="Arial" w:ascii="Arial" w:hAnsi="Arial"/>
          <w:sz w:val="28"/>
          <w:szCs w:val="28"/>
        </w:rPr>
        <w:t>Marketing Management</w:t>
      </w:r>
    </w:p>
    <w:p>
      <w:pPr>
        <w:pStyle w:val="Normal"/>
        <w:bidi w:val="0"/>
        <w:spacing w:lineRule="auto" w:line="360"/>
        <w:ind w:hanging="0" w:start="0" w:end="0"/>
        <w:jc w:val="center"/>
        <w:rPr>
          <w:rFonts w:ascii="Arial" w:hAnsi="Arial"/>
        </w:rPr>
      </w:pPr>
      <w:r>
        <w:rPr>
          <w:rFonts w:cs="Arial" w:ascii="Arial" w:hAnsi="Arial"/>
          <w:b/>
          <w:bCs/>
          <w:sz w:val="28"/>
          <w:szCs w:val="28"/>
        </w:rPr>
        <w:t xml:space="preserve">Module Code: </w:t>
      </w:r>
      <w:r>
        <w:rPr>
          <w:rFonts w:cs="Arial" w:ascii="Arial" w:hAnsi="Arial"/>
          <w:sz w:val="28"/>
          <w:szCs w:val="28"/>
        </w:rPr>
        <w:t>LCMB7024</w:t>
      </w:r>
    </w:p>
    <w:p>
      <w:pPr>
        <w:pStyle w:val="Normal"/>
        <w:bidi w:val="0"/>
        <w:spacing w:lineRule="auto" w:line="360"/>
        <w:ind w:hanging="0" w:start="0" w:end="0"/>
        <w:jc w:val="center"/>
        <w:rPr>
          <w:rFonts w:ascii="Arial" w:hAnsi="Arial" w:cs="Arial"/>
          <w:b/>
          <w:bCs/>
          <w:sz w:val="28"/>
          <w:szCs w:val="28"/>
        </w:rPr>
      </w:pPr>
      <w:r>
        <w:rPr>
          <w:rFonts w:cs="Arial" w:ascii="Arial" w:hAnsi="Arial"/>
          <w:b/>
          <w:bCs/>
          <w:sz w:val="28"/>
          <w:szCs w:val="28"/>
        </w:rPr>
      </w:r>
    </w:p>
    <w:p>
      <w:pPr>
        <w:pStyle w:val="Normal"/>
        <w:bidi w:val="0"/>
        <w:spacing w:lineRule="auto" w:line="360"/>
        <w:ind w:hanging="0" w:start="0" w:end="0"/>
        <w:jc w:val="center"/>
        <w:rPr>
          <w:rFonts w:ascii="Arial" w:hAnsi="Arial"/>
        </w:rPr>
      </w:pPr>
      <w:r>
        <w:rPr>
          <w:rFonts w:cs="Arial" w:ascii="Arial" w:hAnsi="Arial"/>
          <w:b/>
          <w:bCs/>
          <w:sz w:val="28"/>
          <w:szCs w:val="28"/>
        </w:rPr>
        <w:t xml:space="preserve">Lecturer’s Name: </w:t>
      </w:r>
      <w:r>
        <w:rPr>
          <w:rFonts w:cs="Arial" w:ascii="Arial" w:hAnsi="Arial"/>
          <w:sz w:val="28"/>
          <w:szCs w:val="28"/>
        </w:rPr>
        <w:t>Laila Maazouz</w:t>
      </w:r>
    </w:p>
    <w:p>
      <w:pPr>
        <w:pStyle w:val="Normal"/>
        <w:bidi w:val="0"/>
        <w:spacing w:lineRule="auto" w:line="360"/>
        <w:ind w:hanging="0" w:start="0" w:end="0"/>
        <w:rPr>
          <w:rFonts w:ascii="Arial" w:hAnsi="Arial" w:cs="Arial"/>
          <w:b/>
          <w:bCs/>
          <w:sz w:val="28"/>
          <w:szCs w:val="28"/>
        </w:rPr>
      </w:pPr>
      <w:r>
        <w:rPr>
          <w:rFonts w:cs="Arial" w:ascii="Arial" w:hAnsi="Arial"/>
          <w:b/>
          <w:bCs/>
          <w:sz w:val="28"/>
          <w:szCs w:val="28"/>
        </w:rPr>
      </w:r>
    </w:p>
    <w:p>
      <w:pPr>
        <w:pStyle w:val="Normal"/>
        <w:bidi w:val="0"/>
        <w:spacing w:lineRule="auto" w:line="360"/>
        <w:ind w:hanging="0" w:start="0" w:end="0"/>
        <w:jc w:val="center"/>
        <w:rPr>
          <w:rFonts w:ascii="Arial" w:hAnsi="Arial"/>
        </w:rPr>
      </w:pPr>
      <w:r>
        <w:rPr>
          <w:rFonts w:cs="Arial" w:ascii="Arial" w:hAnsi="Arial"/>
          <w:b/>
          <w:bCs/>
          <w:sz w:val="28"/>
          <w:szCs w:val="28"/>
        </w:rPr>
        <w:t>Wor</w:t>
      </w:r>
      <w:r>
        <w:rPr>
          <w:rFonts w:cs="Arial" w:ascii="Arial" w:hAnsi="Arial"/>
          <w:b/>
          <w:bCs/>
          <w:sz w:val="28"/>
          <w:szCs w:val="28"/>
        </w:rPr>
        <w:t>d</w:t>
      </w:r>
      <w:r>
        <w:rPr>
          <w:rFonts w:cs="Arial" w:ascii="Arial" w:hAnsi="Arial"/>
          <w:b/>
          <w:bCs/>
          <w:sz w:val="28"/>
          <w:szCs w:val="28"/>
        </w:rPr>
        <w:t xml:space="preserve"> Count: </w:t>
      </w:r>
      <w:r>
        <w:rPr>
          <w:rFonts w:cs="Arial" w:ascii="Arial" w:hAnsi="Arial"/>
          <w:sz w:val="28"/>
          <w:szCs w:val="28"/>
        </w:rPr>
        <w:t>2</w:t>
      </w:r>
      <w:r>
        <w:rPr>
          <w:rFonts w:cs="Arial" w:ascii="Arial" w:hAnsi="Arial"/>
          <w:sz w:val="28"/>
          <w:szCs w:val="28"/>
        </w:rPr>
        <w:t>525</w:t>
      </w:r>
    </w:p>
    <w:p>
      <w:pPr>
        <w:pStyle w:val="Normal"/>
        <w:bidi w:val="0"/>
        <w:spacing w:lineRule="auto" w:line="360"/>
        <w:ind w:hanging="0" w:start="0" w:end="0"/>
        <w:jc w:val="center"/>
        <w:rPr>
          <w:rFonts w:ascii="Arial" w:hAnsi="Arial" w:cs="Arial"/>
          <w:b/>
          <w:bCs/>
          <w:sz w:val="28"/>
          <w:szCs w:val="28"/>
        </w:rPr>
      </w:pPr>
      <w:r>
        <w:rPr>
          <w:rFonts w:cs="Arial" w:ascii="Arial" w:hAnsi="Arial"/>
          <w:b/>
          <w:bCs/>
          <w:sz w:val="28"/>
          <w:szCs w:val="28"/>
        </w:rPr>
      </w:r>
    </w:p>
    <w:p>
      <w:pPr>
        <w:pStyle w:val="Normal"/>
        <w:bidi w:val="0"/>
        <w:spacing w:lineRule="auto" w:line="360"/>
        <w:ind w:hanging="0" w:start="0" w:end="0"/>
        <w:jc w:val="center"/>
        <w:rPr>
          <w:rFonts w:ascii="Arial" w:hAnsi="Arial" w:cs="Arial"/>
          <w:b/>
          <w:bCs/>
          <w:sz w:val="28"/>
          <w:szCs w:val="28"/>
        </w:rPr>
      </w:pPr>
      <w:r>
        <w:rPr>
          <w:rFonts w:cs="Arial" w:ascii="Arial" w:hAnsi="Arial"/>
          <w:b/>
          <w:bCs/>
          <w:sz w:val="28"/>
          <w:szCs w:val="28"/>
        </w:rPr>
      </w:r>
    </w:p>
    <w:p>
      <w:pPr>
        <w:pStyle w:val="Normal"/>
        <w:bidi w:val="0"/>
        <w:spacing w:lineRule="auto" w:line="360"/>
        <w:ind w:hanging="0" w:start="0" w:end="0"/>
        <w:jc w:val="center"/>
        <w:rPr>
          <w:rFonts w:ascii="Arial" w:hAnsi="Arial"/>
        </w:rPr>
      </w:pPr>
      <w:r>
        <w:rPr>
          <w:rFonts w:cs="Arial" w:ascii="Arial" w:hAnsi="Arial"/>
          <w:b/>
          <w:bCs/>
          <w:sz w:val="28"/>
          <w:szCs w:val="28"/>
        </w:rPr>
        <w:t>Term 1</w:t>
      </w:r>
    </w:p>
    <w:p>
      <w:pPr>
        <w:pStyle w:val="Normal"/>
        <w:jc w:val="center"/>
        <w:rPr>
          <w:rFonts w:ascii="Arial" w:hAnsi="Arial"/>
          <w:b/>
          <w:bCs/>
          <w:lang w:val="en-GB"/>
        </w:rPr>
      </w:pPr>
      <w:r>
        <w:rPr>
          <w:rFonts w:ascii="Arial" w:hAnsi="Arial"/>
          <w:b/>
          <w:bCs/>
          <w:lang w:val="en-GB"/>
        </w:rPr>
      </w:r>
    </w:p>
    <w:sdt>
      <w:sdtPr>
        <w:docPartObj>
          <w:docPartGallery w:val="Table of Contents"/>
          <w:docPartUnique w:val="true"/>
        </w:docPartObj>
      </w:sdtPr>
      <w:sdtContent>
        <w:p>
          <w:pPr>
            <w:pStyle w:val="Normal"/>
            <w:spacing w:before="0" w:after="160"/>
            <w:rPr>
              <w:rFonts w:ascii="Arial" w:hAnsi="Arial"/>
            </w:rPr>
          </w:pPr>
          <w:r>
            <w:br w:type="page"/>
          </w:r>
          <w:r>
            <w:rPr>
              <w:rFonts w:cs="Arial" w:ascii="Arial" w:hAnsi="Arial"/>
              <w:b/>
              <w:bCs/>
            </w:rPr>
            <w:t>Contents</w:t>
          </w:r>
        </w:p>
        <w:p>
          <w:pPr>
            <w:pStyle w:val="TOC1"/>
            <w:tabs>
              <w:tab w:val="clear" w:pos="720"/>
              <w:tab w:val="right" w:pos="9016" w:leader="dot"/>
            </w:tabs>
            <w:rPr/>
          </w:pPr>
          <w:r>
            <w:fldChar w:fldCharType="begin"/>
          </w:r>
          <w:r>
            <w:rPr>
              <w:rStyle w:val="IndexLink"/>
              <w:rFonts w:cs="Arial" w:ascii="Arial" w:hAnsi="Arial"/>
              <w:b/>
              <w:bCs/>
              <w:webHidden/>
            </w:rPr>
            <w:instrText xml:space="preserve"> TOC \z \o "1-3" \u \h</w:instrText>
          </w:r>
          <w:r>
            <w:rPr>
              <w:rStyle w:val="IndexLink"/>
              <w:rFonts w:cs="Arial" w:ascii="Arial" w:hAnsi="Arial"/>
              <w:b/>
              <w:bCs/>
              <w:webHidden/>
            </w:rPr>
            <w:fldChar w:fldCharType="separate"/>
          </w:r>
          <w:hyperlink w:anchor="_Toc224695603">
            <w:r>
              <w:rPr>
                <w:rStyle w:val="IndexLink"/>
                <w:rFonts w:cs="Arial" w:ascii="Arial" w:hAnsi="Arial"/>
                <w:b/>
                <w:bCs/>
                <w:webHidden/>
              </w:rPr>
              <w:t>1. Introduction</w:t>
            </w:r>
            <w:r>
              <w:rPr>
                <w:webHidden/>
              </w:rPr>
              <w:fldChar w:fldCharType="begin"/>
            </w:r>
            <w:r>
              <w:rPr>
                <w:webHidden/>
              </w:rPr>
              <w:instrText xml:space="preserve">PAGEREF _Toc224695603 \h</w:instrText>
            </w:r>
            <w:r>
              <w:rPr>
                <w:webHidden/>
              </w:rPr>
              <w:fldChar w:fldCharType="separate"/>
            </w:r>
            <w:r>
              <w:rPr>
                <w:rStyle w:val="IndexLink"/>
                <w:rFonts w:ascii="Arial" w:hAnsi="Arial"/>
                <w:vanish w:val="false"/>
              </w:rPr>
              <w:tab/>
              <w:t>3</w:t>
            </w:r>
            <w:r>
              <w:rPr>
                <w:webHidden/>
              </w:rPr>
              <w:fldChar w:fldCharType="end"/>
            </w:r>
          </w:hyperlink>
        </w:p>
        <w:p>
          <w:pPr>
            <w:pStyle w:val="TOC1"/>
            <w:tabs>
              <w:tab w:val="clear" w:pos="720"/>
              <w:tab w:val="right" w:pos="9016" w:leader="dot"/>
            </w:tabs>
            <w:rPr/>
          </w:pPr>
          <w:hyperlink w:anchor="_Toc224695604">
            <w:r>
              <w:rPr>
                <w:rStyle w:val="IndexLink"/>
                <w:rFonts w:cs="Arial" w:ascii="Arial" w:hAnsi="Arial"/>
                <w:b/>
                <w:bCs/>
                <w:webHidden/>
              </w:rPr>
              <w:t>2. Task 1: Critical Analysis of the Macro Marketing Environment</w:t>
            </w:r>
            <w:r>
              <w:rPr>
                <w:webHidden/>
              </w:rPr>
              <w:fldChar w:fldCharType="begin"/>
            </w:r>
            <w:r>
              <w:rPr>
                <w:webHidden/>
              </w:rPr>
              <w:instrText xml:space="preserve">PAGEREF _Toc224695604 \h</w:instrText>
            </w:r>
            <w:r>
              <w:rPr>
                <w:webHidden/>
              </w:rPr>
              <w:fldChar w:fldCharType="separate"/>
            </w:r>
            <w:r>
              <w:rPr>
                <w:rStyle w:val="IndexLink"/>
                <w:rFonts w:ascii="Arial" w:hAnsi="Arial"/>
                <w:vanish w:val="false"/>
              </w:rPr>
              <w:tab/>
              <w:t>4</w:t>
            </w:r>
            <w:r>
              <w:rPr>
                <w:webHidden/>
              </w:rPr>
              <w:fldChar w:fldCharType="end"/>
            </w:r>
          </w:hyperlink>
        </w:p>
        <w:p>
          <w:pPr>
            <w:pStyle w:val="TOC2"/>
            <w:tabs>
              <w:tab w:val="clear" w:pos="720"/>
              <w:tab w:val="right" w:pos="9016" w:leader="dot"/>
            </w:tabs>
            <w:rPr/>
          </w:pPr>
          <w:hyperlink w:anchor="_Toc224695605">
            <w:r>
              <w:rPr>
                <w:rStyle w:val="IndexLink"/>
                <w:rFonts w:cs="Arial" w:ascii="Arial" w:hAnsi="Arial"/>
                <w:b/>
                <w:bCs/>
                <w:webHidden/>
              </w:rPr>
              <w:t>2.1 Macro Marketing Environment</w:t>
            </w:r>
            <w:r>
              <w:rPr>
                <w:webHidden/>
              </w:rPr>
              <w:fldChar w:fldCharType="begin"/>
            </w:r>
            <w:r>
              <w:rPr>
                <w:webHidden/>
              </w:rPr>
              <w:instrText xml:space="preserve">PAGEREF _Toc224695605 \h</w:instrText>
            </w:r>
            <w:r>
              <w:rPr>
                <w:webHidden/>
              </w:rPr>
              <w:fldChar w:fldCharType="separate"/>
            </w:r>
            <w:r>
              <w:rPr>
                <w:rStyle w:val="IndexLink"/>
                <w:rFonts w:ascii="Arial" w:hAnsi="Arial"/>
                <w:vanish w:val="false"/>
              </w:rPr>
              <w:tab/>
              <w:t>4</w:t>
            </w:r>
            <w:r>
              <w:rPr>
                <w:webHidden/>
              </w:rPr>
              <w:fldChar w:fldCharType="end"/>
            </w:r>
          </w:hyperlink>
        </w:p>
        <w:p>
          <w:pPr>
            <w:pStyle w:val="TOC2"/>
            <w:tabs>
              <w:tab w:val="clear" w:pos="720"/>
              <w:tab w:val="right" w:pos="9016" w:leader="dot"/>
            </w:tabs>
            <w:rPr/>
          </w:pPr>
          <w:hyperlink w:anchor="_Toc224695606">
            <w:r>
              <w:rPr>
                <w:rStyle w:val="IndexLink"/>
                <w:rFonts w:cs="Arial" w:ascii="Arial" w:hAnsi="Arial"/>
                <w:b/>
                <w:bCs/>
                <w:webHidden/>
              </w:rPr>
              <w:t>2.2 Analysis of Macro Factor 1: Technological Factors</w:t>
            </w:r>
            <w:r>
              <w:rPr>
                <w:webHidden/>
              </w:rPr>
              <w:fldChar w:fldCharType="begin"/>
            </w:r>
            <w:r>
              <w:rPr>
                <w:webHidden/>
              </w:rPr>
              <w:instrText xml:space="preserve">PAGEREF _Toc224695606 \h</w:instrText>
            </w:r>
            <w:r>
              <w:rPr>
                <w:webHidden/>
              </w:rPr>
              <w:fldChar w:fldCharType="separate"/>
            </w:r>
            <w:r>
              <w:rPr>
                <w:rStyle w:val="IndexLink"/>
                <w:rFonts w:ascii="Arial" w:hAnsi="Arial"/>
                <w:vanish w:val="false"/>
              </w:rPr>
              <w:tab/>
              <w:t>4</w:t>
            </w:r>
            <w:r>
              <w:rPr>
                <w:webHidden/>
              </w:rPr>
              <w:fldChar w:fldCharType="end"/>
            </w:r>
          </w:hyperlink>
        </w:p>
        <w:p>
          <w:pPr>
            <w:pStyle w:val="TOC3"/>
            <w:tabs>
              <w:tab w:val="clear" w:pos="720"/>
              <w:tab w:val="right" w:pos="9016" w:leader="dot"/>
            </w:tabs>
            <w:rPr/>
          </w:pPr>
          <w:hyperlink w:anchor="_Toc224695607">
            <w:r>
              <w:rPr>
                <w:rStyle w:val="IndexLink"/>
                <w:rFonts w:cs="Arial" w:ascii="Arial" w:hAnsi="Arial"/>
                <w:b/>
                <w:bCs/>
                <w:webHidden/>
              </w:rPr>
              <w:t>2.2.1 Impact on the Pioneer Organisation (PayPal)</w:t>
            </w:r>
            <w:r>
              <w:rPr>
                <w:webHidden/>
              </w:rPr>
              <w:fldChar w:fldCharType="begin"/>
            </w:r>
            <w:r>
              <w:rPr>
                <w:webHidden/>
              </w:rPr>
              <w:instrText xml:space="preserve">PAGEREF _Toc224695607 \h</w:instrText>
            </w:r>
            <w:r>
              <w:rPr>
                <w:webHidden/>
              </w:rPr>
              <w:fldChar w:fldCharType="separate"/>
            </w:r>
            <w:r>
              <w:rPr>
                <w:rStyle w:val="IndexLink"/>
                <w:rFonts w:ascii="Arial" w:hAnsi="Arial"/>
                <w:vanish w:val="false"/>
              </w:rPr>
              <w:tab/>
              <w:t>4</w:t>
            </w:r>
            <w:r>
              <w:rPr>
                <w:webHidden/>
              </w:rPr>
              <w:fldChar w:fldCharType="end"/>
            </w:r>
          </w:hyperlink>
        </w:p>
        <w:p>
          <w:pPr>
            <w:pStyle w:val="TOC3"/>
            <w:tabs>
              <w:tab w:val="clear" w:pos="720"/>
              <w:tab w:val="right" w:pos="9016" w:leader="dot"/>
            </w:tabs>
            <w:rPr/>
          </w:pPr>
          <w:hyperlink w:anchor="_Toc224695608">
            <w:r>
              <w:rPr>
                <w:rStyle w:val="IndexLink"/>
                <w:rFonts w:cs="Arial" w:ascii="Arial" w:hAnsi="Arial"/>
                <w:b/>
                <w:bCs/>
                <w:webHidden/>
              </w:rPr>
              <w:t>2.2.2 Impact on the Follower Organisation (Google Pay)</w:t>
            </w:r>
            <w:r>
              <w:rPr>
                <w:webHidden/>
              </w:rPr>
              <w:fldChar w:fldCharType="begin"/>
            </w:r>
            <w:r>
              <w:rPr>
                <w:webHidden/>
              </w:rPr>
              <w:instrText xml:space="preserve">PAGEREF _Toc224695608 \h</w:instrText>
            </w:r>
            <w:r>
              <w:rPr>
                <w:webHidden/>
              </w:rPr>
              <w:fldChar w:fldCharType="separate"/>
            </w:r>
            <w:r>
              <w:rPr>
                <w:rStyle w:val="IndexLink"/>
                <w:rFonts w:ascii="Arial" w:hAnsi="Arial"/>
                <w:vanish w:val="false"/>
              </w:rPr>
              <w:tab/>
              <w:t>5</w:t>
            </w:r>
            <w:r>
              <w:rPr>
                <w:webHidden/>
              </w:rPr>
              <w:fldChar w:fldCharType="end"/>
            </w:r>
          </w:hyperlink>
        </w:p>
        <w:p>
          <w:pPr>
            <w:pStyle w:val="TOC2"/>
            <w:tabs>
              <w:tab w:val="clear" w:pos="720"/>
              <w:tab w:val="right" w:pos="9016" w:leader="dot"/>
            </w:tabs>
            <w:rPr/>
          </w:pPr>
          <w:hyperlink w:anchor="_Toc224695609">
            <w:r>
              <w:rPr>
                <w:rStyle w:val="IndexLink"/>
                <w:rFonts w:cs="Arial" w:ascii="Arial" w:hAnsi="Arial"/>
                <w:b/>
                <w:bCs/>
                <w:webHidden/>
              </w:rPr>
              <w:t>2.3 Analysis of Macro Factor 2: Legal (Regulatory) Factors</w:t>
            </w:r>
            <w:r>
              <w:rPr>
                <w:webHidden/>
              </w:rPr>
              <w:fldChar w:fldCharType="begin"/>
            </w:r>
            <w:r>
              <w:rPr>
                <w:webHidden/>
              </w:rPr>
              <w:instrText xml:space="preserve">PAGEREF _Toc224695609 \h</w:instrText>
            </w:r>
            <w:r>
              <w:rPr>
                <w:webHidden/>
              </w:rPr>
              <w:fldChar w:fldCharType="separate"/>
            </w:r>
            <w:r>
              <w:rPr>
                <w:rStyle w:val="IndexLink"/>
                <w:rFonts w:ascii="Arial" w:hAnsi="Arial"/>
                <w:vanish w:val="false"/>
              </w:rPr>
              <w:tab/>
              <w:t>6</w:t>
            </w:r>
            <w:r>
              <w:rPr>
                <w:webHidden/>
              </w:rPr>
              <w:fldChar w:fldCharType="end"/>
            </w:r>
          </w:hyperlink>
        </w:p>
        <w:p>
          <w:pPr>
            <w:pStyle w:val="TOC3"/>
            <w:tabs>
              <w:tab w:val="clear" w:pos="720"/>
              <w:tab w:val="right" w:pos="9016" w:leader="dot"/>
            </w:tabs>
            <w:rPr/>
          </w:pPr>
          <w:hyperlink w:anchor="_Toc224695610">
            <w:r>
              <w:rPr>
                <w:rStyle w:val="IndexLink"/>
                <w:rFonts w:cs="Arial" w:ascii="Arial" w:hAnsi="Arial"/>
                <w:b/>
                <w:bCs/>
                <w:webHidden/>
              </w:rPr>
              <w:t>2.3.1 Impact on the Pioneer Organisation (PayPal)</w:t>
            </w:r>
            <w:r>
              <w:rPr>
                <w:webHidden/>
              </w:rPr>
              <w:fldChar w:fldCharType="begin"/>
            </w:r>
            <w:r>
              <w:rPr>
                <w:webHidden/>
              </w:rPr>
              <w:instrText xml:space="preserve">PAGEREF _Toc224695610 \h</w:instrText>
            </w:r>
            <w:r>
              <w:rPr>
                <w:webHidden/>
              </w:rPr>
              <w:fldChar w:fldCharType="separate"/>
            </w:r>
            <w:r>
              <w:rPr>
                <w:rStyle w:val="IndexLink"/>
                <w:rFonts w:ascii="Arial" w:hAnsi="Arial"/>
                <w:vanish w:val="false"/>
              </w:rPr>
              <w:tab/>
              <w:t>6</w:t>
            </w:r>
            <w:r>
              <w:rPr>
                <w:webHidden/>
              </w:rPr>
              <w:fldChar w:fldCharType="end"/>
            </w:r>
          </w:hyperlink>
        </w:p>
        <w:p>
          <w:pPr>
            <w:pStyle w:val="TOC3"/>
            <w:tabs>
              <w:tab w:val="clear" w:pos="720"/>
              <w:tab w:val="right" w:pos="9016" w:leader="dot"/>
            </w:tabs>
            <w:rPr/>
          </w:pPr>
          <w:hyperlink w:anchor="_Toc224695611">
            <w:r>
              <w:rPr>
                <w:rStyle w:val="IndexLink"/>
                <w:rFonts w:cs="Arial" w:ascii="Arial" w:hAnsi="Arial"/>
                <w:b/>
                <w:bCs/>
                <w:webHidden/>
              </w:rPr>
              <w:t>2.3.2 Impact on the Follower Organisation (Google Pay)</w:t>
            </w:r>
            <w:r>
              <w:rPr>
                <w:webHidden/>
              </w:rPr>
              <w:fldChar w:fldCharType="begin"/>
            </w:r>
            <w:r>
              <w:rPr>
                <w:webHidden/>
              </w:rPr>
              <w:instrText xml:space="preserve">PAGEREF _Toc224695611 \h</w:instrText>
            </w:r>
            <w:r>
              <w:rPr>
                <w:webHidden/>
              </w:rPr>
              <w:fldChar w:fldCharType="separate"/>
            </w:r>
            <w:r>
              <w:rPr>
                <w:rStyle w:val="IndexLink"/>
                <w:rFonts w:ascii="Arial" w:hAnsi="Arial"/>
                <w:vanish w:val="false"/>
              </w:rPr>
              <w:tab/>
              <w:t>7</w:t>
            </w:r>
            <w:r>
              <w:rPr>
                <w:webHidden/>
              </w:rPr>
              <w:fldChar w:fldCharType="end"/>
            </w:r>
          </w:hyperlink>
        </w:p>
        <w:p>
          <w:pPr>
            <w:pStyle w:val="TOC1"/>
            <w:tabs>
              <w:tab w:val="clear" w:pos="720"/>
              <w:tab w:val="right" w:pos="9016" w:leader="dot"/>
            </w:tabs>
            <w:rPr/>
          </w:pPr>
          <w:hyperlink w:anchor="_Toc224695612">
            <w:r>
              <w:rPr>
                <w:rStyle w:val="IndexLink"/>
                <w:rFonts w:cs="Arial" w:ascii="Arial" w:hAnsi="Arial"/>
                <w:b/>
                <w:bCs/>
                <w:webHidden/>
              </w:rPr>
              <w:t>3. Task 2: Strategic Responses of Pioneering and Follower Organisations</w:t>
            </w:r>
            <w:r>
              <w:rPr>
                <w:webHidden/>
              </w:rPr>
              <w:fldChar w:fldCharType="begin"/>
            </w:r>
            <w:r>
              <w:rPr>
                <w:webHidden/>
              </w:rPr>
              <w:instrText xml:space="preserve">PAGEREF _Toc224695612 \h</w:instrText>
            </w:r>
            <w:r>
              <w:rPr>
                <w:webHidden/>
              </w:rPr>
              <w:fldChar w:fldCharType="separate"/>
            </w:r>
            <w:r>
              <w:rPr>
                <w:rStyle w:val="IndexLink"/>
                <w:rFonts w:ascii="Arial" w:hAnsi="Arial"/>
                <w:vanish w:val="false"/>
              </w:rPr>
              <w:tab/>
              <w:t>8</w:t>
            </w:r>
            <w:r>
              <w:rPr>
                <w:webHidden/>
              </w:rPr>
              <w:fldChar w:fldCharType="end"/>
            </w:r>
          </w:hyperlink>
        </w:p>
        <w:p>
          <w:pPr>
            <w:pStyle w:val="TOC2"/>
            <w:tabs>
              <w:tab w:val="clear" w:pos="720"/>
              <w:tab w:val="right" w:pos="9016" w:leader="dot"/>
            </w:tabs>
            <w:rPr/>
          </w:pPr>
          <w:hyperlink w:anchor="_Toc224695613">
            <w:r>
              <w:rPr>
                <w:rStyle w:val="IndexLink"/>
                <w:rFonts w:cs="Arial" w:ascii="Arial" w:hAnsi="Arial"/>
                <w:b/>
                <w:bCs/>
                <w:webHidden/>
              </w:rPr>
              <w:t>3.1 Pioneering Organisation’s Strategic Responses (PayPal)</w:t>
            </w:r>
            <w:r>
              <w:rPr>
                <w:webHidden/>
              </w:rPr>
              <w:fldChar w:fldCharType="begin"/>
            </w:r>
            <w:r>
              <w:rPr>
                <w:webHidden/>
              </w:rPr>
              <w:instrText xml:space="preserve">PAGEREF _Toc224695613 \h</w:instrText>
            </w:r>
            <w:r>
              <w:rPr>
                <w:webHidden/>
              </w:rPr>
              <w:fldChar w:fldCharType="separate"/>
            </w:r>
            <w:r>
              <w:rPr>
                <w:rStyle w:val="IndexLink"/>
                <w:rFonts w:ascii="Arial" w:hAnsi="Arial"/>
                <w:vanish w:val="false"/>
              </w:rPr>
              <w:tab/>
              <w:t>8</w:t>
            </w:r>
            <w:r>
              <w:rPr>
                <w:webHidden/>
              </w:rPr>
              <w:fldChar w:fldCharType="end"/>
            </w:r>
          </w:hyperlink>
        </w:p>
        <w:p>
          <w:pPr>
            <w:pStyle w:val="TOC2"/>
            <w:tabs>
              <w:tab w:val="clear" w:pos="720"/>
              <w:tab w:val="right" w:pos="9016" w:leader="dot"/>
            </w:tabs>
            <w:rPr/>
          </w:pPr>
          <w:hyperlink w:anchor="_Toc224695614">
            <w:r>
              <w:rPr>
                <w:rStyle w:val="IndexLink"/>
                <w:rFonts w:cs="Arial" w:ascii="Arial" w:hAnsi="Arial"/>
                <w:b/>
                <w:bCs/>
                <w:webHidden/>
              </w:rPr>
              <w:t>3.2 Follower Organisation’s Strategic Responses (Google Pay)</w:t>
            </w:r>
            <w:r>
              <w:rPr>
                <w:webHidden/>
              </w:rPr>
              <w:fldChar w:fldCharType="begin"/>
            </w:r>
            <w:r>
              <w:rPr>
                <w:webHidden/>
              </w:rPr>
              <w:instrText xml:space="preserve">PAGEREF _Toc224695614 \h</w:instrText>
            </w:r>
            <w:r>
              <w:rPr>
                <w:webHidden/>
              </w:rPr>
              <w:fldChar w:fldCharType="separate"/>
            </w:r>
            <w:r>
              <w:rPr>
                <w:rStyle w:val="IndexLink"/>
                <w:rFonts w:ascii="Arial" w:hAnsi="Arial"/>
                <w:vanish w:val="false"/>
              </w:rPr>
              <w:tab/>
              <w:t>10</w:t>
            </w:r>
            <w:r>
              <w:rPr>
                <w:webHidden/>
              </w:rPr>
              <w:fldChar w:fldCharType="end"/>
            </w:r>
          </w:hyperlink>
        </w:p>
        <w:p>
          <w:pPr>
            <w:pStyle w:val="TOC1"/>
            <w:tabs>
              <w:tab w:val="clear" w:pos="720"/>
              <w:tab w:val="right" w:pos="9016" w:leader="dot"/>
            </w:tabs>
            <w:rPr/>
          </w:pPr>
          <w:hyperlink w:anchor="_Toc224695615">
            <w:r>
              <w:rPr>
                <w:rStyle w:val="IndexLink"/>
                <w:rFonts w:cs="Arial" w:ascii="Arial" w:hAnsi="Arial"/>
                <w:b/>
                <w:bCs/>
                <w:webHidden/>
              </w:rPr>
              <w:t>4. Conclusion</w:t>
            </w:r>
            <w:r>
              <w:rPr>
                <w:webHidden/>
              </w:rPr>
              <w:fldChar w:fldCharType="begin"/>
            </w:r>
            <w:r>
              <w:rPr>
                <w:webHidden/>
              </w:rPr>
              <w:instrText xml:space="preserve">PAGEREF _Toc224695615 \h</w:instrText>
            </w:r>
            <w:r>
              <w:rPr>
                <w:webHidden/>
              </w:rPr>
              <w:fldChar w:fldCharType="separate"/>
            </w:r>
            <w:r>
              <w:rPr>
                <w:rStyle w:val="IndexLink"/>
                <w:rFonts w:ascii="Arial" w:hAnsi="Arial"/>
                <w:vanish w:val="false"/>
              </w:rPr>
              <w:tab/>
              <w:t>11</w:t>
            </w:r>
            <w:r>
              <w:rPr>
                <w:webHidden/>
              </w:rPr>
              <w:fldChar w:fldCharType="end"/>
            </w:r>
          </w:hyperlink>
        </w:p>
        <w:p>
          <w:pPr>
            <w:pStyle w:val="TOC1"/>
            <w:tabs>
              <w:tab w:val="clear" w:pos="720"/>
              <w:tab w:val="right" w:pos="9016" w:leader="dot"/>
            </w:tabs>
            <w:rPr/>
          </w:pPr>
          <w:hyperlink w:anchor="_Toc224695616">
            <w:r>
              <w:rPr>
                <w:rStyle w:val="IndexLink"/>
                <w:rFonts w:cs="Arial" w:ascii="Arial" w:hAnsi="Arial"/>
                <w:b/>
                <w:bCs/>
                <w:webHidden/>
              </w:rPr>
              <w:t>5. References</w:t>
            </w:r>
            <w:r>
              <w:rPr>
                <w:webHidden/>
              </w:rPr>
              <w:fldChar w:fldCharType="begin"/>
            </w:r>
            <w:r>
              <w:rPr>
                <w:webHidden/>
              </w:rPr>
              <w:instrText xml:space="preserve">PAGEREF _Toc224695616 \h</w:instrText>
            </w:r>
            <w:r>
              <w:rPr>
                <w:webHidden/>
              </w:rPr>
              <w:fldChar w:fldCharType="separate"/>
            </w:r>
            <w:r>
              <w:rPr>
                <w:rStyle w:val="IndexLink"/>
                <w:rFonts w:ascii="Arial" w:hAnsi="Arial"/>
                <w:vanish w:val="false"/>
              </w:rPr>
              <w:tab/>
              <w:t>12</w:t>
            </w:r>
            <w:r>
              <w:rPr>
                <w:webHidden/>
              </w:rPr>
              <w:fldChar w:fldCharType="end"/>
            </w:r>
          </w:hyperlink>
        </w:p>
        <w:p>
          <w:pPr>
            <w:pStyle w:val="Normal"/>
            <w:rPr>
              <w:rFonts w:ascii="Arial" w:hAnsi="Arial"/>
            </w:rPr>
          </w:pPr>
          <w:r>
            <w:rPr>
              <w:rFonts w:ascii="Arial" w:hAnsi="Arial"/>
            </w:rPr>
          </w:r>
          <w:r>
            <w:rPr>
              <w:rFonts w:ascii="Arial" w:hAnsi="Arial"/>
            </w:rPr>
            <w:fldChar w:fldCharType="end"/>
          </w:r>
        </w:p>
      </w:sdtContent>
    </w:sdt>
    <w:p>
      <w:pPr>
        <w:pStyle w:val="Normal"/>
        <w:rPr>
          <w:rFonts w:ascii="Arial" w:hAnsi="Arial"/>
        </w:rPr>
      </w:pPr>
      <w:r>
        <w:rPr>
          <w:rFonts w:ascii="Arial" w:hAnsi="Arial"/>
        </w:rPr>
      </w:r>
    </w:p>
    <w:p>
      <w:pPr>
        <w:pStyle w:val="Normal"/>
        <w:rPr>
          <w:rFonts w:ascii="Arial" w:hAnsi="Arial" w:eastAsia="" w:cs="Arial" w:eastAsiaTheme="majorEastAsia"/>
          <w:b/>
          <w:bCs/>
          <w:sz w:val="40"/>
          <w:szCs w:val="36"/>
        </w:rPr>
      </w:pPr>
      <w:r>
        <w:rPr>
          <w:rFonts w:eastAsia="" w:cs="Arial" w:eastAsiaTheme="majorEastAsia" w:ascii="Arial" w:hAnsi="Arial"/>
          <w:b/>
          <w:bCs/>
          <w:sz w:val="40"/>
          <w:szCs w:val="36"/>
        </w:rPr>
      </w:r>
      <w:r>
        <w:br w:type="page"/>
      </w:r>
    </w:p>
    <w:p>
      <w:pPr>
        <w:pStyle w:val="Heading1"/>
        <w:spacing w:lineRule="auto" w:line="360" w:before="0" w:after="80"/>
        <w:jc w:val="both"/>
        <w:rPr>
          <w:rFonts w:ascii="Arial" w:hAnsi="Arial"/>
        </w:rPr>
      </w:pPr>
      <w:bookmarkStart w:id="0" w:name="_Toc224695603"/>
      <w:r>
        <w:rPr>
          <w:rFonts w:cs="Arial" w:ascii="Arial" w:hAnsi="Arial"/>
          <w:b/>
          <w:bCs/>
          <w:color w:val="auto"/>
        </w:rPr>
        <w:t>1. Introduction</w:t>
      </w:r>
      <w:bookmarkEnd w:id="0"/>
    </w:p>
    <w:p>
      <w:pPr>
        <w:pStyle w:val="Normal"/>
        <w:spacing w:lineRule="auto" w:line="360"/>
        <w:jc w:val="both"/>
        <w:rPr>
          <w:rFonts w:ascii="Arial" w:hAnsi="Arial"/>
        </w:rPr>
      </w:pPr>
      <w:r>
        <w:rPr>
          <w:rFonts w:cs="Arial" w:ascii="Arial" w:hAnsi="Arial"/>
        </w:rPr>
        <w:t xml:space="preserve">Strategic marketing management is essential in ensuring that organisations effectively respond to the dynamism in the external environment and maintain competitive advantage (Klimova et al., 2023). With a fast-changing digital payments business environment, it is vital to comprehend the manner in which companies respond to macro-environment shifts to be successful in the long term. To examine how strategic positions affect organisational responses, this analysis will concentrate on two organisations: </w:t>
      </w:r>
      <w:r>
        <w:rPr>
          <w:rFonts w:cs="Arial" w:ascii="Arial" w:hAnsi="Arial"/>
          <w:b/>
          <w:bCs/>
        </w:rPr>
        <w:t>PayPal as the pioneer and Google Pay as the follower</w:t>
      </w:r>
      <w:r>
        <w:rPr>
          <w:rFonts w:cs="Arial" w:ascii="Arial" w:hAnsi="Arial"/>
        </w:rPr>
        <w:t xml:space="preserve"> (Jindal, 2023).</w:t>
      </w:r>
    </w:p>
    <w:p>
      <w:pPr>
        <w:pStyle w:val="Normal"/>
        <w:spacing w:lineRule="auto" w:line="360"/>
        <w:jc w:val="both"/>
        <w:rPr>
          <w:rFonts w:ascii="Arial" w:hAnsi="Arial"/>
        </w:rPr>
      </w:pPr>
      <w:r>
        <w:rPr>
          <w:rFonts w:cs="Arial" w:ascii="Arial" w:hAnsi="Arial"/>
        </w:rPr>
        <w:t>The growth of the digital payments industry is associated with the rise of e-commerce, widespread use of smartphones and the constant innovation in technology. It is also very competitive and is defined by platform-centric ecosystems, network effects, and fast consumer behaviour change. Organisations are also fighting with providing secure, efficient, and seamless payment solutions, and frequently incorporate their services into more extensive digital ecosystems to maximise customer value and retention (Mızrak, 2023).</w:t>
      </w:r>
    </w:p>
    <w:p>
      <w:pPr>
        <w:pStyle w:val="Normal"/>
        <w:spacing w:lineRule="auto" w:line="360"/>
        <w:jc w:val="both"/>
        <w:rPr>
          <w:rFonts w:ascii="Arial" w:hAnsi="Arial"/>
        </w:rPr>
      </w:pPr>
      <w:r>
        <w:rPr>
          <w:rFonts w:cs="Arial" w:ascii="Arial" w:hAnsi="Arial"/>
        </w:rPr>
        <w:t>Examination of the macro marketing environment is crucial in strategic decision-making, where external environmental changes, including technological changes and legal regulations can present opportunities and threats. Models like PESTLE offer a systematic way of determining these influences and evaluating how they affect organisational performance (Perera, 2017).</w:t>
      </w:r>
    </w:p>
    <w:p>
      <w:pPr>
        <w:pStyle w:val="Normal"/>
        <w:spacing w:lineRule="auto" w:line="360"/>
        <w:jc w:val="both"/>
        <w:rPr>
          <w:rFonts w:ascii="Arial" w:hAnsi="Arial"/>
        </w:rPr>
      </w:pPr>
      <w:r>
        <w:rPr>
          <w:rFonts w:cs="Arial" w:ascii="Arial" w:hAnsi="Arial"/>
        </w:rPr>
        <w:t>This discussion has two sections. Task 1 critically assesses major macro-environmental factors that have impacted on both organisations and Task 2 compares the strategic responses of the organisations in relation to the relevant models to determine how competitive advantage is developed and maintained.</w:t>
      </w:r>
    </w:p>
    <w:p>
      <w:pPr>
        <w:pStyle w:val="Heading1"/>
        <w:spacing w:lineRule="auto" w:line="360"/>
        <w:jc w:val="both"/>
        <w:rPr>
          <w:rFonts w:ascii="Arial" w:hAnsi="Arial"/>
        </w:rPr>
      </w:pPr>
      <w:bookmarkStart w:id="1" w:name="_Toc224695604"/>
      <w:r>
        <w:rPr>
          <w:rFonts w:cs="Arial" w:ascii="Arial" w:hAnsi="Arial"/>
          <w:b/>
          <w:bCs/>
          <w:color w:val="auto"/>
        </w:rPr>
        <w:t>2. Task 1: Critical Analysis of the Macro Marketing Environment</w:t>
      </w:r>
      <w:bookmarkEnd w:id="1"/>
    </w:p>
    <w:p>
      <w:pPr>
        <w:pStyle w:val="Heading2"/>
        <w:spacing w:lineRule="auto" w:line="360"/>
        <w:jc w:val="both"/>
        <w:rPr>
          <w:rFonts w:ascii="Arial" w:hAnsi="Arial"/>
        </w:rPr>
      </w:pPr>
      <w:bookmarkStart w:id="2" w:name="_Toc224695605"/>
      <w:r>
        <w:rPr>
          <w:rFonts w:cs="Arial" w:ascii="Arial" w:hAnsi="Arial"/>
          <w:b/>
          <w:bCs/>
          <w:color w:val="auto"/>
        </w:rPr>
        <w:t>2.1 Macro Marketing Environment</w:t>
      </w:r>
      <w:bookmarkEnd w:id="2"/>
    </w:p>
    <w:p>
      <w:pPr>
        <w:pStyle w:val="Normal"/>
        <w:spacing w:lineRule="auto" w:line="360"/>
        <w:jc w:val="both"/>
        <w:rPr>
          <w:rFonts w:ascii="Arial" w:hAnsi="Arial"/>
        </w:rPr>
      </w:pPr>
      <w:r>
        <w:rPr>
          <w:rFonts w:cs="Arial" w:ascii="Arial" w:hAnsi="Arial"/>
        </w:rPr>
        <w:t>Macro marketing environment refers to external forces that affect organisational strategy and are beyond direct control (Doroshenko and Romanchak, 2023). These forces are commonly analysed using the PESTEL framework - Political, Economic, Social, Technological, Legal and Environmental ones - to determine strategic opportunities and threats (Perera, 2017).</w:t>
      </w:r>
    </w:p>
    <w:p>
      <w:pPr>
        <w:pStyle w:val="Normal"/>
        <w:spacing w:lineRule="auto" w:line="360"/>
        <w:jc w:val="both"/>
        <w:rPr>
          <w:rFonts w:ascii="Arial" w:hAnsi="Arial"/>
        </w:rPr>
      </w:pPr>
      <w:r>
        <w:rPr>
          <w:rFonts w:cs="Arial" w:ascii="Arial" w:hAnsi="Arial"/>
          <w:b/>
          <w:bCs/>
        </w:rPr>
        <w:t>Technological and Legal</w:t>
      </w:r>
      <w:r>
        <w:rPr>
          <w:rFonts w:cs="Arial" w:ascii="Arial" w:hAnsi="Arial"/>
        </w:rPr>
        <w:t xml:space="preserve"> </w:t>
      </w:r>
      <w:r>
        <w:rPr>
          <w:rFonts w:cs="Arial" w:ascii="Arial" w:hAnsi="Arial"/>
          <w:b/>
          <w:bCs/>
        </w:rPr>
        <w:t>factors</w:t>
      </w:r>
      <w:r>
        <w:rPr>
          <w:rFonts w:cs="Arial" w:ascii="Arial" w:hAnsi="Arial"/>
        </w:rPr>
        <w:t xml:space="preserve"> are especially important in the digital payments industry since the industry is characterized by innovation and adherence to regulations. The fast development of mobile payment technologies, artificial intelligence, and digital infrastructure has changed the way transactions occur. Meanwhile, legislative frameworks on data protection, financial safety, and competition dictate the market access and operational plans (Oyewole et al., 2024).</w:t>
      </w:r>
    </w:p>
    <w:p>
      <w:pPr>
        <w:pStyle w:val="Normal"/>
        <w:spacing w:lineRule="auto" w:line="360"/>
        <w:jc w:val="both"/>
        <w:rPr>
          <w:rFonts w:ascii="Arial" w:hAnsi="Arial"/>
        </w:rPr>
      </w:pPr>
      <w:r>
        <w:rPr>
          <w:rFonts w:cs="Arial" w:ascii="Arial" w:hAnsi="Arial"/>
        </w:rPr>
        <w:t>These elements are strategic because the industry is enjoying massive growth. The world is increasingly adopting digital payment transactions. Also, more than 4.5 billion individuals (out of the entire population of more than half the world) have digital wallets, showing the level of technological acquisition (Mexc, 2026). This quick growth makes the competition stronger and makes the adjustment to the new technological and regulatory conditions more important to organizations such as PayPal and Google Pay.</w:t>
      </w:r>
    </w:p>
    <w:p>
      <w:pPr>
        <w:pStyle w:val="Heading2"/>
        <w:spacing w:lineRule="auto" w:line="360"/>
        <w:jc w:val="both"/>
        <w:rPr>
          <w:rFonts w:ascii="Arial" w:hAnsi="Arial"/>
        </w:rPr>
      </w:pPr>
      <w:bookmarkStart w:id="3" w:name="_Toc224695606"/>
      <w:r>
        <w:rPr>
          <w:rFonts w:cs="Arial" w:ascii="Arial" w:hAnsi="Arial"/>
          <w:b/>
          <w:bCs/>
          <w:color w:val="auto"/>
        </w:rPr>
        <w:t>2.2 Analysis of Macro Factor 1: Technological Factors</w:t>
      </w:r>
      <w:bookmarkEnd w:id="3"/>
    </w:p>
    <w:p>
      <w:pPr>
        <w:pStyle w:val="Heading3"/>
        <w:spacing w:lineRule="auto" w:line="360"/>
        <w:jc w:val="both"/>
        <w:rPr>
          <w:rFonts w:ascii="Arial" w:hAnsi="Arial"/>
        </w:rPr>
      </w:pPr>
      <w:bookmarkStart w:id="4" w:name="_Toc224695607"/>
      <w:r>
        <w:rPr>
          <w:rFonts w:cs="Arial" w:ascii="Arial" w:hAnsi="Arial"/>
          <w:b/>
          <w:bCs/>
          <w:color w:val="auto"/>
        </w:rPr>
        <w:t>2.2.1 Impact on the Pioneer Organisation (PayPal)</w:t>
      </w:r>
      <w:bookmarkEnd w:id="4"/>
    </w:p>
    <w:p>
      <w:pPr>
        <w:pStyle w:val="Normal"/>
        <w:spacing w:lineRule="auto" w:line="360"/>
        <w:jc w:val="both"/>
        <w:rPr>
          <w:rFonts w:ascii="Arial" w:hAnsi="Arial"/>
        </w:rPr>
      </w:pPr>
      <w:r>
        <w:rPr>
          <w:rFonts w:cs="Arial" w:ascii="Arial" w:hAnsi="Arial"/>
        </w:rPr>
        <w:t>PayPal faces threats and opportunities in technological advancement.</w:t>
      </w:r>
    </w:p>
    <w:p>
      <w:pPr>
        <w:pStyle w:val="Normal"/>
        <w:spacing w:lineRule="auto" w:line="360"/>
        <w:jc w:val="both"/>
        <w:rPr>
          <w:rFonts w:ascii="Arial" w:hAnsi="Arial"/>
        </w:rPr>
      </w:pPr>
      <w:r>
        <w:rPr>
          <w:rFonts w:cs="Arial" w:ascii="Arial" w:hAnsi="Arial"/>
          <w:b/>
          <w:bCs/>
        </w:rPr>
        <w:t>Opportunities:</w:t>
      </w:r>
      <w:r>
        <w:rPr>
          <w:rFonts w:cs="Arial" w:ascii="Arial" w:hAnsi="Arial"/>
        </w:rPr>
        <w:br/>
        <w:t>Early adoption of technologies helped PayPal to achieve a notable competitive edge as a secured platform to carry out transactions through the Internet (Jindal, 2023). There are opportunities in the development of e-commerce and digital wallets. The growing user base facilitates the ongoing relevance of PayPal as 3.7 billion global digital wallet users in 2023 are expected to increase to 5.4 billion by 2028 (Tomic, 2023). Moreover, the growth of global digital payment volumes presents PayPal with a chance to develop its services and partnerships.</w:t>
      </w:r>
    </w:p>
    <w:p>
      <w:pPr>
        <w:pStyle w:val="Normal"/>
        <w:spacing w:lineRule="auto" w:line="360"/>
        <w:jc w:val="both"/>
        <w:rPr>
          <w:rFonts w:ascii="Arial" w:hAnsi="Arial"/>
        </w:rPr>
      </w:pPr>
      <w:r>
        <w:rPr>
          <w:rFonts w:cs="Arial" w:ascii="Arial" w:hAnsi="Arial"/>
          <w:b/>
          <w:bCs/>
        </w:rPr>
        <w:t>Threats:</w:t>
      </w:r>
    </w:p>
    <w:p>
      <w:pPr>
        <w:pStyle w:val="Normal"/>
        <w:spacing w:lineRule="auto" w:line="360"/>
        <w:jc w:val="both"/>
        <w:rPr>
          <w:rFonts w:ascii="Arial" w:hAnsi="Arial"/>
        </w:rPr>
      </w:pPr>
      <w:r>
        <w:rPr>
          <w:rFonts w:cs="Arial" w:ascii="Arial" w:hAnsi="Arial"/>
        </w:rPr>
        <w:t>The technological disruption is however a significant threat. The mobile-first ecosystems have minimized dependency on single platforms (Omotayo et al., 2023). The mobile wallet is popular because of convenience and integration. An example is that, consumers are currently 165% more likely to use digital wallets as compared to other web-based payment methods (Stripe, 2023). This tendency does not favor PayPal, which is a web-based system.</w:t>
      </w:r>
    </w:p>
    <w:p>
      <w:pPr>
        <w:pStyle w:val="Normal"/>
        <w:spacing w:lineRule="auto" w:line="360"/>
        <w:jc w:val="both"/>
        <w:rPr>
          <w:rFonts w:ascii="Arial" w:hAnsi="Arial"/>
        </w:rPr>
      </w:pPr>
      <w:r>
        <w:rPr>
          <w:rFonts w:cs="Arial" w:ascii="Arial" w:hAnsi="Arial"/>
        </w:rPr>
        <w:t>Moreover, the emergence of platform-based competitors and super-app ecosystems increases the competition. Even in certain markets where some suppliers have up to 90% share of mobile payment (e.g., China), it shows just how fast technological leaders may centralize the power (CGAP, 2019).</w:t>
      </w:r>
    </w:p>
    <w:p>
      <w:pPr>
        <w:pStyle w:val="Normal"/>
        <w:spacing w:lineRule="auto" w:line="360"/>
        <w:jc w:val="both"/>
        <w:rPr>
          <w:rFonts w:ascii="Arial" w:hAnsi="Arial"/>
        </w:rPr>
      </w:pPr>
      <w:r>
        <w:rPr>
          <w:rFonts w:cs="Arial" w:ascii="Arial" w:hAnsi="Arial"/>
          <w:b/>
          <w:bCs/>
        </w:rPr>
        <w:t>Implications for competitive advantage:</w:t>
      </w:r>
    </w:p>
    <w:p>
      <w:pPr>
        <w:pStyle w:val="Normal"/>
        <w:spacing w:lineRule="auto" w:line="360"/>
        <w:jc w:val="both"/>
        <w:rPr>
          <w:rFonts w:ascii="Arial" w:hAnsi="Arial"/>
        </w:rPr>
      </w:pPr>
      <w:r>
        <w:rPr>
          <w:rFonts w:cs="Arial" w:ascii="Arial" w:hAnsi="Arial"/>
        </w:rPr>
        <w:t>Although PayPal continues to boast strengths of trust and global reach, technological change has undermined its first-mover power. It is currently operating in a more fragmented and novelty-oriented environment, and it has to constantly adapt to preserve its competitiveness (Dagher, 2025).</w:t>
      </w:r>
    </w:p>
    <w:p>
      <w:pPr>
        <w:pStyle w:val="Heading3"/>
        <w:spacing w:lineRule="auto" w:line="360"/>
        <w:jc w:val="both"/>
        <w:rPr>
          <w:rFonts w:ascii="Arial" w:hAnsi="Arial"/>
        </w:rPr>
      </w:pPr>
      <w:bookmarkStart w:id="5" w:name="_Toc224695608"/>
      <w:r>
        <w:rPr>
          <w:rFonts w:cs="Arial" w:ascii="Arial" w:hAnsi="Arial"/>
          <w:b/>
          <w:bCs/>
          <w:color w:val="auto"/>
        </w:rPr>
        <w:t>2.2.2 Impact on the Follower Organisation (Google Pay)</w:t>
      </w:r>
      <w:bookmarkEnd w:id="5"/>
    </w:p>
    <w:p>
      <w:pPr>
        <w:pStyle w:val="Normal"/>
        <w:spacing w:lineRule="auto" w:line="360"/>
        <w:jc w:val="both"/>
        <w:rPr>
          <w:rFonts w:ascii="Arial" w:hAnsi="Arial"/>
        </w:rPr>
      </w:pPr>
      <w:r>
        <w:rPr>
          <w:rFonts w:cs="Arial" w:ascii="Arial" w:hAnsi="Arial"/>
        </w:rPr>
        <w:t>One of the opportunities provided to Google Pay is technological factors.</w:t>
      </w:r>
    </w:p>
    <w:p>
      <w:pPr>
        <w:pStyle w:val="Normal"/>
        <w:spacing w:lineRule="auto" w:line="360"/>
        <w:jc w:val="both"/>
        <w:rPr>
          <w:rFonts w:ascii="Arial" w:hAnsi="Arial"/>
        </w:rPr>
      </w:pPr>
      <w:r>
        <w:rPr>
          <w:rFonts w:cs="Arial" w:ascii="Arial" w:hAnsi="Arial"/>
          <w:b/>
          <w:bCs/>
        </w:rPr>
        <w:t>Opportunities:</w:t>
      </w:r>
      <w:r>
        <w:rPr>
          <w:rFonts w:cs="Arial" w:ascii="Arial" w:hAnsi="Arial"/>
        </w:rPr>
        <w:br/>
        <w:t>Google Pay as a follower was introduced when smartphone usage was gaining rise, and it could take a mobile-first approach (JAIN, 2025). Its implementation in the Android platform offers payment experiences with ease. The magnitude of mobile use is also high with the global mobile payment market projected to reach over 26 trillion in 2032 compared to 4.97 trillion in 2025 (Fortune Business Insights, 2026).</w:t>
      </w:r>
    </w:p>
    <w:p>
      <w:pPr>
        <w:pStyle w:val="Normal"/>
        <w:spacing w:lineRule="auto" w:line="360"/>
        <w:jc w:val="both"/>
        <w:rPr>
          <w:rFonts w:ascii="Arial" w:hAnsi="Arial"/>
        </w:rPr>
      </w:pPr>
      <w:r>
        <w:rPr>
          <w:rFonts w:cs="Arial" w:ascii="Arial" w:hAnsi="Arial"/>
        </w:rPr>
        <w:t>Emerging markets have also been an advantage to Google Pay. Faster Payments is ranked as the second most-used payment method nationwide with 75% of grown-ups utilizing mobile banking, and it underscores the prevalence of electronic and contactless approaches to payments (UK Finance, 2024). Google Pay is an important player of this system, as it has proven its capability to use technological infrastructure to grow quickly.</w:t>
      </w:r>
    </w:p>
    <w:p>
      <w:pPr>
        <w:pStyle w:val="Normal"/>
        <w:spacing w:lineRule="auto" w:line="360"/>
        <w:jc w:val="both"/>
        <w:rPr>
          <w:rFonts w:ascii="Arial" w:hAnsi="Arial"/>
        </w:rPr>
      </w:pPr>
      <w:r>
        <w:rPr>
          <w:rFonts w:cs="Arial" w:ascii="Arial" w:hAnsi="Arial"/>
          <w:b/>
          <w:bCs/>
        </w:rPr>
        <w:t>Threats:</w:t>
      </w:r>
    </w:p>
    <w:p>
      <w:pPr>
        <w:pStyle w:val="Normal"/>
        <w:spacing w:lineRule="auto" w:line="360"/>
        <w:jc w:val="both"/>
        <w:rPr>
          <w:rFonts w:ascii="Arial" w:hAnsi="Arial"/>
        </w:rPr>
      </w:pPr>
      <w:r>
        <w:rPr>
          <w:rFonts w:cs="Arial" w:ascii="Arial" w:hAnsi="Arial"/>
        </w:rPr>
        <w:t>Though these benefits exist, reliance on technology poses weak points. Google Pay is vulnerable to cybersecurity and system failures due to the dependency on digital infrastructure (George, Baskar and Srikaanth, 2024). Also, intense rivalry in mobile ecosystems constrains differentiation, as various companies provide comparable services.</w:t>
      </w:r>
    </w:p>
    <w:p>
      <w:pPr>
        <w:pStyle w:val="Normal"/>
        <w:spacing w:lineRule="auto" w:line="360"/>
        <w:jc w:val="both"/>
        <w:rPr>
          <w:rFonts w:ascii="Arial" w:hAnsi="Arial"/>
        </w:rPr>
      </w:pPr>
      <w:r>
        <w:rPr>
          <w:rFonts w:cs="Arial" w:ascii="Arial" w:hAnsi="Arial"/>
          <w:b/>
          <w:bCs/>
        </w:rPr>
        <w:t>Implications for market position:</w:t>
      </w:r>
    </w:p>
    <w:p>
      <w:pPr>
        <w:pStyle w:val="Normal"/>
        <w:spacing w:lineRule="auto" w:line="360"/>
        <w:jc w:val="both"/>
        <w:rPr>
          <w:rFonts w:ascii="Arial" w:hAnsi="Arial"/>
        </w:rPr>
      </w:pPr>
      <w:r>
        <w:rPr>
          <w:rFonts w:cs="Arial" w:ascii="Arial" w:hAnsi="Arial"/>
        </w:rPr>
        <w:t>The technological flexibility of Google Pay enhances its competitiveness as an innovative follower. It has the advantage of ecosystem integration compared to PayPal, and it can achieve market share in high-growth regions rapidly (Zerboni, 2023).</w:t>
      </w:r>
    </w:p>
    <w:p>
      <w:pPr>
        <w:pStyle w:val="Heading2"/>
        <w:spacing w:lineRule="auto" w:line="360"/>
        <w:jc w:val="both"/>
        <w:rPr>
          <w:rFonts w:ascii="Arial" w:hAnsi="Arial"/>
        </w:rPr>
      </w:pPr>
      <w:bookmarkStart w:id="6" w:name="_Toc224695609"/>
      <w:r>
        <w:rPr>
          <w:rFonts w:cs="Arial" w:ascii="Arial" w:hAnsi="Arial"/>
          <w:b/>
          <w:bCs/>
          <w:color w:val="auto"/>
        </w:rPr>
        <w:t>2.3 Analysis of Macro Factor 2: Legal (Regulatory) Factors</w:t>
      </w:r>
      <w:bookmarkEnd w:id="6"/>
    </w:p>
    <w:p>
      <w:pPr>
        <w:pStyle w:val="Heading3"/>
        <w:spacing w:lineRule="auto" w:line="360"/>
        <w:jc w:val="both"/>
        <w:rPr>
          <w:rFonts w:ascii="Arial" w:hAnsi="Arial"/>
        </w:rPr>
      </w:pPr>
      <w:bookmarkStart w:id="7" w:name="_Toc224695610"/>
      <w:r>
        <w:rPr>
          <w:rFonts w:cs="Arial" w:ascii="Arial" w:hAnsi="Arial"/>
          <w:b/>
          <w:bCs/>
          <w:color w:val="auto"/>
        </w:rPr>
        <w:t>2.3.1 Impact on the Pioneer Organisation (PayPal)</w:t>
      </w:r>
      <w:bookmarkEnd w:id="7"/>
    </w:p>
    <w:p>
      <w:pPr>
        <w:pStyle w:val="Normal"/>
        <w:spacing w:lineRule="auto" w:line="360"/>
        <w:jc w:val="both"/>
        <w:rPr>
          <w:rFonts w:ascii="Arial" w:hAnsi="Arial"/>
        </w:rPr>
      </w:pPr>
      <w:r>
        <w:rPr>
          <w:rFonts w:cs="Arial" w:ascii="Arial" w:hAnsi="Arial"/>
        </w:rPr>
        <w:t>The factors of legal present opportunities and threats to PayPal.</w:t>
      </w:r>
    </w:p>
    <w:p>
      <w:pPr>
        <w:pStyle w:val="Normal"/>
        <w:spacing w:lineRule="auto" w:line="360"/>
        <w:jc w:val="both"/>
        <w:rPr>
          <w:rFonts w:ascii="Arial" w:hAnsi="Arial"/>
        </w:rPr>
      </w:pPr>
      <w:r>
        <w:rPr>
          <w:rFonts w:cs="Arial" w:ascii="Arial" w:hAnsi="Arial"/>
          <w:b/>
          <w:bCs/>
        </w:rPr>
        <w:t>Opportunities:</w:t>
      </w:r>
      <w:r>
        <w:rPr>
          <w:rFonts w:cs="Arial" w:ascii="Arial" w:hAnsi="Arial"/>
        </w:rPr>
        <w:br/>
        <w:t>The established history of PayPal has led to the development of powerful compliance. This forms entry barriers, with the new companies being required to withstand sophisticated regulatory obligations, including anti-money laundering (AML) and Know Your Customer (KYC) regulations. Its security reputation improves customer trust, which is essential in the financial services (PayPal, 2025; PayPal, 2025).</w:t>
      </w:r>
    </w:p>
    <w:p>
      <w:pPr>
        <w:pStyle w:val="Normal"/>
        <w:spacing w:lineRule="auto" w:line="360"/>
        <w:jc w:val="both"/>
        <w:rPr>
          <w:rFonts w:ascii="Arial" w:hAnsi="Arial"/>
        </w:rPr>
      </w:pPr>
      <w:r>
        <w:rPr>
          <w:rFonts w:cs="Arial" w:ascii="Arial" w:hAnsi="Arial"/>
          <w:b/>
          <w:bCs/>
        </w:rPr>
        <w:t>Threats:</w:t>
      </w:r>
    </w:p>
    <w:p>
      <w:pPr>
        <w:pStyle w:val="Normal"/>
        <w:spacing w:lineRule="auto" w:line="360"/>
        <w:jc w:val="both"/>
        <w:rPr>
          <w:rFonts w:ascii="Arial" w:hAnsi="Arial"/>
        </w:rPr>
      </w:pPr>
      <w:r>
        <w:rPr>
          <w:rFonts w:cs="Arial" w:ascii="Arial" w:hAnsi="Arial"/>
        </w:rPr>
        <w:t>Nevertheless, growth of the regulatory complexity increases operational costs. To be in line with international regulations, large amounts of money have to be spent on data protection and risk management systems. Also, the problem of regulatory fragmentation among markets complicates the global expansion strategies (Kumar and Jayasurya, 2025).</w:t>
      </w:r>
    </w:p>
    <w:p>
      <w:pPr>
        <w:pStyle w:val="Normal"/>
        <w:spacing w:lineRule="auto" w:line="360"/>
        <w:jc w:val="both"/>
        <w:rPr>
          <w:rFonts w:ascii="Arial" w:hAnsi="Arial"/>
        </w:rPr>
      </w:pPr>
      <w:r>
        <w:rPr>
          <w:rFonts w:cs="Arial" w:ascii="Arial" w:hAnsi="Arial"/>
          <w:b/>
          <w:bCs/>
        </w:rPr>
        <w:t>Implications for competitive advantage:</w:t>
      </w:r>
    </w:p>
    <w:p>
      <w:pPr>
        <w:pStyle w:val="Normal"/>
        <w:spacing w:lineRule="auto" w:line="360"/>
        <w:jc w:val="both"/>
        <w:rPr>
          <w:rFonts w:ascii="Arial" w:hAnsi="Arial"/>
        </w:rPr>
      </w:pPr>
      <w:r>
        <w:rPr>
          <w:rFonts w:cs="Arial" w:ascii="Arial" w:hAnsi="Arial"/>
        </w:rPr>
        <w:t>Although regulatory expertise will boost PayPal credibility, higher compliance rates could undermine flexibility and speed to innovate, which can undercut its competitiveness against more nimble competitors.</w:t>
      </w:r>
    </w:p>
    <w:p>
      <w:pPr>
        <w:pStyle w:val="Heading3"/>
        <w:spacing w:lineRule="auto" w:line="360"/>
        <w:jc w:val="both"/>
        <w:rPr>
          <w:rFonts w:ascii="Arial" w:hAnsi="Arial"/>
        </w:rPr>
      </w:pPr>
      <w:bookmarkStart w:id="8" w:name="_Toc224695611"/>
      <w:r>
        <w:rPr>
          <w:rFonts w:cs="Arial" w:ascii="Arial" w:hAnsi="Arial"/>
          <w:b/>
          <w:bCs/>
          <w:color w:val="auto"/>
        </w:rPr>
        <w:t>2.3.2 Impact on the Follower Organisation (Google Pay)</w:t>
      </w:r>
      <w:bookmarkEnd w:id="8"/>
    </w:p>
    <w:p>
      <w:pPr>
        <w:pStyle w:val="Normal"/>
        <w:spacing w:lineRule="auto" w:line="360"/>
        <w:jc w:val="both"/>
        <w:rPr>
          <w:rFonts w:ascii="Arial" w:hAnsi="Arial"/>
        </w:rPr>
      </w:pPr>
      <w:r>
        <w:rPr>
          <w:rFonts w:cs="Arial" w:ascii="Arial" w:hAnsi="Arial"/>
        </w:rPr>
        <w:t>Legal issues also pose both opportunities and increased risks to Google Pay.</w:t>
      </w:r>
    </w:p>
    <w:p>
      <w:pPr>
        <w:pStyle w:val="Normal"/>
        <w:spacing w:lineRule="auto" w:line="360"/>
        <w:jc w:val="both"/>
        <w:rPr>
          <w:rFonts w:ascii="Arial" w:hAnsi="Arial"/>
        </w:rPr>
      </w:pPr>
      <w:r>
        <w:rPr>
          <w:rFonts w:cs="Arial" w:ascii="Arial" w:hAnsi="Arial"/>
          <w:b/>
          <w:bCs/>
        </w:rPr>
        <w:t>Opportunities:</w:t>
      </w:r>
      <w:r>
        <w:rPr>
          <w:rFonts w:cs="Arial" w:ascii="Arial" w:hAnsi="Arial"/>
        </w:rPr>
        <w:br/>
        <w:t>Government programs encouraging online payments provide a growth opportunity. Indicatively, Regulatory frameworks, including Open Banking under the PSD2 and the creation of real-time infrastructure, including Faster Payments, have increased accessibility, innovations, and competitive banking services (Omoseebi et al., 2025). These policies will help Google Pay grow fast in a new market.</w:t>
      </w:r>
    </w:p>
    <w:p>
      <w:pPr>
        <w:pStyle w:val="Normal"/>
        <w:spacing w:lineRule="auto" w:line="360"/>
        <w:jc w:val="both"/>
        <w:rPr>
          <w:rFonts w:ascii="Arial" w:hAnsi="Arial"/>
        </w:rPr>
      </w:pPr>
      <w:r>
        <w:rPr>
          <w:rFonts w:cs="Arial" w:ascii="Arial" w:hAnsi="Arial"/>
          <w:b/>
          <w:bCs/>
        </w:rPr>
        <w:t>Threats:</w:t>
      </w:r>
    </w:p>
    <w:p>
      <w:pPr>
        <w:pStyle w:val="Normal"/>
        <w:spacing w:lineRule="auto" w:line="360"/>
        <w:jc w:val="both"/>
        <w:rPr>
          <w:rFonts w:ascii="Arial" w:hAnsi="Arial"/>
        </w:rPr>
      </w:pPr>
      <w:r>
        <w:rPr>
          <w:rFonts w:cs="Arial" w:ascii="Arial" w:hAnsi="Arial"/>
        </w:rPr>
        <w:t>Regulatory scrutiny, however, is a big challenge. Governments and regulators in the United Kingdom have increasingly emphasised the need to prevent market dominance in digital payments by promoting competition and limiting the power of large technology firms (Payment Systems Regulator (PSR), 2026). Data privacy and competition issues are also a regulatory concern that adds to compliance requirements.</w:t>
      </w:r>
    </w:p>
    <w:p>
      <w:pPr>
        <w:pStyle w:val="Normal"/>
        <w:spacing w:lineRule="auto" w:line="360"/>
        <w:jc w:val="both"/>
        <w:rPr>
          <w:rFonts w:ascii="Arial" w:hAnsi="Arial"/>
        </w:rPr>
      </w:pPr>
      <w:r>
        <w:rPr>
          <w:rFonts w:cs="Arial" w:ascii="Arial" w:hAnsi="Arial"/>
          <w:b/>
          <w:bCs/>
        </w:rPr>
        <w:t>Implications for market position:</w:t>
      </w:r>
    </w:p>
    <w:p>
      <w:pPr>
        <w:pStyle w:val="Normal"/>
        <w:spacing w:lineRule="auto" w:line="360"/>
        <w:jc w:val="both"/>
        <w:rPr>
          <w:rFonts w:ascii="Arial" w:hAnsi="Arial"/>
        </w:rPr>
      </w:pPr>
      <w:r>
        <w:rPr>
          <w:rFonts w:cs="Arial" w:ascii="Arial" w:hAnsi="Arial"/>
        </w:rPr>
        <w:t>Google Pay, as compared to PayPal, is more vulnerable to regulatory risk because of its scale and data-driven model. Nevertheless, it is easier to adapt and grow because of its compatibility with the government-supported systems (Jindal, 2023).</w:t>
      </w:r>
    </w:p>
    <w:p>
      <w:pPr>
        <w:pStyle w:val="Heading1"/>
        <w:spacing w:lineRule="auto" w:line="360"/>
        <w:jc w:val="both"/>
        <w:rPr>
          <w:rFonts w:ascii="Arial" w:hAnsi="Arial"/>
        </w:rPr>
      </w:pPr>
      <w:bookmarkStart w:id="9" w:name="_Toc224695612"/>
      <w:r>
        <w:rPr>
          <w:rFonts w:cs="Arial" w:ascii="Arial" w:hAnsi="Arial"/>
          <w:b/>
          <w:bCs/>
          <w:color w:val="auto"/>
        </w:rPr>
        <w:t>3. Task 2: Strategic Responses of Pioneering and Follower Organisations</w:t>
      </w:r>
      <w:bookmarkEnd w:id="9"/>
    </w:p>
    <w:p>
      <w:pPr>
        <w:pStyle w:val="Heading2"/>
        <w:spacing w:lineRule="auto" w:line="360"/>
        <w:jc w:val="both"/>
        <w:rPr>
          <w:rFonts w:ascii="Arial" w:hAnsi="Arial"/>
        </w:rPr>
      </w:pPr>
      <w:bookmarkStart w:id="10" w:name="_Toc224695613"/>
      <w:r>
        <w:rPr>
          <w:rFonts w:cs="Arial" w:ascii="Arial" w:hAnsi="Arial"/>
          <w:b/>
          <w:bCs/>
          <w:color w:val="auto"/>
        </w:rPr>
        <w:t>3.1 Pioneering Organisation’s Strategic Responses (PayPal)</w:t>
      </w:r>
      <w:bookmarkEnd w:id="10"/>
    </w:p>
    <w:p>
      <w:pPr>
        <w:pStyle w:val="Normal"/>
        <w:spacing w:lineRule="auto" w:line="360"/>
        <w:jc w:val="both"/>
        <w:rPr>
          <w:rFonts w:ascii="Arial" w:hAnsi="Arial"/>
        </w:rPr>
      </w:pPr>
      <w:r>
        <w:rPr>
          <w:rFonts w:cs="Arial" w:ascii="Arial" w:hAnsi="Arial"/>
        </w:rPr>
        <w:t>PayPal being a first-mover organisation has had to constantly revise its strategic stance as a result of rapid technological change and increasing competition by mobile-first entrants (Jindal, 2023). Its strategic reaction can be efficiently analyzed by the Growth Matrix created by Ansoff, which outlines how the company maintains its growth by means of multiple strategic orientation (Zugay and Zakaria, 2023).</w:t>
      </w:r>
    </w:p>
    <w:p>
      <w:pPr>
        <w:pStyle w:val="Normal"/>
        <w:spacing w:lineRule="auto" w:line="360"/>
        <w:jc w:val="both"/>
        <w:rPr>
          <w:rFonts w:ascii="Arial" w:hAnsi="Arial"/>
        </w:rPr>
      </w:pPr>
      <w:r>
        <w:rPr>
          <w:rFonts w:cs="Arial" w:ascii="Arial" w:hAnsi="Arial"/>
          <w:b/>
          <w:bCs/>
        </w:rPr>
        <w:t>Market Penetration:</w:t>
      </w:r>
    </w:p>
    <w:p>
      <w:pPr>
        <w:pStyle w:val="Normal"/>
        <w:spacing w:lineRule="auto" w:line="360"/>
        <w:jc w:val="both"/>
        <w:rPr>
          <w:rFonts w:ascii="Arial" w:hAnsi="Arial"/>
        </w:rPr>
      </w:pPr>
      <w:r>
        <w:rPr>
          <w:rFonts w:cs="Arial" w:ascii="Arial" w:hAnsi="Arial"/>
        </w:rPr>
        <w:t>PayPal has concentrated on maximizing the usage between its current customer base by making the service convenience and broadening the types of transactions (Zugay and Zakaria, 2023). The company reported about 439 million active accounts and more than 25 billion transactions per year, which proves its capability to further penetrate the market with the help of its size and user activity (PayPal, 2024). The launch of Buy Now, Pay Later (BNPL) services is one such initiative, and it will help PayPal to boost its transactions and acquire a portion of the fast-growing consumer credit market. According to industry data, the use of BNPLs is growing worldwide making it possible that PayPal can gain more value out of the already existing markets (Peltomäki, 2025).</w:t>
      </w:r>
    </w:p>
    <w:p>
      <w:pPr>
        <w:pStyle w:val="Normal"/>
        <w:spacing w:lineRule="auto" w:line="360"/>
        <w:jc w:val="both"/>
        <w:rPr>
          <w:rFonts w:ascii="Arial" w:hAnsi="Arial"/>
        </w:rPr>
      </w:pPr>
      <w:r>
        <w:rPr>
          <w:rFonts w:cs="Arial" w:ascii="Arial" w:hAnsi="Arial"/>
          <w:b/>
          <w:bCs/>
        </w:rPr>
        <w:t>Product Development:</w:t>
      </w:r>
    </w:p>
    <w:p>
      <w:pPr>
        <w:pStyle w:val="Normal"/>
        <w:spacing w:lineRule="auto" w:line="360"/>
        <w:jc w:val="both"/>
        <w:rPr>
          <w:rFonts w:ascii="Arial" w:hAnsi="Arial"/>
        </w:rPr>
      </w:pPr>
      <w:r>
        <w:rPr>
          <w:rFonts w:cs="Arial" w:ascii="Arial" w:hAnsi="Arial"/>
        </w:rPr>
        <w:t>PayPal has launched additional products in response to the disruption posed by the technology to match the changing consumer preference (Jindal, 2023). The creation of both mobile applications and the capability to use digital wallets is indicative of transition to mobile-first interaction. Markedly, Venmo has emerged as a strong driver of growth indicating that PayPal is trying to attract younger and digitally savvy consumers (PayPal, 2025). Further, PayPal has invested in artificial intelligence fraud detection and personalised services, improving the security and user experience. These innovations show an effort to keep up with the rapidly changing technological environment (Shivarudraiah, 2022).</w:t>
      </w:r>
    </w:p>
    <w:p>
      <w:pPr>
        <w:pStyle w:val="Normal"/>
        <w:spacing w:lineRule="auto" w:line="360"/>
        <w:jc w:val="both"/>
        <w:rPr>
          <w:rFonts w:ascii="Arial" w:hAnsi="Arial"/>
        </w:rPr>
      </w:pPr>
      <w:r>
        <w:rPr>
          <w:rFonts w:cs="Arial" w:ascii="Arial" w:hAnsi="Arial"/>
          <w:b/>
          <w:bCs/>
        </w:rPr>
        <w:t>Market Development:</w:t>
      </w:r>
    </w:p>
    <w:p>
      <w:pPr>
        <w:pStyle w:val="Normal"/>
        <w:spacing w:lineRule="auto" w:line="360"/>
        <w:jc w:val="both"/>
        <w:rPr>
          <w:rFonts w:ascii="Arial" w:hAnsi="Arial"/>
        </w:rPr>
      </w:pPr>
      <w:r>
        <w:rPr>
          <w:rFonts w:cs="Arial" w:ascii="Arial" w:hAnsi="Arial"/>
        </w:rPr>
        <w:t>PayPal has used geographic expansion as a way to maintain the growth and currently serves over 200 markets across the globe (PayPal, 2024). Such wide international presence allows reaching a variety of customer segments and revenue streams. Nevertheless, growth has been hampered by the presence of well-established local firms and different regulatory environments, which confine the capacity of PayPal to repeat its initial success in all markets. Since digital payments are becoming increasingly localised, and ecosystem-based, PayPal is struggling with the need to tailor its global model to regional needs (Dagher, 2025).</w:t>
      </w:r>
    </w:p>
    <w:p>
      <w:pPr>
        <w:pStyle w:val="Normal"/>
        <w:spacing w:lineRule="auto" w:line="360"/>
        <w:jc w:val="both"/>
        <w:rPr>
          <w:rFonts w:ascii="Arial" w:hAnsi="Arial"/>
        </w:rPr>
      </w:pPr>
      <w:r>
        <w:rPr>
          <w:rFonts w:cs="Arial" w:ascii="Arial" w:hAnsi="Arial"/>
          <w:b/>
          <w:bCs/>
        </w:rPr>
        <w:t>Diversification:</w:t>
      </w:r>
    </w:p>
    <w:p>
      <w:pPr>
        <w:pStyle w:val="Normal"/>
        <w:spacing w:lineRule="auto" w:line="360"/>
        <w:jc w:val="both"/>
        <w:rPr>
          <w:rFonts w:ascii="Arial" w:hAnsi="Arial"/>
        </w:rPr>
      </w:pPr>
      <w:r>
        <w:rPr>
          <w:rFonts w:cs="Arial" w:ascii="Arial" w:hAnsi="Arial"/>
        </w:rPr>
        <w:t>Another area that the company has diversified into has been related to its financial service provision, such as cryptocurrency trading and merchant solutions. The total payment volume processed by PayPal in 2024 was around $1.79 trillion, showing the magnitude of its diversified transactions (PayPal, 2024). Although diversification leads to the development of new revenue streams, it also increases complexity and the organisational risk of new form of competition and responsible oversight (Zugay and Zakaria, 2023).</w:t>
      </w:r>
    </w:p>
    <w:p>
      <w:pPr>
        <w:pStyle w:val="Normal"/>
        <w:spacing w:lineRule="auto" w:line="360"/>
        <w:jc w:val="both"/>
        <w:rPr>
          <w:rFonts w:ascii="Arial" w:hAnsi="Arial"/>
        </w:rPr>
      </w:pPr>
      <w:r>
        <w:rPr>
          <w:rFonts w:cs="Arial" w:ascii="Arial" w:hAnsi="Arial"/>
          <w:b/>
          <w:bCs/>
        </w:rPr>
        <w:t>Critical Evaluation:</w:t>
      </w:r>
    </w:p>
    <w:p>
      <w:pPr>
        <w:pStyle w:val="Normal"/>
        <w:spacing w:lineRule="auto" w:line="360"/>
        <w:jc w:val="both"/>
        <w:rPr>
          <w:rFonts w:ascii="Arial" w:hAnsi="Arial"/>
        </w:rPr>
      </w:pPr>
      <w:r>
        <w:rPr>
          <w:rFonts w:cs="Arial" w:ascii="Arial" w:hAnsi="Arial"/>
        </w:rPr>
        <w:t xml:space="preserve">The strategic direction of PayPal is indicative of a shift between a leadership pioneer and an adjustive incumbent (Dagher, 2025). This reliance on market penetration and incremental product development means that its approach is very reactive and is responding to the changes in the industry rather than initiating them. Its brand reputation, international infrastructure, and trust gained on the competitive advantage have reduced its relative market power due to its slowness to transition to mobile ecosystems. Consequently, PayPal will also be among the key competitors, but the competitive power of the long run will be based on the ability to be more innovative and translate its services to the larger digital ecosystems (Jindal, 2023). </w:t>
      </w:r>
    </w:p>
    <w:p>
      <w:pPr>
        <w:pStyle w:val="Heading2"/>
        <w:spacing w:lineRule="auto" w:line="360"/>
        <w:jc w:val="both"/>
        <w:rPr>
          <w:rFonts w:ascii="Arial" w:hAnsi="Arial"/>
        </w:rPr>
      </w:pPr>
      <w:bookmarkStart w:id="11" w:name="_Toc224695614"/>
      <w:r>
        <w:rPr>
          <w:rFonts w:cs="Arial" w:ascii="Arial" w:hAnsi="Arial"/>
          <w:b/>
          <w:bCs/>
          <w:color w:val="auto"/>
        </w:rPr>
        <w:t>3.2 Follower Organisation’s Strategic Responses (Google Pay)</w:t>
      </w:r>
      <w:bookmarkEnd w:id="11"/>
    </w:p>
    <w:p>
      <w:pPr>
        <w:pStyle w:val="Normal"/>
        <w:spacing w:lineRule="auto" w:line="360"/>
        <w:jc w:val="both"/>
        <w:rPr>
          <w:rFonts w:ascii="Arial" w:hAnsi="Arial"/>
        </w:rPr>
      </w:pPr>
      <w:r>
        <w:rPr>
          <w:rFonts w:cs="Arial" w:ascii="Arial" w:hAnsi="Arial"/>
        </w:rPr>
        <w:t xml:space="preserve">Google Pay has followed a separate strategic direction as a follower through technological innovation and ecosystem integration. Rather than imitating the strategy of PayPal, it has positioned itself as a mobile-first payment product embedded in larger digital ecosystem (Omotayo et al., 2023). It is possible to analyze this strategy according to </w:t>
      </w:r>
      <w:r>
        <w:rPr>
          <w:rFonts w:cs="Arial" w:ascii="Arial" w:hAnsi="Arial"/>
          <w:b/>
          <w:bCs/>
        </w:rPr>
        <w:t>Porters Generic Strategies</w:t>
      </w:r>
      <w:r>
        <w:rPr>
          <w:rFonts w:cs="Arial" w:ascii="Arial" w:hAnsi="Arial"/>
        </w:rPr>
        <w:t>, in particular, differentiation (Acar, 2024).</w:t>
      </w:r>
    </w:p>
    <w:p>
      <w:pPr>
        <w:pStyle w:val="Normal"/>
        <w:spacing w:lineRule="auto" w:line="360"/>
        <w:jc w:val="both"/>
        <w:rPr>
          <w:rFonts w:ascii="Arial" w:hAnsi="Arial"/>
        </w:rPr>
      </w:pPr>
      <w:r>
        <w:rPr>
          <w:rFonts w:cs="Arial" w:ascii="Arial" w:hAnsi="Arial"/>
          <w:b/>
          <w:bCs/>
        </w:rPr>
        <w:t>Differentiation Strategy:</w:t>
      </w:r>
    </w:p>
    <w:p>
      <w:pPr>
        <w:pStyle w:val="Normal"/>
        <w:spacing w:lineRule="auto" w:line="360"/>
        <w:jc w:val="both"/>
        <w:rPr>
          <w:rFonts w:ascii="Arial" w:hAnsi="Arial"/>
        </w:rPr>
      </w:pPr>
      <w:r>
        <w:rPr>
          <w:rFonts w:cs="Arial" w:ascii="Arial" w:hAnsi="Arial"/>
        </w:rPr>
        <w:t xml:space="preserve">The feature that sets Google Pay apart is its inclusion into the bigger Google ecosystem that incorporates Android, web services, and applications (Gaikwad, 2024). This integration enables the user to easily conduct business in different platforms making it convenient and eliminating friction. The value of the global mobile payments market is projected to reach approximately $4.7 trillion in transaction value in 2025 and additional high rates of growth are expected, which highlights the increasing importance of mobile-first solutions (Fortune Business Insights, 2026). Google Pay design is also relatively in line with these tendencies, and this platform is a customer-oriented and technological-oriented platform. </w:t>
      </w:r>
    </w:p>
    <w:p>
      <w:pPr>
        <w:pStyle w:val="Normal"/>
        <w:spacing w:lineRule="auto" w:line="360"/>
        <w:jc w:val="both"/>
        <w:rPr>
          <w:rFonts w:ascii="Arial" w:hAnsi="Arial"/>
        </w:rPr>
      </w:pPr>
      <w:r>
        <w:rPr>
          <w:rFonts w:cs="Arial" w:ascii="Arial" w:hAnsi="Arial"/>
          <w:b/>
          <w:bCs/>
        </w:rPr>
        <w:t>Cost Leadership Strategy:</w:t>
      </w:r>
    </w:p>
    <w:p>
      <w:pPr>
        <w:pStyle w:val="Normal"/>
        <w:spacing w:lineRule="auto" w:line="360"/>
        <w:jc w:val="both"/>
        <w:rPr>
          <w:rFonts w:ascii="Arial" w:hAnsi="Arial"/>
        </w:rPr>
      </w:pPr>
      <w:r>
        <w:rPr>
          <w:rFonts w:cs="Arial" w:ascii="Arial" w:hAnsi="Arial"/>
        </w:rPr>
        <w:t>Google Pay is not a conventional cost leader, however, the difference is that the broader business strategy allows Google to charge a zero payment service or a minimal direct cost to the users (Google Pay, 2026). The pricing model assists to quickly get users on board and stimulate the development of effects of network which is decisive in platform-based markets. By reducing the entry barriers, Google Pay can expand rapidly, giving it a competitive edge over conventional payment platforms such as PayPal (Jindal, 2023).</w:t>
      </w:r>
    </w:p>
    <w:p>
      <w:pPr>
        <w:pStyle w:val="Normal"/>
        <w:spacing w:lineRule="auto" w:line="360"/>
        <w:jc w:val="both"/>
        <w:rPr>
          <w:rFonts w:ascii="Arial" w:hAnsi="Arial"/>
        </w:rPr>
      </w:pPr>
      <w:r>
        <w:rPr>
          <w:rFonts w:cs="Arial" w:ascii="Arial" w:hAnsi="Arial"/>
          <w:b/>
          <w:bCs/>
        </w:rPr>
        <w:t>Focus Strategy:</w:t>
      </w:r>
    </w:p>
    <w:p>
      <w:pPr>
        <w:pStyle w:val="Normal"/>
        <w:spacing w:lineRule="auto" w:line="360"/>
        <w:jc w:val="both"/>
        <w:rPr>
          <w:rFonts w:ascii="Arial" w:hAnsi="Arial"/>
        </w:rPr>
      </w:pPr>
      <w:r>
        <w:rPr>
          <w:rFonts w:cs="Arial" w:ascii="Arial" w:hAnsi="Arial"/>
        </w:rPr>
        <w:t>Google Pay follows a strategy of focus by integrating the services into daily digital lives. Because it is a part of the Android operating system, it has access to a wide global user base. The ecosystem-based model would allow Google Pay to add payments to several additional services, such as online shopping and in-app solutions (CHRISTARAS et al., 2025). Through such integration, it improves its level of user dependency and boosts its competitiveness through its ability to produce a unified digital experience (Acar, 2024).</w:t>
      </w:r>
    </w:p>
    <w:p>
      <w:pPr>
        <w:pStyle w:val="Normal"/>
        <w:spacing w:lineRule="auto" w:line="360"/>
        <w:jc w:val="both"/>
        <w:rPr>
          <w:rFonts w:ascii="Arial" w:hAnsi="Arial"/>
        </w:rPr>
      </w:pPr>
      <w:r>
        <w:rPr>
          <w:rFonts w:cs="Arial" w:ascii="Arial" w:hAnsi="Arial"/>
          <w:b/>
          <w:bCs/>
        </w:rPr>
        <w:t>Critical Evaluation:</w:t>
      </w:r>
    </w:p>
    <w:p>
      <w:pPr>
        <w:pStyle w:val="Normal"/>
        <w:spacing w:lineRule="auto" w:line="360"/>
        <w:jc w:val="both"/>
        <w:rPr>
          <w:rFonts w:ascii="Arial" w:hAnsi="Arial"/>
        </w:rPr>
      </w:pPr>
      <w:r>
        <w:rPr>
          <w:rFonts w:cs="Arial" w:ascii="Arial" w:hAnsi="Arial"/>
        </w:rPr>
        <w:t>The strategy of Google Pay is mostly proactive and innovation-based, which allows it to take advantage of the new technological possibilities better than PayPal (Jindal, 2023). Its capacity to take advantage of an existing ecosystem is a huge competitive advantage because the scaling is quick and the network effects are strong. But this approach also comes with introduction of risks, especially those related to the areas of data privacy and regulatory oversight of big tech companies. Also, its dependence on indirect monetisation puts into question the long-term profitability and sustainability.</w:t>
      </w:r>
    </w:p>
    <w:p>
      <w:pPr>
        <w:pStyle w:val="Heading1"/>
        <w:spacing w:lineRule="auto" w:line="360"/>
        <w:jc w:val="both"/>
        <w:rPr>
          <w:rFonts w:ascii="Arial" w:hAnsi="Arial"/>
        </w:rPr>
      </w:pPr>
      <w:bookmarkStart w:id="12" w:name="_Toc224695615"/>
      <w:r>
        <w:rPr>
          <w:rFonts w:cs="Arial" w:ascii="Arial" w:hAnsi="Arial"/>
          <w:b/>
          <w:bCs/>
          <w:color w:val="auto"/>
        </w:rPr>
        <w:t>4. Conclusion</w:t>
      </w:r>
      <w:bookmarkEnd w:id="12"/>
    </w:p>
    <w:p>
      <w:pPr>
        <w:pStyle w:val="Normal"/>
        <w:spacing w:lineRule="auto" w:line="360"/>
        <w:jc w:val="both"/>
        <w:rPr>
          <w:rFonts w:ascii="Arial" w:hAnsi="Arial"/>
        </w:rPr>
      </w:pPr>
      <w:r>
        <w:rPr>
          <w:rFonts w:cs="Arial" w:ascii="Arial" w:hAnsi="Arial"/>
        </w:rPr>
        <w:t>In conclusion, the analysis demonstrates that macro-environmental factors play a crucial role in strategic marketing decisions in the digital payments sector. The analysis of technological and legal environment reveals that the external environment presents opportunities and threats to organisations thus determining the competitive positioning of these organisations. In the case of PayPal, technological change and changing regulatory demands have challenged its first mover position and had to constantly adapt its product and offer diversification. On the other hand, Google Pay has taken advantage of technological changes and integration with the ecosystem to consolidate its position in the market as an innovative and adaptive follower.</w:t>
      </w:r>
    </w:p>
    <w:p>
      <w:pPr>
        <w:pStyle w:val="Normal"/>
        <w:spacing w:lineRule="auto" w:line="360"/>
        <w:jc w:val="both"/>
        <w:rPr>
          <w:rFonts w:ascii="Arial" w:hAnsi="Arial"/>
        </w:rPr>
      </w:pPr>
      <w:r>
        <w:rPr>
          <w:rFonts w:cs="Arial" w:ascii="Arial" w:hAnsi="Arial"/>
        </w:rPr>
        <w:t>The comparison of strategic responses also demonstrates that PayPal is based on incremental approaches of growth, which can be revealed with the help of Ansoff Growth Matrix, whereas Google Pay implements differentiation strategies, which are supported by Porters Generic Strategies. This comparison shows how the pioneers and followers react to the same environment conditions differently, as the latter tend to use newer technologies to compete more successfully.</w:t>
      </w:r>
    </w:p>
    <w:p>
      <w:pPr>
        <w:pStyle w:val="Normal"/>
        <w:spacing w:lineRule="auto" w:line="360"/>
        <w:jc w:val="both"/>
        <w:rPr>
          <w:rFonts w:ascii="Arial" w:hAnsi="Arial"/>
        </w:rPr>
      </w:pPr>
      <w:r>
        <w:rPr>
          <w:rFonts w:cs="Arial" w:ascii="Arial" w:hAnsi="Arial"/>
        </w:rPr>
        <w:t>On the whole, the results point to the role of environmental scanning in strategic marketing management. Constant monitoring of the macro-environmental forces helps organisations to predict the changes, avert risks, and new opportunities. Furthermore, adaptive marketing plans are also necessary in industries that are very dynamic, where competitors can change very quickly due to technological innovation and regulatory changes. Companies that successfully match their strategies to the external environment are in a better position to maintain a competitive advantage and longer-term development.</w:t>
      </w:r>
    </w:p>
    <w:p>
      <w:pPr>
        <w:pStyle w:val="Heading1"/>
        <w:spacing w:lineRule="auto" w:line="360"/>
        <w:jc w:val="both"/>
        <w:rPr>
          <w:rFonts w:ascii="Arial" w:hAnsi="Arial"/>
        </w:rPr>
      </w:pPr>
      <w:bookmarkStart w:id="13" w:name="_Toc224695616"/>
      <w:r>
        <w:rPr>
          <w:rFonts w:cs="Arial" w:ascii="Arial" w:hAnsi="Arial"/>
          <w:b/>
          <w:bCs/>
          <w:color w:val="auto"/>
        </w:rPr>
        <w:t>5. References</w:t>
      </w:r>
      <w:bookmarkEnd w:id="13"/>
    </w:p>
    <w:p>
      <w:pPr>
        <w:pStyle w:val="Normal"/>
        <w:spacing w:lineRule="auto" w:line="360"/>
        <w:jc w:val="both"/>
        <w:rPr>
          <w:rFonts w:ascii="Arial" w:hAnsi="Arial"/>
        </w:rPr>
      </w:pPr>
      <w:r>
        <w:rPr>
          <w:rFonts w:cs="Arial" w:ascii="Arial" w:hAnsi="Arial"/>
        </w:rPr>
        <w:t xml:space="preserve">Acar, S. (2024) ‘A review of Porter’s generic strategies: strategy examples in international firms’, </w:t>
      </w:r>
      <w:r>
        <w:rPr>
          <w:rFonts w:cs="Arial" w:ascii="Arial" w:hAnsi="Arial"/>
          <w:i/>
          <w:iCs/>
        </w:rPr>
        <w:t>International Social Sciences Studies Journal</w:t>
      </w:r>
      <w:r>
        <w:rPr>
          <w:rFonts w:cs="Arial" w:ascii="Arial" w:hAnsi="Arial"/>
        </w:rPr>
        <w:t>, 10(11), pp. 1902–1918.</w:t>
      </w:r>
    </w:p>
    <w:p>
      <w:pPr>
        <w:pStyle w:val="Normal"/>
        <w:spacing w:lineRule="auto" w:line="360"/>
        <w:jc w:val="both"/>
        <w:rPr/>
      </w:pPr>
      <w:r>
        <w:rPr>
          <w:rFonts w:cs="Arial" w:ascii="Arial" w:hAnsi="Arial"/>
        </w:rPr>
        <w:t xml:space="preserve">CGAP (2019) </w:t>
      </w:r>
      <w:r>
        <w:rPr>
          <w:rFonts w:cs="Arial" w:ascii="Arial" w:hAnsi="Arial"/>
          <w:i/>
          <w:iCs/>
        </w:rPr>
        <w:t>China: a digital payments revolution</w:t>
      </w:r>
      <w:r>
        <w:rPr>
          <w:rFonts w:cs="Arial" w:ascii="Arial" w:hAnsi="Arial"/>
        </w:rPr>
        <w:t xml:space="preserve">. Available at: </w:t>
      </w:r>
      <w:hyperlink r:id="rId3">
        <w:r>
          <w:rPr>
            <w:rStyle w:val="Hyperlink"/>
            <w:rFonts w:cs="Arial" w:ascii="Arial" w:hAnsi="Arial"/>
            <w:color w:val="auto"/>
          </w:rPr>
          <w:t>https://www.cgap.org/research/publication/china-digital-payments-revolution</w:t>
        </w:r>
      </w:hyperlink>
      <w:r>
        <w:rPr>
          <w:rFonts w:cs="Arial" w:ascii="Arial" w:hAnsi="Arial"/>
        </w:rPr>
        <w:t>.</w:t>
      </w:r>
    </w:p>
    <w:p>
      <w:pPr>
        <w:pStyle w:val="Normal"/>
        <w:spacing w:lineRule="auto" w:line="360"/>
        <w:jc w:val="both"/>
        <w:rPr>
          <w:rFonts w:ascii="Arial" w:hAnsi="Arial"/>
        </w:rPr>
      </w:pPr>
      <w:r>
        <w:rPr>
          <w:rFonts w:cs="Arial" w:ascii="Arial" w:hAnsi="Arial"/>
        </w:rPr>
        <w:t xml:space="preserve">Christaras, V. </w:t>
      </w:r>
      <w:r>
        <w:rPr>
          <w:rFonts w:cs="Arial" w:ascii="Arial" w:hAnsi="Arial"/>
          <w:i/>
          <w:iCs/>
        </w:rPr>
        <w:t>et al.</w:t>
      </w:r>
      <w:r>
        <w:rPr>
          <w:rFonts w:cs="Arial" w:ascii="Arial" w:hAnsi="Arial"/>
        </w:rPr>
        <w:t xml:space="preserve"> (2025) </w:t>
      </w:r>
      <w:r>
        <w:rPr>
          <w:rFonts w:cs="Arial" w:ascii="Arial" w:hAnsi="Arial"/>
          <w:i/>
          <w:iCs/>
        </w:rPr>
        <w:t>Study on online payment ecosystem</w:t>
      </w:r>
      <w:r>
        <w:rPr>
          <w:rFonts w:cs="Arial" w:ascii="Arial" w:hAnsi="Arial"/>
        </w:rPr>
        <w:t>.</w:t>
      </w:r>
    </w:p>
    <w:p>
      <w:pPr>
        <w:pStyle w:val="Normal"/>
        <w:spacing w:lineRule="auto" w:line="360"/>
        <w:jc w:val="both"/>
        <w:rPr>
          <w:rFonts w:ascii="Arial" w:hAnsi="Arial"/>
        </w:rPr>
      </w:pPr>
      <w:r>
        <w:rPr>
          <w:rFonts w:cs="Arial" w:ascii="Arial" w:hAnsi="Arial"/>
        </w:rPr>
        <w:t xml:space="preserve">Dagher, J. (2025) </w:t>
      </w:r>
      <w:r>
        <w:rPr>
          <w:rFonts w:cs="Arial" w:ascii="Arial" w:hAnsi="Arial"/>
          <w:i/>
          <w:iCs/>
        </w:rPr>
        <w:t>PayPal's place in FinTech: from industry pioneer to modern innovator</w:t>
      </w:r>
      <w:r>
        <w:rPr>
          <w:rFonts w:cs="Arial" w:ascii="Arial" w:hAnsi="Arial"/>
        </w:rPr>
        <w:t>. Available at: SSRN 5196512.</w:t>
      </w:r>
    </w:p>
    <w:p>
      <w:pPr>
        <w:pStyle w:val="Normal"/>
        <w:spacing w:lineRule="auto" w:line="360"/>
        <w:jc w:val="both"/>
        <w:rPr>
          <w:rFonts w:ascii="Arial" w:hAnsi="Arial"/>
        </w:rPr>
      </w:pPr>
      <w:r>
        <w:rPr>
          <w:rFonts w:cs="Arial" w:ascii="Arial" w:hAnsi="Arial"/>
        </w:rPr>
        <w:t xml:space="preserve">Doroshenko, L.A. and Romanchak, Y.A. (2023) ‘Interaction of the organization with the external environment’, in </w:t>
      </w:r>
      <w:r>
        <w:rPr>
          <w:rFonts w:cs="Arial" w:ascii="Arial" w:hAnsi="Arial"/>
          <w:i/>
          <w:iCs/>
        </w:rPr>
        <w:t>Nauchnye vyzovy ekonomicheskogo razvitiya v kontekste tsifrovykh transformatsiy</w:t>
      </w:r>
      <w:r>
        <w:rPr>
          <w:rFonts w:cs="Arial" w:ascii="Arial" w:hAnsi="Arial"/>
        </w:rPr>
        <w:t>, pp. 144–149.</w:t>
      </w:r>
    </w:p>
    <w:p>
      <w:pPr>
        <w:pStyle w:val="Normal"/>
        <w:spacing w:lineRule="auto" w:line="360"/>
        <w:jc w:val="both"/>
        <w:rPr/>
      </w:pPr>
      <w:r>
        <w:rPr>
          <w:rFonts w:cs="Arial" w:ascii="Arial" w:hAnsi="Arial"/>
        </w:rPr>
        <w:t xml:space="preserve">Fortune Business Insights (2026) </w:t>
      </w:r>
      <w:r>
        <w:rPr>
          <w:rFonts w:cs="Arial" w:ascii="Arial" w:hAnsi="Arial"/>
          <w:i/>
          <w:iCs/>
        </w:rPr>
        <w:t>Mobile payment market size, share, trends | Global analysis, 2027</w:t>
      </w:r>
      <w:r>
        <w:rPr>
          <w:rFonts w:cs="Arial" w:ascii="Arial" w:hAnsi="Arial"/>
        </w:rPr>
        <w:t xml:space="preserve">. Available at: </w:t>
      </w:r>
      <w:hyperlink r:id="rId4">
        <w:r>
          <w:rPr>
            <w:rStyle w:val="Hyperlink"/>
            <w:rFonts w:cs="Arial" w:ascii="Arial" w:hAnsi="Arial"/>
            <w:color w:val="auto"/>
          </w:rPr>
          <w:t>https://www.fortunebusinessinsights.com/industry-reports/mobile-payment-market-100336</w:t>
        </w:r>
      </w:hyperlink>
      <w:r>
        <w:rPr>
          <w:rFonts w:cs="Arial" w:ascii="Arial" w:hAnsi="Arial"/>
        </w:rPr>
        <w:t>.</w:t>
      </w:r>
    </w:p>
    <w:p>
      <w:pPr>
        <w:pStyle w:val="Normal"/>
        <w:spacing w:lineRule="auto" w:line="360"/>
        <w:jc w:val="both"/>
        <w:rPr>
          <w:rFonts w:ascii="Arial" w:hAnsi="Arial"/>
        </w:rPr>
      </w:pPr>
      <w:r>
        <w:rPr>
          <w:rFonts w:cs="Arial" w:ascii="Arial" w:hAnsi="Arial"/>
        </w:rPr>
        <w:t xml:space="preserve">Gaikwad, V. (2024) ‘Google Pay and PhonePe’, in </w:t>
      </w:r>
      <w:r>
        <w:rPr>
          <w:rFonts w:cs="Arial" w:ascii="Arial" w:hAnsi="Arial"/>
          <w:i/>
          <w:iCs/>
        </w:rPr>
        <w:t>Smart technologies and innovations in e-business</w:t>
      </w:r>
      <w:r>
        <w:rPr>
          <w:rFonts w:cs="Arial" w:ascii="Arial" w:hAnsi="Arial"/>
        </w:rPr>
        <w:t>, p. 166.</w:t>
      </w:r>
    </w:p>
    <w:p>
      <w:pPr>
        <w:pStyle w:val="Normal"/>
        <w:spacing w:lineRule="auto" w:line="360"/>
        <w:jc w:val="both"/>
        <w:rPr>
          <w:rFonts w:ascii="Arial" w:hAnsi="Arial"/>
        </w:rPr>
      </w:pPr>
      <w:r>
        <w:rPr>
          <w:rFonts w:cs="Arial" w:ascii="Arial" w:hAnsi="Arial"/>
        </w:rPr>
        <w:t xml:space="preserve">George, A.S., Baskar, T. and Srikaanth, P.B. (2024) ‘Cyber threats to critical infrastructure: assessing vulnerabilities across key sectors’, </w:t>
      </w:r>
      <w:r>
        <w:rPr>
          <w:rFonts w:cs="Arial" w:ascii="Arial" w:hAnsi="Arial"/>
          <w:i/>
          <w:iCs/>
        </w:rPr>
        <w:t>Partners Universal International Innovation Journal</w:t>
      </w:r>
      <w:r>
        <w:rPr>
          <w:rFonts w:cs="Arial" w:ascii="Arial" w:hAnsi="Arial"/>
        </w:rPr>
        <w:t>, 2(1), pp. 51–75.</w:t>
      </w:r>
    </w:p>
    <w:p>
      <w:pPr>
        <w:pStyle w:val="Normal"/>
        <w:spacing w:lineRule="auto" w:line="360"/>
        <w:jc w:val="both"/>
        <w:rPr/>
      </w:pPr>
      <w:r>
        <w:rPr>
          <w:rFonts w:cs="Arial" w:ascii="Arial" w:hAnsi="Arial"/>
        </w:rPr>
        <w:t xml:space="preserve">Google Pay (2026) </w:t>
      </w:r>
      <w:r>
        <w:rPr>
          <w:rFonts w:cs="Arial" w:ascii="Arial" w:hAnsi="Arial"/>
          <w:i/>
          <w:iCs/>
        </w:rPr>
        <w:t>About the Google Pay for Business app</w:t>
      </w:r>
      <w:r>
        <w:rPr>
          <w:rFonts w:cs="Arial" w:ascii="Arial" w:hAnsi="Arial"/>
        </w:rPr>
        <w:t xml:space="preserve">. Available at: </w:t>
      </w:r>
      <w:hyperlink r:id="rId5">
        <w:r>
          <w:rPr>
            <w:rStyle w:val="Hyperlink"/>
            <w:rFonts w:cs="Arial" w:ascii="Arial" w:hAnsi="Arial"/>
            <w:color w:val="auto"/>
          </w:rPr>
          <w:t>https://support.google.com/pay-offline-merchants/answer/9232116?hl=en</w:t>
        </w:r>
      </w:hyperlink>
      <w:r>
        <w:rPr>
          <w:rStyle w:val="Hyperlink"/>
          <w:rFonts w:cs="Arial" w:ascii="Arial" w:hAnsi="Arial"/>
          <w:color w:val="auto"/>
        </w:rPr>
        <w:t>.</w:t>
      </w:r>
    </w:p>
    <w:p>
      <w:pPr>
        <w:pStyle w:val="Normal"/>
        <w:spacing w:lineRule="auto" w:line="360"/>
        <w:jc w:val="both"/>
        <w:rPr>
          <w:rFonts w:ascii="Arial" w:hAnsi="Arial"/>
        </w:rPr>
      </w:pPr>
      <w:r>
        <w:rPr>
          <w:rFonts w:cs="Arial" w:ascii="Arial" w:hAnsi="Arial"/>
        </w:rPr>
        <w:t xml:space="preserve">Jain, D.V.K. (2025) ‘The rise of fintech: innovations in financial services and digital payments’, in </w:t>
      </w:r>
      <w:r>
        <w:rPr>
          <w:rFonts w:cs="Arial" w:ascii="Arial" w:hAnsi="Arial"/>
          <w:i/>
          <w:iCs/>
        </w:rPr>
        <w:t>Navigating tomorrow: key innovations in commerce, management, and information technology</w:t>
      </w:r>
      <w:r>
        <w:rPr>
          <w:rFonts w:cs="Arial" w:ascii="Arial" w:hAnsi="Arial"/>
        </w:rPr>
        <w:t>, p. 152.</w:t>
      </w:r>
    </w:p>
    <w:p>
      <w:pPr>
        <w:pStyle w:val="Normal"/>
        <w:spacing w:lineRule="auto" w:line="360"/>
        <w:jc w:val="both"/>
        <w:rPr/>
      </w:pPr>
      <w:r>
        <w:rPr>
          <w:rFonts w:cs="Arial" w:ascii="Arial" w:hAnsi="Arial"/>
        </w:rPr>
        <w:t xml:space="preserve">Jindal, N. (2023) ‘Evolution of digital payments and its impact on the economy’. Available at: </w:t>
      </w:r>
      <w:hyperlink r:id="rId6">
        <w:r>
          <w:rPr>
            <w:rStyle w:val="Hyperlink"/>
            <w:rFonts w:cs="Arial" w:ascii="Arial" w:hAnsi="Arial"/>
            <w:color w:val="auto"/>
          </w:rPr>
          <w:t>https://doi.org/10.58445/rars.573</w:t>
        </w:r>
      </w:hyperlink>
      <w:r>
        <w:rPr>
          <w:rFonts w:cs="Arial" w:ascii="Arial" w:hAnsi="Arial"/>
        </w:rPr>
        <w:t>.</w:t>
      </w:r>
    </w:p>
    <w:p>
      <w:pPr>
        <w:pStyle w:val="Normal"/>
        <w:spacing w:lineRule="auto" w:line="360"/>
        <w:jc w:val="both"/>
        <w:rPr>
          <w:rFonts w:ascii="Arial" w:hAnsi="Arial"/>
        </w:rPr>
      </w:pPr>
      <w:r>
        <w:rPr>
          <w:rFonts w:cs="Arial" w:ascii="Arial" w:hAnsi="Arial"/>
        </w:rPr>
        <w:t xml:space="preserve">Klimova, I., Hordieieva, I., Sereda, N., Pashchenko, O. and Petecki, I. (2023) ‘Strategic marketing in a dynamic market environment: adaptive approaches, analysis of trends and implementation of innovations’, </w:t>
      </w:r>
      <w:r>
        <w:rPr>
          <w:rFonts w:cs="Arial" w:ascii="Arial" w:hAnsi="Arial"/>
          <w:i/>
          <w:iCs/>
        </w:rPr>
        <w:t>Conhecimento &amp; Diversidade</w:t>
      </w:r>
      <w:r>
        <w:rPr>
          <w:rFonts w:cs="Arial" w:ascii="Arial" w:hAnsi="Arial"/>
        </w:rPr>
        <w:t>, 15(40), pp. 98–118.</w:t>
      </w:r>
    </w:p>
    <w:p>
      <w:pPr>
        <w:pStyle w:val="Normal"/>
        <w:spacing w:lineRule="auto" w:line="360"/>
        <w:jc w:val="both"/>
        <w:rPr>
          <w:rFonts w:ascii="Arial" w:hAnsi="Arial"/>
        </w:rPr>
      </w:pPr>
      <w:r>
        <w:rPr>
          <w:rFonts w:cs="Arial" w:ascii="Arial" w:hAnsi="Arial"/>
        </w:rPr>
        <w:t xml:space="preserve">Kumar, D.S. and Jayasurya, K. (2025) </w:t>
      </w:r>
      <w:r>
        <w:rPr>
          <w:rFonts w:cs="Arial" w:ascii="Arial" w:hAnsi="Arial"/>
          <w:i/>
          <w:iCs/>
        </w:rPr>
        <w:t>Fintech’s hidden hand: how PayPal reshaped the financial world</w:t>
      </w:r>
      <w:r>
        <w:rPr>
          <w:rFonts w:cs="Arial" w:ascii="Arial" w:hAnsi="Arial"/>
        </w:rPr>
        <w:t>.</w:t>
      </w:r>
    </w:p>
    <w:p>
      <w:pPr>
        <w:pStyle w:val="Normal"/>
        <w:spacing w:lineRule="auto" w:line="360"/>
        <w:jc w:val="both"/>
        <w:rPr/>
      </w:pPr>
      <w:r>
        <w:rPr>
          <w:rFonts w:cs="Arial" w:ascii="Arial" w:hAnsi="Arial"/>
        </w:rPr>
        <w:t xml:space="preserve">MEXC (2026) </w:t>
      </w:r>
      <w:r>
        <w:rPr>
          <w:rFonts w:cs="Arial" w:ascii="Arial" w:hAnsi="Arial"/>
          <w:i/>
          <w:iCs/>
        </w:rPr>
        <w:t>Mobile wallet industry statistics 2026: user growth trends</w:t>
      </w:r>
      <w:r>
        <w:rPr>
          <w:rFonts w:cs="Arial" w:ascii="Arial" w:hAnsi="Arial"/>
        </w:rPr>
        <w:t xml:space="preserve">. Available at: </w:t>
      </w:r>
      <w:hyperlink r:id="rId7">
        <w:r>
          <w:rPr>
            <w:rStyle w:val="Hyperlink"/>
            <w:rFonts w:cs="Arial" w:ascii="Arial" w:hAnsi="Arial"/>
            <w:color w:val="auto"/>
          </w:rPr>
          <w:t>https://www.mexc.com/news/865456</w:t>
        </w:r>
      </w:hyperlink>
      <w:r>
        <w:rPr>
          <w:rFonts w:cs="Arial" w:ascii="Arial" w:hAnsi="Arial"/>
        </w:rPr>
        <w:t>.</w:t>
      </w:r>
    </w:p>
    <w:p>
      <w:pPr>
        <w:pStyle w:val="Normal"/>
        <w:spacing w:lineRule="auto" w:line="360"/>
        <w:jc w:val="both"/>
        <w:rPr>
          <w:rFonts w:ascii="Arial" w:hAnsi="Arial"/>
        </w:rPr>
      </w:pPr>
      <w:r>
        <w:rPr>
          <w:rFonts w:cs="Arial" w:ascii="Arial" w:hAnsi="Arial"/>
        </w:rPr>
        <w:t xml:space="preserve">Mızrak, F. (2023) ‘Driving innovation and competitiveness through digital ecosystems: a case-based exploration’, </w:t>
      </w:r>
      <w:r>
        <w:rPr>
          <w:rFonts w:cs="Arial" w:ascii="Arial" w:hAnsi="Arial"/>
          <w:i/>
          <w:iCs/>
        </w:rPr>
        <w:t>Nişantaşı Üniversitesi Sosyal Bilimler Dergisi</w:t>
      </w:r>
      <w:r>
        <w:rPr>
          <w:rFonts w:cs="Arial" w:ascii="Arial" w:hAnsi="Arial"/>
        </w:rPr>
        <w:t>, 11(Special Issue), pp. 1–15.</w:t>
      </w:r>
    </w:p>
    <w:p>
      <w:pPr>
        <w:pStyle w:val="Normal"/>
        <w:spacing w:lineRule="auto" w:line="360"/>
        <w:jc w:val="both"/>
        <w:rPr/>
      </w:pPr>
      <w:r>
        <w:rPr>
          <w:rFonts w:cs="Arial" w:ascii="Arial" w:hAnsi="Arial"/>
        </w:rPr>
        <w:t xml:space="preserve">Omoseebi, A., Ella, A. and Henry, J. (2025) </w:t>
      </w:r>
      <w:r>
        <w:rPr>
          <w:rFonts w:cs="Arial" w:ascii="Arial" w:hAnsi="Arial"/>
          <w:i/>
          <w:iCs/>
        </w:rPr>
        <w:t>Fintech growth: open banking fosters innovation, enabling fintech startups to develop new products and services</w:t>
      </w:r>
      <w:r>
        <w:rPr>
          <w:rFonts w:cs="Arial" w:ascii="Arial" w:hAnsi="Arial"/>
        </w:rPr>
        <w:t xml:space="preserve">. Available at: </w:t>
      </w:r>
      <w:hyperlink r:id="rId8">
        <w:r>
          <w:rPr>
            <w:rStyle w:val="Hyperlink"/>
            <w:rFonts w:cs="Arial" w:ascii="Arial" w:hAnsi="Arial"/>
            <w:color w:val="auto"/>
          </w:rPr>
          <w:t>https://www.researchgate.net/publication/390460533</w:t>
        </w:r>
      </w:hyperlink>
      <w:r>
        <w:rPr>
          <w:rFonts w:cs="Arial" w:ascii="Arial" w:hAnsi="Arial"/>
        </w:rPr>
        <w:t>.</w:t>
      </w:r>
    </w:p>
    <w:p>
      <w:pPr>
        <w:pStyle w:val="Normal"/>
        <w:spacing w:lineRule="auto" w:line="360"/>
        <w:jc w:val="both"/>
        <w:rPr>
          <w:rFonts w:ascii="Arial" w:hAnsi="Arial"/>
        </w:rPr>
      </w:pPr>
      <w:r>
        <w:rPr>
          <w:rFonts w:cs="Arial" w:ascii="Arial" w:hAnsi="Arial"/>
        </w:rPr>
        <w:t xml:space="preserve">Omotayo, K.V., Uzoka, A.C., Okolo, C.H. and Ifeanyichukwu, F. (2023) </w:t>
      </w:r>
      <w:r>
        <w:rPr>
          <w:rFonts w:cs="Arial" w:ascii="Arial" w:hAnsi="Arial"/>
          <w:i/>
          <w:iCs/>
        </w:rPr>
        <w:t>Agile product ownership framework aligned with regulatory cycles in mobile-first financial service design</w:t>
      </w:r>
      <w:r>
        <w:rPr>
          <w:rFonts w:cs="Arial" w:ascii="Arial" w:hAnsi="Arial"/>
        </w:rPr>
        <w:t>.</w:t>
      </w:r>
    </w:p>
    <w:p>
      <w:pPr>
        <w:pStyle w:val="Normal"/>
        <w:spacing w:lineRule="auto" w:line="360"/>
        <w:jc w:val="both"/>
        <w:rPr>
          <w:rFonts w:ascii="Arial" w:hAnsi="Arial"/>
        </w:rPr>
      </w:pPr>
      <w:r>
        <w:rPr>
          <w:rFonts w:cs="Arial" w:ascii="Arial" w:hAnsi="Arial"/>
        </w:rPr>
        <w:t xml:space="preserve">Oyewole, A.T., Oguejiofor, B.B., Eneh, N.E., Akpuokwe, C.U. and Bakare, S.S. (2024) ‘Data privacy laws and their impact on financial technology companies: a review’, </w:t>
      </w:r>
      <w:r>
        <w:rPr>
          <w:rFonts w:cs="Arial" w:ascii="Arial" w:hAnsi="Arial"/>
          <w:i/>
          <w:iCs/>
        </w:rPr>
        <w:t>Computer Science &amp; IT Research Journal</w:t>
      </w:r>
      <w:r>
        <w:rPr>
          <w:rFonts w:cs="Arial" w:ascii="Arial" w:hAnsi="Arial"/>
        </w:rPr>
        <w:t>, 5(3), pp. 628–650.</w:t>
      </w:r>
    </w:p>
    <w:p>
      <w:pPr>
        <w:pStyle w:val="Normal"/>
        <w:spacing w:lineRule="auto" w:line="360"/>
        <w:jc w:val="both"/>
        <w:rPr/>
      </w:pPr>
      <w:r>
        <w:rPr>
          <w:rFonts w:cs="Arial" w:ascii="Arial" w:hAnsi="Arial"/>
        </w:rPr>
        <w:t xml:space="preserve">Payment Systems Regulator (PSR) (2026) </w:t>
      </w:r>
      <w:r>
        <w:rPr>
          <w:rFonts w:cs="Arial" w:ascii="Arial" w:hAnsi="Arial"/>
          <w:i/>
          <w:iCs/>
        </w:rPr>
        <w:t>Payment Systems Regulator</w:t>
      </w:r>
      <w:r>
        <w:rPr>
          <w:rFonts w:cs="Arial" w:ascii="Arial" w:hAnsi="Arial"/>
        </w:rPr>
        <w:t xml:space="preserve">. Available at: </w:t>
      </w:r>
      <w:hyperlink r:id="rId9">
        <w:r>
          <w:rPr>
            <w:rStyle w:val="Hyperlink"/>
            <w:rFonts w:cs="Arial" w:ascii="Arial" w:hAnsi="Arial"/>
            <w:color w:val="auto"/>
          </w:rPr>
          <w:t>https://www.psr.org.uk/</w:t>
        </w:r>
      </w:hyperlink>
      <w:r>
        <w:rPr>
          <w:rFonts w:cs="Arial" w:ascii="Arial" w:hAnsi="Arial"/>
        </w:rPr>
        <w:t>.</w:t>
      </w:r>
    </w:p>
    <w:p>
      <w:pPr>
        <w:pStyle w:val="Normal"/>
        <w:spacing w:lineRule="auto" w:line="360"/>
        <w:jc w:val="both"/>
        <w:rPr/>
      </w:pPr>
      <w:r>
        <w:rPr>
          <w:rFonts w:cs="Arial" w:ascii="Arial" w:hAnsi="Arial"/>
        </w:rPr>
        <w:t xml:space="preserve">PayPal (2024) </w:t>
      </w:r>
      <w:r>
        <w:rPr>
          <w:rFonts w:cs="Arial" w:ascii="Arial" w:hAnsi="Arial"/>
          <w:i/>
          <w:iCs/>
        </w:rPr>
        <w:t>PayPal – who we are: history &amp; facts</w:t>
      </w:r>
      <w:r>
        <w:rPr>
          <w:rFonts w:cs="Arial" w:ascii="Arial" w:hAnsi="Arial"/>
        </w:rPr>
        <w:t xml:space="preserve">. Available at: </w:t>
      </w:r>
      <w:hyperlink r:id="rId10">
        <w:r>
          <w:rPr>
            <w:rStyle w:val="Hyperlink"/>
            <w:rFonts w:cs="Arial" w:ascii="Arial" w:hAnsi="Arial"/>
            <w:color w:val="auto"/>
          </w:rPr>
          <w:t>https://about.pypl.com/who-we-are/history-and-facts/default.aspx</w:t>
        </w:r>
      </w:hyperlink>
      <w:r>
        <w:rPr>
          <w:rFonts w:cs="Arial" w:ascii="Arial" w:hAnsi="Arial"/>
        </w:rPr>
        <w:t>.</w:t>
      </w:r>
    </w:p>
    <w:p>
      <w:pPr>
        <w:pStyle w:val="Normal"/>
        <w:spacing w:lineRule="auto" w:line="360"/>
        <w:jc w:val="both"/>
        <w:rPr/>
      </w:pPr>
      <w:r>
        <w:rPr>
          <w:rFonts w:cs="Arial" w:ascii="Arial" w:hAnsi="Arial"/>
        </w:rPr>
        <w:t xml:space="preserve">PayPal (2025a) </w:t>
      </w:r>
      <w:r>
        <w:rPr>
          <w:rFonts w:cs="Arial" w:ascii="Arial" w:hAnsi="Arial"/>
          <w:i/>
          <w:iCs/>
        </w:rPr>
        <w:t>Anti-money laundering and counter-terrorist financing statement</w:t>
      </w:r>
      <w:r>
        <w:rPr>
          <w:rFonts w:cs="Arial" w:ascii="Arial" w:hAnsi="Arial"/>
        </w:rPr>
        <w:t xml:space="preserve">. Available at: </w:t>
      </w:r>
      <w:hyperlink r:id="rId11">
        <w:r>
          <w:rPr>
            <w:rStyle w:val="Hyperlink"/>
            <w:rFonts w:cs="Arial" w:ascii="Arial" w:hAnsi="Arial"/>
            <w:color w:val="auto"/>
          </w:rPr>
          <w:t>https://www.paypal.com/us/legalhub/paypal/aml-full</w:t>
        </w:r>
      </w:hyperlink>
      <w:r>
        <w:rPr>
          <w:rFonts w:cs="Arial" w:ascii="Arial" w:hAnsi="Arial"/>
        </w:rPr>
        <w:t>.</w:t>
      </w:r>
    </w:p>
    <w:p>
      <w:pPr>
        <w:pStyle w:val="Normal"/>
        <w:spacing w:lineRule="auto" w:line="360"/>
        <w:jc w:val="both"/>
        <w:rPr/>
      </w:pPr>
      <w:r>
        <w:rPr>
          <w:rFonts w:cs="Arial" w:ascii="Arial" w:hAnsi="Arial"/>
        </w:rPr>
        <w:t xml:space="preserve">PayPal (2025b) </w:t>
      </w:r>
      <w:r>
        <w:rPr>
          <w:rFonts w:cs="Arial" w:ascii="Arial" w:hAnsi="Arial"/>
          <w:i/>
          <w:iCs/>
        </w:rPr>
        <w:t>Confirm your identity (KYC)</w:t>
      </w:r>
      <w:r>
        <w:rPr>
          <w:rFonts w:cs="Arial" w:ascii="Arial" w:hAnsi="Arial"/>
        </w:rPr>
        <w:t xml:space="preserve">. Available at: </w:t>
      </w:r>
      <w:hyperlink r:id="rId12">
        <w:r>
          <w:rPr>
            <w:rStyle w:val="Hyperlink"/>
            <w:rFonts w:cs="Arial" w:ascii="Arial" w:hAnsi="Arial"/>
            <w:color w:val="auto"/>
          </w:rPr>
          <w:t>https://www.paypal.com/c2/webapps/mpp/kyc?locale.x=en_C2</w:t>
        </w:r>
      </w:hyperlink>
      <w:r>
        <w:rPr>
          <w:rFonts w:cs="Arial" w:ascii="Arial" w:hAnsi="Arial"/>
        </w:rPr>
        <w:t>.</w:t>
      </w:r>
    </w:p>
    <w:p>
      <w:pPr>
        <w:pStyle w:val="Normal"/>
        <w:spacing w:lineRule="auto" w:line="360"/>
        <w:jc w:val="both"/>
        <w:rPr/>
      </w:pPr>
      <w:r>
        <w:rPr>
          <w:rFonts w:cs="Arial" w:ascii="Arial" w:hAnsi="Arial"/>
        </w:rPr>
        <w:t xml:space="preserve">PayPal (2025c) </w:t>
      </w:r>
      <w:r>
        <w:rPr>
          <w:rFonts w:cs="Arial" w:ascii="Arial" w:hAnsi="Arial"/>
          <w:i/>
          <w:iCs/>
        </w:rPr>
        <w:t>Get growing with social payments</w:t>
      </w:r>
      <w:r>
        <w:rPr>
          <w:rFonts w:cs="Arial" w:ascii="Arial" w:hAnsi="Arial"/>
        </w:rPr>
        <w:t xml:space="preserve">. Available at: </w:t>
      </w:r>
      <w:hyperlink r:id="rId13">
        <w:r>
          <w:rPr>
            <w:rStyle w:val="Hyperlink"/>
            <w:rFonts w:cs="Arial" w:ascii="Arial" w:hAnsi="Arial"/>
            <w:color w:val="auto"/>
          </w:rPr>
          <w:t>https://www.paypal.com/us/brc/article/get-growing-with-social-payments</w:t>
        </w:r>
      </w:hyperlink>
      <w:r>
        <w:rPr>
          <w:rFonts w:cs="Arial" w:ascii="Arial" w:hAnsi="Arial"/>
        </w:rPr>
        <w:t>.</w:t>
      </w:r>
    </w:p>
    <w:p>
      <w:pPr>
        <w:pStyle w:val="Normal"/>
        <w:spacing w:lineRule="auto" w:line="360"/>
        <w:jc w:val="both"/>
        <w:rPr>
          <w:rFonts w:ascii="Arial" w:hAnsi="Arial"/>
        </w:rPr>
      </w:pPr>
      <w:r>
        <w:rPr>
          <w:rFonts w:cs="Arial" w:ascii="Arial" w:hAnsi="Arial"/>
        </w:rPr>
        <w:t xml:space="preserve">Peltomäki, M. (2025) </w:t>
      </w:r>
      <w:r>
        <w:rPr>
          <w:rFonts w:cs="Arial" w:ascii="Arial" w:hAnsi="Arial"/>
          <w:i/>
          <w:iCs/>
        </w:rPr>
        <w:t>Exploring the adoption of buy now, pay later (BNPL) services in Finland</w:t>
      </w:r>
      <w:r>
        <w:rPr>
          <w:rFonts w:cs="Arial" w:ascii="Arial" w:hAnsi="Arial"/>
        </w:rPr>
        <w:t>.</w:t>
      </w:r>
    </w:p>
    <w:p>
      <w:pPr>
        <w:pStyle w:val="Normal"/>
        <w:spacing w:lineRule="auto" w:line="360"/>
        <w:jc w:val="both"/>
        <w:rPr>
          <w:rFonts w:ascii="Arial" w:hAnsi="Arial"/>
        </w:rPr>
      </w:pPr>
      <w:r>
        <w:rPr>
          <w:rFonts w:cs="Arial" w:ascii="Arial" w:hAnsi="Arial"/>
        </w:rPr>
        <w:t xml:space="preserve">Perera, R. (2017) </w:t>
      </w:r>
      <w:r>
        <w:rPr>
          <w:rFonts w:cs="Arial" w:ascii="Arial" w:hAnsi="Arial"/>
          <w:i/>
          <w:iCs/>
        </w:rPr>
        <w:t>The PESTLE analysis</w:t>
      </w:r>
      <w:r>
        <w:rPr>
          <w:rFonts w:cs="Arial" w:ascii="Arial" w:hAnsi="Arial"/>
        </w:rPr>
        <w:t>. Vol. 1. Avissawella: Nerdynaut.</w:t>
      </w:r>
    </w:p>
    <w:p>
      <w:pPr>
        <w:pStyle w:val="Normal"/>
        <w:spacing w:lineRule="auto" w:line="360"/>
        <w:jc w:val="both"/>
        <w:rPr>
          <w:rFonts w:ascii="Arial" w:hAnsi="Arial"/>
        </w:rPr>
      </w:pPr>
      <w:r>
        <w:rPr>
          <w:rFonts w:cs="Arial" w:ascii="Arial" w:hAnsi="Arial"/>
        </w:rPr>
        <w:t xml:space="preserve">Shivarudraiah, A. (2022) ‘AI-powered threat detection in digital payments: addressing cyber fraud’, </w:t>
      </w:r>
      <w:r>
        <w:rPr>
          <w:rFonts w:cs="Arial" w:ascii="Arial" w:hAnsi="Arial"/>
          <w:i/>
          <w:iCs/>
        </w:rPr>
        <w:t>International Journal of Artificial Intelligence, Data Science, and Machine Learning</w:t>
      </w:r>
      <w:r>
        <w:rPr>
          <w:rFonts w:cs="Arial" w:ascii="Arial" w:hAnsi="Arial"/>
        </w:rPr>
        <w:t>, 3(4), pp. 19–26.</w:t>
      </w:r>
    </w:p>
    <w:p>
      <w:pPr>
        <w:pStyle w:val="Normal"/>
        <w:spacing w:lineRule="auto" w:line="360"/>
        <w:jc w:val="both"/>
        <w:rPr/>
      </w:pPr>
      <w:r>
        <w:rPr>
          <w:rFonts w:cs="Arial" w:ascii="Arial" w:hAnsi="Arial"/>
        </w:rPr>
        <w:t xml:space="preserve">Stripe (2023) </w:t>
      </w:r>
      <w:r>
        <w:rPr>
          <w:rFonts w:cs="Arial" w:ascii="Arial" w:hAnsi="Arial"/>
          <w:i/>
          <w:iCs/>
        </w:rPr>
        <w:t>How to accept digital wallet payments: a guide</w:t>
      </w:r>
      <w:r>
        <w:rPr>
          <w:rFonts w:cs="Arial" w:ascii="Arial" w:hAnsi="Arial"/>
        </w:rPr>
        <w:t xml:space="preserve">. Available at: </w:t>
      </w:r>
      <w:hyperlink r:id="rId14">
        <w:r>
          <w:rPr>
            <w:rStyle w:val="Hyperlink"/>
            <w:rFonts w:cs="Arial" w:ascii="Arial" w:hAnsi="Arial"/>
            <w:color w:val="auto"/>
          </w:rPr>
          <w:t>https://stripe.com/in/resources/more/how-to-accept-digital-wallet-payments</w:t>
        </w:r>
      </w:hyperlink>
      <w:r>
        <w:rPr>
          <w:rFonts w:cs="Arial" w:ascii="Arial" w:hAnsi="Arial"/>
        </w:rPr>
        <w:t>.</w:t>
      </w:r>
    </w:p>
    <w:p>
      <w:pPr>
        <w:pStyle w:val="Normal"/>
        <w:spacing w:lineRule="auto" w:line="360"/>
        <w:jc w:val="both"/>
        <w:rPr/>
      </w:pPr>
      <w:r>
        <w:rPr>
          <w:rFonts w:cs="Arial" w:ascii="Arial" w:hAnsi="Arial"/>
        </w:rPr>
        <w:t xml:space="preserve">Tomic, D. (2023) </w:t>
      </w:r>
      <w:r>
        <w:rPr>
          <w:rFonts w:cs="Arial" w:ascii="Arial" w:hAnsi="Arial"/>
          <w:i/>
          <w:iCs/>
        </w:rPr>
        <w:t>Digital wallets users to exceed 5.4 billion by 2028</w:t>
      </w:r>
      <w:r>
        <w:rPr>
          <w:rFonts w:cs="Arial" w:ascii="Arial" w:hAnsi="Arial"/>
        </w:rPr>
        <w:t xml:space="preserve">. Available at: </w:t>
      </w:r>
      <w:hyperlink r:id="rId15">
        <w:r>
          <w:rPr>
            <w:rStyle w:val="Hyperlink"/>
            <w:rFonts w:cs="Arial" w:ascii="Arial" w:hAnsi="Arial"/>
            <w:color w:val="auto"/>
          </w:rPr>
          <w:t>https://www.ictbusiness.biz/analysis/digital-wallets-users-to-exceed-54-billion-by-2028</w:t>
        </w:r>
      </w:hyperlink>
      <w:r>
        <w:rPr>
          <w:rFonts w:cs="Arial" w:ascii="Arial" w:hAnsi="Arial"/>
        </w:rPr>
        <w:t>.</w:t>
      </w:r>
    </w:p>
    <w:p>
      <w:pPr>
        <w:pStyle w:val="Normal"/>
        <w:spacing w:lineRule="auto" w:line="360"/>
        <w:jc w:val="both"/>
        <w:rPr/>
      </w:pPr>
      <w:r>
        <w:rPr>
          <w:rFonts w:cs="Arial" w:ascii="Arial" w:hAnsi="Arial"/>
        </w:rPr>
        <w:t xml:space="preserve">UK Finance (2024) </w:t>
      </w:r>
      <w:r>
        <w:rPr>
          <w:rFonts w:cs="Arial" w:ascii="Arial" w:hAnsi="Arial"/>
          <w:i/>
          <w:iCs/>
        </w:rPr>
        <w:t>Over half of UK adults now use mobile wallets</w:t>
      </w:r>
      <w:r>
        <w:rPr>
          <w:rFonts w:cs="Arial" w:ascii="Arial" w:hAnsi="Arial"/>
        </w:rPr>
        <w:t xml:space="preserve">. Available at: </w:t>
      </w:r>
      <w:hyperlink r:id="rId16">
        <w:r>
          <w:rPr>
            <w:rStyle w:val="Hyperlink"/>
            <w:rFonts w:cs="Arial" w:ascii="Arial" w:hAnsi="Arial"/>
            <w:color w:val="auto"/>
          </w:rPr>
          <w:t>https://www.ukfinance.org.uk/news-and-insight/press-release/over-half-uk-adults-now-use-mobile-wallets</w:t>
        </w:r>
      </w:hyperlink>
      <w:r>
        <w:rPr>
          <w:rFonts w:cs="Arial" w:ascii="Arial" w:hAnsi="Arial"/>
        </w:rPr>
        <w:t>.</w:t>
      </w:r>
    </w:p>
    <w:p>
      <w:pPr>
        <w:pStyle w:val="Normal"/>
        <w:spacing w:lineRule="auto" w:line="360"/>
        <w:jc w:val="both"/>
        <w:rPr>
          <w:rFonts w:ascii="Arial" w:hAnsi="Arial"/>
        </w:rPr>
      </w:pPr>
      <w:r>
        <w:rPr>
          <w:rFonts w:cs="Arial" w:ascii="Arial" w:hAnsi="Arial"/>
        </w:rPr>
        <w:t xml:space="preserve">Zerboni, Y. (2023) </w:t>
      </w:r>
      <w:r>
        <w:rPr>
          <w:rFonts w:cs="Arial" w:ascii="Arial" w:hAnsi="Arial"/>
          <w:i/>
          <w:iCs/>
        </w:rPr>
        <w:t>Global landscape of digital payments startups: a comprehensive census and analysis</w:t>
      </w:r>
      <w:r>
        <w:rPr>
          <w:rFonts w:cs="Arial" w:ascii="Arial" w:hAnsi="Arial"/>
        </w:rPr>
        <w:t>.</w:t>
      </w:r>
    </w:p>
    <w:p>
      <w:pPr>
        <w:pStyle w:val="Normal"/>
        <w:spacing w:lineRule="auto" w:line="360"/>
        <w:jc w:val="both"/>
        <w:rPr>
          <w:rFonts w:ascii="Arial" w:hAnsi="Arial"/>
        </w:rPr>
      </w:pPr>
      <w:r>
        <w:rPr>
          <w:rFonts w:cs="Arial" w:ascii="Arial" w:hAnsi="Arial"/>
        </w:rPr>
        <w:t xml:space="preserve">Zugay, B. and Zakaria, R. (2023) </w:t>
      </w:r>
      <w:r>
        <w:rPr>
          <w:rFonts w:cs="Arial" w:ascii="Arial" w:hAnsi="Arial"/>
          <w:i/>
          <w:iCs/>
        </w:rPr>
        <w:t>Ansoff matrix</w:t>
      </w:r>
      <w:r>
        <w:rPr>
          <w:rFonts w:cs="Arial" w:ascii="Arial" w:hAnsi="Arial"/>
        </w:rPr>
        <w:t>. Thousand Oaks: SAGE Publications.</w:t>
      </w:r>
    </w:p>
    <w:p>
      <w:pPr>
        <w:pStyle w:val="Normal"/>
        <w:spacing w:lineRule="auto" w:line="360"/>
        <w:jc w:val="both"/>
        <w:rPr>
          <w:rFonts w:ascii="Arial" w:hAnsi="Arial" w:cs="Arial"/>
        </w:rPr>
      </w:pPr>
      <w:r>
        <w:rPr>
          <w:rFonts w:cs="Arial" w:ascii="Arial" w:hAnsi="Arial"/>
        </w:rPr>
      </w:r>
    </w:p>
    <w:p>
      <w:pPr>
        <w:pStyle w:val="Normal"/>
        <w:spacing w:lineRule="auto" w:line="360" w:before="0" w:after="160"/>
        <w:jc w:val="both"/>
        <w:rPr>
          <w:rFonts w:ascii="Arial" w:hAnsi="Arial" w:cs="Arial"/>
        </w:rPr>
      </w:pPr>
      <w:r>
        <w:rPr>
          <w:rFonts w:cs="Arial" w:ascii="Arial" w:hAnsi="Arial"/>
        </w:rPr>
      </w:r>
    </w:p>
    <w:sectPr>
      <w:footerReference w:type="even" r:id="rId17"/>
      <w:footerReference w:type="default" r:id="rId18"/>
      <w:footerReference w:type="first" r:id="rId19"/>
      <w:type w:val="nextPage"/>
      <w:pgSz w:w="11906" w:h="16838"/>
      <w:pgMar w:left="1440" w:right="1440" w:gutter="0" w:header="0" w:top="1440" w:footer="708" w:bottom="1440"/>
      <w:pgBorders w:display="allPages" w:offsetFrom="page">
        <w:top w:val="single" w:sz="4" w:space="24" w:color="000000"/>
        <w:left w:val="single" w:sz="4" w:space="24" w:color="000000"/>
        <w:bottom w:val="single" w:sz="4" w:space="24" w:color="000000"/>
        <w:right w:val="single" w:sz="4" w:space="24" w:color="000000"/>
      </w:pgBorders>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Calibri">
    <w:charset w:val="00" w:characterSet="windows-1252"/>
    <w:family w:val="roman"/>
    <w:pitch w:val="variable"/>
  </w:font>
  <w:font w:name="Calibri Light">
    <w:charset w:val="00" w:characterSet="windows-1252"/>
    <w:family w:val="roman"/>
    <w:pitch w:val="variable"/>
  </w:font>
  <w:font w:name="Liberation Sans">
    <w:altName w:val="Arial"/>
    <w:charset w:val="00" w:characterSet="windows-1252"/>
    <w:family w:val="swiss"/>
    <w:pitch w:val="variable"/>
  </w:font>
  <w:font w:name="Arial">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1078944626"/>
      <w:docPartObj>
        <w:docPartGallery w:val="Page Numbers (Bottom of Page)"/>
        <w:docPartUnique w:val="true"/>
      </w:docPartObj>
    </w:sdtPr>
    <w:sdtContent>
      <w:p>
        <w:pPr>
          <w:pStyle w:val="Footer"/>
          <w:jc w:val="center"/>
          <w:rPr/>
        </w:pPr>
        <w:r>
          <w:rPr/>
          <w:fldChar w:fldCharType="begin"/>
        </w:r>
        <w:r>
          <w:rPr/>
          <w:instrText xml:space="preserve"> PAGE </w:instrText>
        </w:r>
        <w:r>
          <w:rPr/>
          <w:fldChar w:fldCharType="separate"/>
        </w:r>
        <w:r>
          <w:rPr/>
          <w:t>13</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1078944626"/>
      <w:docPartObj>
        <w:docPartGallery w:val="Page Numbers (Bottom of Page)"/>
        <w:docPartUnique w:val="true"/>
      </w:docPartObj>
    </w:sdtPr>
    <w:sdtContent>
      <w:p>
        <w:pPr>
          <w:pStyle w:val="Footer"/>
          <w:jc w:val="center"/>
          <w:rPr/>
        </w:pPr>
        <w:r>
          <w:rPr/>
          <w:fldChar w:fldCharType="begin"/>
        </w:r>
        <w:r>
          <w:rPr/>
          <w:instrText xml:space="preserve"> PAGE </w:instrText>
        </w:r>
        <w:r>
          <w:rPr/>
          <w:fldChar w:fldCharType="separate"/>
        </w:r>
        <w:r>
          <w:rPr/>
          <w:t>13</w:t>
        </w:r>
        <w:r>
          <w:rPr/>
          <w:fldChar w:fldCharType="end"/>
        </w:r>
      </w:p>
    </w:sdtContent>
  </w:sdt>
  <w:p>
    <w:pPr>
      <w:pStyle w:val="Footer"/>
      <w:rPr/>
    </w:pPr>
    <w:r>
      <w:rPr/>
    </w:r>
  </w:p>
</w:ftr>
</file>

<file path=word/settings.xml><?xml version="1.0" encoding="utf-8"?>
<w:settings xmlns:w="http://schemas.openxmlformats.org/wordprocessingml/2006/main">
  <w:zoom w:percent="110"/>
  <w:defaultTabStop w:val="720"/>
  <w:autoHyphenation w:val="true"/>
  <w:hyphenationZone w:val="0"/>
  <w:compat>
    <w:doNotBreakWrappedTables/>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Mangal" w:asciiTheme="minorHAnsi" w:cstheme="minorBidi" w:eastAsiaTheme="minorHAnsi" w:hAnsiTheme="minorHAnsi"/>
        <w:kern w:val="2"/>
        <w:sz w:val="24"/>
        <w:szCs w:val="21"/>
        <w:lang w:val="en-IN" w:eastAsia="en-US" w:bidi="hi-IN"/>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8" w:before="0" w:after="160"/>
      <w:jc w:val="start"/>
    </w:pPr>
    <w:rPr>
      <w:rFonts w:ascii="Calibri" w:hAnsi="Calibri" w:eastAsia="Calibri" w:cs="Mangal" w:asciiTheme="minorHAnsi" w:cstheme="minorBidi" w:eastAsiaTheme="minorHAnsi" w:hAnsiTheme="minorHAnsi"/>
      <w:color w:val="auto"/>
      <w:kern w:val="2"/>
      <w:sz w:val="24"/>
      <w:szCs w:val="21"/>
      <w:lang w:val="en-IN" w:eastAsia="en-US" w:bidi="hi-IN"/>
      <w14:ligatures w14:val="standardContextual"/>
    </w:rPr>
  </w:style>
  <w:style w:type="paragraph" w:styleId="Heading1">
    <w:name w:val="heading 1"/>
    <w:basedOn w:val="Normal"/>
    <w:next w:val="Normal"/>
    <w:link w:val="Heading1Char"/>
    <w:uiPriority w:val="9"/>
    <w:qFormat/>
    <w:rsid w:val="00612052"/>
    <w:pPr>
      <w:keepNext w:val="true"/>
      <w:keepLines/>
      <w:spacing w:before="360" w:after="80"/>
      <w:outlineLvl w:val="0"/>
    </w:pPr>
    <w:rPr>
      <w:rFonts w:ascii="Calibri Light" w:hAnsi="Calibri Light" w:eastAsia="" w:cs="Mangal" w:asciiTheme="majorHAnsi" w:cstheme="majorBidi" w:eastAsiaTheme="majorEastAsia" w:hAnsiTheme="majorHAnsi"/>
      <w:color w:themeColor="accent1" w:themeShade="bf" w:val="2F5496"/>
      <w:sz w:val="40"/>
      <w:szCs w:val="36"/>
    </w:rPr>
  </w:style>
  <w:style w:type="paragraph" w:styleId="Heading2">
    <w:name w:val="heading 2"/>
    <w:basedOn w:val="Normal"/>
    <w:next w:val="Normal"/>
    <w:link w:val="Heading2Char"/>
    <w:uiPriority w:val="9"/>
    <w:unhideWhenUsed/>
    <w:qFormat/>
    <w:rsid w:val="00612052"/>
    <w:pPr>
      <w:keepNext w:val="true"/>
      <w:keepLines/>
      <w:spacing w:before="160" w:after="80"/>
      <w:outlineLvl w:val="1"/>
    </w:pPr>
    <w:rPr>
      <w:rFonts w:ascii="Calibri Light" w:hAnsi="Calibri Light" w:eastAsia="" w:cs="Mangal" w:asciiTheme="majorHAnsi" w:cstheme="majorBidi" w:eastAsiaTheme="majorEastAsia" w:hAnsiTheme="majorHAnsi"/>
      <w:color w:themeColor="accent1" w:themeShade="bf" w:val="2F5496"/>
      <w:sz w:val="32"/>
      <w:szCs w:val="29"/>
    </w:rPr>
  </w:style>
  <w:style w:type="paragraph" w:styleId="Heading3">
    <w:name w:val="heading 3"/>
    <w:basedOn w:val="Normal"/>
    <w:next w:val="Normal"/>
    <w:link w:val="Heading3Char"/>
    <w:uiPriority w:val="9"/>
    <w:unhideWhenUsed/>
    <w:qFormat/>
    <w:rsid w:val="00612052"/>
    <w:pPr>
      <w:keepNext w:val="true"/>
      <w:keepLines/>
      <w:spacing w:before="160" w:after="80"/>
      <w:outlineLvl w:val="2"/>
    </w:pPr>
    <w:rPr>
      <w:rFonts w:eastAsia="" w:cs="Mangal" w:cstheme="majorBidi" w:eastAsiaTheme="majorEastAsia"/>
      <w:color w:themeColor="accent1" w:themeShade="bf" w:val="2F5496"/>
      <w:sz w:val="28"/>
      <w:szCs w:val="25"/>
    </w:rPr>
  </w:style>
  <w:style w:type="paragraph" w:styleId="Heading4">
    <w:name w:val="heading 4"/>
    <w:basedOn w:val="Normal"/>
    <w:next w:val="Normal"/>
    <w:link w:val="Heading4Char"/>
    <w:uiPriority w:val="9"/>
    <w:unhideWhenUsed/>
    <w:qFormat/>
    <w:rsid w:val="00612052"/>
    <w:pPr>
      <w:keepNext w:val="true"/>
      <w:keepLines/>
      <w:spacing w:before="80" w:after="40"/>
      <w:outlineLvl w:val="3"/>
    </w:pPr>
    <w:rPr>
      <w:rFonts w:eastAsia="" w:cs="Mangal" w:cstheme="majorBidi" w:eastAsiaTheme="majorEastAsia"/>
      <w:i/>
      <w:iCs/>
      <w:color w:themeColor="accent1" w:themeShade="bf" w:val="2F5496"/>
    </w:rPr>
  </w:style>
  <w:style w:type="paragraph" w:styleId="Heading5">
    <w:name w:val="heading 5"/>
    <w:basedOn w:val="Normal"/>
    <w:next w:val="Normal"/>
    <w:link w:val="Heading5Char"/>
    <w:uiPriority w:val="9"/>
    <w:semiHidden/>
    <w:unhideWhenUsed/>
    <w:qFormat/>
    <w:rsid w:val="00612052"/>
    <w:pPr>
      <w:keepNext w:val="true"/>
      <w:keepLines/>
      <w:spacing w:before="80" w:after="40"/>
      <w:outlineLvl w:val="4"/>
    </w:pPr>
    <w:rPr>
      <w:rFonts w:eastAsia="" w:cs="Mangal" w:cstheme="majorBidi" w:eastAsiaTheme="majorEastAsia"/>
      <w:color w:themeColor="accent1" w:themeShade="bf" w:val="2F5496"/>
    </w:rPr>
  </w:style>
  <w:style w:type="paragraph" w:styleId="Heading6">
    <w:name w:val="heading 6"/>
    <w:basedOn w:val="Normal"/>
    <w:next w:val="Normal"/>
    <w:link w:val="Heading6Char"/>
    <w:uiPriority w:val="9"/>
    <w:semiHidden/>
    <w:unhideWhenUsed/>
    <w:qFormat/>
    <w:rsid w:val="00612052"/>
    <w:pPr>
      <w:keepNext w:val="true"/>
      <w:keepLines/>
      <w:spacing w:before="40" w:after="0"/>
      <w:outlineLvl w:val="5"/>
    </w:pPr>
    <w:rPr>
      <w:rFonts w:eastAsia="" w:cs="Mangal" w:cstheme="majorBidi" w:eastAsiaTheme="majorEastAsia"/>
      <w:i/>
      <w:iCs/>
      <w:color w:themeColor="text1" w:themeTint="a6" w:val="595959"/>
    </w:rPr>
  </w:style>
  <w:style w:type="paragraph" w:styleId="Heading7">
    <w:name w:val="heading 7"/>
    <w:basedOn w:val="Normal"/>
    <w:next w:val="Normal"/>
    <w:link w:val="Heading7Char"/>
    <w:uiPriority w:val="9"/>
    <w:semiHidden/>
    <w:unhideWhenUsed/>
    <w:qFormat/>
    <w:rsid w:val="00612052"/>
    <w:pPr>
      <w:keepNext w:val="true"/>
      <w:keepLines/>
      <w:spacing w:before="40" w:after="0"/>
      <w:outlineLvl w:val="6"/>
    </w:pPr>
    <w:rPr>
      <w:rFonts w:eastAsia="" w:cs="Mangal" w:cstheme="majorBidi" w:eastAsiaTheme="majorEastAsia"/>
      <w:color w:themeColor="text1" w:themeTint="a6" w:val="595959"/>
    </w:rPr>
  </w:style>
  <w:style w:type="paragraph" w:styleId="Heading8">
    <w:name w:val="heading 8"/>
    <w:basedOn w:val="Normal"/>
    <w:next w:val="Normal"/>
    <w:link w:val="Heading8Char"/>
    <w:uiPriority w:val="9"/>
    <w:semiHidden/>
    <w:unhideWhenUsed/>
    <w:qFormat/>
    <w:rsid w:val="00612052"/>
    <w:pPr>
      <w:keepNext w:val="true"/>
      <w:keepLines/>
      <w:spacing w:before="0" w:after="0"/>
      <w:outlineLvl w:val="7"/>
    </w:pPr>
    <w:rPr>
      <w:rFonts w:eastAsia="" w:cs="Mangal" w:cstheme="majorBidi" w:eastAsiaTheme="majorEastAsia"/>
      <w:i/>
      <w:iCs/>
      <w:color w:themeColor="text1" w:themeTint="d8" w:val="272727"/>
    </w:rPr>
  </w:style>
  <w:style w:type="paragraph" w:styleId="Heading9">
    <w:name w:val="heading 9"/>
    <w:basedOn w:val="Normal"/>
    <w:next w:val="Normal"/>
    <w:link w:val="Heading9Char"/>
    <w:uiPriority w:val="9"/>
    <w:semiHidden/>
    <w:unhideWhenUsed/>
    <w:qFormat/>
    <w:rsid w:val="00612052"/>
    <w:pPr>
      <w:keepNext w:val="true"/>
      <w:keepLines/>
      <w:spacing w:before="0" w:after="0"/>
      <w:outlineLvl w:val="8"/>
    </w:pPr>
    <w:rPr>
      <w:rFonts w:eastAsia="" w:cs="Mangal" w:cstheme="majorBidi" w:eastAsiaTheme="majorEastAsia"/>
      <w:color w:themeColor="text1" w:themeTint="d8" w:val="272727"/>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612052"/>
    <w:rPr>
      <w:rFonts w:ascii="Calibri Light" w:hAnsi="Calibri Light" w:eastAsia="" w:cs="Mangal" w:asciiTheme="majorHAnsi" w:cstheme="majorBidi" w:eastAsiaTheme="majorEastAsia" w:hAnsiTheme="majorHAnsi"/>
      <w:color w:themeColor="accent1" w:themeShade="bf" w:val="2F5496"/>
      <w:sz w:val="40"/>
      <w:szCs w:val="36"/>
    </w:rPr>
  </w:style>
  <w:style w:type="character" w:styleId="Heading2Char" w:customStyle="1">
    <w:name w:val="Heading 2 Char"/>
    <w:basedOn w:val="DefaultParagraphFont"/>
    <w:link w:val="Heading2"/>
    <w:uiPriority w:val="9"/>
    <w:qFormat/>
    <w:rsid w:val="00612052"/>
    <w:rPr>
      <w:rFonts w:ascii="Calibri Light" w:hAnsi="Calibri Light" w:eastAsia="" w:cs="Mangal" w:asciiTheme="majorHAnsi" w:cstheme="majorBidi" w:eastAsiaTheme="majorEastAsia" w:hAnsiTheme="majorHAnsi"/>
      <w:color w:themeColor="accent1" w:themeShade="bf" w:val="2F5496"/>
      <w:sz w:val="32"/>
      <w:szCs w:val="29"/>
    </w:rPr>
  </w:style>
  <w:style w:type="character" w:styleId="Heading3Char" w:customStyle="1">
    <w:name w:val="Heading 3 Char"/>
    <w:basedOn w:val="DefaultParagraphFont"/>
    <w:link w:val="Heading3"/>
    <w:uiPriority w:val="9"/>
    <w:qFormat/>
    <w:rsid w:val="00612052"/>
    <w:rPr>
      <w:rFonts w:eastAsia="" w:cs="Mangal" w:cstheme="majorBidi" w:eastAsiaTheme="majorEastAsia"/>
      <w:color w:themeColor="accent1" w:themeShade="bf" w:val="2F5496"/>
      <w:sz w:val="28"/>
      <w:szCs w:val="25"/>
    </w:rPr>
  </w:style>
  <w:style w:type="character" w:styleId="Heading4Char" w:customStyle="1">
    <w:name w:val="Heading 4 Char"/>
    <w:basedOn w:val="DefaultParagraphFont"/>
    <w:link w:val="Heading4"/>
    <w:uiPriority w:val="9"/>
    <w:qFormat/>
    <w:rsid w:val="00612052"/>
    <w:rPr>
      <w:rFonts w:eastAsia="" w:cs="Mangal" w:cstheme="majorBidi" w:eastAsiaTheme="majorEastAsia"/>
      <w:i/>
      <w:iCs/>
      <w:color w:themeColor="accent1" w:themeShade="bf" w:val="2F5496"/>
    </w:rPr>
  </w:style>
  <w:style w:type="character" w:styleId="Heading5Char" w:customStyle="1">
    <w:name w:val="Heading 5 Char"/>
    <w:basedOn w:val="DefaultParagraphFont"/>
    <w:link w:val="Heading5"/>
    <w:uiPriority w:val="9"/>
    <w:semiHidden/>
    <w:qFormat/>
    <w:rsid w:val="00612052"/>
    <w:rPr>
      <w:rFonts w:eastAsia="" w:cs="Mangal" w:cstheme="majorBidi" w:eastAsiaTheme="majorEastAsia"/>
      <w:color w:themeColor="accent1" w:themeShade="bf" w:val="2F5496"/>
    </w:rPr>
  </w:style>
  <w:style w:type="character" w:styleId="Heading6Char" w:customStyle="1">
    <w:name w:val="Heading 6 Char"/>
    <w:basedOn w:val="DefaultParagraphFont"/>
    <w:link w:val="Heading6"/>
    <w:uiPriority w:val="9"/>
    <w:semiHidden/>
    <w:qFormat/>
    <w:rsid w:val="00612052"/>
    <w:rPr>
      <w:rFonts w:eastAsia="" w:cs="Mangal" w:cstheme="majorBidi" w:eastAsiaTheme="majorEastAsia"/>
      <w:i/>
      <w:iCs/>
      <w:color w:themeColor="text1" w:themeTint="a6" w:val="595959"/>
    </w:rPr>
  </w:style>
  <w:style w:type="character" w:styleId="Heading7Char" w:customStyle="1">
    <w:name w:val="Heading 7 Char"/>
    <w:basedOn w:val="DefaultParagraphFont"/>
    <w:link w:val="Heading7"/>
    <w:uiPriority w:val="9"/>
    <w:semiHidden/>
    <w:qFormat/>
    <w:rsid w:val="00612052"/>
    <w:rPr>
      <w:rFonts w:eastAsia="" w:cs="Mangal" w:cstheme="majorBidi" w:eastAsiaTheme="majorEastAsia"/>
      <w:color w:themeColor="text1" w:themeTint="a6" w:val="595959"/>
    </w:rPr>
  </w:style>
  <w:style w:type="character" w:styleId="Heading8Char" w:customStyle="1">
    <w:name w:val="Heading 8 Char"/>
    <w:basedOn w:val="DefaultParagraphFont"/>
    <w:link w:val="Heading8"/>
    <w:uiPriority w:val="9"/>
    <w:semiHidden/>
    <w:qFormat/>
    <w:rsid w:val="00612052"/>
    <w:rPr>
      <w:rFonts w:eastAsia="" w:cs="Mangal" w:cstheme="majorBidi" w:eastAsiaTheme="majorEastAsia"/>
      <w:i/>
      <w:iCs/>
      <w:color w:themeColor="text1" w:themeTint="d8" w:val="272727"/>
    </w:rPr>
  </w:style>
  <w:style w:type="character" w:styleId="Heading9Char" w:customStyle="1">
    <w:name w:val="Heading 9 Char"/>
    <w:basedOn w:val="DefaultParagraphFont"/>
    <w:link w:val="Heading9"/>
    <w:uiPriority w:val="9"/>
    <w:semiHidden/>
    <w:qFormat/>
    <w:rsid w:val="00612052"/>
    <w:rPr>
      <w:rFonts w:eastAsia="" w:cs="Mangal" w:cstheme="majorBidi" w:eastAsiaTheme="majorEastAsia"/>
      <w:color w:themeColor="text1" w:themeTint="d8" w:val="272727"/>
    </w:rPr>
  </w:style>
  <w:style w:type="character" w:styleId="TitleChar" w:customStyle="1">
    <w:name w:val="Title Char"/>
    <w:basedOn w:val="DefaultParagraphFont"/>
    <w:link w:val="Title"/>
    <w:uiPriority w:val="10"/>
    <w:qFormat/>
    <w:rsid w:val="00612052"/>
    <w:rPr>
      <w:rFonts w:ascii="Calibri Light" w:hAnsi="Calibri Light" w:eastAsia="" w:cs="Mangal" w:asciiTheme="majorHAnsi" w:cstheme="majorBidi" w:eastAsiaTheme="majorEastAsia" w:hAnsiTheme="majorHAnsi"/>
      <w:spacing w:val="-10"/>
      <w:kern w:val="2"/>
      <w:sz w:val="56"/>
      <w:szCs w:val="50"/>
    </w:rPr>
  </w:style>
  <w:style w:type="character" w:styleId="SubtitleChar" w:customStyle="1">
    <w:name w:val="Subtitle Char"/>
    <w:basedOn w:val="DefaultParagraphFont"/>
    <w:link w:val="Subtitle"/>
    <w:uiPriority w:val="11"/>
    <w:qFormat/>
    <w:rsid w:val="00612052"/>
    <w:rPr>
      <w:rFonts w:eastAsia="" w:cs="Mangal" w:cstheme="majorBidi" w:eastAsiaTheme="majorEastAsia"/>
      <w:color w:themeColor="text1" w:themeTint="a6" w:val="595959"/>
      <w:spacing w:val="15"/>
      <w:sz w:val="28"/>
      <w:szCs w:val="25"/>
    </w:rPr>
  </w:style>
  <w:style w:type="character" w:styleId="QuoteChar" w:customStyle="1">
    <w:name w:val="Quote Char"/>
    <w:basedOn w:val="DefaultParagraphFont"/>
    <w:link w:val="Quote"/>
    <w:uiPriority w:val="29"/>
    <w:qFormat/>
    <w:rsid w:val="00612052"/>
    <w:rPr>
      <w:i/>
      <w:iCs/>
      <w:color w:themeColor="text1" w:themeTint="bf" w:val="404040"/>
    </w:rPr>
  </w:style>
  <w:style w:type="character" w:styleId="IntenseEmphasis">
    <w:name w:val="Intense Emphasis"/>
    <w:basedOn w:val="DefaultParagraphFont"/>
    <w:uiPriority w:val="21"/>
    <w:qFormat/>
    <w:rsid w:val="00612052"/>
    <w:rPr>
      <w:i/>
      <w:iCs/>
      <w:color w:themeColor="accent1" w:themeShade="bf" w:val="2F5496"/>
    </w:rPr>
  </w:style>
  <w:style w:type="character" w:styleId="IntenseQuoteChar" w:customStyle="1">
    <w:name w:val="Intense Quote Char"/>
    <w:basedOn w:val="DefaultParagraphFont"/>
    <w:link w:val="IntenseQuote"/>
    <w:uiPriority w:val="30"/>
    <w:qFormat/>
    <w:rsid w:val="00612052"/>
    <w:rPr>
      <w:i/>
      <w:iCs/>
      <w:color w:themeColor="accent1" w:themeShade="bf" w:val="2F5496"/>
    </w:rPr>
  </w:style>
  <w:style w:type="character" w:styleId="IntenseReference">
    <w:name w:val="Intense Reference"/>
    <w:basedOn w:val="DefaultParagraphFont"/>
    <w:uiPriority w:val="32"/>
    <w:qFormat/>
    <w:rsid w:val="00612052"/>
    <w:rPr>
      <w:b/>
      <w:bCs/>
      <w:smallCaps/>
      <w:color w:themeColor="accent1" w:themeShade="bf" w:val="2F5496"/>
      <w:spacing w:val="5"/>
    </w:rPr>
  </w:style>
  <w:style w:type="character" w:styleId="Hyperlink">
    <w:name w:val="Hyperlink"/>
    <w:basedOn w:val="DefaultParagraphFont"/>
    <w:uiPriority w:val="99"/>
    <w:unhideWhenUsed/>
    <w:rsid w:val="00283383"/>
    <w:rPr>
      <w:color w:themeColor="hyperlink" w:val="0563C1"/>
      <w:u w:val="single"/>
    </w:rPr>
  </w:style>
  <w:style w:type="character" w:styleId="UnresolvedMention">
    <w:name w:val="Unresolved Mention"/>
    <w:basedOn w:val="DefaultParagraphFont"/>
    <w:uiPriority w:val="99"/>
    <w:semiHidden/>
    <w:unhideWhenUsed/>
    <w:qFormat/>
    <w:rsid w:val="00283383"/>
    <w:rPr>
      <w:color w:val="605E5C"/>
      <w:shd w:fill="E1DFDD" w:val="clear"/>
    </w:rPr>
  </w:style>
  <w:style w:type="character" w:styleId="FollowedHyperlink">
    <w:name w:val="FollowedHyperlink"/>
    <w:basedOn w:val="DefaultParagraphFont"/>
    <w:uiPriority w:val="99"/>
    <w:semiHidden/>
    <w:unhideWhenUsed/>
    <w:rsid w:val="000c3b84"/>
    <w:rPr>
      <w:color w:themeColor="followedHyperlink" w:val="954F72"/>
      <w:u w:val="single"/>
    </w:rPr>
  </w:style>
  <w:style w:type="character" w:styleId="HeaderChar" w:customStyle="1">
    <w:name w:val="Header Char"/>
    <w:basedOn w:val="DefaultParagraphFont"/>
    <w:link w:val="Header"/>
    <w:uiPriority w:val="99"/>
    <w:qFormat/>
    <w:rsid w:val="001a1961"/>
    <w:rPr/>
  </w:style>
  <w:style w:type="character" w:styleId="FooterChar" w:customStyle="1">
    <w:name w:val="Footer Char"/>
    <w:basedOn w:val="DefaultParagraphFont"/>
    <w:link w:val="Footer"/>
    <w:uiPriority w:val="99"/>
    <w:qFormat/>
    <w:rsid w:val="001a1961"/>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612052"/>
    <w:pPr>
      <w:spacing w:lineRule="auto" w:line="240" w:before="0" w:after="80"/>
      <w:contextualSpacing/>
    </w:pPr>
    <w:rPr>
      <w:rFonts w:ascii="Calibri Light" w:hAnsi="Calibri Light" w:eastAsia="" w:cs="Mangal" w:asciiTheme="majorHAnsi" w:cstheme="majorBidi" w:eastAsiaTheme="majorEastAsia" w:hAnsiTheme="majorHAnsi"/>
      <w:spacing w:val="-10"/>
      <w:kern w:val="2"/>
      <w:sz w:val="56"/>
      <w:szCs w:val="50"/>
    </w:rPr>
  </w:style>
  <w:style w:type="paragraph" w:styleId="Subtitle">
    <w:name w:val="Subtitle"/>
    <w:basedOn w:val="Normal"/>
    <w:next w:val="Normal"/>
    <w:link w:val="SubtitleChar"/>
    <w:uiPriority w:val="11"/>
    <w:qFormat/>
    <w:rsid w:val="00612052"/>
    <w:pPr/>
    <w:rPr>
      <w:rFonts w:eastAsia="" w:cs="Mangal" w:cstheme="majorBidi" w:eastAsiaTheme="majorEastAsia"/>
      <w:color w:themeColor="text1" w:themeTint="a6" w:val="595959"/>
      <w:spacing w:val="15"/>
      <w:sz w:val="28"/>
      <w:szCs w:val="25"/>
    </w:rPr>
  </w:style>
  <w:style w:type="paragraph" w:styleId="Quote">
    <w:name w:val="Quote"/>
    <w:basedOn w:val="Normal"/>
    <w:next w:val="Normal"/>
    <w:link w:val="QuoteChar"/>
    <w:uiPriority w:val="29"/>
    <w:qFormat/>
    <w:rsid w:val="00612052"/>
    <w:pPr>
      <w:spacing w:before="160" w:after="160"/>
      <w:jc w:val="center"/>
    </w:pPr>
    <w:rPr>
      <w:i/>
      <w:iCs/>
      <w:color w:themeColor="text1" w:themeTint="bf" w:val="404040"/>
    </w:rPr>
  </w:style>
  <w:style w:type="paragraph" w:styleId="ListParagraph">
    <w:name w:val="List Paragraph"/>
    <w:basedOn w:val="Normal"/>
    <w:uiPriority w:val="34"/>
    <w:qFormat/>
    <w:rsid w:val="00612052"/>
    <w:pPr>
      <w:spacing w:before="0" w:after="160"/>
      <w:ind w:start="720"/>
      <w:contextualSpacing/>
    </w:pPr>
    <w:rPr/>
  </w:style>
  <w:style w:type="paragraph" w:styleId="IntenseQuote">
    <w:name w:val="Intense Quote"/>
    <w:basedOn w:val="Normal"/>
    <w:next w:val="Normal"/>
    <w:link w:val="IntenseQuoteChar"/>
    <w:uiPriority w:val="30"/>
    <w:qFormat/>
    <w:rsid w:val="00612052"/>
    <w:pPr>
      <w:pBdr>
        <w:top w:val="single" w:sz="4" w:space="10" w:color="2F5496" w:themeColor="accent1" w:themeShade="bf"/>
        <w:bottom w:val="single" w:sz="4" w:space="10" w:color="2F5496" w:themeColor="accent1" w:themeShade="bf"/>
      </w:pBdr>
      <w:spacing w:before="360" w:after="360"/>
      <w:ind w:start="864" w:end="864"/>
      <w:jc w:val="center"/>
    </w:pPr>
    <w:rPr>
      <w:i/>
      <w:iCs/>
      <w:color w:themeColor="accent1" w:themeShade="bf" w:val="2F5496"/>
    </w:rPr>
  </w:style>
  <w:style w:type="paragraph" w:styleId="NormalWeb">
    <w:name w:val="Normal (Web)"/>
    <w:basedOn w:val="Normal"/>
    <w:uiPriority w:val="99"/>
    <w:semiHidden/>
    <w:unhideWhenUsed/>
    <w:qFormat/>
    <w:rsid w:val="00283383"/>
    <w:pPr/>
    <w:rPr>
      <w:rFonts w:ascii="Times New Roman" w:hAnsi="Times New Roman" w:cs="Mangal"/>
    </w:rPr>
  </w:style>
  <w:style w:type="paragraph" w:styleId="HeaderandFooter">
    <w:name w:val="Header and Footer"/>
    <w:basedOn w:val="Normal"/>
    <w:qFormat/>
    <w:pPr/>
    <w:rPr/>
  </w:style>
  <w:style w:type="paragraph" w:styleId="Header">
    <w:name w:val="header"/>
    <w:basedOn w:val="Normal"/>
    <w:link w:val="HeaderChar"/>
    <w:uiPriority w:val="99"/>
    <w:unhideWhenUsed/>
    <w:rsid w:val="001a1961"/>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1a1961"/>
    <w:pPr>
      <w:tabs>
        <w:tab w:val="clear" w:pos="720"/>
        <w:tab w:val="center" w:pos="4513" w:leader="none"/>
        <w:tab w:val="right" w:pos="9026" w:leader="none"/>
      </w:tabs>
      <w:spacing w:lineRule="auto" w:line="240" w:before="0" w:after="0"/>
    </w:pPr>
    <w:rPr/>
  </w:style>
  <w:style w:type="paragraph" w:styleId="IndexHeading">
    <w:name w:val="index heading"/>
    <w:basedOn w:val="Heading"/>
    <w:pPr/>
    <w:rPr/>
  </w:style>
  <w:style w:type="paragraph" w:styleId="TOCHeading">
    <w:name w:val="TOC Heading"/>
    <w:basedOn w:val="Heading1"/>
    <w:next w:val="Normal"/>
    <w:uiPriority w:val="39"/>
    <w:unhideWhenUsed/>
    <w:qFormat/>
    <w:rsid w:val="001a1961"/>
    <w:pPr>
      <w:spacing w:lineRule="auto" w:line="259" w:before="240" w:after="0"/>
      <w:outlineLvl w:val="9"/>
    </w:pPr>
    <w:rPr>
      <w:kern w:val="0"/>
      <w:sz w:val="32"/>
      <w:szCs w:val="32"/>
      <w:lang w:val="en-US" w:bidi="ar-SA"/>
      <w14:ligatures w14:val="none"/>
    </w:rPr>
  </w:style>
  <w:style w:type="paragraph" w:styleId="TOC1">
    <w:name w:val="toc 1"/>
    <w:basedOn w:val="Normal"/>
    <w:next w:val="Normal"/>
    <w:autoRedefine/>
    <w:uiPriority w:val="39"/>
    <w:unhideWhenUsed/>
    <w:rsid w:val="001a1961"/>
    <w:pPr>
      <w:spacing w:before="0" w:after="100"/>
    </w:pPr>
    <w:rPr/>
  </w:style>
  <w:style w:type="paragraph" w:styleId="TOC2">
    <w:name w:val="toc 2"/>
    <w:basedOn w:val="Normal"/>
    <w:next w:val="Normal"/>
    <w:autoRedefine/>
    <w:uiPriority w:val="39"/>
    <w:unhideWhenUsed/>
    <w:rsid w:val="001a1961"/>
    <w:pPr>
      <w:spacing w:before="0" w:after="100"/>
      <w:ind w:start="240"/>
    </w:pPr>
    <w:rPr/>
  </w:style>
  <w:style w:type="paragraph" w:styleId="TOC3">
    <w:name w:val="toc 3"/>
    <w:basedOn w:val="Normal"/>
    <w:next w:val="Normal"/>
    <w:autoRedefine/>
    <w:uiPriority w:val="39"/>
    <w:unhideWhenUsed/>
    <w:rsid w:val="001a1961"/>
    <w:pPr>
      <w:spacing w:before="0" w:after="100"/>
      <w:ind w:start="48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cgap.org/research/publication/china-digital-payments-revolution" TargetMode="External"/><Relationship Id="rId4" Type="http://schemas.openxmlformats.org/officeDocument/2006/relationships/hyperlink" Target="https://www.fortunebusinessinsights.com/industry-reports/mobile-payment-market-100336" TargetMode="External"/><Relationship Id="rId5" Type="http://schemas.openxmlformats.org/officeDocument/2006/relationships/hyperlink" Target="https://support.google.com/pay-offline-merchants/answer/9232116?hl=en" TargetMode="External"/><Relationship Id="rId6" Type="http://schemas.openxmlformats.org/officeDocument/2006/relationships/hyperlink" Target="https://doi.org/10.58445/rars.573" TargetMode="External"/><Relationship Id="rId7" Type="http://schemas.openxmlformats.org/officeDocument/2006/relationships/hyperlink" Target="https://www.mexc.com/news/865456" TargetMode="External"/><Relationship Id="rId8" Type="http://schemas.openxmlformats.org/officeDocument/2006/relationships/hyperlink" Target="https://www.researchgate.net/publication/390460533" TargetMode="External"/><Relationship Id="rId9" Type="http://schemas.openxmlformats.org/officeDocument/2006/relationships/hyperlink" Target="https://www.psr.org.uk/" TargetMode="External"/><Relationship Id="rId10" Type="http://schemas.openxmlformats.org/officeDocument/2006/relationships/hyperlink" Target="https://about.pypl.com/who-we-are/history-and-facts/default.aspx" TargetMode="External"/><Relationship Id="rId11" Type="http://schemas.openxmlformats.org/officeDocument/2006/relationships/hyperlink" Target="https://www.paypal.com/us/legalhub/paypal/aml-full" TargetMode="External"/><Relationship Id="rId12" Type="http://schemas.openxmlformats.org/officeDocument/2006/relationships/hyperlink" Target="https://www.paypal.com/c2/webapps/mpp/kyc?locale.x=en_C2" TargetMode="External"/><Relationship Id="rId13" Type="http://schemas.openxmlformats.org/officeDocument/2006/relationships/hyperlink" Target="https://www.paypal.com/us/brc/article/get-growing-with-social-payments" TargetMode="External"/><Relationship Id="rId14" Type="http://schemas.openxmlformats.org/officeDocument/2006/relationships/hyperlink" Target="https://stripe.com/in/resources/more/how-to-accept-digital-wallet-payments" TargetMode="External"/><Relationship Id="rId15" Type="http://schemas.openxmlformats.org/officeDocument/2006/relationships/hyperlink" Target="https://www.ictbusiness.biz/analysis/digital-wallets-users-to-exceed-54-billion-by-2028" TargetMode="External"/><Relationship Id="rId16" Type="http://schemas.openxmlformats.org/officeDocument/2006/relationships/hyperlink" Target="https://www.ukfinance.org.uk/news-and-insight/press-release/over-half-uk-adults-now-use-mobile-wallets" TargetMode="Externa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oter" Target="footer3.xml"/><Relationship Id="rId20" Type="http://schemas.openxmlformats.org/officeDocument/2006/relationships/fontTable" Target="fontTable.xml"/><Relationship Id="rId21" Type="http://schemas.openxmlformats.org/officeDocument/2006/relationships/settings" Target="settings.xml"/><Relationship Id="rId22" Type="http://schemas.openxmlformats.org/officeDocument/2006/relationships/theme" Target="theme/theme1.xml"/><Relationship Id="rId23"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93EA7C-8DAA-49C5-B67B-954ED55CC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Application>LibreOffice/26.2.1.2$Windows_X86_64 LibreOffice_project/620$Build-2</Application>
  <AppVersion>15.0000</AppVersion>
  <Pages>14</Pages>
  <Words>3225</Words>
  <Characters>20190</Characters>
  <CharactersWithSpaces>23287</CharactersWithSpaces>
  <Paragraphs>125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2026-03-17T21:36:00Z</dcterms:created>
  <dc:creator/>
  <dc:description/>
  <dc:language>en-IN</dc:language>
  <cp:lastModifiedBy/>
  <dcterms:modified xsi:type="dcterms:W3CDTF">2026-03-26T22:17:53Z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3fcc645f-182e-4b67-983f-2d61b76259fc</vt:lpwstr>
  </property>
</Properties>
</file>