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9D27F" w14:textId="374816CA" w:rsidR="00BB7C84" w:rsidRDefault="00BB7C84" w:rsidP="00BB7C84">
      <w:pPr>
        <w:autoSpaceDE w:val="0"/>
        <w:autoSpaceDN w:val="0"/>
        <w:adjustRightInd w:val="0"/>
        <w:jc w:val="center"/>
        <w:rPr>
          <w:rFonts w:ascii="AppleSystemUIFont" w:hAnsi="AppleSystemUIFont" w:cs="AppleSystemUIFont"/>
          <w:b/>
          <w:bCs/>
          <w:kern w:val="0"/>
          <w:sz w:val="32"/>
          <w:szCs w:val="32"/>
        </w:rPr>
      </w:pPr>
      <w:r>
        <w:rPr>
          <w:rFonts w:ascii="AppleSystemUIFont" w:hAnsi="AppleSystemUIFont" w:cs="AppleSystemUIFont"/>
          <w:i/>
          <w:iCs/>
          <w:noProof/>
          <w:kern w:val="0"/>
          <w:sz w:val="26"/>
          <w:szCs w:val="26"/>
        </w:rPr>
        <w:drawing>
          <wp:anchor distT="0" distB="0" distL="114300" distR="114300" simplePos="0" relativeHeight="251658240" behindDoc="1" locked="0" layoutInCell="1" allowOverlap="1" wp14:anchorId="08C23757" wp14:editId="788B76DE">
            <wp:simplePos x="0" y="0"/>
            <wp:positionH relativeFrom="column">
              <wp:posOffset>4798060</wp:posOffset>
            </wp:positionH>
            <wp:positionV relativeFrom="paragraph">
              <wp:posOffset>-926102</wp:posOffset>
            </wp:positionV>
            <wp:extent cx="2037806" cy="849086"/>
            <wp:effectExtent l="0" t="0" r="0" b="1905"/>
            <wp:wrapNone/>
            <wp:docPr id="155285086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850865" name="Picture 1" descr="A black text on a white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37806" cy="849086"/>
                    </a:xfrm>
                    <a:prstGeom prst="rect">
                      <a:avLst/>
                    </a:prstGeom>
                  </pic:spPr>
                </pic:pic>
              </a:graphicData>
            </a:graphic>
            <wp14:sizeRelH relativeFrom="page">
              <wp14:pctWidth>0</wp14:pctWidth>
            </wp14:sizeRelH>
            <wp14:sizeRelV relativeFrom="page">
              <wp14:pctHeight>0</wp14:pctHeight>
            </wp14:sizeRelV>
          </wp:anchor>
        </w:drawing>
      </w:r>
    </w:p>
    <w:p w14:paraId="7B61595A" w14:textId="141843B8" w:rsidR="00BB7C84" w:rsidRDefault="00BB7C84" w:rsidP="00BB7C84">
      <w:pPr>
        <w:autoSpaceDE w:val="0"/>
        <w:autoSpaceDN w:val="0"/>
        <w:adjustRightInd w:val="0"/>
        <w:jc w:val="center"/>
        <w:rPr>
          <w:rFonts w:ascii="AppleSystemUIFont" w:hAnsi="AppleSystemUIFont" w:cs="AppleSystemUIFont"/>
          <w:b/>
          <w:bCs/>
          <w:kern w:val="0"/>
          <w:sz w:val="32"/>
          <w:szCs w:val="32"/>
        </w:rPr>
      </w:pPr>
    </w:p>
    <w:p w14:paraId="07461723" w14:textId="77777777" w:rsidR="00BB7C84" w:rsidRDefault="00BB7C84" w:rsidP="00BB7C84">
      <w:pPr>
        <w:autoSpaceDE w:val="0"/>
        <w:autoSpaceDN w:val="0"/>
        <w:adjustRightInd w:val="0"/>
        <w:jc w:val="center"/>
        <w:rPr>
          <w:rFonts w:ascii="AppleSystemUIFont" w:hAnsi="AppleSystemUIFont" w:cs="AppleSystemUIFont"/>
          <w:b/>
          <w:bCs/>
          <w:kern w:val="0"/>
          <w:sz w:val="32"/>
          <w:szCs w:val="32"/>
        </w:rPr>
      </w:pPr>
    </w:p>
    <w:p w14:paraId="3709D3AD" w14:textId="77777777" w:rsidR="00BB7C84" w:rsidRDefault="00BB7C84" w:rsidP="00BB7C84">
      <w:pPr>
        <w:autoSpaceDE w:val="0"/>
        <w:autoSpaceDN w:val="0"/>
        <w:adjustRightInd w:val="0"/>
        <w:jc w:val="center"/>
        <w:rPr>
          <w:rFonts w:ascii="AppleSystemUIFont" w:hAnsi="AppleSystemUIFont" w:cs="AppleSystemUIFont"/>
          <w:b/>
          <w:bCs/>
          <w:kern w:val="0"/>
          <w:sz w:val="32"/>
          <w:szCs w:val="32"/>
        </w:rPr>
      </w:pPr>
    </w:p>
    <w:p w14:paraId="19F45A98" w14:textId="77777777" w:rsidR="00BB7C84" w:rsidRDefault="00BB7C84" w:rsidP="00BB7C84">
      <w:pPr>
        <w:autoSpaceDE w:val="0"/>
        <w:autoSpaceDN w:val="0"/>
        <w:adjustRightInd w:val="0"/>
        <w:jc w:val="center"/>
        <w:rPr>
          <w:rFonts w:ascii="AppleSystemUIFont" w:hAnsi="AppleSystemUIFont" w:cs="AppleSystemUIFont"/>
          <w:b/>
          <w:bCs/>
          <w:kern w:val="0"/>
          <w:sz w:val="32"/>
          <w:szCs w:val="32"/>
        </w:rPr>
      </w:pPr>
    </w:p>
    <w:p w14:paraId="7E43BBD7" w14:textId="791F0D24" w:rsidR="00BB7C84" w:rsidRDefault="00BB7C84" w:rsidP="00BB7C84">
      <w:pPr>
        <w:autoSpaceDE w:val="0"/>
        <w:autoSpaceDN w:val="0"/>
        <w:adjustRightInd w:val="0"/>
        <w:jc w:val="center"/>
        <w:rPr>
          <w:rFonts w:ascii="AppleSystemUIFont" w:hAnsi="AppleSystemUIFont" w:cs="AppleSystemUIFont"/>
          <w:b/>
          <w:bCs/>
          <w:kern w:val="0"/>
          <w:sz w:val="32"/>
          <w:szCs w:val="32"/>
        </w:rPr>
      </w:pPr>
      <w:r w:rsidRPr="00BB7C84">
        <w:rPr>
          <w:rFonts w:ascii="AppleSystemUIFont" w:hAnsi="AppleSystemUIFont" w:cs="AppleSystemUIFont"/>
          <w:b/>
          <w:bCs/>
          <w:kern w:val="0"/>
          <w:sz w:val="32"/>
          <w:szCs w:val="32"/>
        </w:rPr>
        <w:t>The Global Business Environment</w:t>
      </w:r>
    </w:p>
    <w:p w14:paraId="6808FE35" w14:textId="77777777" w:rsidR="00BB7C84" w:rsidRPr="00BB7C84" w:rsidRDefault="00BB7C84" w:rsidP="00BB7C84">
      <w:pPr>
        <w:autoSpaceDE w:val="0"/>
        <w:autoSpaceDN w:val="0"/>
        <w:adjustRightInd w:val="0"/>
        <w:jc w:val="center"/>
        <w:rPr>
          <w:rFonts w:ascii="AppleSystemUIFont" w:hAnsi="AppleSystemUIFont" w:cs="AppleSystemUIFont"/>
          <w:b/>
          <w:bCs/>
          <w:kern w:val="0"/>
          <w:sz w:val="32"/>
          <w:szCs w:val="32"/>
        </w:rPr>
      </w:pPr>
    </w:p>
    <w:p w14:paraId="7793DCDF" w14:textId="2A017A45" w:rsidR="00BB7C84" w:rsidRPr="00BB7C84" w:rsidRDefault="00BB7C84" w:rsidP="00BB7C84">
      <w:pPr>
        <w:autoSpaceDE w:val="0"/>
        <w:autoSpaceDN w:val="0"/>
        <w:adjustRightInd w:val="0"/>
        <w:jc w:val="center"/>
        <w:rPr>
          <w:rFonts w:ascii="AppleSystemUIFont" w:hAnsi="AppleSystemUIFont" w:cs="AppleSystemUIFont"/>
          <w:b/>
          <w:bCs/>
          <w:kern w:val="0"/>
          <w:sz w:val="32"/>
          <w:szCs w:val="32"/>
        </w:rPr>
      </w:pPr>
      <w:r w:rsidRPr="00BB7C84">
        <w:rPr>
          <w:rFonts w:ascii="AppleSystemUIFont" w:hAnsi="AppleSystemUIFont" w:cs="AppleSystemUIFont"/>
          <w:b/>
          <w:bCs/>
          <w:kern w:val="0"/>
          <w:sz w:val="32"/>
          <w:szCs w:val="32"/>
        </w:rPr>
        <w:t>Strategic Expansion of a UK Retail Giant into India: Navigating Business Environmental Factors</w:t>
      </w:r>
    </w:p>
    <w:p w14:paraId="7E8D575C" w14:textId="183CCF98" w:rsidR="00BB7C84" w:rsidRPr="00162029" w:rsidRDefault="00BB7C84" w:rsidP="00BB7C84">
      <w:pPr>
        <w:autoSpaceDE w:val="0"/>
        <w:autoSpaceDN w:val="0"/>
        <w:adjustRightInd w:val="0"/>
        <w:rPr>
          <w:rFonts w:ascii="AppleSystemUIFont" w:hAnsi="AppleSystemUIFont" w:cs="AppleSystemUIFont"/>
          <w:i/>
          <w:iCs/>
          <w:kern w:val="0"/>
          <w:sz w:val="26"/>
          <w:szCs w:val="26"/>
        </w:rPr>
      </w:pPr>
    </w:p>
    <w:p w14:paraId="0F5D6A79" w14:textId="6A456A46" w:rsidR="00BB7C84" w:rsidRPr="00BB7C84" w:rsidRDefault="00BB7C84" w:rsidP="00BB7C84">
      <w:pPr>
        <w:autoSpaceDE w:val="0"/>
        <w:autoSpaceDN w:val="0"/>
        <w:adjustRightInd w:val="0"/>
        <w:jc w:val="center"/>
        <w:rPr>
          <w:rFonts w:ascii="AppleSystemUIFont" w:hAnsi="AppleSystemUIFont" w:cs="AppleSystemUIFont"/>
          <w:i/>
          <w:iCs/>
          <w:kern w:val="0"/>
          <w:sz w:val="28"/>
          <w:szCs w:val="28"/>
        </w:rPr>
      </w:pPr>
      <w:r w:rsidRPr="00BB7C84">
        <w:rPr>
          <w:rFonts w:ascii="AppleSystemUIFont" w:hAnsi="AppleSystemUIFont" w:cs="AppleSystemUIFont"/>
          <w:i/>
          <w:iCs/>
          <w:kern w:val="0"/>
          <w:sz w:val="28"/>
          <w:szCs w:val="28"/>
        </w:rPr>
        <w:t xml:space="preserve">Created by: Vladimir </w:t>
      </w:r>
      <w:proofErr w:type="spellStart"/>
      <w:r w:rsidRPr="00BB7C84">
        <w:rPr>
          <w:rFonts w:ascii="AppleSystemUIFont" w:hAnsi="AppleSystemUIFont" w:cs="AppleSystemUIFont"/>
          <w:i/>
          <w:iCs/>
          <w:kern w:val="0"/>
          <w:sz w:val="28"/>
          <w:szCs w:val="28"/>
        </w:rPr>
        <w:t>Stoyanov</w:t>
      </w:r>
      <w:proofErr w:type="spellEnd"/>
      <w:r w:rsidRPr="00BB7C84">
        <w:rPr>
          <w:rFonts w:ascii="AppleSystemUIFont" w:hAnsi="AppleSystemUIFont" w:cs="AppleSystemUIFont"/>
          <w:i/>
          <w:iCs/>
          <w:kern w:val="0"/>
          <w:sz w:val="28"/>
          <w:szCs w:val="28"/>
        </w:rPr>
        <w:t xml:space="preserve"> (2219021)</w:t>
      </w:r>
    </w:p>
    <w:p w14:paraId="0DCA55CA" w14:textId="4E7D98C2" w:rsidR="00BB7C84" w:rsidRPr="00BB7C84" w:rsidRDefault="00BB7C84" w:rsidP="00BB7C84">
      <w:pPr>
        <w:autoSpaceDE w:val="0"/>
        <w:autoSpaceDN w:val="0"/>
        <w:adjustRightInd w:val="0"/>
        <w:jc w:val="center"/>
        <w:rPr>
          <w:rFonts w:ascii="AppleSystemUIFont" w:hAnsi="AppleSystemUIFont" w:cs="AppleSystemUIFont"/>
          <w:i/>
          <w:iCs/>
          <w:kern w:val="0"/>
          <w:sz w:val="28"/>
          <w:szCs w:val="28"/>
        </w:rPr>
      </w:pPr>
      <w:r w:rsidRPr="00BB7C84">
        <w:rPr>
          <w:rFonts w:ascii="AppleSystemUIFont" w:hAnsi="AppleSystemUIFont" w:cs="AppleSystemUIFont"/>
          <w:i/>
          <w:iCs/>
          <w:kern w:val="0"/>
          <w:sz w:val="28"/>
          <w:szCs w:val="28"/>
        </w:rPr>
        <w:t>Module</w:t>
      </w:r>
      <w:r w:rsidRPr="00BB7C84">
        <w:rPr>
          <w:rFonts w:ascii="AppleSystemUIFont" w:hAnsi="AppleSystemUIFont" w:cs="AppleSystemUIFont"/>
          <w:i/>
          <w:iCs/>
          <w:kern w:val="0"/>
          <w:sz w:val="28"/>
          <w:szCs w:val="28"/>
        </w:rPr>
        <w:t xml:space="preserve"> Code: LCBB4005</w:t>
      </w:r>
    </w:p>
    <w:p w14:paraId="2649D1D8" w14:textId="2383095F" w:rsidR="00BB7C84" w:rsidRPr="00BB7C84" w:rsidRDefault="00BB7C84" w:rsidP="00BB7C84">
      <w:pPr>
        <w:autoSpaceDE w:val="0"/>
        <w:autoSpaceDN w:val="0"/>
        <w:adjustRightInd w:val="0"/>
        <w:jc w:val="center"/>
        <w:rPr>
          <w:rFonts w:ascii="AppleSystemUIFont" w:hAnsi="AppleSystemUIFont" w:cs="AppleSystemUIFont"/>
          <w:i/>
          <w:iCs/>
          <w:kern w:val="0"/>
          <w:sz w:val="28"/>
          <w:szCs w:val="28"/>
        </w:rPr>
      </w:pPr>
      <w:r w:rsidRPr="00BB7C84">
        <w:rPr>
          <w:rFonts w:ascii="AppleSystemUIFont" w:hAnsi="AppleSystemUIFont" w:cs="AppleSystemUIFont"/>
          <w:i/>
          <w:iCs/>
          <w:kern w:val="0"/>
          <w:sz w:val="28"/>
          <w:szCs w:val="28"/>
        </w:rPr>
        <w:t>Lecturer</w:t>
      </w:r>
      <w:r w:rsidRPr="00BB7C84">
        <w:rPr>
          <w:rFonts w:ascii="AppleSystemUIFont" w:hAnsi="AppleSystemUIFont" w:cs="AppleSystemUIFont"/>
          <w:i/>
          <w:iCs/>
          <w:kern w:val="0"/>
          <w:sz w:val="28"/>
          <w:szCs w:val="28"/>
        </w:rPr>
        <w:t>’s</w:t>
      </w:r>
      <w:r w:rsidRPr="00BB7C84">
        <w:rPr>
          <w:rFonts w:ascii="AppleSystemUIFont" w:hAnsi="AppleSystemUIFont" w:cs="AppleSystemUIFont"/>
          <w:i/>
          <w:iCs/>
          <w:kern w:val="0"/>
          <w:sz w:val="28"/>
          <w:szCs w:val="28"/>
        </w:rPr>
        <w:t xml:space="preserve"> Name: </w:t>
      </w:r>
      <w:proofErr w:type="spellStart"/>
      <w:r w:rsidRPr="00BB7C84">
        <w:rPr>
          <w:rFonts w:ascii="AppleSystemUIFont" w:hAnsi="AppleSystemUIFont" w:cs="AppleSystemUIFont"/>
          <w:i/>
          <w:iCs/>
          <w:kern w:val="0"/>
          <w:sz w:val="28"/>
          <w:szCs w:val="28"/>
        </w:rPr>
        <w:t>Rexon</w:t>
      </w:r>
      <w:proofErr w:type="spellEnd"/>
      <w:r w:rsidRPr="00BB7C84">
        <w:rPr>
          <w:rFonts w:ascii="AppleSystemUIFont" w:hAnsi="AppleSystemUIFont" w:cs="AppleSystemUIFont"/>
          <w:i/>
          <w:iCs/>
          <w:kern w:val="0"/>
          <w:sz w:val="28"/>
          <w:szCs w:val="28"/>
        </w:rPr>
        <w:t xml:space="preserve"> </w:t>
      </w:r>
      <w:proofErr w:type="spellStart"/>
      <w:r w:rsidRPr="00BB7C84">
        <w:rPr>
          <w:rFonts w:ascii="AppleSystemUIFont" w:hAnsi="AppleSystemUIFont" w:cs="AppleSystemUIFont"/>
          <w:i/>
          <w:iCs/>
          <w:kern w:val="0"/>
          <w:sz w:val="28"/>
          <w:szCs w:val="28"/>
        </w:rPr>
        <w:t>Nting</w:t>
      </w:r>
      <w:proofErr w:type="spellEnd"/>
    </w:p>
    <w:p w14:paraId="293C943D" w14:textId="196AAC33" w:rsidR="00BB7C84" w:rsidRPr="00162029" w:rsidRDefault="00BB7C84" w:rsidP="00BB7C84">
      <w:pPr>
        <w:autoSpaceDE w:val="0"/>
        <w:autoSpaceDN w:val="0"/>
        <w:adjustRightInd w:val="0"/>
        <w:jc w:val="center"/>
        <w:rPr>
          <w:rFonts w:ascii="AppleSystemUIFont" w:hAnsi="AppleSystemUIFont" w:cs="AppleSystemUIFont"/>
          <w:i/>
          <w:iCs/>
          <w:kern w:val="0"/>
          <w:sz w:val="26"/>
          <w:szCs w:val="26"/>
        </w:rPr>
      </w:pPr>
      <w:r>
        <w:rPr>
          <w:rFonts w:ascii="AppleSystemUIFont" w:hAnsi="AppleSystemUIFont" w:cs="AppleSystemUIFont"/>
          <w:b/>
          <w:bCs/>
          <w:kern w:val="0"/>
          <w:sz w:val="26"/>
          <w:szCs w:val="26"/>
        </w:rPr>
        <w:br w:type="page"/>
      </w:r>
    </w:p>
    <w:p w14:paraId="1CC5F10D" w14:textId="140FAD3F" w:rsidR="00BB7C84" w:rsidRPr="00162029" w:rsidRDefault="00BB7C84" w:rsidP="00BB7C84">
      <w:pPr>
        <w:autoSpaceDE w:val="0"/>
        <w:autoSpaceDN w:val="0"/>
        <w:adjustRightInd w:val="0"/>
        <w:rPr>
          <w:rFonts w:ascii="AppleSystemUIFont" w:hAnsi="AppleSystemUIFont" w:cs="AppleSystemUIFont"/>
          <w:i/>
          <w:iCs/>
          <w:kern w:val="0"/>
          <w:sz w:val="26"/>
          <w:szCs w:val="26"/>
        </w:rPr>
      </w:pPr>
    </w:p>
    <w:p w14:paraId="59693B00" w14:textId="70BD500B" w:rsidR="00BB7C84" w:rsidRDefault="00BB7C84">
      <w:pPr>
        <w:rPr>
          <w:rFonts w:ascii="AppleSystemUIFont" w:hAnsi="AppleSystemUIFont" w:cs="AppleSystemUIFont"/>
          <w:b/>
          <w:bCs/>
          <w:kern w:val="0"/>
          <w:sz w:val="26"/>
          <w:szCs w:val="26"/>
        </w:rPr>
      </w:pPr>
    </w:p>
    <w:p w14:paraId="354B1A16" w14:textId="77777777" w:rsidR="00162029" w:rsidRDefault="00162029" w:rsidP="00162029">
      <w:pPr>
        <w:autoSpaceDE w:val="0"/>
        <w:autoSpaceDN w:val="0"/>
        <w:adjustRightInd w:val="0"/>
        <w:rPr>
          <w:rFonts w:ascii="AppleSystemUIFont" w:hAnsi="AppleSystemUIFont" w:cs="AppleSystemUIFont"/>
          <w:kern w:val="0"/>
          <w:sz w:val="26"/>
          <w:szCs w:val="26"/>
        </w:rPr>
      </w:pPr>
    </w:p>
    <w:p w14:paraId="1D3490F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Table of Contents:</w:t>
      </w:r>
    </w:p>
    <w:p w14:paraId="04A923F4"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Introduction</w:t>
      </w:r>
    </w:p>
    <w:p w14:paraId="67D4F62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Global Expansion Trends</w:t>
      </w:r>
    </w:p>
    <w:p w14:paraId="6FF4C81A"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Tesco's Consideration of India</w:t>
      </w:r>
    </w:p>
    <w:p w14:paraId="1CAD90A6"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Developing Country Overview: India</w:t>
      </w:r>
    </w:p>
    <w:p w14:paraId="4992E5E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Economic Overview</w:t>
      </w:r>
    </w:p>
    <w:p w14:paraId="2389BDB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Socio-cultural Landscape</w:t>
      </w:r>
    </w:p>
    <w:p w14:paraId="763FA1D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Key Challenges</w:t>
      </w:r>
    </w:p>
    <w:p w14:paraId="0230B430"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Business Environment Analysis: PESTLE Analysis</w:t>
      </w:r>
    </w:p>
    <w:p w14:paraId="217D4B50"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Political Factors</w:t>
      </w:r>
    </w:p>
    <w:p w14:paraId="5EBF068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Economic Factors</w:t>
      </w:r>
    </w:p>
    <w:p w14:paraId="616AE21A"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Socio-cultural Factors</w:t>
      </w:r>
    </w:p>
    <w:p w14:paraId="5C70F6F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Technological Factors</w:t>
      </w:r>
    </w:p>
    <w:p w14:paraId="74BEE3FA"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Legal Factors</w:t>
      </w:r>
    </w:p>
    <w:p w14:paraId="5A3CD8E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Environmental Factors</w:t>
      </w:r>
    </w:p>
    <w:p w14:paraId="6B599265"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Porter's Diamond and Value Network Analysis</w:t>
      </w:r>
    </w:p>
    <w:p w14:paraId="6652184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Porter's Diamond</w:t>
      </w:r>
    </w:p>
    <w:p w14:paraId="767AA26D"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Factor Conditions</w:t>
      </w:r>
    </w:p>
    <w:p w14:paraId="59B61DBE"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Demand Conditions</w:t>
      </w:r>
    </w:p>
    <w:p w14:paraId="3A9FDC50"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Related and Supporting Industries</w:t>
      </w:r>
    </w:p>
    <w:p w14:paraId="21D3BE2F"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Firm Strategy, Structure, and Rivalry</w:t>
      </w:r>
    </w:p>
    <w:p w14:paraId="5333D1BD" w14:textId="77777777" w:rsidR="00162029" w:rsidRPr="00162029" w:rsidRDefault="00162029" w:rsidP="00162029">
      <w:pPr>
        <w:numPr>
          <w:ilvl w:val="1"/>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Value Network</w:t>
      </w:r>
    </w:p>
    <w:p w14:paraId="06021023"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Suppliers</w:t>
      </w:r>
    </w:p>
    <w:p w14:paraId="1831C557"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Customers</w:t>
      </w:r>
    </w:p>
    <w:p w14:paraId="486C5E0A"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Competitors</w:t>
      </w:r>
    </w:p>
    <w:p w14:paraId="006091C2"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Government and Regulatory Bodies</w:t>
      </w:r>
    </w:p>
    <w:p w14:paraId="13C47714"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Industry Associations and Business Networks</w:t>
      </w:r>
    </w:p>
    <w:p w14:paraId="7318E533"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Logistics and Supply Chain Partners</w:t>
      </w:r>
    </w:p>
    <w:p w14:paraId="1D1DC0CF" w14:textId="77777777" w:rsidR="00162029" w:rsidRPr="00162029" w:rsidRDefault="00162029" w:rsidP="00162029">
      <w:pPr>
        <w:numPr>
          <w:ilvl w:val="2"/>
          <w:numId w:val="2"/>
        </w:num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Local Communities and NGOs</w:t>
      </w:r>
    </w:p>
    <w:p w14:paraId="197A84AB"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Recommendations for Tesco's Successful Operations in India</w:t>
      </w:r>
    </w:p>
    <w:p w14:paraId="0C4041D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Political Strategies</w:t>
      </w:r>
    </w:p>
    <w:p w14:paraId="182A343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Economic Strategies</w:t>
      </w:r>
    </w:p>
    <w:p w14:paraId="2621DF6C"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Socio-cultural Strategies</w:t>
      </w:r>
    </w:p>
    <w:p w14:paraId="7C8509F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Technological Strategies</w:t>
      </w:r>
    </w:p>
    <w:p w14:paraId="16DC8A3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Legal Compliance Strategies</w:t>
      </w:r>
    </w:p>
    <w:p w14:paraId="25AE79D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Environmental Sustainability Strategies</w:t>
      </w:r>
    </w:p>
    <w:p w14:paraId="31858A4C"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Strategic Adaptation in Firm Strategy, Structure, and Rivalry</w:t>
      </w:r>
    </w:p>
    <w:p w14:paraId="6B1740E0"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Building Strong Value Network Connections</w:t>
      </w:r>
    </w:p>
    <w:p w14:paraId="7620C536"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Conclusion</w:t>
      </w:r>
    </w:p>
    <w:p w14:paraId="623AA1C6" w14:textId="77777777" w:rsidR="00162029" w:rsidRPr="00162029" w:rsidRDefault="00162029" w:rsidP="00162029">
      <w:pPr>
        <w:numPr>
          <w:ilvl w:val="0"/>
          <w:numId w:val="2"/>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References</w:t>
      </w:r>
    </w:p>
    <w:p w14:paraId="7E5D1E30"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lastRenderedPageBreak/>
        <w:t>Introduction</w:t>
      </w:r>
    </w:p>
    <w:p w14:paraId="555C21E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The global business landscape has undergone a paradigm shift, witnessing an increasing trend among companies from developed countries to expand their operations into developing nations. This strategic move is often driven by the pursuit of market growth, access to resources, and cost efficiency. However, such endeavours come with unique challenges, particularly when a company like Tesco, a leading UK-based retail giant, considers moving its production facilities to India, a rapidly developing country in South Asia. This essay aims to provide an inclusive analysis for Tesco's senior management, addressing concerns related to the business environment in India and proposing strategies for successful operations in this developing nation.</w:t>
      </w:r>
    </w:p>
    <w:p w14:paraId="4A8D8E88"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Global Expansion Trends</w:t>
      </w:r>
    </w:p>
    <w:p w14:paraId="33A1DBA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Before delving into Tesco's potential expansion into India, it is essential to understand the broader global expansion trends that have shaped the strategies of multinational corporations (MNCs). In recent years, the focus of MNCs has shifted from traditional markets to emerging economies due to the saturation of markets in developed countries. Emerging economies offer untapped markets, lower production costs, and a chance to diversify risks. This trend is evident in various industries, from technology to retail, as companies seek new growth opportunities.</w:t>
      </w:r>
    </w:p>
    <w:p w14:paraId="6374BD9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Tesco's Consideration of India</w:t>
      </w:r>
    </w:p>
    <w:p w14:paraId="1099D92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Tesco's contemplation of entering the Indian market aligns with the broader global expansion trends. India, with its vast land area and a population exceeding 1.3 billion, stands as one of the fastest-growing economies globally. The country's economic landscape is characterised by a robust services sector, a thriving manufacturing industry, and a significant focus on agriculture. However, India's attractiveness for foreign businesses like Tesco is accompanied by challenges, including complex regulations, socio-cultural diversity, infrastructural gaps, and intense market competition (India, 2023). Understanding this multifaceted environment is paramount for Tesco to navigate its business operations effectively.</w:t>
      </w:r>
    </w:p>
    <w:p w14:paraId="792C160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Developing Country Overview: India</w:t>
      </w:r>
    </w:p>
    <w:p w14:paraId="2B556C6C"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Economic Overview</w:t>
      </w:r>
    </w:p>
    <w:p w14:paraId="072D445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economic trajectory has been noteworthy, with consistent growth in recent years. The country's GDP is on an upward trajectory, driven by a robust services sector that includes information technology, telecommunications, and finance. The manufacturing industry, too, has shown resilience, contributing significantly to India's economic prowess. For Tesco, this economic vibrancy translates into a promising consumer market and potential partnerships with local suppliers and manufacturers.</w:t>
      </w:r>
    </w:p>
    <w:p w14:paraId="6EA2FCDD"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Socio-cultural Landscape</w:t>
      </w:r>
    </w:p>
    <w:p w14:paraId="7DCBACE2"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socio-cultural diversity is both a challenge and an opportunity for Tesco. With a myriad of languages, customs, and traditions, understanding the local nuances becomes crucial for successful market penetration. Tesco must invest in cultural intelligence to tailor its products, services, and marketing strategies to align with the cultural norms of different regions (Indian cultural landscapes, 2021). This includes considerations for religious practices, festivals, and regional preferences.</w:t>
      </w:r>
    </w:p>
    <w:p w14:paraId="09B44B0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Key Challenges</w:t>
      </w:r>
    </w:p>
    <w:p w14:paraId="64AECE7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While India presents immense opportunities, it is not without challenges. Complex regulations, bureaucratic hurdles, and compliance issues can pose significant obstacles for Tesco. The </w:t>
      </w:r>
      <w:r w:rsidRPr="00162029">
        <w:rPr>
          <w:rFonts w:ascii="AppleSystemUIFont" w:hAnsi="AppleSystemUIFont" w:cs="AppleSystemUIFont"/>
          <w:kern w:val="0"/>
        </w:rPr>
        <w:lastRenderedPageBreak/>
        <w:t>infrastructural gaps, especially in logistics and transportation, may impact the efficiency of the supply chain. Moreover, the intense market competition in the retail sector requires Tesco to differentiate itself strategically.</w:t>
      </w:r>
    </w:p>
    <w:p w14:paraId="2133884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Business Environment Analysis: PESTLE Analysis</w:t>
      </w:r>
    </w:p>
    <w:p w14:paraId="51006FA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Political Factors Analysis</w:t>
      </w:r>
    </w:p>
    <w:p w14:paraId="18C81B4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political landscape is marked by stability, but government policies and foreign relations can significantly impact Tesco's operations. Changes in trade policies, foreign investment regulations, and political instability may influence Tesco's supply chain and market access (Martin, 2021). For Tesco, it is crucial to establish a proactive engagement with the Indian government to stay abreast of policy changes and ensure compliance.</w:t>
      </w:r>
    </w:p>
    <w:p w14:paraId="4FCC5DAC"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Economic Factors Analysis</w:t>
      </w:r>
    </w:p>
    <w:p w14:paraId="6E325D42"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India's growing middle class and increasing consumer purchasing power offer substantial market potential for Tesco. However, challenges such as income inequality, inflation, and currency fluctuations require strategic consideration (New World Bank country classifications by income level: 2020-2021, </w:t>
      </w:r>
      <w:proofErr w:type="spellStart"/>
      <w:r w:rsidRPr="00162029">
        <w:rPr>
          <w:rFonts w:ascii="AppleSystemUIFont" w:hAnsi="AppleSystemUIFont" w:cs="AppleSystemUIFont"/>
          <w:kern w:val="0"/>
        </w:rPr>
        <w:t>nd</w:t>
      </w:r>
      <w:proofErr w:type="spellEnd"/>
      <w:r w:rsidRPr="00162029">
        <w:rPr>
          <w:rFonts w:ascii="AppleSystemUIFont" w:hAnsi="AppleSystemUIFont" w:cs="AppleSystemUIFont"/>
          <w:kern w:val="0"/>
        </w:rPr>
        <w:t>). Tesco should conduct a thorough analysis of the economic landscape, including income distribution patterns, to tailor its pricing and marketing strategies effectively.</w:t>
      </w:r>
    </w:p>
    <w:p w14:paraId="1D309BA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Socio-cultural Factors Analysis</w:t>
      </w:r>
    </w:p>
    <w:p w14:paraId="6CCFEDB8"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socio-cultural diversity necessitates an understanding of varied customs, traditions, and consumer preferences. Tesco must adopt a culturally sensitive approach, conducting market research to uncover regional nuances. For instance, the celebration of festivals and seasonal variations in consumer behaviour should inform Tesco's product offerings and promotional activities (Indian cultural landscapes, 2021).</w:t>
      </w:r>
    </w:p>
    <w:p w14:paraId="7FDF917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Technological Factors Analysis</w:t>
      </w:r>
    </w:p>
    <w:p w14:paraId="3EDBA7F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technological landscape is evolving rapidly, with advancements in digitalisation and infrastructure. Tesco can leverage technology for efficient supply chain management, enhanced customer engagement, and data-driven decision-making. Embracing e-commerce trends and investing in digital platforms will be crucial for Tesco to stay competitive in the Indian market.</w:t>
      </w:r>
    </w:p>
    <w:p w14:paraId="0BC6A730"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Legal Factors Analysis</w:t>
      </w:r>
    </w:p>
    <w:p w14:paraId="5F089FB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Compliance with local laws and regulations is critical for Tesco's success in India. A thorough understanding of the legal framework is essential to navigate complexities and mitigate risks. Tesco should establish a legal team well-versed in Indian laws and regulations, ensuring adherence to standards related to product safety, </w:t>
      </w:r>
      <w:proofErr w:type="spellStart"/>
      <w:r w:rsidRPr="00162029">
        <w:rPr>
          <w:rFonts w:ascii="AppleSystemUIFont" w:hAnsi="AppleSystemUIFont" w:cs="AppleSystemUIFont"/>
          <w:kern w:val="0"/>
        </w:rPr>
        <w:t>labor</w:t>
      </w:r>
      <w:proofErr w:type="spellEnd"/>
      <w:r w:rsidRPr="00162029">
        <w:rPr>
          <w:rFonts w:ascii="AppleSystemUIFont" w:hAnsi="AppleSystemUIFont" w:cs="AppleSystemUIFont"/>
          <w:kern w:val="0"/>
        </w:rPr>
        <w:t xml:space="preserve"> practices, and environmental regulations.</w:t>
      </w:r>
    </w:p>
    <w:p w14:paraId="68E45A6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Environmental Factors Analysis</w:t>
      </w:r>
    </w:p>
    <w:p w14:paraId="1B6C9488"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 faces environmental challenges such as pollution and climate change. Tesco's commitment to sustainability and adherence to environmental regulations can enhance its reputation in the Indian market. Implementing eco-friendly practices, such as reducing packaging waste and supporting sustainable sourcing, will resonate positively with environmentally conscious Indian consumers.</w:t>
      </w:r>
    </w:p>
    <w:p w14:paraId="2F8AF5F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Porter's Diamond and Value Network Analysis</w:t>
      </w:r>
    </w:p>
    <w:p w14:paraId="010A759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Porter's Diamond</w:t>
      </w:r>
    </w:p>
    <w:p w14:paraId="094E2DE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Factor Conditions</w:t>
      </w:r>
    </w:p>
    <w:p w14:paraId="174396B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lastRenderedPageBreak/>
        <w:t xml:space="preserve">India offers an abundance of skilled </w:t>
      </w:r>
      <w:proofErr w:type="spellStart"/>
      <w:r w:rsidRPr="00162029">
        <w:rPr>
          <w:rFonts w:ascii="AppleSystemUIFont" w:hAnsi="AppleSystemUIFont" w:cs="AppleSystemUIFont"/>
          <w:kern w:val="0"/>
        </w:rPr>
        <w:t>labor</w:t>
      </w:r>
      <w:proofErr w:type="spellEnd"/>
      <w:r w:rsidRPr="00162029">
        <w:rPr>
          <w:rFonts w:ascii="AppleSystemUIFont" w:hAnsi="AppleSystemUIFont" w:cs="AppleSystemUIFont"/>
          <w:kern w:val="0"/>
        </w:rPr>
        <w:t>, a growing middle-class population, and access to natural resources, providing Tesco with potential advantages (</w:t>
      </w:r>
      <w:proofErr w:type="spellStart"/>
      <w:r w:rsidRPr="00162029">
        <w:rPr>
          <w:rFonts w:ascii="AppleSystemUIFont" w:hAnsi="AppleSystemUIFont" w:cs="AppleSystemUIFont"/>
          <w:kern w:val="0"/>
        </w:rPr>
        <w:t>Vedantu</w:t>
      </w:r>
      <w:proofErr w:type="spellEnd"/>
      <w:r w:rsidRPr="00162029">
        <w:rPr>
          <w:rFonts w:ascii="AppleSystemUIFont" w:hAnsi="AppleSystemUIFont" w:cs="AppleSystemUIFont"/>
          <w:kern w:val="0"/>
        </w:rPr>
        <w:t>, 2022). Tesco should strategically align its human resource management with local talent pools, fostering skill development and cultural integration.</w:t>
      </w:r>
    </w:p>
    <w:p w14:paraId="16F8C3E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Demand Conditions</w:t>
      </w:r>
    </w:p>
    <w:p w14:paraId="607F5A1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Understanding the unique demands of the Indian market is critical for Tesco's success. India's large and diverse consumer market, increasing disposable incomes, and rapid urbanisation present opportunities for Tesco to tailor its offerings to local preferences (</w:t>
      </w:r>
      <w:proofErr w:type="spellStart"/>
      <w:r w:rsidRPr="00162029">
        <w:rPr>
          <w:rFonts w:ascii="AppleSystemUIFont" w:hAnsi="AppleSystemUIFont" w:cs="AppleSystemUIFont"/>
          <w:kern w:val="0"/>
        </w:rPr>
        <w:t>Bettin</w:t>
      </w:r>
      <w:proofErr w:type="spellEnd"/>
      <w:r w:rsidRPr="00162029">
        <w:rPr>
          <w:rFonts w:ascii="AppleSystemUIFont" w:hAnsi="AppleSystemUIFont" w:cs="AppleSystemUIFont"/>
          <w:kern w:val="0"/>
        </w:rPr>
        <w:t xml:space="preserve">, </w:t>
      </w:r>
      <w:proofErr w:type="spellStart"/>
      <w:r w:rsidRPr="00162029">
        <w:rPr>
          <w:rFonts w:ascii="AppleSystemUIFont" w:hAnsi="AppleSystemUIFont" w:cs="AppleSystemUIFont"/>
          <w:kern w:val="0"/>
        </w:rPr>
        <w:t>nd</w:t>
      </w:r>
      <w:proofErr w:type="spellEnd"/>
      <w:r w:rsidRPr="00162029">
        <w:rPr>
          <w:rFonts w:ascii="AppleSystemUIFont" w:hAnsi="AppleSystemUIFont" w:cs="AppleSystemUIFont"/>
          <w:kern w:val="0"/>
        </w:rPr>
        <w:t>). Tesco should conduct extensive market research to identify consumer preferences, purchasing behaviours, and emerging trends.</w:t>
      </w:r>
    </w:p>
    <w:p w14:paraId="10AF907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Related and Supporting Industries</w:t>
      </w:r>
    </w:p>
    <w:p w14:paraId="3A45E34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Tesco can leverage the growing retail and e-commerce sectors in India, along with a robust agricultural and food processing industry. Collaborations with local suppliers, manufacturers, and technology providers can enhance Tesco's value chain. For instance, forming partnerships with Indian agribusinesses can ensure a stable supply of fresh produce for Tesco's stores.</w:t>
      </w:r>
    </w:p>
    <w:p w14:paraId="262CB73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Firm Strategy, Structure, and Rivalry</w:t>
      </w:r>
    </w:p>
    <w:p w14:paraId="1C7CA69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Navigating India's complex regulatory environment and intense competition in the retail sector requires strategic adaptation by Tesco. Developing a flexible and adaptive business strategy will enable Tesco to respond effectively to market dynamics and regulatory changes. Tesco should also assess its organisational structure to ensure it aligns with the unique challenges and opportunities presented by the Indian market.</w:t>
      </w:r>
    </w:p>
    <w:p w14:paraId="750F0BB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Value Network</w:t>
      </w:r>
    </w:p>
    <w:p w14:paraId="5D41AC7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Suppliers</w:t>
      </w:r>
    </w:p>
    <w:p w14:paraId="3B835A6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Diverse suppliers in India provide opportunities for strategic partnerships, enhancing Tesco's supply chain resilience. Tesco should establish collaborative relationships with local suppliers, negotiating mutually beneficial agreements. This includes considerations for sustainable sourcing practices, ethical </w:t>
      </w:r>
      <w:proofErr w:type="spellStart"/>
      <w:r w:rsidRPr="00162029">
        <w:rPr>
          <w:rFonts w:ascii="AppleSystemUIFont" w:hAnsi="AppleSystemUIFont" w:cs="AppleSystemUIFont"/>
          <w:kern w:val="0"/>
        </w:rPr>
        <w:t>labor</w:t>
      </w:r>
      <w:proofErr w:type="spellEnd"/>
      <w:r w:rsidRPr="00162029">
        <w:rPr>
          <w:rFonts w:ascii="AppleSystemUIFont" w:hAnsi="AppleSystemUIFont" w:cs="AppleSystemUIFont"/>
          <w:kern w:val="0"/>
        </w:rPr>
        <w:t xml:space="preserve"> standards, and quality assurance.</w:t>
      </w:r>
    </w:p>
    <w:p w14:paraId="392F17B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Customers</w:t>
      </w:r>
    </w:p>
    <w:p w14:paraId="5EAD0D6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Understanding changing consumer preferences and addressing a large and diverse consumer base are crucial for Tesco to establish a strong foothold in India. Tesco's marketing strategies should be dynamic, reflecting the cultural diversity and evolving preferences of Indian consumers. Personalised promotions, loyalty programs, and market-specific product assortments can enhance customer engagement.</w:t>
      </w:r>
    </w:p>
    <w:p w14:paraId="2FE857C0"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Competitors</w:t>
      </w:r>
    </w:p>
    <w:p w14:paraId="7F7B3C1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Analysing competitor strategies and market positioning is essential for Tesco to differentiate itself and gain a competitive advantage. Tesco should conduct a comprehensive competitor analysis, identifying key players in the Indian retail sector, assessing their strengths and weaknesses, and identifying potential areas for differentiation. This analysis will inform Tesco's strategic positioning and marketing initiatives.</w:t>
      </w:r>
    </w:p>
    <w:p w14:paraId="35BD01F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Government and Regulatory Bodies</w:t>
      </w:r>
    </w:p>
    <w:p w14:paraId="2F004E3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Navigating India's complex regulatory environment requires compliance and potential partnerships with government agencies. Tesco should establish strong relationships with relevant regulatory bodies, proactively seeking guidance on compliance matters. Collaborating with government initiatives related to sustainable business practices, employment generation, </w:t>
      </w:r>
      <w:r w:rsidRPr="00162029">
        <w:rPr>
          <w:rFonts w:ascii="AppleSystemUIFont" w:hAnsi="AppleSystemUIFont" w:cs="AppleSystemUIFont"/>
          <w:kern w:val="0"/>
        </w:rPr>
        <w:lastRenderedPageBreak/>
        <w:t>and community development can enhance Tesco's reputation and foster positive relationships with regulatory authorities.</w:t>
      </w:r>
    </w:p>
    <w:p w14:paraId="39C69C9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Industry Associations and Business Networks</w:t>
      </w:r>
    </w:p>
    <w:p w14:paraId="1372B85C"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Collaboration with industry associations and business networks can enhance Tesco's knowledge sharing, advocacy, and industry engagement in India. Tesco should actively participate in forums, conferences, and industry events, contributing to discussions on best practices, regulatory reforms, and market trends. This engagement will not only provide Tesco with valuable insights but also position the company as a thought leader in the Indian retail sector.</w:t>
      </w:r>
    </w:p>
    <w:p w14:paraId="331750ED"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Logistics and Supply Chain Partners</w:t>
      </w:r>
    </w:p>
    <w:p w14:paraId="2088741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Developing logistics and supply chain networks in India is crucial for Tesco to ensure efficient operations and timely delivery of goods. Tesco should invest in robust logistics infrastructure, including distribution centres and transportation networks. Collaborating with local logistics partners can provide Tesco with insights into regional distribution challenges and opportunities.</w:t>
      </w:r>
    </w:p>
    <w:p w14:paraId="2DDA1742" w14:textId="77777777" w:rsidR="00162029" w:rsidRPr="00162029" w:rsidRDefault="00162029" w:rsidP="00162029">
      <w:pPr>
        <w:autoSpaceDE w:val="0"/>
        <w:autoSpaceDN w:val="0"/>
        <w:adjustRightInd w:val="0"/>
        <w:spacing w:after="40"/>
        <w:rPr>
          <w:rFonts w:ascii="AppleSystemUIFont" w:hAnsi="AppleSystemUIFont" w:cs="AppleSystemUIFont"/>
          <w:b/>
          <w:bCs/>
          <w:kern w:val="0"/>
        </w:rPr>
      </w:pPr>
    </w:p>
    <w:p w14:paraId="22BAF959" w14:textId="77777777" w:rsidR="00162029" w:rsidRPr="00162029" w:rsidRDefault="00162029" w:rsidP="00162029">
      <w:pPr>
        <w:autoSpaceDE w:val="0"/>
        <w:autoSpaceDN w:val="0"/>
        <w:adjustRightInd w:val="0"/>
        <w:spacing w:after="40"/>
        <w:rPr>
          <w:rFonts w:ascii="AppleSystemUIFont" w:hAnsi="AppleSystemUIFont" w:cs="AppleSystemUIFont"/>
          <w:b/>
          <w:bCs/>
          <w:kern w:val="0"/>
        </w:rPr>
      </w:pPr>
      <w:r w:rsidRPr="00162029">
        <w:rPr>
          <w:rFonts w:ascii="AppleSystemUIFont" w:hAnsi="AppleSystemUIFont" w:cs="AppleSystemUIFont"/>
          <w:b/>
          <w:bCs/>
          <w:kern w:val="0"/>
        </w:rPr>
        <w:t>Business Environment Analysis: PESTLE Analysis</w:t>
      </w:r>
    </w:p>
    <w:p w14:paraId="79FC91E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Political Factors Analysis</w:t>
      </w:r>
    </w:p>
    <w:p w14:paraId="69769BE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political landscape is marked by stability, but government policies and foreign relations can significantly impact Tesco's operations. Changes in trade policies, foreign investment regulations, and political instability may influence Tesco's supply chain and market access (Martin, 2021). For Tesco, it is crucial to establish a proactive engagement with the Indian government to stay abreast of policy changes and ensure compliance.</w:t>
      </w:r>
    </w:p>
    <w:p w14:paraId="06476A99"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Economic Factors Analysis</w:t>
      </w:r>
    </w:p>
    <w:p w14:paraId="7CD1313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India's growing middle class and increasing consumer purchasing power offer substantial market potential for Tesco. However, challenges such as income inequality, inflation, and currency fluctuations require strategic consideration (New World Bank country classifications by income level: 2020-2021, </w:t>
      </w:r>
      <w:proofErr w:type="spellStart"/>
      <w:r w:rsidRPr="00162029">
        <w:rPr>
          <w:rFonts w:ascii="AppleSystemUIFont" w:hAnsi="AppleSystemUIFont" w:cs="AppleSystemUIFont"/>
          <w:kern w:val="0"/>
        </w:rPr>
        <w:t>nd</w:t>
      </w:r>
      <w:proofErr w:type="spellEnd"/>
      <w:r w:rsidRPr="00162029">
        <w:rPr>
          <w:rFonts w:ascii="AppleSystemUIFont" w:hAnsi="AppleSystemUIFont" w:cs="AppleSystemUIFont"/>
          <w:kern w:val="0"/>
        </w:rPr>
        <w:t>). Tesco should conduct a thorough analysis of the economic landscape, including income distribution patterns, to tailor its pricing and marketing strategies effectively.</w:t>
      </w:r>
    </w:p>
    <w:p w14:paraId="005A0FA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Socio-cultural Factors Analysis</w:t>
      </w:r>
    </w:p>
    <w:p w14:paraId="1A185410"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socio-cultural diversity necessitates an understanding of varied customs, traditions, and consumer preferences. Tesco must adopt a culturally sensitive approach, conducting market research to uncover regional nuances. For instance, the celebration of festivals and seasonal variations in consumer behaviour should inform Tesco's product offerings and promotional activities (Indian cultural landscapes, 2021).</w:t>
      </w:r>
    </w:p>
    <w:p w14:paraId="325DB91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Technological Factors Analysis</w:t>
      </w:r>
    </w:p>
    <w:p w14:paraId="50926FF1"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technological landscape is evolving rapidly, with advancements in digitalisation and infrastructure. Tesco can leverage technology for efficient supply chain management, enhanced customer engagement, and data-driven decision-making. Embracing e-commerce trends and investing in digital platforms will be crucial for Tesco to stay competitive in the Indian market.</w:t>
      </w:r>
    </w:p>
    <w:p w14:paraId="1CDD52A2"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Legal Factors Analysis</w:t>
      </w:r>
    </w:p>
    <w:p w14:paraId="71B7E1C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Compliance with local laws and regulations is critical for Tesco's success in India. A thorough understanding of the legal framework is essential to navigate complexities and mitigate risks. Tesco should establish a legal team well-versed in Indian laws and regulations, ensuring </w:t>
      </w:r>
      <w:r w:rsidRPr="00162029">
        <w:rPr>
          <w:rFonts w:ascii="AppleSystemUIFont" w:hAnsi="AppleSystemUIFont" w:cs="AppleSystemUIFont"/>
          <w:kern w:val="0"/>
        </w:rPr>
        <w:lastRenderedPageBreak/>
        <w:t xml:space="preserve">adherence to standards related to product safety, </w:t>
      </w:r>
      <w:proofErr w:type="spellStart"/>
      <w:r w:rsidRPr="00162029">
        <w:rPr>
          <w:rFonts w:ascii="AppleSystemUIFont" w:hAnsi="AppleSystemUIFont" w:cs="AppleSystemUIFont"/>
          <w:kern w:val="0"/>
        </w:rPr>
        <w:t>labor</w:t>
      </w:r>
      <w:proofErr w:type="spellEnd"/>
      <w:r w:rsidRPr="00162029">
        <w:rPr>
          <w:rFonts w:ascii="AppleSystemUIFont" w:hAnsi="AppleSystemUIFont" w:cs="AppleSystemUIFont"/>
          <w:kern w:val="0"/>
        </w:rPr>
        <w:t xml:space="preserve"> practices, and environmental regulations.</w:t>
      </w:r>
    </w:p>
    <w:p w14:paraId="365D495D"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Environmental Factors Analysis</w:t>
      </w:r>
    </w:p>
    <w:p w14:paraId="33D445E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 faces environmental challenges such as pollution and climate change. Tesco's commitment to sustainability and adherence to environmental regulations can enhance its reputation in the Indian market. Implementing eco-friendly practices, such as reducing packaging waste and supporting sustainable sourcing, will resonate positively with environmentally conscious Indian consumers.</w:t>
      </w:r>
    </w:p>
    <w:p w14:paraId="718BB0CC" w14:textId="77777777" w:rsidR="00162029" w:rsidRPr="00162029" w:rsidRDefault="00162029" w:rsidP="00162029">
      <w:pPr>
        <w:autoSpaceDE w:val="0"/>
        <w:autoSpaceDN w:val="0"/>
        <w:adjustRightInd w:val="0"/>
        <w:rPr>
          <w:rFonts w:ascii="AppleSystemUIFont" w:hAnsi="AppleSystemUIFont" w:cs="AppleSystemUIFont"/>
          <w:b/>
          <w:bCs/>
          <w:kern w:val="0"/>
        </w:rPr>
      </w:pPr>
    </w:p>
    <w:p w14:paraId="170A6D2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Local Communities and NGOs</w:t>
      </w:r>
    </w:p>
    <w:p w14:paraId="060B6D48"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Engaging in corporate social responsibility initiatives and community engagement can optimise Tesco's supply chain operations and enhance its reputation in India. Tesco should identify social and environmental issues relevant to the communities where it operates and develop targeted CSR initiatives. This can include initiatives related to education, healthcare, environmental conservation, and poverty alleviation.</w:t>
      </w:r>
    </w:p>
    <w:p w14:paraId="7F6C286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Recommendations for Tesco's Successful Operations in India</w:t>
      </w:r>
    </w:p>
    <w:p w14:paraId="735657D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Political Strategies</w:t>
      </w:r>
    </w:p>
    <w:p w14:paraId="5275F43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To navigate the dynamic political landscape in India, Tesco should establish a government relations team tasked with monitoring policy changes, engaging with relevant authorities, and advocating for Tesco's interests. Proactive involvement in policy discussions, especially those related to trade, foreign investment, and retail regulations, will position Tesco as a responsible corporate citizen.</w:t>
      </w:r>
    </w:p>
    <w:p w14:paraId="12275CC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Economic Strategies</w:t>
      </w:r>
    </w:p>
    <w:p w14:paraId="0B1EA32C"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economic landscape offers opportunities, but Tesco must address challenges such as income inequality and currency fluctuations. Tesco should implement dynamic pricing strategies, considering regional income variations. Additionally, exploring partnerships with local financial institutions to offer tailored financial services can enhance Tesco's appeal to a broad consumer base.</w:t>
      </w:r>
    </w:p>
    <w:p w14:paraId="31668BE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Socio-cultural Strategies</w:t>
      </w:r>
    </w:p>
    <w:p w14:paraId="4611EA3E"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Cultural sensitivity is crucial in India's diverse market. Tesco should invest in cultural training programs for its employees, ensuring that they understand and respect the local customs and traditions. Tailoring product offerings to align with cultural preferences and celebrating local festivals through marketing campaigns can create a strong connection with Indian consumers.</w:t>
      </w:r>
    </w:p>
    <w:p w14:paraId="385437BF"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Technological Strategies</w:t>
      </w:r>
    </w:p>
    <w:p w14:paraId="11EB7175"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Embracing India's technological advancements is imperative for Tesco's success. The company should invest in state-of-the-art e-commerce platforms, mobile applications, and digital marketing. Implementing data analytics for consumer behaviour insights and personalised marketing strategies will not only enhance the customer experience but also provide Tesco with a competitive edge.</w:t>
      </w:r>
    </w:p>
    <w:p w14:paraId="106C4B88"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Legal Compliance Strategies</w:t>
      </w:r>
    </w:p>
    <w:p w14:paraId="259A527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xml:space="preserve">Given the complexity of India's legal framework, Tesco should establish a legal task force comprising local legal experts. Regular legal audits and compliance training for employees will mitigate legal risks. Tesco should also actively participate in industry dialogues to influence </w:t>
      </w:r>
      <w:r w:rsidRPr="00162029">
        <w:rPr>
          <w:rFonts w:ascii="AppleSystemUIFont" w:hAnsi="AppleSystemUIFont" w:cs="AppleSystemUIFont"/>
          <w:kern w:val="0"/>
        </w:rPr>
        <w:lastRenderedPageBreak/>
        <w:t>favourable regulatory changes and ensure that its operations align with evolving legal standards.</w:t>
      </w:r>
    </w:p>
    <w:p w14:paraId="2C5A393B"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Environmental Sustainability Strategies</w:t>
      </w:r>
    </w:p>
    <w:p w14:paraId="1C526766"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India's growing environmental consciousness necessitates a robust sustainability strategy. Tesco should set ambitious environmental targets, such as reducing carbon emissions and plastic use. Collaborating with local environmental organisations, investing in renewable energy sources, and promoting eco-friendly practices in its supply chain will enhance Tesco's image as an environmentally responsible brand.</w:t>
      </w:r>
    </w:p>
    <w:p w14:paraId="20557B2A"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Strategic Adaptation in Firm Strategy, Structure, and Rivalry</w:t>
      </w:r>
    </w:p>
    <w:p w14:paraId="0A62BC3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To navigate the intense competition in India's retail sector, Tesco should adopt a flexible and adaptive business strategy. Continuous monitoring of market trends, consumer preferences, and competitor strategies is crucial. Tesco should be prepared to adjust its product offerings, pricing strategies, and promotional activities in response to dynamic market conditions.</w:t>
      </w:r>
    </w:p>
    <w:p w14:paraId="08DA9E03"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Building Strong Value Network Connections</w:t>
      </w:r>
    </w:p>
    <w:p w14:paraId="45EC9662"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Establishing robust connections within the value network is essential for Tesco's success. The company should actively engage with suppliers, customers, and other stakeholders through collaborative initiatives. Developing strong relationships with government and regulatory bodies, industry associations, and logistics partners will contribute to Tesco's understanding of the Indian market and enhance its operational efficiency.</w:t>
      </w:r>
    </w:p>
    <w:p w14:paraId="2051F768"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Conclusion</w:t>
      </w:r>
    </w:p>
    <w:p w14:paraId="038D2767"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In conclusion, Tesco's consideration of entering the Indian market is a strategic move that aligns with broader global expansion trends. India, with its vast economic potential and diverse consumer market, offers Tesco unique opportunities for growth. However, navigating the business environment in India requires a nuanced understanding of political, economic, socio-cultural, technological, legal, and environmental factors. A PESTLE analysis provides a structured framework for evaluating these factors, while Porter's Diamond and Value Network analyses offer insights into the competitive landscape and strategic considerations.</w:t>
      </w:r>
    </w:p>
    <w:p w14:paraId="592D4CFE"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To succeed in India, Tesco must tailor its strategies to the unique demands of the market. This involves adapting to socio-cultural diversity, complying with local regulations, leveraging technological advancements, and establishing strong partnerships with local stakeholders. By strategically aligning its operations with the factors outlined in the analysis, Tesco can position itself for success in the Indian market and contribute to the country's dynamic economic landscape.</w:t>
      </w:r>
    </w:p>
    <w:p w14:paraId="39EF9D6A"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kern w:val="0"/>
        </w:rPr>
        <w:t> </w:t>
      </w:r>
    </w:p>
    <w:p w14:paraId="3876CFFD"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i/>
          <w:iCs/>
          <w:kern w:val="0"/>
        </w:rPr>
        <w:t> </w:t>
      </w:r>
    </w:p>
    <w:p w14:paraId="4115E6A4" w14:textId="77777777" w:rsidR="00162029" w:rsidRPr="00162029" w:rsidRDefault="00162029" w:rsidP="00162029">
      <w:pPr>
        <w:autoSpaceDE w:val="0"/>
        <w:autoSpaceDN w:val="0"/>
        <w:adjustRightInd w:val="0"/>
        <w:rPr>
          <w:rFonts w:ascii="AppleSystemUIFont" w:hAnsi="AppleSystemUIFont" w:cs="AppleSystemUIFont"/>
          <w:kern w:val="0"/>
        </w:rPr>
      </w:pPr>
      <w:r w:rsidRPr="00162029">
        <w:rPr>
          <w:rFonts w:ascii="AppleSystemUIFont" w:hAnsi="AppleSystemUIFont" w:cs="AppleSystemUIFont"/>
          <w:b/>
          <w:bCs/>
          <w:kern w:val="0"/>
        </w:rPr>
        <w:t>References:</w:t>
      </w:r>
    </w:p>
    <w:p w14:paraId="003DF13B"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 xml:space="preserve">5 international business examples to learn from (2021). Business Insights Blog. Retrieved from </w:t>
      </w:r>
      <w:hyperlink r:id="rId7" w:history="1">
        <w:r w:rsidRPr="00162029">
          <w:rPr>
            <w:rFonts w:ascii="AppleSystemUIFont" w:hAnsi="AppleSystemUIFont" w:cs="AppleSystemUIFont"/>
            <w:color w:val="DCA10D"/>
            <w:kern w:val="0"/>
            <w:u w:val="single" w:color="DCA10D"/>
          </w:rPr>
          <w:t>https://online.hbs.edu/blog/post/international-business-example</w:t>
        </w:r>
      </w:hyperlink>
    </w:p>
    <w:p w14:paraId="635C1B21"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Amadeo, K. (</w:t>
      </w:r>
      <w:proofErr w:type="spellStart"/>
      <w:r w:rsidRPr="00162029">
        <w:rPr>
          <w:rFonts w:ascii="AppleSystemUIFont" w:hAnsi="AppleSystemUIFont" w:cs="AppleSystemUIFont"/>
          <w:kern w:val="0"/>
        </w:rPr>
        <w:t>nd</w:t>
      </w:r>
      <w:proofErr w:type="spellEnd"/>
      <w:r w:rsidRPr="00162029">
        <w:rPr>
          <w:rFonts w:ascii="AppleSystemUIFont" w:hAnsi="AppleSystemUIFont" w:cs="AppleSystemUIFont"/>
          <w:kern w:val="0"/>
        </w:rPr>
        <w:t xml:space="preserve">). Learn about India's opportunities. The Balance. Retrieved from </w:t>
      </w:r>
      <w:hyperlink r:id="rId8" w:history="1">
        <w:r w:rsidRPr="00162029">
          <w:rPr>
            <w:rFonts w:ascii="AppleSystemUIFont" w:hAnsi="AppleSystemUIFont" w:cs="AppleSystemUIFont"/>
            <w:color w:val="DCA10D"/>
            <w:kern w:val="0"/>
            <w:u w:val="single" w:color="DCA10D"/>
          </w:rPr>
          <w:t>https://www.thebalancemoney.com/india-s-economy-3306348</w:t>
        </w:r>
      </w:hyperlink>
    </w:p>
    <w:p w14:paraId="5F89B1C1"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proofErr w:type="spellStart"/>
      <w:r w:rsidRPr="00162029">
        <w:rPr>
          <w:rFonts w:ascii="AppleSystemUIFont" w:hAnsi="AppleSystemUIFont" w:cs="AppleSystemUIFont"/>
          <w:kern w:val="0"/>
        </w:rPr>
        <w:t>Bettin</w:t>
      </w:r>
      <w:proofErr w:type="spellEnd"/>
      <w:r w:rsidRPr="00162029">
        <w:rPr>
          <w:rFonts w:ascii="AppleSystemUIFont" w:hAnsi="AppleSystemUIFont" w:cs="AppleSystemUIFont"/>
          <w:kern w:val="0"/>
        </w:rPr>
        <w:t xml:space="preserve">, J. (n.d.). Social-ecological preferences and urbanisation in India. Retrieved from </w:t>
      </w:r>
      <w:hyperlink r:id="rId9" w:history="1">
        <w:r w:rsidRPr="00162029">
          <w:rPr>
            <w:rFonts w:ascii="AppleSystemUIFont" w:hAnsi="AppleSystemUIFont" w:cs="AppleSystemUIFont"/>
            <w:color w:val="DCA10D"/>
            <w:kern w:val="0"/>
            <w:u w:val="single" w:color="DCA10D"/>
          </w:rPr>
          <w:t>https://doi.org/10.53846/goediss-7442</w:t>
        </w:r>
      </w:hyperlink>
    </w:p>
    <w:p w14:paraId="40752F80"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 xml:space="preserve">India (2023). Encyclopaedia Britannica. Retrieved from </w:t>
      </w:r>
      <w:hyperlink r:id="rId10" w:history="1">
        <w:r w:rsidRPr="00162029">
          <w:rPr>
            <w:rFonts w:ascii="AppleSystemUIFont" w:hAnsi="AppleSystemUIFont" w:cs="AppleSystemUIFont"/>
            <w:color w:val="DCA10D"/>
            <w:kern w:val="0"/>
            <w:u w:val="single" w:color="DCA10D"/>
          </w:rPr>
          <w:t>https://www.britannica.com/place/India</w:t>
        </w:r>
      </w:hyperlink>
    </w:p>
    <w:p w14:paraId="6AAC1B09"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lastRenderedPageBreak/>
        <w:t xml:space="preserve">Indian cultural landscapes: Religious pluralism, tolerance, and ground reality. </w:t>
      </w:r>
      <w:proofErr w:type="spellStart"/>
      <w:r w:rsidRPr="00162029">
        <w:rPr>
          <w:rFonts w:ascii="AppleSystemUIFont" w:hAnsi="AppleSystemUIFont" w:cs="AppleSystemUIFont"/>
          <w:kern w:val="0"/>
        </w:rPr>
        <w:t>Aζ</w:t>
      </w:r>
      <w:proofErr w:type="spellEnd"/>
      <w:r w:rsidRPr="00162029">
        <w:rPr>
          <w:rFonts w:ascii="AppleSystemUIFont" w:hAnsi="AppleSystemUIFont" w:cs="AppleSystemUIFont"/>
          <w:kern w:val="0"/>
        </w:rPr>
        <w:t xml:space="preserve"> South Asia. Retrieved from </w:t>
      </w:r>
      <w:hyperlink r:id="rId11" w:history="1">
        <w:r w:rsidRPr="00162029">
          <w:rPr>
            <w:rFonts w:ascii="AppleSystemUIFont" w:hAnsi="AppleSystemUIFont" w:cs="AppleSystemUIFont"/>
            <w:color w:val="DCA10D"/>
            <w:kern w:val="0"/>
            <w:u w:val="single" w:color="DCA10D"/>
          </w:rPr>
          <w:t>https://architexturez.net/doc/az-cf-21175</w:t>
        </w:r>
      </w:hyperlink>
    </w:p>
    <w:p w14:paraId="67962ACB"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 xml:space="preserve">Kar, S.K., Bansal, R., and Mishra, S. (2021). Tesco: Entry and expansion strategy in India. Emerging Economies Cases Journal, 3(2), pp. 65–76. Retrieved from </w:t>
      </w:r>
      <w:hyperlink r:id="rId12" w:history="1">
        <w:r w:rsidRPr="00162029">
          <w:rPr>
            <w:rFonts w:ascii="AppleSystemUIFont" w:hAnsi="AppleSystemUIFont" w:cs="AppleSystemUIFont"/>
            <w:color w:val="DCA10D"/>
            <w:kern w:val="0"/>
            <w:u w:val="single" w:color="DCA10D"/>
          </w:rPr>
          <w:t>https://doi.org/10.1177/25166042211038465</w:t>
        </w:r>
      </w:hyperlink>
    </w:p>
    <w:p w14:paraId="06F497A0"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 xml:space="preserve">Martin, B. (2021). Supply chain disruptions: The risks and consequences, RAND Corporation. Retrieved from </w:t>
      </w:r>
      <w:hyperlink r:id="rId13" w:history="1">
        <w:r w:rsidRPr="00162029">
          <w:rPr>
            <w:rFonts w:ascii="AppleSystemUIFont" w:hAnsi="AppleSystemUIFont" w:cs="AppleSystemUIFont"/>
            <w:color w:val="DCA10D"/>
            <w:kern w:val="0"/>
            <w:u w:val="single" w:color="DCA10D"/>
          </w:rPr>
          <w:t>https://www.rand.org/blog/2021/11/supply-chain-disruptions-the-risks-and-consequences.html</w:t>
        </w:r>
      </w:hyperlink>
    </w:p>
    <w:p w14:paraId="70697B7C"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r w:rsidRPr="00162029">
        <w:rPr>
          <w:rFonts w:ascii="AppleSystemUIFont" w:hAnsi="AppleSystemUIFont" w:cs="AppleSystemUIFont"/>
          <w:kern w:val="0"/>
        </w:rPr>
        <w:t>New World Bank country classifications by income level: 2020-2021 (</w:t>
      </w:r>
      <w:proofErr w:type="spellStart"/>
      <w:r w:rsidRPr="00162029">
        <w:rPr>
          <w:rFonts w:ascii="AppleSystemUIFont" w:hAnsi="AppleSystemUIFont" w:cs="AppleSystemUIFont"/>
          <w:kern w:val="0"/>
        </w:rPr>
        <w:t>nd</w:t>
      </w:r>
      <w:proofErr w:type="spellEnd"/>
      <w:r w:rsidRPr="00162029">
        <w:rPr>
          <w:rFonts w:ascii="AppleSystemUIFont" w:hAnsi="AppleSystemUIFont" w:cs="AppleSystemUIFont"/>
          <w:kern w:val="0"/>
        </w:rPr>
        <w:t xml:space="preserve">). World Bank Blogs. Retrieved from </w:t>
      </w:r>
      <w:hyperlink r:id="rId14" w:history="1">
        <w:r w:rsidRPr="00162029">
          <w:rPr>
            <w:rFonts w:ascii="AppleSystemUIFont" w:hAnsi="AppleSystemUIFont" w:cs="AppleSystemUIFont"/>
            <w:color w:val="DCA10D"/>
            <w:kern w:val="0"/>
            <w:u w:val="single" w:color="DCA10D"/>
          </w:rPr>
          <w:t>https://blogs.worldbank.org/opendata/new-world-bank-country-classifications-income-level-2020-2021</w:t>
        </w:r>
      </w:hyperlink>
    </w:p>
    <w:p w14:paraId="19B34440" w14:textId="77777777" w:rsidR="00162029" w:rsidRPr="00162029" w:rsidRDefault="00162029" w:rsidP="00162029">
      <w:pPr>
        <w:numPr>
          <w:ilvl w:val="0"/>
          <w:numId w:val="7"/>
        </w:numPr>
        <w:autoSpaceDE w:val="0"/>
        <w:autoSpaceDN w:val="0"/>
        <w:adjustRightInd w:val="0"/>
        <w:ind w:left="0" w:firstLine="0"/>
        <w:rPr>
          <w:rFonts w:ascii="AppleSystemUIFont" w:hAnsi="AppleSystemUIFont" w:cs="AppleSystemUIFont"/>
          <w:kern w:val="0"/>
        </w:rPr>
      </w:pPr>
      <w:proofErr w:type="spellStart"/>
      <w:r w:rsidRPr="00162029">
        <w:rPr>
          <w:rFonts w:ascii="AppleSystemUIFont" w:hAnsi="AppleSystemUIFont" w:cs="AppleSystemUIFont"/>
          <w:kern w:val="0"/>
        </w:rPr>
        <w:t>Vedantu</w:t>
      </w:r>
      <w:proofErr w:type="spellEnd"/>
      <w:r w:rsidRPr="00162029">
        <w:rPr>
          <w:rFonts w:ascii="AppleSystemUIFont" w:hAnsi="AppleSystemUIFont" w:cs="AppleSystemUIFont"/>
          <w:kern w:val="0"/>
        </w:rPr>
        <w:t xml:space="preserve"> (2022). Importance of Natural Resources. Retrieved from </w:t>
      </w:r>
      <w:hyperlink r:id="rId15" w:history="1">
        <w:r w:rsidRPr="00162029">
          <w:rPr>
            <w:rFonts w:ascii="AppleSystemUIFont" w:hAnsi="AppleSystemUIFont" w:cs="AppleSystemUIFont"/>
            <w:color w:val="DCA10D"/>
            <w:kern w:val="0"/>
            <w:u w:val="single" w:color="DCA10D"/>
          </w:rPr>
          <w:t>https://www.vedantu.com/commerce/importance-of-natural-resources</w:t>
        </w:r>
      </w:hyperlink>
    </w:p>
    <w:p w14:paraId="0D4E1D00" w14:textId="77777777" w:rsidR="00162029" w:rsidRPr="00162029" w:rsidRDefault="00162029" w:rsidP="00162029">
      <w:pPr>
        <w:autoSpaceDE w:val="0"/>
        <w:autoSpaceDN w:val="0"/>
        <w:adjustRightInd w:val="0"/>
        <w:spacing w:after="40"/>
        <w:rPr>
          <w:rFonts w:ascii="AppleSystemUIFont" w:hAnsi="AppleSystemUIFont" w:cs="AppleSystemUIFont"/>
          <w:b/>
          <w:bCs/>
          <w:kern w:val="0"/>
        </w:rPr>
      </w:pPr>
      <w:r w:rsidRPr="00162029">
        <w:rPr>
          <w:rFonts w:ascii="AppleSystemUIFontItalic" w:hAnsi="AppleSystemUIFontItalic" w:cs="AppleSystemUIFontItalic"/>
          <w:i/>
          <w:iCs/>
          <w:kern w:val="0"/>
        </w:rPr>
        <w:t> </w:t>
      </w:r>
    </w:p>
    <w:p w14:paraId="08BB4300" w14:textId="77777777" w:rsidR="00162029" w:rsidRPr="00162029" w:rsidRDefault="00162029" w:rsidP="00162029">
      <w:pPr>
        <w:autoSpaceDE w:val="0"/>
        <w:autoSpaceDN w:val="0"/>
        <w:adjustRightInd w:val="0"/>
        <w:rPr>
          <w:rFonts w:ascii="AppleSystemUIFont" w:hAnsi="AppleSystemUIFont" w:cs="AppleSystemUIFont"/>
          <w:kern w:val="0"/>
        </w:rPr>
      </w:pPr>
    </w:p>
    <w:p w14:paraId="1C02E615" w14:textId="77777777" w:rsidR="00790737" w:rsidRPr="00162029" w:rsidRDefault="00790737" w:rsidP="00162029"/>
    <w:sectPr w:rsidR="00790737" w:rsidRPr="00162029" w:rsidSect="000001B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00000002">
      <w:start w:val="202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85D4B"/>
    <w:multiLevelType w:val="multilevel"/>
    <w:tmpl w:val="83107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1036D7"/>
    <w:multiLevelType w:val="multilevel"/>
    <w:tmpl w:val="3B64D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8E12F2"/>
    <w:multiLevelType w:val="multilevel"/>
    <w:tmpl w:val="00E00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F07E92"/>
    <w:multiLevelType w:val="multilevel"/>
    <w:tmpl w:val="1AC41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B31026"/>
    <w:multiLevelType w:val="multilevel"/>
    <w:tmpl w:val="67745F36"/>
    <w:lvl w:ilvl="0">
      <w:start w:val="1"/>
      <w:numFmt w:val="bullet"/>
      <w:lvlText w:val=""/>
      <w:lvlJc w:val="left"/>
      <w:pPr>
        <w:tabs>
          <w:tab w:val="num" w:pos="720"/>
        </w:tabs>
        <w:ind w:left="720" w:hanging="360"/>
      </w:pPr>
      <w:rPr>
        <w:rFonts w:ascii="Symbol" w:hAnsi="Symbol" w:hint="default"/>
        <w:sz w:val="20"/>
      </w:rPr>
    </w:lvl>
    <w:lvl w:ilvl="1">
      <w:start w:val="202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857101">
    <w:abstractNumId w:val="6"/>
  </w:num>
  <w:num w:numId="2" w16cid:durableId="368380895">
    <w:abstractNumId w:val="0"/>
  </w:num>
  <w:num w:numId="3" w16cid:durableId="2130859765">
    <w:abstractNumId w:val="2"/>
  </w:num>
  <w:num w:numId="4" w16cid:durableId="788622499">
    <w:abstractNumId w:val="3"/>
  </w:num>
  <w:num w:numId="5" w16cid:durableId="1515682004">
    <w:abstractNumId w:val="5"/>
  </w:num>
  <w:num w:numId="6" w16cid:durableId="2015957564">
    <w:abstractNumId w:val="4"/>
  </w:num>
  <w:num w:numId="7" w16cid:durableId="1540625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2C"/>
    <w:rsid w:val="000001B1"/>
    <w:rsid w:val="00162029"/>
    <w:rsid w:val="0016212C"/>
    <w:rsid w:val="001F30C8"/>
    <w:rsid w:val="006A1AB8"/>
    <w:rsid w:val="00790737"/>
    <w:rsid w:val="00BB7C84"/>
    <w:rsid w:val="00E63046"/>
    <w:rsid w:val="00E9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A9273"/>
  <w15:chartTrackingRefBased/>
  <w15:docId w15:val="{747EEAD2-9426-054F-B290-270424E8A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212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6212C"/>
    <w:rPr>
      <w:b/>
      <w:bCs/>
    </w:rPr>
  </w:style>
  <w:style w:type="character" w:styleId="Emphasis">
    <w:name w:val="Emphasis"/>
    <w:basedOn w:val="DefaultParagraphFont"/>
    <w:uiPriority w:val="20"/>
    <w:qFormat/>
    <w:rsid w:val="0016212C"/>
    <w:rPr>
      <w:i/>
      <w:iCs/>
    </w:rPr>
  </w:style>
  <w:style w:type="character" w:styleId="Hyperlink">
    <w:name w:val="Hyperlink"/>
    <w:basedOn w:val="DefaultParagraphFont"/>
    <w:uiPriority w:val="99"/>
    <w:semiHidden/>
    <w:unhideWhenUsed/>
    <w:rsid w:val="001621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3373">
      <w:bodyDiv w:val="1"/>
      <w:marLeft w:val="0"/>
      <w:marRight w:val="0"/>
      <w:marTop w:val="0"/>
      <w:marBottom w:val="0"/>
      <w:divBdr>
        <w:top w:val="none" w:sz="0" w:space="0" w:color="auto"/>
        <w:left w:val="none" w:sz="0" w:space="0" w:color="auto"/>
        <w:bottom w:val="none" w:sz="0" w:space="0" w:color="auto"/>
        <w:right w:val="none" w:sz="0" w:space="0" w:color="auto"/>
      </w:divBdr>
    </w:div>
    <w:div w:id="708722087">
      <w:bodyDiv w:val="1"/>
      <w:marLeft w:val="0"/>
      <w:marRight w:val="0"/>
      <w:marTop w:val="0"/>
      <w:marBottom w:val="0"/>
      <w:divBdr>
        <w:top w:val="none" w:sz="0" w:space="0" w:color="auto"/>
        <w:left w:val="none" w:sz="0" w:space="0" w:color="auto"/>
        <w:bottom w:val="none" w:sz="0" w:space="0" w:color="auto"/>
        <w:right w:val="none" w:sz="0" w:space="0" w:color="auto"/>
      </w:divBdr>
    </w:div>
    <w:div w:id="874732206">
      <w:bodyDiv w:val="1"/>
      <w:marLeft w:val="0"/>
      <w:marRight w:val="0"/>
      <w:marTop w:val="0"/>
      <w:marBottom w:val="0"/>
      <w:divBdr>
        <w:top w:val="none" w:sz="0" w:space="0" w:color="auto"/>
        <w:left w:val="none" w:sz="0" w:space="0" w:color="auto"/>
        <w:bottom w:val="none" w:sz="0" w:space="0" w:color="auto"/>
        <w:right w:val="none" w:sz="0" w:space="0" w:color="auto"/>
      </w:divBdr>
    </w:div>
    <w:div w:id="1096244873">
      <w:bodyDiv w:val="1"/>
      <w:marLeft w:val="0"/>
      <w:marRight w:val="0"/>
      <w:marTop w:val="0"/>
      <w:marBottom w:val="0"/>
      <w:divBdr>
        <w:top w:val="none" w:sz="0" w:space="0" w:color="auto"/>
        <w:left w:val="none" w:sz="0" w:space="0" w:color="auto"/>
        <w:bottom w:val="none" w:sz="0" w:space="0" w:color="auto"/>
        <w:right w:val="none" w:sz="0" w:space="0" w:color="auto"/>
      </w:divBdr>
    </w:div>
    <w:div w:id="1602375007">
      <w:bodyDiv w:val="1"/>
      <w:marLeft w:val="0"/>
      <w:marRight w:val="0"/>
      <w:marTop w:val="0"/>
      <w:marBottom w:val="0"/>
      <w:divBdr>
        <w:top w:val="none" w:sz="0" w:space="0" w:color="auto"/>
        <w:left w:val="none" w:sz="0" w:space="0" w:color="auto"/>
        <w:bottom w:val="none" w:sz="0" w:space="0" w:color="auto"/>
        <w:right w:val="none" w:sz="0" w:space="0" w:color="auto"/>
      </w:divBdr>
      <w:divsChild>
        <w:div w:id="131018291">
          <w:marLeft w:val="0"/>
          <w:marRight w:val="0"/>
          <w:marTop w:val="0"/>
          <w:marBottom w:val="0"/>
          <w:divBdr>
            <w:top w:val="single" w:sz="2" w:space="0" w:color="D9D9E3"/>
            <w:left w:val="single" w:sz="2" w:space="0" w:color="D9D9E3"/>
            <w:bottom w:val="single" w:sz="2" w:space="0" w:color="D9D9E3"/>
            <w:right w:val="single" w:sz="2" w:space="0" w:color="D9D9E3"/>
          </w:divBdr>
          <w:divsChild>
            <w:div w:id="51856152">
              <w:marLeft w:val="0"/>
              <w:marRight w:val="0"/>
              <w:marTop w:val="0"/>
              <w:marBottom w:val="0"/>
              <w:divBdr>
                <w:top w:val="single" w:sz="2" w:space="0" w:color="D9D9E3"/>
                <w:left w:val="single" w:sz="2" w:space="0" w:color="D9D9E3"/>
                <w:bottom w:val="single" w:sz="2" w:space="0" w:color="D9D9E3"/>
                <w:right w:val="single" w:sz="2" w:space="0" w:color="D9D9E3"/>
              </w:divBdr>
              <w:divsChild>
                <w:div w:id="568199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3161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4866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money.com/india-s-economy-3306348" TargetMode="External"/><Relationship Id="rId13" Type="http://schemas.openxmlformats.org/officeDocument/2006/relationships/hyperlink" Target="https://www.rand.org/blog/2021/11/supply-chain-disruptions-the-risks-and-consequences.html" TargetMode="External"/><Relationship Id="rId3" Type="http://schemas.openxmlformats.org/officeDocument/2006/relationships/styles" Target="styles.xml"/><Relationship Id="rId7" Type="http://schemas.openxmlformats.org/officeDocument/2006/relationships/hyperlink" Target="https://online.hbs.edu/blog/post/international-business-example" TargetMode="External"/><Relationship Id="rId12" Type="http://schemas.openxmlformats.org/officeDocument/2006/relationships/hyperlink" Target="https://doi.org/10.1177/2516604221103846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rchitexturez.net/doc/az-cf-21175" TargetMode="External"/><Relationship Id="rId5" Type="http://schemas.openxmlformats.org/officeDocument/2006/relationships/webSettings" Target="webSettings.xml"/><Relationship Id="rId15" Type="http://schemas.openxmlformats.org/officeDocument/2006/relationships/hyperlink" Target="https://www.vedantu.com/commerce/importance-of-natural-resources" TargetMode="External"/><Relationship Id="rId10" Type="http://schemas.openxmlformats.org/officeDocument/2006/relationships/hyperlink" Target="https://www.britannica.com/place/India" TargetMode="External"/><Relationship Id="rId4" Type="http://schemas.openxmlformats.org/officeDocument/2006/relationships/settings" Target="settings.xml"/><Relationship Id="rId9" Type="http://schemas.openxmlformats.org/officeDocument/2006/relationships/hyperlink" Target="https://doi.org/10.53846/goediss-7442" TargetMode="External"/><Relationship Id="rId14" Type="http://schemas.openxmlformats.org/officeDocument/2006/relationships/hyperlink" Target="https://blogs.worldbank.org/opendata/new-world-bank-country-classifications-income-level-20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78B07-8119-9943-B6F9-19510E45B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3239</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Otilia Dolea (2219572)</dc:creator>
  <cp:keywords/>
  <dc:description/>
  <cp:lastModifiedBy>Vladimir Stoyanov (2219021)</cp:lastModifiedBy>
  <cp:revision>2</cp:revision>
  <dcterms:created xsi:type="dcterms:W3CDTF">2023-12-21T11:55:00Z</dcterms:created>
  <dcterms:modified xsi:type="dcterms:W3CDTF">2023-12-21T11:55:00Z</dcterms:modified>
</cp:coreProperties>
</file>