
<file path=[Content_Types].xml><?xml version="1.0" encoding="utf-8"?>
<Types xmlns="http://schemas.openxmlformats.org/package/2006/content-types">
  <Default ContentType="image/png" Extension="png"/>
  <Default ContentType="image/x-emf" Extension="emf"/>
  <Default ContentType="application/vnd.openxmlformats-package.relationships+xml" Extension="rels"/>
  <Default ContentType="application/xml" Extension="xml"/>
  <Default ContentType="image/vnd.ms-photo" Extension="wdp"/>
  <Override ContentType="application/vnd.openxmlformats-officedocument.wordprocessingml.document.main+xml" PartName="/word/document.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settings+xml" PartName="/word/settings.xml"/>
  <Override ContentType="application/vnd.openxmlformats-officedocument.wordprocessingml.webSettings+xml" PartName="/word/webSettings.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theme+xml" PartName="/word/theme/theme1.xml"/>
  <Override ContentType="application/vnd.openxmlformats-package.core-properties+xml" PartName="/docProps/core.xml"/>
  <Override ContentType="application/vnd.openxmlformats-officedocument.extended-properties+xml" PartName="/docProps/app.xml"/>
  <Default ContentType="image/jpeg" Extension="jpeg"/>
  <Override ContentType="application/vnd.openxmlformats-officedocument.custom-properties+xml" PartName="/docProps/custom.xml"/>
</Types>
</file>

<file path=_rels/.rels><?xml version="1.0" encoding="UTF-8" standalone="yes" ?><Relationships xmlns="http://schemas.openxmlformats.org/package/2006/relationships"><Relationship Id="rId3" Target="docProps/core.xml" Type="http://schemas.openxmlformats.org/package/2006/relationships/metadata/core-properties"/><Relationship Id="rId2" Target="docProps/thumbnail.emf" Type="http://schemas.openxmlformats.org/package/2006/relationships/metadata/thumbnail"/><Relationship Id="rId1" Target="word/document.xml" Type="http://schemas.openxmlformats.org/officeDocument/2006/relationships/officeDocument"/><Relationship Id="rId4" Target="docProps/app.xml" Type="http://schemas.openxmlformats.org/officeDocument/2006/relationships/extended-properties"/><Relationship Id="rId5" Target="docProps/custom.xml" Type="http://schemas.openxmlformats.org/officeDocument/2006/relationships/custom-properties"/></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E6C91" w:rsidRPr="0013617A" w:rsidRDefault="00324A03" w:rsidP="00E151B9">
      <w:pPr>
        <w:jc w:val="center"/>
        <w:rPr>
          <w:rFonts w:cs="Times New Roman"/>
          <w:sz w:val="48"/>
        </w:rPr>
      </w:pPr>
      <w:r w:rsidRPr="0013617A">
        <w:rPr>
          <w:rFonts w:cs="Times New Roman"/>
          <w:noProof/>
          <w:lang w:eastAsia="en-GB"/>
        </w:rPr>
        <w:drawing>
          <wp:inline distT="0" distB="0" distL="0" distR="0" wp14:anchorId="25B010C2" wp14:editId="13A0094F">
            <wp:extent cx="1676400" cy="885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676400" cy="885825"/>
                    </a:xfrm>
                    <a:prstGeom prst="rect">
                      <a:avLst/>
                    </a:prstGeom>
                  </pic:spPr>
                </pic:pic>
              </a:graphicData>
            </a:graphic>
          </wp:inline>
        </w:drawing>
      </w:r>
    </w:p>
    <w:p w:rsidR="00FC0C92" w:rsidRPr="0013617A" w:rsidRDefault="00FC0C92" w:rsidP="00E151B9">
      <w:pPr>
        <w:jc w:val="center"/>
        <w:rPr>
          <w:rFonts w:cs="Times New Roman"/>
          <w:sz w:val="48"/>
        </w:rPr>
      </w:pPr>
    </w:p>
    <w:p w:rsidR="00BE6C91" w:rsidRPr="0013617A" w:rsidRDefault="00324A03" w:rsidP="00324A03">
      <w:pPr>
        <w:jc w:val="center"/>
        <w:rPr>
          <w:rFonts w:cs="Times New Roman"/>
          <w:sz w:val="32"/>
        </w:rPr>
      </w:pPr>
      <w:r w:rsidRPr="0013617A">
        <w:rPr>
          <w:rFonts w:cs="Times New Roman"/>
          <w:sz w:val="32"/>
        </w:rPr>
        <w:t>LCMB7024</w:t>
      </w:r>
    </w:p>
    <w:p w:rsidR="00BE6C91" w:rsidRPr="0013617A" w:rsidRDefault="00324A03" w:rsidP="00324A03">
      <w:pPr>
        <w:jc w:val="center"/>
        <w:rPr>
          <w:rFonts w:cs="Times New Roman"/>
          <w:sz w:val="32"/>
        </w:rPr>
      </w:pPr>
      <w:r w:rsidRPr="0013617A">
        <w:rPr>
          <w:rFonts w:cs="Times New Roman"/>
          <w:sz w:val="32"/>
        </w:rPr>
        <w:t>Marketing Management</w:t>
      </w:r>
    </w:p>
    <w:p w:rsidR="00324A03" w:rsidRPr="0013617A" w:rsidRDefault="00324A03" w:rsidP="00324A03">
      <w:pPr>
        <w:jc w:val="center"/>
        <w:rPr>
          <w:rFonts w:cs="Times New Roman"/>
          <w:sz w:val="32"/>
        </w:rPr>
      </w:pPr>
    </w:p>
    <w:p w:rsidR="00324A03" w:rsidRPr="0013617A" w:rsidRDefault="00324A03" w:rsidP="00324A03">
      <w:pPr>
        <w:jc w:val="center"/>
        <w:rPr>
          <w:rFonts w:cs="Times New Roman"/>
          <w:sz w:val="32"/>
        </w:rPr>
      </w:pPr>
      <w:r w:rsidRPr="0013617A">
        <w:rPr>
          <w:rFonts w:cs="Times New Roman"/>
          <w:sz w:val="32"/>
        </w:rPr>
        <w:t>Assessment component 2</w:t>
      </w:r>
    </w:p>
    <w:p w:rsidR="00324A03" w:rsidRPr="0013617A" w:rsidRDefault="00324A03" w:rsidP="00324A03">
      <w:pPr>
        <w:jc w:val="center"/>
        <w:rPr>
          <w:rFonts w:cs="Times New Roman"/>
          <w:sz w:val="32"/>
        </w:rPr>
      </w:pPr>
    </w:p>
    <w:p w:rsidR="00FC0C92" w:rsidRPr="0013617A" w:rsidRDefault="00324A03" w:rsidP="00324A03">
      <w:pPr>
        <w:jc w:val="center"/>
        <w:rPr>
          <w:rFonts w:cs="Times New Roman"/>
          <w:sz w:val="52"/>
        </w:rPr>
      </w:pPr>
      <w:r w:rsidRPr="0013617A">
        <w:rPr>
          <w:rFonts w:cs="Times New Roman"/>
          <w:sz w:val="28"/>
        </w:rPr>
        <w:t>Marketing Strategies Portfolio</w:t>
      </w:r>
      <w:r w:rsidRPr="0013617A">
        <w:rPr>
          <w:rFonts w:cs="Times New Roman"/>
          <w:sz w:val="52"/>
        </w:rPr>
        <w:t xml:space="preserve"> </w:t>
      </w:r>
    </w:p>
    <w:p w:rsidR="00CD1AC9" w:rsidRPr="0013617A" w:rsidRDefault="00CD1AC9" w:rsidP="00324A03">
      <w:pPr>
        <w:jc w:val="center"/>
        <w:rPr>
          <w:rFonts w:cs="Times New Roman"/>
          <w:sz w:val="52"/>
        </w:rPr>
      </w:pPr>
    </w:p>
    <w:p w:rsidR="00A765E0" w:rsidRPr="00A765E0" w:rsidRDefault="00B87CDD" w:rsidP="00A765E0">
      <w:pPr>
        <w:spacing w:line="259" w:lineRule="auto"/>
        <w:jc w:val="left"/>
        <w:rPr>
          <w:rFonts w:cs="Times New Roman"/>
          <w:sz w:val="52"/>
        </w:rPr>
      </w:pPr>
      <w:r>
        <w:rPr>
          <w:rFonts w:cs="Times New Roman"/>
          <w:sz w:val="52"/>
        </w:rPr>
        <w:br w:type="page"/>
      </w:r>
    </w:p>
    <w:p w:rsidR="00A765E0" w:rsidRDefault="00A765E0" w:rsidP="00A765E0">
      <w:pPr>
        <w:pStyle w:val="Heading1"/>
      </w:pPr>
      <w:bookmarkStart w:id="0" w:name="_Toc228473135"/>
      <w:r>
        <w:lastRenderedPageBreak/>
        <w:t>Abstract</w:t>
      </w:r>
      <w:bookmarkEnd w:id="0"/>
    </w:p>
    <w:p w:rsidR="00CD1AC9" w:rsidRPr="00A765E0" w:rsidRDefault="00A765E0" w:rsidP="00A765E0">
      <w:r w:rsidRPr="00A765E0">
        <w:t>This is a portfolio that offers a strategic brand extension by Revolut- Revolut Wealth+ integrated digital wealth management service that will serve mass affluent customers. The work includes the analysis of STDP, which has determined a targeted group Premium Multi-Product Revolut Users, 7Ps marketing mix based on freemium pricing and distribution in all channels, and a poster presentation. Examining this process through the Cycle of Gibbs, the following are some of the main skills that were acquired, such as evidence based strategic thinking, use of theory frameworks and visual communication. Crucially, it is only visible that digital-first trust-building in fintech must have elements of physical evidence such as interface design, printed statements, or flagship stores to offset the issue of intangible assets. Additional enhancements are stakeholder-simulation, prototype-checking, and competitor-war-games.</w:t>
      </w:r>
    </w:p>
    <w:p w:rsidR="00FC0C92" w:rsidRPr="0013617A" w:rsidRDefault="00FC0C92" w:rsidP="00324A03">
      <w:pPr>
        <w:jc w:val="center"/>
        <w:rPr>
          <w:rFonts w:cs="Times New Roman"/>
          <w:sz w:val="52"/>
        </w:rPr>
      </w:pPr>
    </w:p>
    <w:p w:rsidR="00FC0C92" w:rsidRPr="0013617A" w:rsidRDefault="00FC0C92" w:rsidP="00324A03">
      <w:pPr>
        <w:jc w:val="center"/>
        <w:rPr>
          <w:rFonts w:cs="Times New Roman"/>
          <w:sz w:val="52"/>
        </w:rPr>
      </w:pPr>
    </w:p>
    <w:p w:rsidR="00FC0C92" w:rsidRPr="0013617A" w:rsidRDefault="00FC0C92" w:rsidP="00324A03">
      <w:pPr>
        <w:jc w:val="center"/>
        <w:rPr>
          <w:rFonts w:cs="Times New Roman"/>
          <w:sz w:val="52"/>
        </w:rPr>
      </w:pPr>
    </w:p>
    <w:p w:rsidR="00324A03" w:rsidRPr="0013617A" w:rsidRDefault="00324A03" w:rsidP="00FC0C92">
      <w:pPr>
        <w:rPr>
          <w:rFonts w:cs="Times New Roman"/>
          <w:sz w:val="32"/>
        </w:rPr>
      </w:pPr>
      <w:r w:rsidRPr="0013617A">
        <w:rPr>
          <w:rFonts w:cs="Times New Roman"/>
        </w:rPr>
        <w:br w:type="page"/>
      </w:r>
    </w:p>
    <w:sdt>
      <w:sdtPr>
        <w:rPr>
          <w:rFonts w:ascii="Times New Roman" w:eastAsiaTheme="minorHAnsi" w:hAnsi="Times New Roman" w:cs="Times New Roman"/>
          <w:color w:val="auto"/>
          <w:sz w:val="24"/>
          <w:szCs w:val="22"/>
          <w:lang w:val="en-GB"/>
        </w:rPr>
        <w:id w:val="-2031014889"/>
        <w:docPartObj>
          <w:docPartGallery w:val="Table of Contents"/>
          <w:docPartUnique/>
        </w:docPartObj>
      </w:sdtPr>
      <w:sdtEndPr>
        <w:rPr>
          <w:b/>
          <w:bCs/>
          <w:noProof/>
        </w:rPr>
      </w:sdtEndPr>
      <w:sdtContent>
        <w:p w:rsidR="00312DCF" w:rsidRPr="0013617A" w:rsidRDefault="00312DCF" w:rsidP="00312DCF">
          <w:pPr>
            <w:pStyle w:val="TOCHeading"/>
            <w:jc w:val="center"/>
            <w:rPr>
              <w:rFonts w:ascii="Times New Roman" w:hAnsi="Times New Roman" w:cs="Times New Roman"/>
            </w:rPr>
          </w:pPr>
          <w:r w:rsidRPr="0013617A">
            <w:rPr>
              <w:rFonts w:ascii="Times New Roman" w:hAnsi="Times New Roman" w:cs="Times New Roman"/>
            </w:rPr>
            <w:t>Table of Contents</w:t>
          </w:r>
        </w:p>
        <w:p w:rsidR="00D35640" w:rsidRDefault="00312DCF">
          <w:pPr>
            <w:pStyle w:val="TOC1"/>
            <w:tabs>
              <w:tab w:val="right" w:leader="dot" w:pos="9350"/>
            </w:tabs>
            <w:rPr>
              <w:rFonts w:asciiTheme="minorHAnsi" w:eastAsiaTheme="minorEastAsia" w:hAnsiTheme="minorHAnsi"/>
              <w:noProof/>
              <w:sz w:val="22"/>
              <w:lang w:eastAsia="en-GB"/>
            </w:rPr>
          </w:pPr>
          <w:r w:rsidRPr="0013617A">
            <w:rPr>
              <w:rFonts w:cs="Times New Roman"/>
            </w:rPr>
            <w:fldChar w:fldCharType="begin"/>
          </w:r>
          <w:r w:rsidRPr="0013617A">
            <w:rPr>
              <w:rFonts w:cs="Times New Roman"/>
            </w:rPr>
            <w:instrText xml:space="preserve"> TOC \o "1-3" \h \z \u </w:instrText>
          </w:r>
          <w:r w:rsidRPr="0013617A">
            <w:rPr>
              <w:rFonts w:cs="Times New Roman"/>
            </w:rPr>
            <w:fldChar w:fldCharType="separate"/>
          </w:r>
          <w:hyperlink w:anchor="_Toc228473135" w:history="1">
            <w:r w:rsidR="00D35640" w:rsidRPr="00BD354F">
              <w:rPr>
                <w:rStyle w:val="Hyperlink"/>
                <w:noProof/>
              </w:rPr>
              <w:t>Abstract</w:t>
            </w:r>
            <w:r w:rsidR="00D35640">
              <w:rPr>
                <w:noProof/>
                <w:webHidden/>
              </w:rPr>
              <w:tab/>
            </w:r>
            <w:r w:rsidR="00D35640">
              <w:rPr>
                <w:noProof/>
                <w:webHidden/>
              </w:rPr>
              <w:fldChar w:fldCharType="begin"/>
            </w:r>
            <w:r w:rsidR="00D35640">
              <w:rPr>
                <w:noProof/>
                <w:webHidden/>
              </w:rPr>
              <w:instrText xml:space="preserve"> PAGEREF _Toc228473135 \h </w:instrText>
            </w:r>
            <w:r w:rsidR="00D35640">
              <w:rPr>
                <w:noProof/>
                <w:webHidden/>
              </w:rPr>
            </w:r>
            <w:r w:rsidR="00D35640">
              <w:rPr>
                <w:noProof/>
                <w:webHidden/>
              </w:rPr>
              <w:fldChar w:fldCharType="separate"/>
            </w:r>
            <w:r w:rsidR="00D35640">
              <w:rPr>
                <w:noProof/>
                <w:webHidden/>
              </w:rPr>
              <w:t>2</w:t>
            </w:r>
            <w:r w:rsidR="00D35640">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36" w:history="1">
            <w:r w:rsidRPr="00BD354F">
              <w:rPr>
                <w:rStyle w:val="Hyperlink"/>
                <w:rFonts w:cs="Times New Roman"/>
                <w:noProof/>
              </w:rPr>
              <w:t>Introduction</w:t>
            </w:r>
            <w:r>
              <w:rPr>
                <w:noProof/>
                <w:webHidden/>
              </w:rPr>
              <w:tab/>
            </w:r>
            <w:r>
              <w:rPr>
                <w:noProof/>
                <w:webHidden/>
              </w:rPr>
              <w:fldChar w:fldCharType="begin"/>
            </w:r>
            <w:r>
              <w:rPr>
                <w:noProof/>
                <w:webHidden/>
              </w:rPr>
              <w:instrText xml:space="preserve"> PAGEREF _Toc228473136 \h </w:instrText>
            </w:r>
            <w:r>
              <w:rPr>
                <w:noProof/>
                <w:webHidden/>
              </w:rPr>
            </w:r>
            <w:r>
              <w:rPr>
                <w:noProof/>
                <w:webHidden/>
              </w:rPr>
              <w:fldChar w:fldCharType="separate"/>
            </w:r>
            <w:r>
              <w:rPr>
                <w:noProof/>
                <w:webHidden/>
              </w:rPr>
              <w:t>4</w:t>
            </w:r>
            <w:r>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37" w:history="1">
            <w:r w:rsidRPr="00BD354F">
              <w:rPr>
                <w:rStyle w:val="Hyperlink"/>
                <w:noProof/>
              </w:rPr>
              <w:t>Element 1: Brand Extension Poster Presentation</w:t>
            </w:r>
            <w:r>
              <w:rPr>
                <w:noProof/>
                <w:webHidden/>
              </w:rPr>
              <w:tab/>
            </w:r>
            <w:r>
              <w:rPr>
                <w:noProof/>
                <w:webHidden/>
              </w:rPr>
              <w:fldChar w:fldCharType="begin"/>
            </w:r>
            <w:r>
              <w:rPr>
                <w:noProof/>
                <w:webHidden/>
              </w:rPr>
              <w:instrText xml:space="preserve"> PAGEREF _Toc228473137 \h </w:instrText>
            </w:r>
            <w:r>
              <w:rPr>
                <w:noProof/>
                <w:webHidden/>
              </w:rPr>
            </w:r>
            <w:r>
              <w:rPr>
                <w:noProof/>
                <w:webHidden/>
              </w:rPr>
              <w:fldChar w:fldCharType="separate"/>
            </w:r>
            <w:r>
              <w:rPr>
                <w:noProof/>
                <w:webHidden/>
              </w:rPr>
              <w:t>5</w:t>
            </w:r>
            <w:r>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38" w:history="1">
            <w:r w:rsidRPr="00BD354F">
              <w:rPr>
                <w:rStyle w:val="Hyperlink"/>
                <w:noProof/>
              </w:rPr>
              <w:t>Element 2: Segmentation, Targeting, Differentiation and Positioning (STDP) Analysis.</w:t>
            </w:r>
            <w:r>
              <w:rPr>
                <w:noProof/>
                <w:webHidden/>
              </w:rPr>
              <w:tab/>
            </w:r>
            <w:r>
              <w:rPr>
                <w:noProof/>
                <w:webHidden/>
              </w:rPr>
              <w:fldChar w:fldCharType="begin"/>
            </w:r>
            <w:r>
              <w:rPr>
                <w:noProof/>
                <w:webHidden/>
              </w:rPr>
              <w:instrText xml:space="preserve"> PAGEREF _Toc228473138 \h </w:instrText>
            </w:r>
            <w:r>
              <w:rPr>
                <w:noProof/>
                <w:webHidden/>
              </w:rPr>
            </w:r>
            <w:r>
              <w:rPr>
                <w:noProof/>
                <w:webHidden/>
              </w:rPr>
              <w:fldChar w:fldCharType="separate"/>
            </w:r>
            <w:r>
              <w:rPr>
                <w:noProof/>
                <w:webHidden/>
              </w:rPr>
              <w:t>8</w:t>
            </w:r>
            <w:r>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39" w:history="1">
            <w:r w:rsidRPr="00BD354F">
              <w:rPr>
                <w:rStyle w:val="Hyperlink"/>
                <w:noProof/>
              </w:rPr>
              <w:t>Element 3: Marketing Mix (7Ps) of Revolut Wealth+.</w:t>
            </w:r>
            <w:r>
              <w:rPr>
                <w:noProof/>
                <w:webHidden/>
              </w:rPr>
              <w:tab/>
            </w:r>
            <w:r>
              <w:rPr>
                <w:noProof/>
                <w:webHidden/>
              </w:rPr>
              <w:fldChar w:fldCharType="begin"/>
            </w:r>
            <w:r>
              <w:rPr>
                <w:noProof/>
                <w:webHidden/>
              </w:rPr>
              <w:instrText xml:space="preserve"> PAGEREF _Toc228473139 \h </w:instrText>
            </w:r>
            <w:r>
              <w:rPr>
                <w:noProof/>
                <w:webHidden/>
              </w:rPr>
            </w:r>
            <w:r>
              <w:rPr>
                <w:noProof/>
                <w:webHidden/>
              </w:rPr>
              <w:fldChar w:fldCharType="separate"/>
            </w:r>
            <w:r>
              <w:rPr>
                <w:noProof/>
                <w:webHidden/>
              </w:rPr>
              <w:t>12</w:t>
            </w:r>
            <w:r>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40" w:history="1">
            <w:r w:rsidRPr="00BD354F">
              <w:rPr>
                <w:rStyle w:val="Hyperlink"/>
                <w:noProof/>
              </w:rPr>
              <w:t>Element 4: Reflection</w:t>
            </w:r>
            <w:r>
              <w:rPr>
                <w:noProof/>
                <w:webHidden/>
              </w:rPr>
              <w:tab/>
            </w:r>
            <w:r>
              <w:rPr>
                <w:noProof/>
                <w:webHidden/>
              </w:rPr>
              <w:fldChar w:fldCharType="begin"/>
            </w:r>
            <w:r>
              <w:rPr>
                <w:noProof/>
                <w:webHidden/>
              </w:rPr>
              <w:instrText xml:space="preserve"> PAGEREF _Toc228473140 \h </w:instrText>
            </w:r>
            <w:r>
              <w:rPr>
                <w:noProof/>
                <w:webHidden/>
              </w:rPr>
            </w:r>
            <w:r>
              <w:rPr>
                <w:noProof/>
                <w:webHidden/>
              </w:rPr>
              <w:fldChar w:fldCharType="separate"/>
            </w:r>
            <w:r>
              <w:rPr>
                <w:noProof/>
                <w:webHidden/>
              </w:rPr>
              <w:t>15</w:t>
            </w:r>
            <w:r>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41" w:history="1">
            <w:r w:rsidRPr="00BD354F">
              <w:rPr>
                <w:rStyle w:val="Hyperlink"/>
                <w:rFonts w:cs="Times New Roman"/>
                <w:noProof/>
              </w:rPr>
              <w:t>Conclusion</w:t>
            </w:r>
            <w:r>
              <w:rPr>
                <w:noProof/>
                <w:webHidden/>
              </w:rPr>
              <w:tab/>
            </w:r>
            <w:r>
              <w:rPr>
                <w:noProof/>
                <w:webHidden/>
              </w:rPr>
              <w:fldChar w:fldCharType="begin"/>
            </w:r>
            <w:r>
              <w:rPr>
                <w:noProof/>
                <w:webHidden/>
              </w:rPr>
              <w:instrText xml:space="preserve"> PAGEREF _Toc228473141 \h </w:instrText>
            </w:r>
            <w:r>
              <w:rPr>
                <w:noProof/>
                <w:webHidden/>
              </w:rPr>
            </w:r>
            <w:r>
              <w:rPr>
                <w:noProof/>
                <w:webHidden/>
              </w:rPr>
              <w:fldChar w:fldCharType="separate"/>
            </w:r>
            <w:r>
              <w:rPr>
                <w:noProof/>
                <w:webHidden/>
              </w:rPr>
              <w:t>18</w:t>
            </w:r>
            <w:r>
              <w:rPr>
                <w:noProof/>
                <w:webHidden/>
              </w:rPr>
              <w:fldChar w:fldCharType="end"/>
            </w:r>
          </w:hyperlink>
        </w:p>
        <w:p w:rsidR="00D35640" w:rsidRDefault="00D35640">
          <w:pPr>
            <w:pStyle w:val="TOC1"/>
            <w:tabs>
              <w:tab w:val="right" w:leader="dot" w:pos="9350"/>
            </w:tabs>
            <w:rPr>
              <w:rFonts w:asciiTheme="minorHAnsi" w:eastAsiaTheme="minorEastAsia" w:hAnsiTheme="minorHAnsi"/>
              <w:noProof/>
              <w:sz w:val="22"/>
              <w:lang w:eastAsia="en-GB"/>
            </w:rPr>
          </w:pPr>
          <w:hyperlink w:anchor="_Toc228473142" w:history="1">
            <w:r w:rsidRPr="00BD354F">
              <w:rPr>
                <w:rStyle w:val="Hyperlink"/>
                <w:rFonts w:cs="Times New Roman"/>
                <w:noProof/>
              </w:rPr>
              <w:t>References</w:t>
            </w:r>
            <w:r>
              <w:rPr>
                <w:noProof/>
                <w:webHidden/>
              </w:rPr>
              <w:tab/>
            </w:r>
            <w:r>
              <w:rPr>
                <w:noProof/>
                <w:webHidden/>
              </w:rPr>
              <w:fldChar w:fldCharType="begin"/>
            </w:r>
            <w:r>
              <w:rPr>
                <w:noProof/>
                <w:webHidden/>
              </w:rPr>
              <w:instrText xml:space="preserve"> PAGEREF _Toc228473142 \h </w:instrText>
            </w:r>
            <w:r>
              <w:rPr>
                <w:noProof/>
                <w:webHidden/>
              </w:rPr>
            </w:r>
            <w:r>
              <w:rPr>
                <w:noProof/>
                <w:webHidden/>
              </w:rPr>
              <w:fldChar w:fldCharType="separate"/>
            </w:r>
            <w:r>
              <w:rPr>
                <w:noProof/>
                <w:webHidden/>
              </w:rPr>
              <w:t>19</w:t>
            </w:r>
            <w:r>
              <w:rPr>
                <w:noProof/>
                <w:webHidden/>
              </w:rPr>
              <w:fldChar w:fldCharType="end"/>
            </w:r>
          </w:hyperlink>
        </w:p>
        <w:p w:rsidR="00312DCF" w:rsidRPr="0013617A" w:rsidRDefault="00312DCF">
          <w:pPr>
            <w:rPr>
              <w:rFonts w:cs="Times New Roman"/>
            </w:rPr>
          </w:pPr>
          <w:r w:rsidRPr="0013617A">
            <w:rPr>
              <w:rFonts w:cs="Times New Roman"/>
              <w:b/>
              <w:bCs/>
              <w:noProof/>
            </w:rPr>
            <w:fldChar w:fldCharType="end"/>
          </w:r>
        </w:p>
      </w:sdtContent>
    </w:sdt>
    <w:p w:rsidR="00312DCF" w:rsidRPr="0013617A" w:rsidRDefault="00292FA0" w:rsidP="00312DCF">
      <w:pPr>
        <w:spacing w:line="259" w:lineRule="auto"/>
        <w:jc w:val="left"/>
        <w:rPr>
          <w:rFonts w:cs="Times New Roman"/>
        </w:rPr>
      </w:pPr>
      <w:r w:rsidRPr="0013617A">
        <w:rPr>
          <w:rFonts w:cs="Times New Roman"/>
        </w:rPr>
        <w:br w:type="page"/>
      </w:r>
    </w:p>
    <w:p w:rsidR="00312DCF" w:rsidRPr="0013617A" w:rsidRDefault="00312DCF" w:rsidP="00312DCF">
      <w:pPr>
        <w:pStyle w:val="Heading1"/>
        <w:rPr>
          <w:rFonts w:cs="Times New Roman"/>
        </w:rPr>
      </w:pPr>
      <w:bookmarkStart w:id="1" w:name="_Toc228473136"/>
      <w:r w:rsidRPr="0013617A">
        <w:rPr>
          <w:rFonts w:cs="Times New Roman"/>
        </w:rPr>
        <w:t>Introduction</w:t>
      </w:r>
      <w:bookmarkEnd w:id="1"/>
    </w:p>
    <w:p w:rsidR="00312DCF" w:rsidRPr="0013617A" w:rsidRDefault="00312DCF" w:rsidP="00312DCF">
      <w:pPr>
        <w:rPr>
          <w:rFonts w:cs="Times New Roman"/>
        </w:rPr>
      </w:pPr>
      <w:r w:rsidRPr="0013617A">
        <w:rPr>
          <w:rFonts w:cs="Times New Roman"/>
        </w:rPr>
        <w:t xml:space="preserve">Launched in 2015, Revolut has expanded to become a global financial powerhouse, combining into a single financial super app that serves more than 70 million retail customers in over 200 currencies. The 2025 performance of the company indicates a revenue growth of 46 to reach to a level of 5.2 billion millions of euros and an increase in profit after taxes by 57% with increased customer activities in the lending as well as trading products. At the point when Revolut shifts to disruptor to a credible primary banking provider, brand development is at core of its growth strategy. This portfolio will include a strategic brand extension: Revolut Wealth+ - a combined digital wealth manager which provides personalised investment consultancy, automated portfolio management, and lifestyle-linked allocation of assets. </w:t>
      </w:r>
    </w:p>
    <w:p w:rsidR="006460D2" w:rsidRPr="0013617A" w:rsidRDefault="006460D2" w:rsidP="00F515C6">
      <w:pPr>
        <w:spacing w:line="259" w:lineRule="auto"/>
        <w:jc w:val="center"/>
        <w:rPr>
          <w:rFonts w:cs="Times New Roman"/>
        </w:rPr>
      </w:pPr>
      <w:r w:rsidRPr="0013617A">
        <w:rPr>
          <w:rFonts w:cs="Times New Roman"/>
          <w:noProof/>
          <w:lang w:eastAsia="en-GB"/>
        </w:rPr>
        <w:drawing>
          <wp:inline distT="0" distB="0" distL="0" distR="0" wp14:anchorId="3BF986AD" wp14:editId="31A5876C">
            <wp:extent cx="2648320" cy="244826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48320" cy="2448267"/>
                    </a:xfrm>
                    <a:prstGeom prst="rect">
                      <a:avLst/>
                    </a:prstGeom>
                  </pic:spPr>
                </pic:pic>
              </a:graphicData>
            </a:graphic>
          </wp:inline>
        </w:drawing>
      </w:r>
    </w:p>
    <w:p w:rsidR="0023465E" w:rsidRDefault="00F515C6" w:rsidP="00F515C6">
      <w:pPr>
        <w:spacing w:line="259" w:lineRule="auto"/>
        <w:jc w:val="center"/>
        <w:rPr>
          <w:rFonts w:cs="Times New Roman"/>
        </w:rPr>
      </w:pPr>
      <w:r w:rsidRPr="0013617A">
        <w:rPr>
          <w:rFonts w:cs="Times New Roman"/>
        </w:rPr>
        <w:t xml:space="preserve">Figure: Revolut </w:t>
      </w:r>
      <w:r w:rsidR="00EB3D24" w:rsidRPr="0013617A">
        <w:rPr>
          <w:rFonts w:cs="Times New Roman"/>
        </w:rPr>
        <w:t>(</w:t>
      </w:r>
      <w:r w:rsidR="00165D81">
        <w:rPr>
          <w:rFonts w:cs="Times New Roman"/>
        </w:rPr>
        <w:t>Zafin, 2024</w:t>
      </w:r>
      <w:r w:rsidR="00EB3D24" w:rsidRPr="0013617A">
        <w:rPr>
          <w:rFonts w:cs="Times New Roman"/>
        </w:rPr>
        <w:t>).</w:t>
      </w:r>
    </w:p>
    <w:p w:rsidR="0023465E" w:rsidRDefault="0023465E">
      <w:pPr>
        <w:spacing w:line="259" w:lineRule="auto"/>
        <w:jc w:val="left"/>
        <w:rPr>
          <w:rFonts w:cs="Times New Roman"/>
        </w:rPr>
      </w:pPr>
      <w:r>
        <w:rPr>
          <w:rFonts w:cs="Times New Roman"/>
        </w:rPr>
        <w:br w:type="page"/>
      </w:r>
    </w:p>
    <w:p w:rsidR="001B518B" w:rsidRDefault="0023465E" w:rsidP="0037533D">
      <w:pPr>
        <w:pStyle w:val="Heading1"/>
      </w:pPr>
      <w:bookmarkStart w:id="2" w:name="_Toc228473137"/>
      <w:r w:rsidRPr="0023465E">
        <w:t>Element 1: Brand Extension Poster Presentation</w:t>
      </w:r>
      <w:bookmarkEnd w:id="2"/>
    </w:p>
    <w:p w:rsidR="00C55D57" w:rsidRDefault="0023465E" w:rsidP="007E0AB8">
      <w:r w:rsidRPr="0023465E">
        <w:t xml:space="preserve"> </w:t>
      </w:r>
      <w:r w:rsidR="001B518B" w:rsidRPr="007E0AB8">
        <w:drawing>
          <wp:inline distT="0" distB="0" distL="0" distR="0" wp14:anchorId="0D68EFF1" wp14:editId="3E22CE1A">
            <wp:extent cx="5686425" cy="71247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86425" cy="7124700"/>
                    </a:xfrm>
                    <a:prstGeom prst="rect">
                      <a:avLst/>
                    </a:prstGeom>
                  </pic:spPr>
                </pic:pic>
              </a:graphicData>
            </a:graphic>
          </wp:inline>
        </w:drawing>
      </w:r>
    </w:p>
    <w:p w:rsidR="001B518B" w:rsidRPr="001B518B" w:rsidRDefault="001B518B" w:rsidP="001B518B"/>
    <w:p w:rsidR="00C55D57" w:rsidRPr="00601B1A" w:rsidRDefault="00C55D57" w:rsidP="00601B1A">
      <w:pPr>
        <w:jc w:val="center"/>
        <w:rPr>
          <w:sz w:val="28"/>
        </w:rPr>
      </w:pPr>
      <w:bookmarkStart w:id="3" w:name="_Toc226279984"/>
      <w:r w:rsidRPr="00601B1A">
        <w:rPr>
          <w:sz w:val="28"/>
        </w:rPr>
        <w:t>Why the Brand Extension Would Appeal to the Current Market</w:t>
      </w:r>
      <w:bookmarkEnd w:id="3"/>
    </w:p>
    <w:p w:rsidR="00C55D57" w:rsidRDefault="00C55D57" w:rsidP="00C55D57">
      <w:r>
        <w:t xml:space="preserve">The current platform of Revolut already addresses these needs, and further expanding its brand to other segments such as sustainable financial services or investment offerings that are eco-friendly would provide an opportunity to exploit this emerging trend </w:t>
      </w:r>
      <w:r w:rsidRPr="00EA498B">
        <w:t>(</w:t>
      </w:r>
      <w:r>
        <w:rPr>
          <w:rFonts w:eastAsia="Times New Roman"/>
        </w:rPr>
        <w:t xml:space="preserve">Kunar et al, </w:t>
      </w:r>
      <w:r w:rsidRPr="00EA498B">
        <w:t>2020)</w:t>
      </w:r>
      <w:r>
        <w:t xml:space="preserve">. </w:t>
      </w:r>
      <w:r w:rsidR="00C57656">
        <w:t xml:space="preserve"> </w:t>
      </w:r>
      <w:r>
        <w:t xml:space="preserve">As a company with already existing trust and user base, Revolut may expand by providing green investment plans, carbon offset products, or sustainability payment solutions to fulfill the preferences </w:t>
      </w:r>
      <w:r w:rsidRPr="00EA498B">
        <w:t>(Smith</w:t>
      </w:r>
      <w:r w:rsidRPr="00EA498B">
        <w:rPr>
          <w:rFonts w:eastAsia="Times New Roman"/>
        </w:rPr>
        <w:t xml:space="preserve"> </w:t>
      </w:r>
      <w:r>
        <w:rPr>
          <w:rFonts w:eastAsia="Times New Roman"/>
        </w:rPr>
        <w:t xml:space="preserve">et al, </w:t>
      </w:r>
      <w:r w:rsidRPr="00EA498B">
        <w:t>2022)</w:t>
      </w:r>
      <w:r>
        <w:t xml:space="preserve">. </w:t>
      </w:r>
    </w:p>
    <w:p w:rsidR="00121B8F" w:rsidRDefault="00121B8F" w:rsidP="00121B8F">
      <w:pPr>
        <w:jc w:val="center"/>
      </w:pPr>
      <w:r>
        <w:rPr>
          <w:noProof/>
          <w:lang w:eastAsia="en-GB"/>
        </w:rPr>
        <w:drawing>
          <wp:inline distT="0" distB="0" distL="0" distR="0" wp14:anchorId="53BCF9F7" wp14:editId="6D9E7892">
            <wp:extent cx="4343400" cy="2343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43400" cy="2343150"/>
                    </a:xfrm>
                    <a:prstGeom prst="rect">
                      <a:avLst/>
                    </a:prstGeom>
                  </pic:spPr>
                </pic:pic>
              </a:graphicData>
            </a:graphic>
          </wp:inline>
        </w:drawing>
      </w:r>
    </w:p>
    <w:p w:rsidR="00121B8F" w:rsidRDefault="00121B8F" w:rsidP="00121B8F">
      <w:pPr>
        <w:jc w:val="center"/>
      </w:pPr>
      <w:r w:rsidRPr="00121B8F">
        <w:t>Figure 1: Brand Development Strategies</w:t>
      </w:r>
      <w:r w:rsidR="00133C3A">
        <w:t xml:space="preserve"> </w:t>
      </w:r>
      <w:r w:rsidR="00133C3A" w:rsidRPr="00EA498B">
        <w:t>(Thompson</w:t>
      </w:r>
      <w:r w:rsidR="00133C3A">
        <w:rPr>
          <w:rFonts w:eastAsia="Times New Roman"/>
        </w:rPr>
        <w:t xml:space="preserve"> et al, </w:t>
      </w:r>
      <w:r w:rsidR="00133C3A" w:rsidRPr="00EA498B">
        <w:t>2023)</w:t>
      </w:r>
      <w:r w:rsidR="00133C3A">
        <w:t>.</w:t>
      </w:r>
    </w:p>
    <w:p w:rsidR="00C55D57" w:rsidRPr="00601B1A" w:rsidRDefault="00C55D57" w:rsidP="00601B1A">
      <w:pPr>
        <w:jc w:val="center"/>
        <w:rPr>
          <w:sz w:val="28"/>
        </w:rPr>
      </w:pPr>
      <w:bookmarkStart w:id="4" w:name="_Toc226279985"/>
      <w:r w:rsidRPr="00601B1A">
        <w:rPr>
          <w:sz w:val="28"/>
        </w:rPr>
        <w:t>Alignment with Sustainability Goals</w:t>
      </w:r>
      <w:bookmarkEnd w:id="4"/>
    </w:p>
    <w:p w:rsidR="00C57656" w:rsidRPr="00EA498B" w:rsidRDefault="00C55D57" w:rsidP="00C55D57">
      <w:r>
        <w:t xml:space="preserve">An extension of the Revolut brand can be based on the environmental issue of eco-consumable financial services, including the provision of carbon footprint trackers, ethically managed investment funds, or the financing of sustainable organisations. </w:t>
      </w:r>
      <w:r w:rsidR="00C57656">
        <w:t xml:space="preserve"> </w:t>
      </w:r>
      <w:r>
        <w:t xml:space="preserve">Since customers are increasingly asking companies to become more sustainable, Revolut should transition to sustainable finance because it is related to global sustainability and the growing pressure on corporations to be responsible in the financial sector </w:t>
      </w:r>
      <w:r w:rsidRPr="00EA498B">
        <w:t>(</w:t>
      </w:r>
      <w:r>
        <w:rPr>
          <w:rFonts w:eastAsia="Times New Roman"/>
        </w:rPr>
        <w:t xml:space="preserve">Kunar et al, </w:t>
      </w:r>
      <w:r w:rsidRPr="00EA498B">
        <w:t>2020)</w:t>
      </w:r>
      <w:r>
        <w:t xml:space="preserve">. </w:t>
      </w:r>
    </w:p>
    <w:p w:rsidR="00C55D57" w:rsidRPr="00601B1A" w:rsidRDefault="00C55D57" w:rsidP="00601B1A">
      <w:pPr>
        <w:jc w:val="center"/>
        <w:rPr>
          <w:sz w:val="28"/>
        </w:rPr>
      </w:pPr>
      <w:bookmarkStart w:id="5" w:name="_Toc226279986"/>
      <w:r w:rsidRPr="00601B1A">
        <w:rPr>
          <w:sz w:val="28"/>
        </w:rPr>
        <w:t>Persuasiveness of the Brand Extension</w:t>
      </w:r>
      <w:bookmarkEnd w:id="5"/>
    </w:p>
    <w:p w:rsidR="00133C3A" w:rsidRDefault="00C55D57" w:rsidP="00C55D57">
      <w:r>
        <w:t xml:space="preserve">The brand with extension will rest on the prevalence of Trust and the added advantage of sustainability being offered by Revolut and the company will be able to appeal to both the market of tech-friendly people and the environmentalists </w:t>
      </w:r>
      <w:r w:rsidRPr="00EA498B">
        <w:t>(</w:t>
      </w:r>
      <w:r>
        <w:rPr>
          <w:rFonts w:eastAsia="Times New Roman"/>
        </w:rPr>
        <w:t xml:space="preserve">Kunar et al, </w:t>
      </w:r>
      <w:r w:rsidRPr="00EA498B">
        <w:t>2020)</w:t>
      </w:r>
      <w:r>
        <w:t xml:space="preserve">. </w:t>
      </w:r>
    </w:p>
    <w:p w:rsidR="00312DCF" w:rsidRPr="005C654E" w:rsidRDefault="00312DCF" w:rsidP="005C654E">
      <w:pPr>
        <w:pStyle w:val="Heading1"/>
      </w:pPr>
      <w:bookmarkStart w:id="6" w:name="_Toc228473138"/>
      <w:r w:rsidRPr="005C654E">
        <w:t>Element 2: Segmentation, Targeting, Differentiation and Positioning (STDP) Analysis.</w:t>
      </w:r>
      <w:bookmarkEnd w:id="6"/>
    </w:p>
    <w:p w:rsidR="00312DCF" w:rsidRPr="0013617A" w:rsidRDefault="00312DCF" w:rsidP="00312DCF">
      <w:pPr>
        <w:rPr>
          <w:rFonts w:cs="Times New Roman"/>
          <w:b/>
        </w:rPr>
      </w:pPr>
      <w:r w:rsidRPr="0013617A">
        <w:rPr>
          <w:rFonts w:cs="Times New Roman"/>
          <w:b/>
        </w:rPr>
        <w:t>Geographical Segmentation: strained market prioritisation.</w:t>
      </w:r>
    </w:p>
    <w:p w:rsidR="00312DCF" w:rsidRPr="0013617A" w:rsidRDefault="00312DCF" w:rsidP="00312DCF">
      <w:pPr>
        <w:rPr>
          <w:rFonts w:cs="Times New Roman"/>
        </w:rPr>
      </w:pPr>
      <w:r w:rsidRPr="0013617A">
        <w:rPr>
          <w:rFonts w:cs="Times New Roman"/>
        </w:rPr>
        <w:t xml:space="preserve">Revolut Wealth+ employs a tiered market prioritisation in adopting the geographic market segmentation strategy. Key markets targets comprise the United Kingdom, where Revolut has recently got a full banking license and serves 13 million customers, which will act as a substantial platform to cross sell the premium wealth services. Secondary European markets- France, Spain and Poland are growth areas where Revolut has made considerable inroads but more than 30% of the adult population have taken out an account. Mexico the United States are target areas of tertiary expansion, pending a regulatory approval to operate as a nationally chartered national bank. </w:t>
      </w:r>
    </w:p>
    <w:p w:rsidR="00443613" w:rsidRPr="0013617A" w:rsidRDefault="00443613" w:rsidP="00443613">
      <w:pPr>
        <w:jc w:val="center"/>
        <w:rPr>
          <w:rFonts w:cs="Times New Roman"/>
        </w:rPr>
      </w:pPr>
      <w:r w:rsidRPr="0013617A">
        <w:rPr>
          <w:rFonts w:cs="Times New Roman"/>
          <w:noProof/>
          <w:lang w:eastAsia="en-GB"/>
        </w:rPr>
        <w:drawing>
          <wp:inline distT="0" distB="0" distL="0" distR="0" wp14:anchorId="4FCFEE8A" wp14:editId="0FF61604">
            <wp:extent cx="3876520" cy="2447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BEBA8EAE-BF5A-486C-A8C5-ECC9F3942E4B}">
                          <a14:imgProps xmlns:a14="http://schemas.microsoft.com/office/drawing/2010/main">
                            <a14:imgLayer r:embed="rId12">
                              <a14:imgEffect>
                                <a14:sharpenSoften amount="25000"/>
                              </a14:imgEffect>
                            </a14:imgLayer>
                          </a14:imgProps>
                        </a:ext>
                      </a:extLst>
                    </a:blip>
                    <a:stretch>
                      <a:fillRect/>
                    </a:stretch>
                  </pic:blipFill>
                  <pic:spPr>
                    <a:xfrm>
                      <a:off x="0" y="0"/>
                      <a:ext cx="3894624" cy="2459357"/>
                    </a:xfrm>
                    <a:prstGeom prst="rect">
                      <a:avLst/>
                    </a:prstGeom>
                  </pic:spPr>
                </pic:pic>
              </a:graphicData>
            </a:graphic>
          </wp:inline>
        </w:drawing>
      </w:r>
    </w:p>
    <w:p w:rsidR="00443613" w:rsidRPr="0013617A" w:rsidRDefault="00443613" w:rsidP="00443613">
      <w:pPr>
        <w:jc w:val="center"/>
        <w:rPr>
          <w:rFonts w:cs="Times New Roman"/>
        </w:rPr>
      </w:pPr>
      <w:r w:rsidRPr="0013617A">
        <w:rPr>
          <w:rFonts w:cs="Times New Roman"/>
        </w:rPr>
        <w:t>Figure: STDP (</w:t>
      </w:r>
      <w:r w:rsidR="00165D81">
        <w:rPr>
          <w:rFonts w:cs="Times New Roman"/>
        </w:rPr>
        <w:t>Morgan, 2023</w:t>
      </w:r>
      <w:r w:rsidRPr="0013617A">
        <w:rPr>
          <w:rFonts w:cs="Times New Roman"/>
        </w:rPr>
        <w:t>).</w:t>
      </w:r>
    </w:p>
    <w:p w:rsidR="00312DCF" w:rsidRPr="0013617A" w:rsidRDefault="00312DCF" w:rsidP="00312DCF">
      <w:pPr>
        <w:rPr>
          <w:rFonts w:cs="Times New Roman"/>
          <w:b/>
        </w:rPr>
      </w:pPr>
      <w:r w:rsidRPr="0013617A">
        <w:rPr>
          <w:rFonts w:cs="Times New Roman"/>
          <w:b/>
        </w:rPr>
        <w:t>Demographic Segmentation: Occupational and Age and Income.</w:t>
      </w:r>
    </w:p>
    <w:p w:rsidR="00312DCF" w:rsidRDefault="00312DCF" w:rsidP="00312DCF">
      <w:pPr>
        <w:rPr>
          <w:rFonts w:cs="Times New Roman"/>
        </w:rPr>
      </w:pPr>
      <w:r w:rsidRPr="0013617A">
        <w:rPr>
          <w:rFonts w:cs="Times New Roman"/>
        </w:rPr>
        <w:t>Revolut Wealth+ is segmented using demographical factors of disposable income, age groups and profession. Preexisting Revolut customer profiles indicate that half of their consumers are men, and a noticeable percentage of users resides in nuclear families with an oriented lifestyle on traveling (Revolut, 2025). Secondary demographic target would be the younger professionals, aged between 25 to 30 years who need to be provided with automated low fee investment options that would allow them to build wealth over the long term.</w:t>
      </w:r>
    </w:p>
    <w:p w:rsidR="007D269B" w:rsidRPr="0013617A" w:rsidRDefault="007D269B" w:rsidP="00312DCF">
      <w:pPr>
        <w:rPr>
          <w:rFonts w:cs="Times New Roman"/>
        </w:rPr>
      </w:pPr>
    </w:p>
    <w:p w:rsidR="00312DCF" w:rsidRPr="0013617A" w:rsidRDefault="00312DCF" w:rsidP="00312DCF">
      <w:pPr>
        <w:rPr>
          <w:rFonts w:cs="Times New Roman"/>
          <w:b/>
        </w:rPr>
      </w:pPr>
      <w:r w:rsidRPr="0013617A">
        <w:rPr>
          <w:rFonts w:cs="Times New Roman"/>
          <w:b/>
        </w:rPr>
        <w:t>Psychographic Segmentation: Economic Independence and Online Incorporation.</w:t>
      </w:r>
    </w:p>
    <w:p w:rsidR="00312DCF" w:rsidRPr="0013617A" w:rsidRDefault="00312DCF" w:rsidP="00312DCF">
      <w:pPr>
        <w:rPr>
          <w:rFonts w:cs="Times New Roman"/>
        </w:rPr>
      </w:pPr>
      <w:r w:rsidRPr="0013617A">
        <w:rPr>
          <w:rFonts w:cs="Times New Roman"/>
        </w:rPr>
        <w:t>Psychographic segmentation provides the exceptional edge of Revolut Wealth + against traditional providers, as it emphasizes attitudinal aspects. The major psychographic market will include those who offer a premium to financial independence and a connection of the first through the digital slow but are also looking to receive professional advice without paying much of what they would in the traditional setting of personal banking. One secondary segment would be lifestyle integrators - customers who consider financial management as part of daily digital life (</w:t>
      </w:r>
      <w:r w:rsidR="00165D81">
        <w:rPr>
          <w:rFonts w:cs="Times New Roman"/>
        </w:rPr>
        <w:t>Zafin, 2024</w:t>
      </w:r>
      <w:r w:rsidRPr="0013617A">
        <w:rPr>
          <w:rFonts w:cs="Times New Roman"/>
        </w:rPr>
        <w:t>).</w:t>
      </w:r>
    </w:p>
    <w:p w:rsidR="00312DCF" w:rsidRPr="0013617A" w:rsidRDefault="00312DCF" w:rsidP="00312DCF">
      <w:pPr>
        <w:rPr>
          <w:rFonts w:cs="Times New Roman"/>
          <w:b/>
        </w:rPr>
      </w:pPr>
      <w:r w:rsidRPr="0013617A">
        <w:rPr>
          <w:rFonts w:cs="Times New Roman"/>
          <w:b/>
        </w:rPr>
        <w:t>Behavioural Segmentation: Usage behaviour and Loyalty.</w:t>
      </w:r>
    </w:p>
    <w:p w:rsidR="00312DCF" w:rsidRPr="0013617A" w:rsidRDefault="00312DCF" w:rsidP="00312DCF">
      <w:pPr>
        <w:rPr>
          <w:rFonts w:cs="Times New Roman"/>
        </w:rPr>
      </w:pPr>
      <w:r w:rsidRPr="0013617A">
        <w:rPr>
          <w:rFonts w:cs="Times New Roman"/>
        </w:rPr>
        <w:t>The most useful behavioural segment is the segment of the customers that use at least five different Revolut services more than once a week which is high frequency, multi product customers. Second, referral originated customers are a unique group of behaviour, where 63% of new personal customers in 2025 will be obtained as a result of natural referral. These customers have higher levels of initial trust and quicker uptake of more services. Third, the best customers to target with Revolut Wealth+ are subscription tier migrants, who have over time upgraded their free accounts to Plus, Premium, Metal or Ultra service tiers, as they have also displayed a service consumption growth pattern (</w:t>
      </w:r>
      <w:r w:rsidR="00165D81">
        <w:rPr>
          <w:rFonts w:cs="Times New Roman"/>
        </w:rPr>
        <w:t>Morgan, 2023</w:t>
      </w:r>
      <w:r w:rsidRPr="0013617A">
        <w:rPr>
          <w:rFonts w:cs="Times New Roman"/>
        </w:rPr>
        <w:t>).</w:t>
      </w:r>
    </w:p>
    <w:p w:rsidR="0094663A" w:rsidRPr="0013617A" w:rsidRDefault="0094663A" w:rsidP="0094663A">
      <w:pPr>
        <w:jc w:val="center"/>
        <w:rPr>
          <w:rFonts w:cs="Times New Roman"/>
        </w:rPr>
      </w:pPr>
      <w:r w:rsidRPr="0013617A">
        <w:rPr>
          <w:rFonts w:cs="Times New Roman"/>
          <w:noProof/>
          <w:lang w:eastAsia="en-GB"/>
        </w:rPr>
        <w:drawing>
          <wp:inline distT="0" distB="0" distL="0" distR="0" wp14:anchorId="195A1522" wp14:editId="6DA4F797">
            <wp:extent cx="2451194" cy="20764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53056" cy="2078027"/>
                    </a:xfrm>
                    <a:prstGeom prst="rect">
                      <a:avLst/>
                    </a:prstGeom>
                  </pic:spPr>
                </pic:pic>
              </a:graphicData>
            </a:graphic>
          </wp:inline>
        </w:drawing>
      </w:r>
    </w:p>
    <w:p w:rsidR="0094663A" w:rsidRDefault="0094663A" w:rsidP="0094663A">
      <w:pPr>
        <w:jc w:val="center"/>
        <w:rPr>
          <w:rFonts w:cs="Times New Roman"/>
        </w:rPr>
      </w:pPr>
      <w:r w:rsidRPr="0013617A">
        <w:rPr>
          <w:rFonts w:cs="Times New Roman"/>
        </w:rPr>
        <w:t>Figure: Behavioural Segmentation (Klink and Wu, 2023).</w:t>
      </w:r>
    </w:p>
    <w:p w:rsidR="00F33A42" w:rsidRDefault="00F33A42" w:rsidP="0094663A">
      <w:pPr>
        <w:jc w:val="center"/>
        <w:rPr>
          <w:rFonts w:cs="Times New Roman"/>
        </w:rPr>
      </w:pPr>
    </w:p>
    <w:p w:rsidR="00121B8F" w:rsidRDefault="00121B8F" w:rsidP="0094663A">
      <w:pPr>
        <w:jc w:val="center"/>
        <w:rPr>
          <w:rFonts w:cs="Times New Roman"/>
        </w:rPr>
      </w:pPr>
    </w:p>
    <w:p w:rsidR="00121B8F" w:rsidRPr="0013617A" w:rsidRDefault="00121B8F" w:rsidP="0094663A">
      <w:pPr>
        <w:jc w:val="center"/>
        <w:rPr>
          <w:rFonts w:cs="Times New Roman"/>
        </w:rPr>
      </w:pPr>
    </w:p>
    <w:p w:rsidR="00312DCF" w:rsidRPr="0013617A" w:rsidRDefault="00312DCF" w:rsidP="00312DCF">
      <w:pPr>
        <w:rPr>
          <w:rFonts w:cs="Times New Roman"/>
          <w:b/>
        </w:rPr>
      </w:pPr>
      <w:r w:rsidRPr="0013617A">
        <w:rPr>
          <w:rFonts w:cs="Times New Roman"/>
          <w:b/>
        </w:rPr>
        <w:t>Target audience: Premium Multi Product Revolut User.</w:t>
      </w:r>
    </w:p>
    <w:p w:rsidR="00312DCF" w:rsidRPr="0013617A" w:rsidRDefault="00312DCF" w:rsidP="00312DCF">
      <w:pPr>
        <w:rPr>
          <w:rFonts w:cs="Times New Roman"/>
        </w:rPr>
      </w:pPr>
      <w:r w:rsidRPr="0013617A">
        <w:rPr>
          <w:rFonts w:cs="Times New Roman"/>
        </w:rPr>
        <w:t xml:space="preserve">Primary: Revolut Wealth+ will target the Premium Multi Product Revolut User, or people who have any of the Revolut premium subscriptions and use at least three different types of financial products in addition to the basic functionality of a current account. Such audience is defined by the incomes over 80,000 every year, their main residence is the UK or Western Europe, the age group is between 32 and 50 years, and they have shown interest in such investment features as fractional shares, crypto trading or savings vaults. </w:t>
      </w:r>
    </w:p>
    <w:p w:rsidR="00312DCF" w:rsidRPr="0013617A" w:rsidRDefault="00312DCF" w:rsidP="00312DCF">
      <w:pPr>
        <w:rPr>
          <w:rFonts w:cs="Times New Roman"/>
          <w:b/>
        </w:rPr>
      </w:pPr>
      <w:r w:rsidRPr="0013617A">
        <w:rPr>
          <w:rFonts w:cs="Times New Roman"/>
          <w:b/>
        </w:rPr>
        <w:t>Differentiation Strategy: Smart Automation and Ecosystem Integration.</w:t>
      </w:r>
    </w:p>
    <w:p w:rsidR="00312DCF" w:rsidRPr="0013617A" w:rsidRDefault="00312DCF" w:rsidP="00312DCF">
      <w:pPr>
        <w:rPr>
          <w:rFonts w:cs="Times New Roman"/>
        </w:rPr>
      </w:pPr>
      <w:r w:rsidRPr="0013617A">
        <w:rPr>
          <w:rFonts w:cs="Times New Roman"/>
        </w:rPr>
        <w:t>Revolut Wealth+ is differentiated by three strategic pillars: intelligent automation, integration and democratised access of the ecosystem. To start with, the platform uses proprietary AI-supported analysis of spending behaviour, investment history and lifestyle information of Revolut as its data to create individual portfolio recommendations without necessarily providing the inputs to special financial planning (</w:t>
      </w:r>
      <w:r w:rsidR="00165D81">
        <w:rPr>
          <w:rFonts w:cs="Times New Roman"/>
        </w:rPr>
        <w:t>Morgan, 2023</w:t>
      </w:r>
      <w:r w:rsidRPr="0013617A">
        <w:rPr>
          <w:rFonts w:cs="Times New Roman"/>
        </w:rPr>
        <w:t xml:space="preserve">). Second, ecosystem integration distinguishes between Revolut Wealth+ and a standalone robo advisor by integrating wealth management into the super app which already accommodates daily spending, international transfers and crypto trading. </w:t>
      </w:r>
    </w:p>
    <w:p w:rsidR="00312DCF" w:rsidRPr="0013617A" w:rsidRDefault="00312DCF" w:rsidP="00312DCF">
      <w:pPr>
        <w:rPr>
          <w:rFonts w:cs="Times New Roman"/>
          <w:b/>
        </w:rPr>
      </w:pPr>
      <w:r w:rsidRPr="0013617A">
        <w:rPr>
          <w:rFonts w:cs="Times New Roman"/>
          <w:b/>
        </w:rPr>
        <w:t>Positioning Statement: Wealth Management minus the Wealth Barrier.</w:t>
      </w:r>
    </w:p>
    <w:p w:rsidR="00312DCF" w:rsidRDefault="00312DCF" w:rsidP="00312DCF">
      <w:pPr>
        <w:rPr>
          <w:rFonts w:cs="Times New Roman"/>
        </w:rPr>
      </w:pPr>
      <w:r w:rsidRPr="0013617A">
        <w:rPr>
          <w:rFonts w:cs="Times New Roman"/>
        </w:rPr>
        <w:t>Revolut Wealth+ positioning statement amalgamates competitor research and target research into a consistent brand promise. Revolut Wealth+ is framed as: the wealth manager that works as hard as you do - intelligent investing that helps the financially ambitious, with the exclusivity and cost of traditional private banking. The overall brand issue, as was said by Revolut Chief Marketing Officer, is being viewed as a bank without being viewed as a traditional bank - customers believe in banking institutions but fail to see them as innovative ones (</w:t>
      </w:r>
      <w:r w:rsidR="00165D81">
        <w:rPr>
          <w:rFonts w:cs="Times New Roman"/>
        </w:rPr>
        <w:t>Mogaji &amp; Nguyen, 2024</w:t>
      </w:r>
      <w:r w:rsidRPr="0013617A">
        <w:rPr>
          <w:rFonts w:cs="Times New Roman"/>
        </w:rPr>
        <w:t xml:space="preserve">). </w:t>
      </w:r>
    </w:p>
    <w:p w:rsidR="00F41C26" w:rsidRDefault="00F41C26" w:rsidP="00312DCF">
      <w:pPr>
        <w:rPr>
          <w:rFonts w:cs="Times New Roman"/>
        </w:rPr>
      </w:pPr>
    </w:p>
    <w:p w:rsidR="00F41C26" w:rsidRDefault="00F41C26" w:rsidP="00312DCF">
      <w:pPr>
        <w:rPr>
          <w:rFonts w:cs="Times New Roman"/>
        </w:rPr>
      </w:pPr>
    </w:p>
    <w:p w:rsidR="00403C3C" w:rsidRDefault="00403C3C" w:rsidP="00312DCF">
      <w:pPr>
        <w:rPr>
          <w:rFonts w:cs="Times New Roman"/>
        </w:rPr>
      </w:pPr>
    </w:p>
    <w:p w:rsidR="00F41C26" w:rsidRDefault="00F41C26" w:rsidP="00312DCF">
      <w:pPr>
        <w:rPr>
          <w:rFonts w:cs="Times New Roman"/>
        </w:rPr>
      </w:pPr>
    </w:p>
    <w:p w:rsidR="00F41C26" w:rsidRDefault="00F41C26" w:rsidP="00312DCF">
      <w:pPr>
        <w:rPr>
          <w:rFonts w:cs="Times New Roman"/>
        </w:rPr>
      </w:pPr>
    </w:p>
    <w:p w:rsidR="00F41C26" w:rsidRDefault="00F41C26" w:rsidP="00312DCF">
      <w:pPr>
        <w:rPr>
          <w:rFonts w:cs="Times New Roman"/>
          <w:b/>
        </w:rPr>
      </w:pPr>
      <w:r w:rsidRPr="00F41C26">
        <w:rPr>
          <w:rFonts w:cs="Times New Roman"/>
          <w:b/>
        </w:rPr>
        <w:t>Revolut perceptual map</w:t>
      </w:r>
    </w:p>
    <w:p w:rsidR="00403C3C" w:rsidRPr="00403C3C" w:rsidRDefault="00403C3C" w:rsidP="00312DCF">
      <w:pPr>
        <w:rPr>
          <w:rFonts w:cs="Times New Roman"/>
        </w:rPr>
      </w:pPr>
      <w:r w:rsidRPr="0013617A">
        <w:rPr>
          <w:rFonts w:cs="Times New Roman"/>
        </w:rPr>
        <w:t>The positioning builds on the the current brand equity of Revolut as low cost, transparency and digital innovation but to a new type of service.</w:t>
      </w:r>
      <w:r w:rsidRPr="00403C3C">
        <w:rPr>
          <w:rFonts w:cs="Times New Roman"/>
        </w:rPr>
        <w:t xml:space="preserve"> </w:t>
      </w:r>
      <w:r w:rsidRPr="0013617A">
        <w:rPr>
          <w:rFonts w:cs="Times New Roman"/>
        </w:rPr>
        <w:t>With Revolut shifting its strategy to primary banking provider, with trusted wealth management as a core feature, a movement to high value relationships with customers supports a direct churn subscription to incumbent personal banks (</w:t>
      </w:r>
      <w:r w:rsidR="00165D81">
        <w:rPr>
          <w:rFonts w:cs="Times New Roman"/>
        </w:rPr>
        <w:t>Mogaji &amp; Nguyen, 2024</w:t>
      </w:r>
      <w:r w:rsidRPr="0013617A">
        <w:rPr>
          <w:rFonts w:cs="Times New Roman"/>
        </w:rPr>
        <w:t>).</w:t>
      </w:r>
    </w:p>
    <w:p w:rsidR="00F41C26" w:rsidRPr="00403C3C" w:rsidRDefault="00F41C26" w:rsidP="00403C3C">
      <w:pPr>
        <w:jc w:val="center"/>
      </w:pPr>
      <w:r w:rsidRPr="00403C3C">
        <w:drawing>
          <wp:inline distT="0" distB="0" distL="0" distR="0" wp14:anchorId="165768B6" wp14:editId="0E098E27">
            <wp:extent cx="5943600" cy="46996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4699635"/>
                    </a:xfrm>
                    <a:prstGeom prst="rect">
                      <a:avLst/>
                    </a:prstGeom>
                  </pic:spPr>
                </pic:pic>
              </a:graphicData>
            </a:graphic>
          </wp:inline>
        </w:drawing>
      </w:r>
    </w:p>
    <w:p w:rsidR="00403C3C" w:rsidRPr="00403C3C" w:rsidRDefault="00403C3C" w:rsidP="00403C3C">
      <w:pPr>
        <w:jc w:val="center"/>
      </w:pPr>
      <w:r w:rsidRPr="00403C3C">
        <w:t>Figure: perceptual map</w:t>
      </w:r>
      <w:r>
        <w:t xml:space="preserve"> </w:t>
      </w:r>
      <w:r w:rsidRPr="0013617A">
        <w:rPr>
          <w:rFonts w:cs="Times New Roman"/>
        </w:rPr>
        <w:t>(Klink and Wu, 2023).</w:t>
      </w:r>
    </w:p>
    <w:p w:rsidR="00443613" w:rsidRPr="0013617A" w:rsidRDefault="00443613">
      <w:pPr>
        <w:spacing w:line="259" w:lineRule="auto"/>
        <w:jc w:val="left"/>
        <w:rPr>
          <w:rFonts w:eastAsiaTheme="majorEastAsia" w:cs="Times New Roman"/>
          <w:sz w:val="28"/>
          <w:szCs w:val="26"/>
        </w:rPr>
      </w:pPr>
      <w:r w:rsidRPr="0013617A">
        <w:rPr>
          <w:rFonts w:cs="Times New Roman"/>
        </w:rPr>
        <w:br w:type="page"/>
      </w:r>
    </w:p>
    <w:p w:rsidR="00312DCF" w:rsidRPr="000E366B" w:rsidRDefault="00312DCF" w:rsidP="000E366B">
      <w:pPr>
        <w:pStyle w:val="Heading1"/>
      </w:pPr>
      <w:bookmarkStart w:id="7" w:name="_Toc228473139"/>
      <w:r w:rsidRPr="000E366B">
        <w:t>Element 3: Marketing Mix (7Ps) of Revolut Wealth+.</w:t>
      </w:r>
      <w:bookmarkEnd w:id="7"/>
    </w:p>
    <w:p w:rsidR="00312DCF" w:rsidRPr="0013617A" w:rsidRDefault="00312DCF" w:rsidP="00312DCF">
      <w:pPr>
        <w:rPr>
          <w:rFonts w:cs="Times New Roman"/>
          <w:b/>
        </w:rPr>
      </w:pPr>
      <w:r w:rsidRPr="0013617A">
        <w:rPr>
          <w:rFonts w:cs="Times New Roman"/>
          <w:b/>
        </w:rPr>
        <w:t>Product: Wealth Management Suite: Integrated and Personalised.</w:t>
      </w:r>
    </w:p>
    <w:p w:rsidR="00312DCF" w:rsidRPr="0013617A" w:rsidRDefault="00312DCF" w:rsidP="00312DCF">
      <w:pPr>
        <w:rPr>
          <w:rFonts w:cs="Times New Roman"/>
        </w:rPr>
      </w:pPr>
      <w:r w:rsidRPr="0013617A">
        <w:rPr>
          <w:rFonts w:cs="Times New Roman"/>
        </w:rPr>
        <w:t xml:space="preserve">Revolut Wealth+ product strategy is a package consisting of integrated set of wealth management functions meeting complete customer financial planning requirements. Its core product consists of automated portfolio management (individual risk tolerance profiles), personalised investment recommendations (copying of an algorithmic analysis of spending patterns), efficient investment structuring across multiple jurisdictions (tax efficient), retirement planning calculators (next to a pension consolidation tool) and white label financial goal tracking (integrated with existing Revolut savings vaults) (Klink and Wu, 2023). </w:t>
      </w:r>
    </w:p>
    <w:p w:rsidR="00E12301" w:rsidRPr="0013617A" w:rsidRDefault="00E12301" w:rsidP="00E12301">
      <w:pPr>
        <w:jc w:val="center"/>
        <w:rPr>
          <w:rFonts w:cs="Times New Roman"/>
        </w:rPr>
      </w:pPr>
      <w:r w:rsidRPr="0013617A">
        <w:rPr>
          <w:rFonts w:cs="Times New Roman"/>
          <w:noProof/>
          <w:lang w:eastAsia="en-GB"/>
        </w:rPr>
        <w:drawing>
          <wp:inline distT="0" distB="0" distL="0" distR="0" wp14:anchorId="2E82D3E8" wp14:editId="6D2A61A9">
            <wp:extent cx="2942728" cy="2333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46601" cy="2336696"/>
                    </a:xfrm>
                    <a:prstGeom prst="rect">
                      <a:avLst/>
                    </a:prstGeom>
                  </pic:spPr>
                </pic:pic>
              </a:graphicData>
            </a:graphic>
          </wp:inline>
        </w:drawing>
      </w:r>
    </w:p>
    <w:p w:rsidR="00E12301" w:rsidRPr="0013617A" w:rsidRDefault="00E12301" w:rsidP="00E12301">
      <w:pPr>
        <w:jc w:val="center"/>
        <w:rPr>
          <w:rFonts w:cs="Times New Roman"/>
        </w:rPr>
      </w:pPr>
      <w:r w:rsidRPr="0013617A">
        <w:rPr>
          <w:rFonts w:cs="Times New Roman"/>
        </w:rPr>
        <w:t>Figure: 7P’s Mix (Nguyen, 2024).</w:t>
      </w:r>
    </w:p>
    <w:p w:rsidR="00312DCF" w:rsidRPr="0013617A" w:rsidRDefault="00312DCF" w:rsidP="00312DCF">
      <w:pPr>
        <w:rPr>
          <w:rFonts w:cs="Times New Roman"/>
          <w:b/>
        </w:rPr>
      </w:pPr>
      <w:r w:rsidRPr="0013617A">
        <w:rPr>
          <w:rFonts w:cs="Times New Roman"/>
          <w:b/>
        </w:rPr>
        <w:t>Price: Freemium Architecture by Tiered Value Unlocking.</w:t>
      </w:r>
    </w:p>
    <w:p w:rsidR="00403C3C" w:rsidRDefault="00312DCF" w:rsidP="00312DCF">
      <w:pPr>
        <w:rPr>
          <w:rFonts w:cs="Times New Roman"/>
        </w:rPr>
      </w:pPr>
      <w:r w:rsidRPr="0013617A">
        <w:rPr>
          <w:rFonts w:cs="Times New Roman"/>
        </w:rPr>
        <w:t xml:space="preserve">The Revolut Wealth+ pricing strategy is a variant of a freemium model, adjusted to the set of subscription tier architecture at Revolut. Simple wealth options such as portfolio visualisation, risk measurement and academic content is all provided at no cost to every user of Revolut as an acquisition funnel. This progressive method serves the principles of penetration pricing and subsequent upselling of value, which is implied by the successful monetisation of Revolut through free accounts later to premium subscription (Silicon Roundabout, 2020). </w:t>
      </w:r>
    </w:p>
    <w:p w:rsidR="00403C3C" w:rsidRDefault="00403C3C" w:rsidP="00312DCF">
      <w:pPr>
        <w:rPr>
          <w:rFonts w:cs="Times New Roman"/>
        </w:rPr>
      </w:pPr>
    </w:p>
    <w:p w:rsidR="00403C3C" w:rsidRDefault="00403C3C" w:rsidP="00312DCF">
      <w:pPr>
        <w:rPr>
          <w:rFonts w:cs="Times New Roman"/>
        </w:rPr>
      </w:pPr>
    </w:p>
    <w:p w:rsidR="00312DCF" w:rsidRPr="0013617A" w:rsidRDefault="00312DCF" w:rsidP="00312DCF">
      <w:pPr>
        <w:rPr>
          <w:rFonts w:cs="Times New Roman"/>
          <w:b/>
        </w:rPr>
      </w:pPr>
      <w:r w:rsidRPr="0013617A">
        <w:rPr>
          <w:rFonts w:cs="Times New Roman"/>
          <w:b/>
        </w:rPr>
        <w:t>Place: Distribution Omnichannel Digital First.</w:t>
      </w:r>
    </w:p>
    <w:p w:rsidR="00312DCF" w:rsidRPr="0013617A" w:rsidRDefault="00312DCF" w:rsidP="00312DCF">
      <w:pPr>
        <w:rPr>
          <w:rFonts w:cs="Times New Roman"/>
        </w:rPr>
      </w:pPr>
      <w:r w:rsidRPr="0013617A">
        <w:rPr>
          <w:rFonts w:cs="Times New Roman"/>
        </w:rPr>
        <w:t>Revolut Wealth+ place strategy puts a heavy emphasis on digital distribution, but with selective physical augmentation. The main channel of distribution is the Revolut app which is available to more than 70 million users in 40 countries around the world and that the wealth features are built in the current user interface instead of being downloaded independently. Secondary digital channels: Revolut web platform to review a portfolio in detail, API integrations with third party financial aggregators (</w:t>
      </w:r>
      <w:r w:rsidR="00165D81">
        <w:rPr>
          <w:rFonts w:cs="Times New Roman"/>
        </w:rPr>
        <w:t>Revolut, 2025</w:t>
      </w:r>
      <w:r w:rsidRPr="0013617A">
        <w:rPr>
          <w:rFonts w:cs="Times New Roman"/>
        </w:rPr>
        <w:t>). A hybrid place approach is consistent with industry insights that, as digital first financial platforms evolve, physical presence becomes a factor in developing trust and differentiation, especially when wealth-related services are involved where customers need to be reassured about asset protection (Nguyen, 2024).</w:t>
      </w:r>
    </w:p>
    <w:p w:rsidR="00312DCF" w:rsidRPr="0013617A" w:rsidRDefault="00312DCF" w:rsidP="00312DCF">
      <w:pPr>
        <w:rPr>
          <w:rFonts w:cs="Times New Roman"/>
          <w:b/>
        </w:rPr>
      </w:pPr>
      <w:r w:rsidRPr="0013617A">
        <w:rPr>
          <w:rFonts w:cs="Times New Roman"/>
          <w:b/>
        </w:rPr>
        <w:t>Promotion: Thru Integrated (Communication) Leveraging Brand Ambassadors.</w:t>
      </w:r>
    </w:p>
    <w:p w:rsidR="00312DCF" w:rsidRPr="0013617A" w:rsidRDefault="00312DCF" w:rsidP="00312DCF">
      <w:pPr>
        <w:rPr>
          <w:rFonts w:cs="Times New Roman"/>
        </w:rPr>
      </w:pPr>
      <w:r w:rsidRPr="0013617A">
        <w:rPr>
          <w:rFonts w:cs="Times New Roman"/>
        </w:rPr>
        <w:t>The Revolut Wealth+ promotion plan is based on the principles of using a combination of several channels of communication, which are supported by one essential idea monitored by the main message of democratising wealth management. Television advertising, involving Graham Norton, who was chosen as the brand ambassador in the Revolut campaign in the UK in March of 2026, is above the line activities as it showed a dedication to asserting mainstream trust and cross-generational following (</w:t>
      </w:r>
      <w:r w:rsidR="00165D81">
        <w:rPr>
          <w:rFonts w:cs="Times New Roman"/>
        </w:rPr>
        <w:t>Mogaji &amp; Nguyen, 2024</w:t>
      </w:r>
      <w:r w:rsidRPr="0013617A">
        <w:rPr>
          <w:rFonts w:cs="Times New Roman"/>
        </w:rPr>
        <w:t>). It has been demonstrated that financial services customers are highly responsive to services propositions designed to meet their demographic needs, thus an improved customer retention and competitive edge (Kiptoo and Mwirigi, 2023).</w:t>
      </w:r>
    </w:p>
    <w:p w:rsidR="00312DCF" w:rsidRPr="0013617A" w:rsidRDefault="00312DCF" w:rsidP="00312DCF">
      <w:pPr>
        <w:rPr>
          <w:rFonts w:cs="Times New Roman"/>
          <w:b/>
        </w:rPr>
      </w:pPr>
      <w:r w:rsidRPr="0013617A">
        <w:rPr>
          <w:rFonts w:cs="Times New Roman"/>
          <w:b/>
        </w:rPr>
        <w:t>People: Certified Advisors and Algorithmic Support Integration.</w:t>
      </w:r>
    </w:p>
    <w:p w:rsidR="00312DCF" w:rsidRDefault="00312DCF" w:rsidP="00312DCF">
      <w:pPr>
        <w:rPr>
          <w:rFonts w:cs="Times New Roman"/>
        </w:rPr>
      </w:pPr>
      <w:r w:rsidRPr="0013617A">
        <w:rPr>
          <w:rFonts w:cs="Times New Roman"/>
        </w:rPr>
        <w:t xml:space="preserve">People element covers the effort of the Revolut staff who provide wealth services as well as their experience with customers. Revolut Wealth+ has two types of employees: algorithmic advisors (robot-based investment engine which uses personal AI models) and human wealth specialists (certified financial planners who can be engaged at the next level of subscriptions). Relevant professional qualifications are possessed by human specialists such as a Chartered Financial Analyst (CFA) or Certified Financial Planner (CFP) qualification or designation established by the local regulatory authorities (Nguyen, 2024). </w:t>
      </w:r>
    </w:p>
    <w:p w:rsidR="00121B8F" w:rsidRPr="0013617A" w:rsidRDefault="00121B8F" w:rsidP="00312DCF">
      <w:pPr>
        <w:rPr>
          <w:rFonts w:cs="Times New Roman"/>
        </w:rPr>
      </w:pPr>
    </w:p>
    <w:p w:rsidR="00312DCF" w:rsidRPr="0013617A" w:rsidRDefault="00312DCF" w:rsidP="00312DCF">
      <w:pPr>
        <w:rPr>
          <w:rFonts w:cs="Times New Roman"/>
          <w:b/>
        </w:rPr>
      </w:pPr>
      <w:r w:rsidRPr="0013617A">
        <w:rPr>
          <w:rFonts w:cs="Times New Roman"/>
          <w:b/>
        </w:rPr>
        <w:t>Place: Intuitive On</w:t>
      </w:r>
      <w:r w:rsidR="0094663A" w:rsidRPr="0013617A">
        <w:rPr>
          <w:rFonts w:cs="Times New Roman"/>
          <w:b/>
        </w:rPr>
        <w:t>-</w:t>
      </w:r>
      <w:r w:rsidRPr="0013617A">
        <w:rPr>
          <w:rFonts w:cs="Times New Roman"/>
          <w:b/>
        </w:rPr>
        <w:t>boarding and initiating Portfolios.</w:t>
      </w:r>
    </w:p>
    <w:p w:rsidR="00CE31AE" w:rsidRDefault="00312DCF" w:rsidP="00312DCF">
      <w:pPr>
        <w:rPr>
          <w:rFonts w:cs="Times New Roman"/>
        </w:rPr>
      </w:pPr>
      <w:r w:rsidRPr="0013617A">
        <w:rPr>
          <w:rFonts w:cs="Times New Roman"/>
        </w:rPr>
        <w:t>Revolut Wealth+ process design aims at limiting friction whilst being regulation-compliant and assessing risk appropriateness. On</w:t>
      </w:r>
      <w:r w:rsidR="005F587E">
        <w:rPr>
          <w:rFonts w:cs="Times New Roman"/>
        </w:rPr>
        <w:t>-</w:t>
      </w:r>
      <w:r w:rsidRPr="0013617A">
        <w:rPr>
          <w:rFonts w:cs="Times New Roman"/>
        </w:rPr>
        <w:t xml:space="preserve">boarding starts with an automated risk assessment questionnaire that takes less than three minutes to complete and consists of about fifteen questions that results in a recommended portfolio allocation of equities, bonds, alternatives and crypto assets based on their personal risk tolerance, time horizon and liquidity requirements. </w:t>
      </w:r>
    </w:p>
    <w:p w:rsidR="00312DCF" w:rsidRPr="00CE31AE" w:rsidRDefault="00312DCF" w:rsidP="00312DCF">
      <w:r w:rsidRPr="0013617A">
        <w:rPr>
          <w:rFonts w:cs="Times New Roman"/>
        </w:rPr>
        <w:t xml:space="preserve">After risk profiling, customers are then taken through goal setting - which is the establishment of financial goals such as retirement age goals, house purchase savings or general wealth accumulation - which prompts an algorithmic translation of this into monthly contribution suggestions (Khan et al., 2022). </w:t>
      </w:r>
      <w:r w:rsidR="00CE31AE">
        <w:t xml:space="preserve">As technology keeps improving in terms of mobile applications and AI, Revolut will be able to incorporate any new offerings derived through technology and the extension will fit perfectly with customer expectations of convenience and innovation. </w:t>
      </w:r>
    </w:p>
    <w:p w:rsidR="00312DCF" w:rsidRPr="0013617A" w:rsidRDefault="00312DCF" w:rsidP="00312DCF">
      <w:pPr>
        <w:rPr>
          <w:rFonts w:cs="Times New Roman"/>
          <w:b/>
        </w:rPr>
      </w:pPr>
      <w:r w:rsidRPr="0013617A">
        <w:rPr>
          <w:rFonts w:cs="Times New Roman"/>
          <w:b/>
        </w:rPr>
        <w:t>Physical Evidence: Physical Clues of Online Trust and digital Professionalism.</w:t>
      </w:r>
    </w:p>
    <w:p w:rsidR="00431B33" w:rsidRDefault="00312DCF" w:rsidP="004C4688">
      <w:pPr>
        <w:rPr>
          <w:rFonts w:cs="Times New Roman"/>
        </w:rPr>
      </w:pPr>
      <w:r w:rsidRPr="0013617A">
        <w:rPr>
          <w:rFonts w:cs="Times New Roman"/>
        </w:rPr>
        <w:t xml:space="preserve">Physical evidence of Revolut Wealth+ overcomes the problem of conveying credibility of a digital wealth service. Secondary physical evidence includes quarterly printed portfolio statements, sent to Wealth+ Private customers on high-quality paper stock giving tangible evidence that meets the wants of physical documentation of financial positions (Kotler and Keller, 2016). </w:t>
      </w:r>
    </w:p>
    <w:p w:rsidR="004C4688" w:rsidRDefault="00312DCF" w:rsidP="004C4688">
      <w:bookmarkStart w:id="8" w:name="_GoBack"/>
      <w:bookmarkEnd w:id="8"/>
      <w:r w:rsidRPr="0013617A">
        <w:rPr>
          <w:rFonts w:cs="Times New Roman"/>
        </w:rPr>
        <w:t xml:space="preserve">The loaded animation of the app, screens of verification, the design of notification and confirmation screens, all these are the digital physical evidence that, when combined, gives the impression of professionalism due to a uniform visual language, (Silicon Roundabout, 2020). </w:t>
      </w:r>
      <w:r w:rsidR="004C4688">
        <w:t xml:space="preserve">Revolut already made positive steps in ensuring sustainability by investing and making a positive change in the environmental protection. It can also strengthen its sustainability initiatives through a brand extension that will make the company the leader in green fintech </w:t>
      </w:r>
      <w:r w:rsidR="004C4688" w:rsidRPr="00EA498B">
        <w:t>(Thompson</w:t>
      </w:r>
      <w:r w:rsidR="004C4688">
        <w:rPr>
          <w:rFonts w:eastAsia="Times New Roman"/>
        </w:rPr>
        <w:t xml:space="preserve"> et al, </w:t>
      </w:r>
      <w:r w:rsidR="004C4688" w:rsidRPr="00EA498B">
        <w:t>2023)</w:t>
      </w:r>
      <w:r w:rsidR="004C4688">
        <w:t xml:space="preserve">. </w:t>
      </w:r>
    </w:p>
    <w:p w:rsidR="00312DCF" w:rsidRPr="0013617A" w:rsidRDefault="00312DCF" w:rsidP="00312DCF">
      <w:pPr>
        <w:rPr>
          <w:rFonts w:cs="Times New Roman"/>
        </w:rPr>
      </w:pPr>
    </w:p>
    <w:p w:rsidR="00312DCF" w:rsidRPr="0013617A" w:rsidRDefault="00312DCF" w:rsidP="00312DCF">
      <w:pPr>
        <w:spacing w:line="259" w:lineRule="auto"/>
        <w:jc w:val="left"/>
        <w:rPr>
          <w:rFonts w:cs="Times New Roman"/>
        </w:rPr>
      </w:pPr>
      <w:r w:rsidRPr="0013617A">
        <w:rPr>
          <w:rFonts w:cs="Times New Roman"/>
        </w:rPr>
        <w:br w:type="page"/>
      </w:r>
    </w:p>
    <w:p w:rsidR="00312DCF" w:rsidRPr="000E366B" w:rsidRDefault="00312DCF" w:rsidP="000E366B">
      <w:pPr>
        <w:pStyle w:val="Heading1"/>
      </w:pPr>
      <w:bookmarkStart w:id="9" w:name="_Toc228473140"/>
      <w:r w:rsidRPr="000E366B">
        <w:t>Element 4: Reflection</w:t>
      </w:r>
      <w:bookmarkEnd w:id="9"/>
    </w:p>
    <w:p w:rsidR="00B961B0" w:rsidRPr="0034531A" w:rsidRDefault="00B961B0" w:rsidP="00B961B0">
      <w:pPr>
        <w:rPr>
          <w:b/>
        </w:rPr>
      </w:pPr>
      <w:r w:rsidRPr="0034531A">
        <w:rPr>
          <w:b/>
        </w:rPr>
        <w:t>Description</w:t>
      </w:r>
    </w:p>
    <w:p w:rsidR="00B961B0" w:rsidRDefault="00B961B0" w:rsidP="00B961B0">
      <w:r>
        <w:t>The Revolut Wealth+ brand extension development included the development of a marketing strategy including the STDP analysis, the 7Ps marketing mix and a poster presentation. I did a secondary research on the case of Revolut that had 70 million customers, a 46 percent increase in revenues, and behavioural trends that, in the case of 63 percent referral-based acquisition. The poster needed to consolidate intricate tactical analysis into one A0 format and I designed it as a four-quarter concept, target audience, differentiation, marketing mix visualis</w:t>
      </w:r>
      <w:r>
        <w:t>ation and anticipated outcomes.</w:t>
      </w:r>
    </w:p>
    <w:p w:rsidR="00B961B0" w:rsidRPr="0034531A" w:rsidRDefault="00B961B0" w:rsidP="00B961B0">
      <w:pPr>
        <w:rPr>
          <w:b/>
        </w:rPr>
      </w:pPr>
      <w:r w:rsidRPr="0034531A">
        <w:rPr>
          <w:b/>
        </w:rPr>
        <w:t>Feelings</w:t>
      </w:r>
    </w:p>
    <w:p w:rsidR="00B961B0" w:rsidRDefault="00B961B0" w:rsidP="00B961B0">
      <w:r>
        <w:t xml:space="preserve">At first, I was embezzled by the amount of strategic decisions needed which included geographic prioritisation of the markets, free premium pricing. Nonetheless, after calculating the current data on the rates of subscription tier migration and the creation of any pattern of using multiple products in the existing data of Revolut, I became confident in my evidence-based recommendations. In the process of making the poster, I was frustrated in trying to balance the depth with visual coherence, however, I was proud of the professional resultant. </w:t>
      </w:r>
    </w:p>
    <w:p w:rsidR="00B961B0" w:rsidRPr="0013617A" w:rsidRDefault="00B961B0" w:rsidP="00B961B0">
      <w:pPr>
        <w:jc w:val="center"/>
        <w:rPr>
          <w:rFonts w:cs="Times New Roman"/>
        </w:rPr>
      </w:pPr>
      <w:r w:rsidRPr="0013617A">
        <w:rPr>
          <w:rFonts w:cs="Times New Roman"/>
          <w:noProof/>
          <w:lang w:eastAsia="en-GB"/>
        </w:rPr>
        <w:drawing>
          <wp:inline distT="0" distB="0" distL="0" distR="0" wp14:anchorId="441D35AA" wp14:editId="2FA090C7">
            <wp:extent cx="3209879" cy="2857500"/>
            <wp:effectExtent l="0" t="0" r="0" b="0"/>
            <wp:docPr id="5" name="Picture 5" descr="C:\Users\MURAD\Desktop\development-reflection-gibbs_origin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MURAD\Desktop\development-reflection-gibbs_original.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15433" cy="2862444"/>
                    </a:xfrm>
                    <a:prstGeom prst="rect">
                      <a:avLst/>
                    </a:prstGeom>
                    <a:noFill/>
                    <a:ln>
                      <a:noFill/>
                    </a:ln>
                  </pic:spPr>
                </pic:pic>
              </a:graphicData>
            </a:graphic>
          </wp:inline>
        </w:drawing>
      </w:r>
    </w:p>
    <w:p w:rsidR="00B961B0" w:rsidRPr="00B961B0" w:rsidRDefault="00B961B0" w:rsidP="00B961B0">
      <w:pPr>
        <w:jc w:val="center"/>
        <w:rPr>
          <w:rFonts w:cs="Times New Roman"/>
        </w:rPr>
      </w:pPr>
      <w:r w:rsidRPr="0013617A">
        <w:rPr>
          <w:rFonts w:cs="Times New Roman"/>
        </w:rPr>
        <w:t>Figure: Gibb’s (McKinsey, 2023).</w:t>
      </w:r>
    </w:p>
    <w:p w:rsidR="00B961B0" w:rsidRPr="0034531A" w:rsidRDefault="00B961B0" w:rsidP="005065DF">
      <w:pPr>
        <w:jc w:val="center"/>
        <w:rPr>
          <w:b/>
        </w:rPr>
      </w:pPr>
      <w:r w:rsidRPr="0034531A">
        <w:rPr>
          <w:b/>
        </w:rPr>
        <w:t>Evaluation</w:t>
      </w:r>
    </w:p>
    <w:p w:rsidR="00B961B0" w:rsidRDefault="00B961B0" w:rsidP="00B961B0">
      <w:r w:rsidRPr="005065DF">
        <w:rPr>
          <w:b/>
        </w:rPr>
        <w:t>Good things:</w:t>
      </w:r>
      <w:r>
        <w:t xml:space="preserve"> The project improved greatly my comprehension of the synthesis of quantitative behavioural data (e.g., 53% of users who have used the service and their travel preferences) into actionable segmentation criteria. Real fintech situations were applied to theoretical frameworks brand extension typicality (Klink and Wu, 2023) and product differentiation (Kiptoo and Mwirigi, 2023) to allow theory-practice bridges. For me, the poster creation enhanced my abilities in visual communication, especially, compressing 2,000+ words of a</w:t>
      </w:r>
      <w:r>
        <w:t>nalysis into readable quadrant.</w:t>
      </w:r>
    </w:p>
    <w:p w:rsidR="00B961B0" w:rsidRDefault="00B961B0" w:rsidP="00B961B0">
      <w:r w:rsidRPr="005065DF">
        <w:rPr>
          <w:b/>
        </w:rPr>
        <w:t>Challenges:</w:t>
      </w:r>
      <w:r>
        <w:t xml:space="preserve"> I undermined the complexity of the integrating all 7ps cohesively- the pricing logic had to be aligned with the channels of distribution and this took several revisions. Also, combining the physical elements of evidence (e.g., printed statements, Barcelona flagship store) with a digital-first proposal initially was a counterintuitive move, but this would be an important learning regarding fintech trust-building.</w:t>
      </w:r>
    </w:p>
    <w:p w:rsidR="00B961B0" w:rsidRPr="0034531A" w:rsidRDefault="00B961B0" w:rsidP="00B961B0">
      <w:pPr>
        <w:rPr>
          <w:b/>
        </w:rPr>
      </w:pPr>
      <w:r w:rsidRPr="0034531A">
        <w:rPr>
          <w:b/>
        </w:rPr>
        <w:t>Analysis</w:t>
      </w:r>
    </w:p>
    <w:p w:rsidR="00B961B0" w:rsidRDefault="00B961B0" w:rsidP="00B961B0">
      <w:r>
        <w:t>This project formed three competencies which were critical. First, evidence-based strategic thinking all recommendations are based on Revolut 2025 Annual Report or industry research, which teaches me to be a resistant speculator. Second, combined marketing rationale - understanding the way positioning (democratising wealth management) needs to filter down both consistently through pricing (freemium), people (CFA-certified advisors), and process (3-minute risk assessment). Third, professional communication the poster was relentlessly prioritised, and the perspective it has opened is that it is often necessary to omit interesting but unnecessary analysis in order to be clear.</w:t>
      </w:r>
    </w:p>
    <w:p w:rsidR="00B961B0" w:rsidRPr="0034531A" w:rsidRDefault="00B961B0" w:rsidP="00B961B0">
      <w:pPr>
        <w:rPr>
          <w:b/>
        </w:rPr>
      </w:pPr>
      <w:r w:rsidRPr="0034531A">
        <w:rPr>
          <w:b/>
        </w:rPr>
        <w:t>Conclusion</w:t>
      </w:r>
    </w:p>
    <w:p w:rsidR="00B961B0" w:rsidRDefault="00B961B0" w:rsidP="00B961B0">
      <w:r>
        <w:t xml:space="preserve">I have acquired portfolio-ready presence of strategic marketing capability, like the segmentation logic, input of 7Ps configuration, as well as, skill of visual communication. I am now able to prove complex marketing mix decisions in a way that is data-driven, professionally. Personally, I have become more at peace with ambiguity, none of the strategic planning promises or suggestions have sole correct answers, and I am given a framework </w:t>
      </w:r>
      <w:r>
        <w:t>of making defendable decisions.</w:t>
      </w:r>
    </w:p>
    <w:p w:rsidR="00B74D61" w:rsidRDefault="00B74D61" w:rsidP="00B961B0"/>
    <w:p w:rsidR="00B961B0" w:rsidRPr="0034531A" w:rsidRDefault="00B961B0" w:rsidP="00B961B0">
      <w:pPr>
        <w:rPr>
          <w:b/>
        </w:rPr>
      </w:pPr>
      <w:r w:rsidRPr="0034531A">
        <w:rPr>
          <w:b/>
        </w:rPr>
        <w:t>Action Plan</w:t>
      </w:r>
    </w:p>
    <w:p w:rsidR="007917CE" w:rsidRPr="007917CE" w:rsidRDefault="00B961B0" w:rsidP="00B961B0">
      <w:r>
        <w:t xml:space="preserve">Three refinements that I will apply in future projects include: Early stakeholder simulation; in the early planning phase of a project, hypothetical legal, product and compliance stakeholders are engaged in a simulation to uncover constraints in the project at an earlier stage. Prototype validation - Making low-fidelity </w:t>
      </w:r>
      <w:r>
        <w:t>mock-ups</w:t>
      </w:r>
      <w:r>
        <w:t xml:space="preserve"> (e.g. Wealth+ dashboard wireframes) of the prototype so informal users can test it with it before specifications are finalised. </w:t>
      </w:r>
    </w:p>
    <w:p w:rsidR="00FA0ECE" w:rsidRDefault="00FA0ECE">
      <w:pPr>
        <w:spacing w:line="259" w:lineRule="auto"/>
        <w:jc w:val="left"/>
        <w:rPr>
          <w:rFonts w:eastAsiaTheme="majorEastAsia" w:cs="Times New Roman"/>
          <w:color w:val="2E74B5" w:themeColor="accent1" w:themeShade="BF"/>
          <w:sz w:val="32"/>
          <w:szCs w:val="32"/>
        </w:rPr>
      </w:pPr>
      <w:r>
        <w:rPr>
          <w:rFonts w:cs="Times New Roman"/>
        </w:rPr>
        <w:br w:type="page"/>
      </w:r>
    </w:p>
    <w:p w:rsidR="00312DCF" w:rsidRPr="0013617A" w:rsidRDefault="00312DCF" w:rsidP="00312DCF">
      <w:pPr>
        <w:pStyle w:val="Heading1"/>
        <w:rPr>
          <w:rFonts w:cs="Times New Roman"/>
        </w:rPr>
      </w:pPr>
      <w:bookmarkStart w:id="10" w:name="_Toc228473141"/>
      <w:r w:rsidRPr="0013617A">
        <w:rPr>
          <w:rFonts w:cs="Times New Roman"/>
        </w:rPr>
        <w:t>Conclusion</w:t>
      </w:r>
      <w:bookmarkEnd w:id="10"/>
    </w:p>
    <w:p w:rsidR="00312DCF" w:rsidRPr="0013617A" w:rsidRDefault="00312DCF" w:rsidP="00312DCF">
      <w:pPr>
        <w:rPr>
          <w:rFonts w:cs="Times New Roman"/>
        </w:rPr>
      </w:pPr>
      <w:r w:rsidRPr="0013617A">
        <w:rPr>
          <w:rFonts w:cs="Times New Roman"/>
        </w:rPr>
        <w:t xml:space="preserve">This report has come up with an elaborate marketing strategy of Revolut Wealth+, which is an extension of the brand Revolut, aimed at democratising the wealth management of the mass affluent customer base of Revolut. In the study of the STDP, we found the key target group of Premium Multi Product Revolut Users who had been shown to be willing to subscribe to the service and use multi features. The long marketing mix used the 7-factor model to denote the product characteristics, pricing system, multi-channeled distribution, combined marketing and promotions, staffing, coherent procedures and corporeal displays that boost trust. </w:t>
      </w:r>
    </w:p>
    <w:p w:rsidR="00312DCF" w:rsidRPr="0013617A" w:rsidRDefault="00312DCF" w:rsidP="00312DCF">
      <w:pPr>
        <w:spacing w:line="259" w:lineRule="auto"/>
        <w:jc w:val="left"/>
        <w:rPr>
          <w:rFonts w:cs="Times New Roman"/>
        </w:rPr>
      </w:pPr>
      <w:r w:rsidRPr="0013617A">
        <w:rPr>
          <w:rFonts w:cs="Times New Roman"/>
        </w:rPr>
        <w:br w:type="page"/>
      </w:r>
    </w:p>
    <w:p w:rsidR="00312DCF" w:rsidRPr="0013617A" w:rsidRDefault="00312DCF" w:rsidP="00312DCF">
      <w:pPr>
        <w:pStyle w:val="Heading1"/>
        <w:rPr>
          <w:rFonts w:cs="Times New Roman"/>
        </w:rPr>
      </w:pPr>
      <w:bookmarkStart w:id="11" w:name="_Toc228473142"/>
      <w:r w:rsidRPr="0013617A">
        <w:rPr>
          <w:rFonts w:cs="Times New Roman"/>
        </w:rPr>
        <w:t>References</w:t>
      </w:r>
      <w:bookmarkEnd w:id="11"/>
      <w:r w:rsidRPr="0013617A">
        <w:rPr>
          <w:rFonts w:cs="Times New Roman"/>
        </w:rPr>
        <w:t xml:space="preserve"> </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Al-Qudah, A., Alnsour, M., Al-Hawary, S. and Alolayyan, M. (2022) 'The impact of brand extension strategy on consumer purchase intention', </w:t>
      </w:r>
      <w:r w:rsidRPr="00BE0D22">
        <w:rPr>
          <w:rStyle w:val="Emphasis"/>
          <w:rFonts w:eastAsiaTheme="majorEastAsia"/>
          <w:color w:val="0F1115"/>
        </w:rPr>
        <w:t>International Journal of Marketing Studies</w:t>
      </w:r>
      <w:r w:rsidRPr="00BE0D22">
        <w:rPr>
          <w:color w:val="0F1115"/>
        </w:rPr>
        <w:t>, 14(2), pp. 45-58.</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Khan, M.A., Rahman, M. and Hossain, S. (2022) 'Customer-centric process innovation and performance in commercial banking', </w:t>
      </w:r>
      <w:r w:rsidRPr="00BE0D22">
        <w:rPr>
          <w:rStyle w:val="Emphasis"/>
          <w:rFonts w:eastAsiaTheme="majorEastAsia"/>
          <w:color w:val="0F1115"/>
        </w:rPr>
        <w:t>Journal of Financial Services Marketing</w:t>
      </w:r>
      <w:r w:rsidRPr="00BE0D22">
        <w:rPr>
          <w:color w:val="0F1115"/>
        </w:rPr>
        <w:t>, 27(3), pp. 201-215.</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Kiptoo, C. and Mwirigi, F. (2023) 'Product differentiation and customer retention in financial services firms', </w:t>
      </w:r>
      <w:r w:rsidRPr="00BE0D22">
        <w:rPr>
          <w:rStyle w:val="Emphasis"/>
          <w:rFonts w:eastAsiaTheme="majorEastAsia"/>
          <w:color w:val="0F1115"/>
        </w:rPr>
        <w:t>International Journal of Bank Marketing</w:t>
      </w:r>
      <w:r w:rsidRPr="00BE0D22">
        <w:rPr>
          <w:color w:val="0F1115"/>
        </w:rPr>
        <w:t>, 41(4), pp. 622-640.</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Klink, R.R. and Wu, L. (2023) 'Brand extension typicality and its effect on financial market performance', </w:t>
      </w:r>
      <w:r w:rsidRPr="00BE0D22">
        <w:rPr>
          <w:rStyle w:val="Emphasis"/>
          <w:rFonts w:eastAsiaTheme="majorEastAsia"/>
          <w:color w:val="0F1115"/>
        </w:rPr>
        <w:t>Journal of Brand Management</w:t>
      </w:r>
      <w:r w:rsidRPr="00BE0D22">
        <w:rPr>
          <w:color w:val="0F1115"/>
        </w:rPr>
        <w:t>, 30(1), pp. 55-71.</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Kotler, P. and Keller, K.L. (2016) </w:t>
      </w:r>
      <w:r w:rsidRPr="00BE0D22">
        <w:rPr>
          <w:rStyle w:val="Emphasis"/>
          <w:rFonts w:eastAsiaTheme="majorEastAsia"/>
          <w:color w:val="0F1115"/>
        </w:rPr>
        <w:t>Marketing Management</w:t>
      </w:r>
      <w:r w:rsidRPr="00BE0D22">
        <w:rPr>
          <w:color w:val="0F1115"/>
        </w:rPr>
        <w:t>. 15th edn. Harlow: Pearson Education.</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Kumar, P. and Sharma, A. (2020) 'The role of brand extension in building customer loyalty in the digital age', </w:t>
      </w:r>
      <w:r w:rsidRPr="00BE0D22">
        <w:rPr>
          <w:rStyle w:val="Emphasis"/>
          <w:rFonts w:eastAsiaTheme="majorEastAsia"/>
          <w:color w:val="0F1115"/>
        </w:rPr>
        <w:t>Journal of Business Research</w:t>
      </w:r>
      <w:r w:rsidRPr="00BE0D22">
        <w:rPr>
          <w:color w:val="0F1115"/>
        </w:rPr>
        <w:t>, 112, pp. 312-318.</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McKinsey &amp; Company (2023) </w:t>
      </w:r>
      <w:r w:rsidRPr="00BE0D22">
        <w:rPr>
          <w:rStyle w:val="Emphasis"/>
          <w:rFonts w:eastAsiaTheme="majorEastAsia"/>
          <w:color w:val="0F1115"/>
        </w:rPr>
        <w:t>Global Banking Annual Review 2023: The Future of Digital Finance</w:t>
      </w:r>
      <w:r w:rsidRPr="00BE0D22">
        <w:rPr>
          <w:color w:val="0F1115"/>
        </w:rPr>
        <w:t>. New York: McKinsey &amp; Company.</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Mogaji, E. and Nguyen, N.P. (2024) 'High street banking on the app: branding strategies of traditionally-driven neobanks', </w:t>
      </w:r>
      <w:r w:rsidRPr="00BE0D22">
        <w:rPr>
          <w:rStyle w:val="Emphasis"/>
          <w:rFonts w:eastAsiaTheme="majorEastAsia"/>
          <w:color w:val="0F1115"/>
        </w:rPr>
        <w:t>International Journal of Bank Marketing</w:t>
      </w:r>
      <w:r w:rsidRPr="00BE0D22">
        <w:rPr>
          <w:color w:val="0F1115"/>
        </w:rPr>
        <w:t>, 42(2), pp. 301-330.</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Morgan, K. (2023) 'The impact of branding in B2B fintech: introducing a new model for success for the C-suite', </w:t>
      </w:r>
      <w:r w:rsidRPr="00BE0D22">
        <w:rPr>
          <w:rStyle w:val="Emphasis"/>
          <w:rFonts w:eastAsiaTheme="majorEastAsia"/>
          <w:color w:val="0F1115"/>
        </w:rPr>
        <w:t>Digital Repository of Theses - SSBM Geneva</w:t>
      </w:r>
      <w:r w:rsidRPr="00BE0D22">
        <w:rPr>
          <w:color w:val="0F1115"/>
        </w:rPr>
        <w:t>. Available at: </w:t>
      </w:r>
      <w:hyperlink r:id="rId17" w:tgtFrame="_blank" w:history="1">
        <w:r w:rsidRPr="00BE0D22">
          <w:rPr>
            <w:rStyle w:val="Hyperlink"/>
            <w:color w:val="3964FE"/>
            <w:bdr w:val="single" w:sz="12" w:space="0" w:color="auto" w:frame="1"/>
          </w:rPr>
          <w:t>https://repository.e-ssbm.com/index.php/rps/article/view/201</w:t>
        </w:r>
      </w:hyperlink>
      <w:r w:rsidRPr="00BE0D22">
        <w:rPr>
          <w:color w:val="0F1115"/>
        </w:rPr>
        <w:t>.</w:t>
      </w:r>
      <w:r w:rsidR="00674CF1">
        <w:rPr>
          <w:color w:val="0F1115"/>
        </w:rPr>
        <w:t xml:space="preserve"> </w:t>
      </w:r>
      <w:r w:rsidR="00674CF1">
        <w:rPr>
          <w:color w:val="0F1115"/>
        </w:rPr>
        <w:t xml:space="preserve">(Accessed- </w:t>
      </w:r>
      <w:r w:rsidR="00674CF1">
        <w:rPr>
          <w:color w:val="0F1115"/>
        </w:rPr>
        <w:fldChar w:fldCharType="begin"/>
      </w:r>
      <w:r w:rsidR="00674CF1">
        <w:rPr>
          <w:color w:val="0F1115"/>
        </w:rPr>
        <w:instrText xml:space="preserve"> DATE \@ "dd MMMM yyyy" </w:instrText>
      </w:r>
      <w:r w:rsidR="00674CF1">
        <w:rPr>
          <w:color w:val="0F1115"/>
        </w:rPr>
        <w:fldChar w:fldCharType="separate"/>
      </w:r>
      <w:r w:rsidR="00674CF1">
        <w:rPr>
          <w:noProof/>
          <w:color w:val="0F1115"/>
        </w:rPr>
        <w:fldChar w:fldCharType="begin"/>
      </w:r>
      <w:r w:rsidR="00674CF1">
        <w:rPr>
          <w:noProof/>
          <w:color w:val="0F1115"/>
        </w:rPr>
        <w:instrText xml:space="preserve"> DATE \@ "dd MMMM yyyy" </w:instrText>
      </w:r>
      <w:r w:rsidR="00674CF1">
        <w:rPr>
          <w:noProof/>
          <w:color w:val="0F1115"/>
        </w:rPr>
        <w:fldChar w:fldCharType="separate"/>
      </w:r>
      <w:r w:rsidR="00674CF1">
        <w:rPr>
          <w:noProof/>
          <w:color w:val="0F1115"/>
        </w:rPr>
        <w:t>30 April 2026</w:t>
      </w:r>
      <w:r w:rsidR="00674CF1">
        <w:rPr>
          <w:noProof/>
          <w:color w:val="0F1115"/>
        </w:rPr>
        <w:fldChar w:fldCharType="end"/>
      </w:r>
      <w:r w:rsidR="00674CF1">
        <w:rPr>
          <w:color w:val="0F1115"/>
        </w:rPr>
        <w:fldChar w:fldCharType="end"/>
      </w:r>
      <w:r w:rsidR="00674CF1">
        <w:rPr>
          <w:color w:val="0F1115"/>
        </w:rPr>
        <w:t>)</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Nguyen, T. (2024) 'The role of physical presence in digital banking trust formation', </w:t>
      </w:r>
      <w:r w:rsidRPr="00BE0D22">
        <w:rPr>
          <w:rStyle w:val="Emphasis"/>
          <w:rFonts w:eastAsiaTheme="majorEastAsia"/>
          <w:color w:val="0F1115"/>
        </w:rPr>
        <w:t>Journal of Retail Banking and Consumer Services</w:t>
      </w:r>
      <w:r w:rsidRPr="00BE0D22">
        <w:rPr>
          <w:color w:val="0F1115"/>
        </w:rPr>
        <w:t>, 19(2), pp. 88-101.</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Revolut (2025) </w:t>
      </w:r>
      <w:r w:rsidRPr="00BE0D22">
        <w:rPr>
          <w:rStyle w:val="Emphasis"/>
          <w:rFonts w:eastAsiaTheme="majorEastAsia"/>
          <w:color w:val="0F1115"/>
        </w:rPr>
        <w:t>Annual Report 2025</w:t>
      </w:r>
      <w:r w:rsidRPr="00BE0D22">
        <w:rPr>
          <w:color w:val="0F1115"/>
        </w:rPr>
        <w:t>. London: Revolut Ltd. Available at: </w:t>
      </w:r>
      <w:hyperlink r:id="rId18" w:tgtFrame="_blank" w:history="1">
        <w:r w:rsidRPr="00BE0D22">
          <w:rPr>
            <w:rStyle w:val="Hyperlink"/>
            <w:color w:val="3964FE"/>
            <w:bdr w:val="single" w:sz="12" w:space="0" w:color="auto" w:frame="1"/>
          </w:rPr>
          <w:t>https://www.revolut.com/reports-and-results/</w:t>
        </w:r>
      </w:hyperlink>
      <w:r w:rsidRPr="00BE0D22">
        <w:rPr>
          <w:color w:val="0F1115"/>
        </w:rPr>
        <w:t>.</w:t>
      </w:r>
      <w:r w:rsidR="00FA5C8E">
        <w:rPr>
          <w:color w:val="0F1115"/>
        </w:rPr>
        <w:t xml:space="preserve"> (Accessed- </w:t>
      </w:r>
      <w:r w:rsidR="0023731C">
        <w:rPr>
          <w:color w:val="0F1115"/>
        </w:rPr>
        <w:fldChar w:fldCharType="begin"/>
      </w:r>
      <w:r w:rsidR="0023731C">
        <w:rPr>
          <w:color w:val="0F1115"/>
        </w:rPr>
        <w:instrText xml:space="preserve"> DATE \@ "dd MMMM yyyy" </w:instrText>
      </w:r>
      <w:r w:rsidR="0023731C">
        <w:rPr>
          <w:color w:val="0F1115"/>
        </w:rPr>
        <w:fldChar w:fldCharType="separate"/>
      </w:r>
      <w:r w:rsidR="0023731C">
        <w:rPr>
          <w:noProof/>
          <w:color w:val="0F1115"/>
        </w:rPr>
        <w:fldChar w:fldCharType="begin"/>
      </w:r>
      <w:r w:rsidR="0023731C">
        <w:rPr>
          <w:noProof/>
          <w:color w:val="0F1115"/>
        </w:rPr>
        <w:instrText xml:space="preserve"> DATE \@ "dd MMMM yyyy" </w:instrText>
      </w:r>
      <w:r w:rsidR="0023731C">
        <w:rPr>
          <w:noProof/>
          <w:color w:val="0F1115"/>
        </w:rPr>
        <w:fldChar w:fldCharType="separate"/>
      </w:r>
      <w:r w:rsidR="0023731C">
        <w:rPr>
          <w:noProof/>
          <w:color w:val="0F1115"/>
        </w:rPr>
        <w:t>30 April 2026</w:t>
      </w:r>
      <w:r w:rsidR="0023731C">
        <w:rPr>
          <w:noProof/>
          <w:color w:val="0F1115"/>
        </w:rPr>
        <w:fldChar w:fldCharType="end"/>
      </w:r>
      <w:r w:rsidR="0023731C">
        <w:rPr>
          <w:color w:val="0F1115"/>
        </w:rPr>
        <w:fldChar w:fldCharType="end"/>
      </w:r>
      <w:r w:rsidR="0023731C">
        <w:rPr>
          <w:color w:val="0F1115"/>
        </w:rPr>
        <w:t>)</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Savitha, B., Nayak Kini, A. and Hawaldar, I.T. (2024) 'Brand loyalty in Fi</w:t>
      </w:r>
      <w:r w:rsidR="007378A8">
        <w:rPr>
          <w:color w:val="0F1115"/>
        </w:rPr>
        <w:fldChar w:fldCharType="begin"/>
      </w:r>
      <w:r w:rsidR="007378A8">
        <w:rPr>
          <w:color w:val="0F1115"/>
        </w:rPr>
        <w:instrText xml:space="preserve"> DATE \@ "dd MMMM yyyy" </w:instrText>
      </w:r>
      <w:r w:rsidR="007378A8">
        <w:rPr>
          <w:color w:val="0F1115"/>
        </w:rPr>
        <w:fldChar w:fldCharType="separate"/>
      </w:r>
      <w:r w:rsidR="007378A8">
        <w:rPr>
          <w:noProof/>
          <w:color w:val="0F1115"/>
        </w:rPr>
        <w:t>30 April 2026</w:t>
      </w:r>
      <w:r w:rsidR="007378A8">
        <w:rPr>
          <w:color w:val="0F1115"/>
        </w:rPr>
        <w:fldChar w:fldCharType="end"/>
      </w:r>
      <w:r w:rsidRPr="00BE0D22">
        <w:rPr>
          <w:color w:val="0F1115"/>
        </w:rPr>
        <w:t>nTech services: the role of self-concept, customer engagement behavior and self-brand connection', </w:t>
      </w:r>
      <w:r w:rsidRPr="00BE0D22">
        <w:rPr>
          <w:rStyle w:val="Emphasis"/>
          <w:rFonts w:eastAsiaTheme="majorEastAsia"/>
          <w:color w:val="0F1115"/>
        </w:rPr>
        <w:t>Journal of Open Innovation: Technology, Market, and Complexity</w:t>
      </w:r>
      <w:r w:rsidRPr="00BE0D22">
        <w:rPr>
          <w:color w:val="0F1115"/>
        </w:rPr>
        <w:t>, 10(3).</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Silicon Roundabout (2020) 'How Revolut monetised freemium banking through premium subscriptions', </w:t>
      </w:r>
      <w:r w:rsidRPr="00BE0D22">
        <w:rPr>
          <w:rStyle w:val="Emphasis"/>
          <w:rFonts w:eastAsiaTheme="majorEastAsia"/>
          <w:color w:val="0F1115"/>
        </w:rPr>
        <w:t>Silicon Roundabout Magazine</w:t>
      </w:r>
      <w:r w:rsidRPr="00BE0D22">
        <w:rPr>
          <w:color w:val="0F1115"/>
        </w:rPr>
        <w:t>, 8(1), pp. 14-18.</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Smith, J. and Patel, R. (2022) 'Sustainability in financial technology: exploring green investment options', </w:t>
      </w:r>
      <w:r w:rsidRPr="00BE0D22">
        <w:rPr>
          <w:rStyle w:val="Emphasis"/>
          <w:rFonts w:eastAsiaTheme="majorEastAsia"/>
          <w:color w:val="0F1115"/>
        </w:rPr>
        <w:t>FinTech Innovations</w:t>
      </w:r>
      <w:r w:rsidRPr="00BE0D22">
        <w:rPr>
          <w:color w:val="0F1115"/>
        </w:rPr>
        <w:t>, 15(3), pp. 22-30.</w:t>
      </w:r>
    </w:p>
    <w:p w:rsidR="0000776C" w:rsidRPr="00BE0D22" w:rsidRDefault="0000776C" w:rsidP="00BE0D22">
      <w:pPr>
        <w:pStyle w:val="ds-markdown-paragraph"/>
        <w:shd w:val="clear" w:color="auto" w:fill="FFFFFF"/>
        <w:spacing w:before="240" w:beforeAutospacing="0" w:after="240" w:afterAutospacing="0" w:line="360" w:lineRule="auto"/>
        <w:jc w:val="both"/>
        <w:rPr>
          <w:color w:val="0F1115"/>
        </w:rPr>
      </w:pPr>
      <w:r w:rsidRPr="00BE0D22">
        <w:rPr>
          <w:color w:val="0F1115"/>
        </w:rPr>
        <w:t>Thompson, K. and Wallace, L. (2023) 'Brand extension strategies in FinTech: aligning with emerging trends', </w:t>
      </w:r>
      <w:r w:rsidRPr="00BE0D22">
        <w:rPr>
          <w:rStyle w:val="Emphasis"/>
          <w:rFonts w:eastAsiaTheme="majorEastAsia"/>
          <w:color w:val="0F1115"/>
        </w:rPr>
        <w:t>Journal of Digital Business</w:t>
      </w:r>
      <w:r w:rsidRPr="00BE0D22">
        <w:rPr>
          <w:color w:val="0F1115"/>
        </w:rPr>
        <w:t>, 5(2), pp. 75-83.</w:t>
      </w:r>
    </w:p>
    <w:p w:rsidR="0000776C" w:rsidRPr="00BE0D22" w:rsidRDefault="0000776C" w:rsidP="00BE0D22">
      <w:pPr>
        <w:pStyle w:val="ds-markdown-paragraph"/>
        <w:shd w:val="clear" w:color="auto" w:fill="FFFFFF"/>
        <w:spacing w:before="240" w:beforeAutospacing="0" w:line="360" w:lineRule="auto"/>
        <w:jc w:val="both"/>
        <w:rPr>
          <w:color w:val="0F1115"/>
        </w:rPr>
      </w:pPr>
      <w:r w:rsidRPr="00BE0D22">
        <w:rPr>
          <w:color w:val="0F1115"/>
        </w:rPr>
        <w:t>Zafin (2024) </w:t>
      </w:r>
      <w:r w:rsidRPr="00BE0D22">
        <w:rPr>
          <w:rStyle w:val="Emphasis"/>
          <w:rFonts w:eastAsiaTheme="majorEastAsia"/>
          <w:color w:val="0F1115"/>
        </w:rPr>
        <w:t>Consumer Expectations in Embedded Finance and Digital Banking</w:t>
      </w:r>
      <w:r w:rsidRPr="00BE0D22">
        <w:rPr>
          <w:color w:val="0F1115"/>
        </w:rPr>
        <w:t>. Toronto: Zafin Research Institute.</w:t>
      </w:r>
    </w:p>
    <w:p w:rsidR="00BE6C91" w:rsidRPr="0013617A" w:rsidRDefault="00BE6C91">
      <w:pPr>
        <w:rPr>
          <w:rFonts w:cs="Times New Roman"/>
        </w:rPr>
      </w:pPr>
    </w:p>
    <w:sectPr w:rsidR="00BE6C91" w:rsidRPr="0013617A">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7BD5" w:rsidRDefault="00E97BD5" w:rsidP="009654F3">
      <w:pPr>
        <w:spacing w:after="0" w:line="240" w:lineRule="auto"/>
      </w:pPr>
      <w:r>
        <w:separator/>
      </w:r>
    </w:p>
  </w:endnote>
  <w:endnote w:type="continuationSeparator" w:id="0">
    <w:p w:rsidR="00E97BD5" w:rsidRDefault="00E97BD5" w:rsidP="00965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3308795"/>
      <w:docPartObj>
        <w:docPartGallery w:val="Page Numbers (Bottom of Page)"/>
        <w:docPartUnique/>
      </w:docPartObj>
    </w:sdtPr>
    <w:sdtEndPr>
      <w:rPr>
        <w:color w:val="7F7F7F" w:themeColor="background1" w:themeShade="7F"/>
        <w:spacing w:val="60"/>
      </w:rPr>
    </w:sdtEndPr>
    <w:sdtContent>
      <w:p w:rsidR="009654F3" w:rsidRDefault="009654F3" w:rsidP="009654F3">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sidR="00E97BD5" w:rsidRPr="00E97BD5">
          <w:rPr>
            <w:b/>
            <w:bCs/>
            <w:noProof/>
          </w:rPr>
          <w:t>1</w:t>
        </w:r>
        <w:r>
          <w:rPr>
            <w:b/>
            <w:bCs/>
            <w:noProof/>
          </w:rPr>
          <w:fldChar w:fldCharType="end"/>
        </w:r>
        <w:r>
          <w:rPr>
            <w:b/>
            <w:bCs/>
          </w:rPr>
          <w:t xml:space="preserve"> | </w:t>
        </w:r>
        <w:r>
          <w:rPr>
            <w:color w:val="7F7F7F" w:themeColor="background1" w:themeShade="7F"/>
            <w:spacing w:val="60"/>
          </w:rPr>
          <w:t>Page</w:t>
        </w:r>
      </w:p>
    </w:sdtContent>
  </w:sdt>
  <w:p w:rsidR="009654F3" w:rsidRDefault="009654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7BD5" w:rsidRDefault="00E97BD5" w:rsidP="009654F3">
      <w:pPr>
        <w:spacing w:after="0" w:line="240" w:lineRule="auto"/>
      </w:pPr>
      <w:r>
        <w:separator/>
      </w:r>
    </w:p>
  </w:footnote>
  <w:footnote w:type="continuationSeparator" w:id="0">
    <w:p w:rsidR="00E97BD5" w:rsidRDefault="00E97BD5" w:rsidP="009654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C77"/>
    <w:rsid w:val="0000776C"/>
    <w:rsid w:val="00070EBC"/>
    <w:rsid w:val="000E366B"/>
    <w:rsid w:val="0011397B"/>
    <w:rsid w:val="00121B8F"/>
    <w:rsid w:val="00125BD0"/>
    <w:rsid w:val="00133C3A"/>
    <w:rsid w:val="0013617A"/>
    <w:rsid w:val="001403FC"/>
    <w:rsid w:val="00165D81"/>
    <w:rsid w:val="001B518B"/>
    <w:rsid w:val="0023465E"/>
    <w:rsid w:val="0023731C"/>
    <w:rsid w:val="00237F3C"/>
    <w:rsid w:val="00251EC8"/>
    <w:rsid w:val="00292FA0"/>
    <w:rsid w:val="002A3504"/>
    <w:rsid w:val="002A362B"/>
    <w:rsid w:val="00312DCF"/>
    <w:rsid w:val="00320EDE"/>
    <w:rsid w:val="00324A03"/>
    <w:rsid w:val="0034531A"/>
    <w:rsid w:val="003508D6"/>
    <w:rsid w:val="0037533D"/>
    <w:rsid w:val="00403C3C"/>
    <w:rsid w:val="004103D5"/>
    <w:rsid w:val="00431B33"/>
    <w:rsid w:val="00443613"/>
    <w:rsid w:val="0047115A"/>
    <w:rsid w:val="004A4003"/>
    <w:rsid w:val="004C4688"/>
    <w:rsid w:val="005065DF"/>
    <w:rsid w:val="00507C1B"/>
    <w:rsid w:val="00532602"/>
    <w:rsid w:val="005C654E"/>
    <w:rsid w:val="005D36FF"/>
    <w:rsid w:val="005F587E"/>
    <w:rsid w:val="00601B1A"/>
    <w:rsid w:val="006460D2"/>
    <w:rsid w:val="00674CF1"/>
    <w:rsid w:val="006B6C03"/>
    <w:rsid w:val="006E15B2"/>
    <w:rsid w:val="006E6694"/>
    <w:rsid w:val="007378A8"/>
    <w:rsid w:val="00753AB2"/>
    <w:rsid w:val="00786104"/>
    <w:rsid w:val="007917CE"/>
    <w:rsid w:val="007D269B"/>
    <w:rsid w:val="007E0AB8"/>
    <w:rsid w:val="008503A5"/>
    <w:rsid w:val="008925CF"/>
    <w:rsid w:val="008B4387"/>
    <w:rsid w:val="0094663A"/>
    <w:rsid w:val="0096246F"/>
    <w:rsid w:val="009654F3"/>
    <w:rsid w:val="00993AA6"/>
    <w:rsid w:val="00A1444A"/>
    <w:rsid w:val="00A50C8D"/>
    <w:rsid w:val="00A765E0"/>
    <w:rsid w:val="00A7763D"/>
    <w:rsid w:val="00A82C77"/>
    <w:rsid w:val="00B004EF"/>
    <w:rsid w:val="00B74D61"/>
    <w:rsid w:val="00B80C35"/>
    <w:rsid w:val="00B87CDD"/>
    <w:rsid w:val="00B961B0"/>
    <w:rsid w:val="00BB5E9F"/>
    <w:rsid w:val="00BD58D7"/>
    <w:rsid w:val="00BE0D22"/>
    <w:rsid w:val="00BE6C91"/>
    <w:rsid w:val="00BF0673"/>
    <w:rsid w:val="00BF581C"/>
    <w:rsid w:val="00C15184"/>
    <w:rsid w:val="00C55AF6"/>
    <w:rsid w:val="00C55D57"/>
    <w:rsid w:val="00C57656"/>
    <w:rsid w:val="00CC4885"/>
    <w:rsid w:val="00CC491B"/>
    <w:rsid w:val="00CD1AC9"/>
    <w:rsid w:val="00CE31AE"/>
    <w:rsid w:val="00CE57A8"/>
    <w:rsid w:val="00CF2B71"/>
    <w:rsid w:val="00CF463A"/>
    <w:rsid w:val="00CF6CA6"/>
    <w:rsid w:val="00D3519B"/>
    <w:rsid w:val="00D35640"/>
    <w:rsid w:val="00D41474"/>
    <w:rsid w:val="00D50899"/>
    <w:rsid w:val="00DD0845"/>
    <w:rsid w:val="00DE749A"/>
    <w:rsid w:val="00E12301"/>
    <w:rsid w:val="00E151B9"/>
    <w:rsid w:val="00E420E8"/>
    <w:rsid w:val="00E97BD5"/>
    <w:rsid w:val="00EB3D24"/>
    <w:rsid w:val="00F33A42"/>
    <w:rsid w:val="00F41C26"/>
    <w:rsid w:val="00F515C6"/>
    <w:rsid w:val="00FA0ECE"/>
    <w:rsid w:val="00FA2485"/>
    <w:rsid w:val="00FA5C8E"/>
    <w:rsid w:val="00FC0C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0A067"/>
  <w15:chartTrackingRefBased/>
  <w15:docId w15:val="{2B8A9635-626D-40ED-8207-98994C3D8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663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32602"/>
    <w:pPr>
      <w:keepNext/>
      <w:keepLines/>
      <w:spacing w:before="240" w:after="0"/>
      <w:jc w:val="center"/>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3260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E6694"/>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32602"/>
    <w:rPr>
      <w:rFonts w:ascii="Times New Roman" w:eastAsiaTheme="majorEastAsia" w:hAnsi="Times New Roman" w:cstheme="majorBidi"/>
      <w:sz w:val="28"/>
      <w:szCs w:val="26"/>
      <w:lang w:val="en-GB"/>
    </w:rPr>
  </w:style>
  <w:style w:type="character" w:customStyle="1" w:styleId="Heading1Char">
    <w:name w:val="Heading 1 Char"/>
    <w:basedOn w:val="DefaultParagraphFont"/>
    <w:link w:val="Heading1"/>
    <w:uiPriority w:val="9"/>
    <w:rsid w:val="00532602"/>
    <w:rPr>
      <w:rFonts w:ascii="Times New Roman" w:eastAsiaTheme="majorEastAsia" w:hAnsi="Times New Roman" w:cstheme="majorBidi"/>
      <w:color w:val="2E74B5" w:themeColor="accent1" w:themeShade="BF"/>
      <w:sz w:val="32"/>
      <w:szCs w:val="32"/>
      <w:lang w:val="en-GB"/>
    </w:rPr>
  </w:style>
  <w:style w:type="character" w:customStyle="1" w:styleId="Heading3Char">
    <w:name w:val="Heading 3 Char"/>
    <w:basedOn w:val="DefaultParagraphFont"/>
    <w:link w:val="Heading3"/>
    <w:uiPriority w:val="9"/>
    <w:rsid w:val="006E6694"/>
    <w:rPr>
      <w:rFonts w:ascii="Times New Roman" w:eastAsiaTheme="majorEastAsia" w:hAnsi="Times New Roman" w:cstheme="majorBidi"/>
      <w:b/>
      <w:color w:val="1F4D78" w:themeColor="accent1" w:themeShade="7F"/>
      <w:sz w:val="24"/>
      <w:szCs w:val="24"/>
      <w:lang w:val="en-GB"/>
    </w:rPr>
  </w:style>
  <w:style w:type="paragraph" w:styleId="Header">
    <w:name w:val="header"/>
    <w:basedOn w:val="Normal"/>
    <w:link w:val="HeaderChar"/>
    <w:uiPriority w:val="99"/>
    <w:unhideWhenUsed/>
    <w:rsid w:val="009654F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4F3"/>
    <w:rPr>
      <w:rFonts w:ascii="Times New Roman" w:hAnsi="Times New Roman"/>
      <w:sz w:val="24"/>
      <w:lang w:val="en-GB"/>
    </w:rPr>
  </w:style>
  <w:style w:type="paragraph" w:styleId="Footer">
    <w:name w:val="footer"/>
    <w:basedOn w:val="Normal"/>
    <w:link w:val="FooterChar"/>
    <w:uiPriority w:val="99"/>
    <w:unhideWhenUsed/>
    <w:rsid w:val="009654F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4F3"/>
    <w:rPr>
      <w:rFonts w:ascii="Times New Roman" w:hAnsi="Times New Roman"/>
      <w:sz w:val="24"/>
      <w:lang w:val="en-GB"/>
    </w:rPr>
  </w:style>
  <w:style w:type="paragraph" w:styleId="TOCHeading">
    <w:name w:val="TOC Heading"/>
    <w:basedOn w:val="Heading1"/>
    <w:next w:val="Normal"/>
    <w:uiPriority w:val="39"/>
    <w:unhideWhenUsed/>
    <w:qFormat/>
    <w:rsid w:val="00312DCF"/>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312DCF"/>
    <w:pPr>
      <w:spacing w:after="100"/>
    </w:pPr>
  </w:style>
  <w:style w:type="paragraph" w:styleId="TOC2">
    <w:name w:val="toc 2"/>
    <w:basedOn w:val="Normal"/>
    <w:next w:val="Normal"/>
    <w:autoRedefine/>
    <w:uiPriority w:val="39"/>
    <w:unhideWhenUsed/>
    <w:rsid w:val="00312DCF"/>
    <w:pPr>
      <w:spacing w:after="100"/>
      <w:ind w:left="240"/>
    </w:pPr>
  </w:style>
  <w:style w:type="character" w:styleId="Hyperlink">
    <w:name w:val="Hyperlink"/>
    <w:basedOn w:val="DefaultParagraphFont"/>
    <w:uiPriority w:val="99"/>
    <w:unhideWhenUsed/>
    <w:rsid w:val="00312DCF"/>
    <w:rPr>
      <w:color w:val="0563C1" w:themeColor="hyperlink"/>
      <w:u w:val="single"/>
    </w:rPr>
  </w:style>
  <w:style w:type="paragraph" w:customStyle="1" w:styleId="ds-markdown-paragraph">
    <w:name w:val="ds-markdown-paragraph"/>
    <w:basedOn w:val="Normal"/>
    <w:rsid w:val="00DD0845"/>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DD08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84728">
      <w:bodyDiv w:val="1"/>
      <w:marLeft w:val="0"/>
      <w:marRight w:val="0"/>
      <w:marTop w:val="0"/>
      <w:marBottom w:val="0"/>
      <w:divBdr>
        <w:top w:val="none" w:sz="0" w:space="0" w:color="auto"/>
        <w:left w:val="none" w:sz="0" w:space="0" w:color="auto"/>
        <w:bottom w:val="none" w:sz="0" w:space="0" w:color="auto"/>
        <w:right w:val="none" w:sz="0" w:space="0" w:color="auto"/>
      </w:divBdr>
    </w:div>
    <w:div w:id="606810080">
      <w:bodyDiv w:val="1"/>
      <w:marLeft w:val="0"/>
      <w:marRight w:val="0"/>
      <w:marTop w:val="0"/>
      <w:marBottom w:val="0"/>
      <w:divBdr>
        <w:top w:val="none" w:sz="0" w:space="0" w:color="auto"/>
        <w:left w:val="none" w:sz="0" w:space="0" w:color="auto"/>
        <w:bottom w:val="none" w:sz="0" w:space="0" w:color="auto"/>
        <w:right w:val="none" w:sz="0" w:space="0" w:color="auto"/>
      </w:divBdr>
    </w:div>
    <w:div w:id="115999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arget="media/image2.jpeg" Type="http://schemas.openxmlformats.org/officeDocument/2006/relationships/image"/><Relationship Id="rId13" Target="media/image6.jpeg" Type="http://schemas.openxmlformats.org/officeDocument/2006/relationships/image"/><Relationship Id="rId18" Target="https://www.revolut.com/reports-and-results/" TargetMode="External" Type="http://schemas.openxmlformats.org/officeDocument/2006/relationships/hyperlink"/><Relationship Id="rId3" Target="settings.xml" Type="http://schemas.openxmlformats.org/officeDocument/2006/relationships/settings"/><Relationship Id="rId21" Target="theme/theme1.xml" Type="http://schemas.openxmlformats.org/officeDocument/2006/relationships/theme"/><Relationship Id="rId7" Target="media/image1.jpeg" Type="http://schemas.openxmlformats.org/officeDocument/2006/relationships/image"/><Relationship Id="rId12" Target="media/hdphoto1.wdp" Type="http://schemas.microsoft.com/office/2007/relationships/hdphoto"/><Relationship Id="rId17" Target="https://repository.e-ssbm.com/index.php/rps/article/view/201" TargetMode="External" Type="http://schemas.openxmlformats.org/officeDocument/2006/relationships/hyperlink"/><Relationship Id="rId2" Target="styles.xml" Type="http://schemas.openxmlformats.org/officeDocument/2006/relationships/styles"/><Relationship Id="rId16" Target="media/image9.png" Type="http://schemas.openxmlformats.org/officeDocument/2006/relationships/image"/><Relationship Id="rId20" Target="fontTable.xml" Type="http://schemas.openxmlformats.org/officeDocument/2006/relationships/fontTable"/><Relationship Id="rId1" Target="../customXml/item1.xml" Type="http://schemas.openxmlformats.org/officeDocument/2006/relationships/customXml"/><Relationship Id="rId6" Target="endnotes.xml" Type="http://schemas.openxmlformats.org/officeDocument/2006/relationships/endnotes"/><Relationship Id="rId11" Target="media/image5.jpeg" Type="http://schemas.openxmlformats.org/officeDocument/2006/relationships/image"/><Relationship Id="rId5" Target="footnotes.xml" Type="http://schemas.openxmlformats.org/officeDocument/2006/relationships/footnotes"/><Relationship Id="rId15" Target="media/image8.jpeg" Type="http://schemas.openxmlformats.org/officeDocument/2006/relationships/image"/><Relationship Id="rId10" Target="media/image4.jpeg" Type="http://schemas.openxmlformats.org/officeDocument/2006/relationships/image"/><Relationship Id="rId19" Target="footer1.xml" Type="http://schemas.openxmlformats.org/officeDocument/2006/relationships/footer"/><Relationship Id="rId4" Target="webSettings.xml" Type="http://schemas.openxmlformats.org/officeDocument/2006/relationships/webSettings"/><Relationship Id="rId9" Target="media/image3.jpeg" Type="http://schemas.openxmlformats.org/officeDocument/2006/relationships/image"/><Relationship Id="rId14" Target="media/image7.png" Type="http://schemas.openxmlformats.org/officeDocument/2006/relationships/image"/></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21FC2-26B9-4020-BC73-E69FE1578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19</Pages>
  <Words>3429</Words>
  <Characters>19548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PC</cp:lastModifiedBy>
  <cp:revision>86</cp:revision>
  <dcterms:created xsi:type="dcterms:W3CDTF">2026-04-30T13:02:00Z</dcterms:created>
  <dcterms:modified xsi:type="dcterms:W3CDTF">2026-04-30T14:39:00Z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name="NXPowerLiteLastOptimized" pid="2">
    <vt:lpwstr>340415</vt:lpwstr>
  </property>
  <property fmtid="{D5CDD505-2E9C-101B-9397-08002B2CF9AE}" name="NXPowerLiteSettings" pid="3">
    <vt:lpwstr>C7C0031C027800</vt:lpwstr>
  </property>
  <property fmtid="{D5CDD505-2E9C-101B-9397-08002B2CF9AE}" name="NXPowerLiteVersion" pid="4">
    <vt:lpwstr>D10.3.1</vt:lpwstr>
  </property>
</Properties>
</file>