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bCs w:val="1"/>
          <w:sz w:val="22"/>
          <w:szCs w:val="22"/>
        </w:rPr>
      </w:pPr>
      <w:r w:rsidDel="00000000" w:rsidR="00000000" w:rsidRPr="00000000">
        <w:rPr>
          <w:sz w:val="22"/>
          <w:szCs w:val="22"/>
        </w:rPr>
        <w:drawing>
          <wp:inline distB="0" distT="0" distL="0" distR="0">
            <wp:extent cx="2787650" cy="1162050"/>
            <wp:effectExtent b="0" l="0" r="0" t="0"/>
            <wp:docPr id="184713434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787650" cy="11620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b w:val="1"/>
          <w:bCs w:val="1"/>
          <w:sz w:val="22"/>
          <w:szCs w:val="22"/>
        </w:rPr>
      </w:pPr>
      <w:r w:rsidDel="00000000" w:rsidR="00000000" w:rsidRPr="00000000">
        <w:rPr>
          <w:b w:val="1"/>
          <w:bCs w:val="1"/>
          <w:sz w:val="22"/>
          <w:szCs w:val="22"/>
          <w:rtl w:val="0"/>
        </w:rPr>
        <w:t xml:space="preserve"> </w:t>
      </w:r>
    </w:p>
    <w:p w:rsidR="00000000" w:rsidDel="00000000" w:rsidP="00000000" w:rsidRDefault="00000000" w:rsidRPr="00000000" w14:paraId="00000003">
      <w:pPr>
        <w:spacing w:line="360" w:lineRule="auto"/>
        <w:jc w:val="both"/>
        <w:rPr>
          <w:b w:val="1"/>
          <w:bCs w:val="1"/>
          <w:sz w:val="22"/>
          <w:szCs w:val="22"/>
        </w:rPr>
      </w:pPr>
      <w:r w:rsidDel="00000000" w:rsidR="00000000" w:rsidRPr="00000000">
        <w:rPr>
          <w:rtl w:val="0"/>
        </w:rPr>
      </w:r>
    </w:p>
    <w:tbl>
      <w:tblPr>
        <w:tblStyle w:val="Table1"/>
        <w:tblW w:w="6835.0" w:type="dxa"/>
        <w:jc w:val="left"/>
        <w:tblInd w:w="144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835"/>
        <w:tblGridChange w:id="0">
          <w:tblGrid>
            <w:gridCol w:w="683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4">
            <w:pPr>
              <w:spacing w:after="16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Name : Balqees Bibi</w:t>
              <w:tab/>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spacing w:after="16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no : 2530124</w:t>
            </w:r>
          </w:p>
        </w:tc>
      </w:tr>
      <w:tr>
        <w:trPr>
          <w:cantSplit w:val="0"/>
          <w:trHeight w:val="386"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spacing w:after="16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          Digital Skills and Research Methods</w:t>
            </w:r>
          </w:p>
        </w:tc>
      </w:tr>
      <w:tr>
        <w:trPr>
          <w:cantSplit w:val="0"/>
          <w:trHeight w:val="386"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spacing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Lecturer:        Bianca Dogen</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spacing w:after="16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 :     LCHS4007</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spacing w:after="16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 :  Component 2 – Research Report</w:t>
            </w:r>
          </w:p>
        </w:tc>
      </w:tr>
    </w:tbl>
    <w:p w:rsidR="00000000" w:rsidDel="00000000" w:rsidP="00000000" w:rsidRDefault="00000000" w:rsidRPr="00000000" w14:paraId="0000000A">
      <w:pPr>
        <w:spacing w:line="360" w:lineRule="auto"/>
        <w:jc w:val="both"/>
        <w:rPr>
          <w:sz w:val="22"/>
          <w:szCs w:val="22"/>
        </w:rPr>
      </w:pPr>
      <w:r w:rsidDel="00000000" w:rsidR="00000000" w:rsidRPr="00000000">
        <w:rPr>
          <w:rtl w:val="0"/>
        </w:rPr>
      </w:r>
    </w:p>
    <w:p w:rsidR="00000000" w:rsidDel="00000000" w:rsidP="00000000" w:rsidRDefault="00000000" w:rsidRPr="00000000" w14:paraId="0000000B">
      <w:pPr>
        <w:spacing w:line="360" w:lineRule="auto"/>
        <w:jc w:val="both"/>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Play" w:cs="Play" w:eastAsia="Play" w:hAnsi="Play"/>
          <w:b w:val="1"/>
          <w:bCs w:val="1"/>
          <w:i w:val="0"/>
          <w:iCs w:val="0"/>
          <w:smallCaps w:val="0"/>
          <w:strike w:val="0"/>
          <w:color w:val="000000"/>
          <w:sz w:val="22"/>
          <w:szCs w:val="22"/>
          <w:u w:val="none"/>
          <w:shd w:fill="auto" w:val="clear"/>
          <w:vertAlign w:val="baseline"/>
        </w:rPr>
      </w:pPr>
      <w:r w:rsidDel="00000000" w:rsidR="00000000" w:rsidRPr="00000000">
        <w:rPr>
          <w:rFonts w:ascii="Play" w:cs="Play" w:eastAsia="Play" w:hAnsi="Play"/>
          <w:b w:val="1"/>
          <w:bCs w:val="1"/>
          <w:i w:val="0"/>
          <w:iCs w:val="0"/>
          <w:smallCaps w:val="0"/>
          <w:strike w:val="0"/>
          <w:color w:val="000000"/>
          <w:sz w:val="22"/>
          <w:szCs w:val="22"/>
          <w:u w:val="none"/>
          <w:shd w:fill="auto" w:val="clear"/>
          <w:vertAlign w:val="baseline"/>
          <w:rtl w:val="0"/>
        </w:rPr>
        <w:t xml:space="preserve">Table of Contents</w:t>
      </w:r>
    </w:p>
    <w:p w:rsidR="00000000" w:rsidDel="00000000" w:rsidP="00000000" w:rsidRDefault="00000000" w:rsidRPr="00000000" w14:paraId="0000000D">
      <w:pPr>
        <w:spacing w:line="360" w:lineRule="auto"/>
        <w:jc w:val="both"/>
        <w:rPr>
          <w:sz w:val="22"/>
          <w:szCs w:val="22"/>
        </w:rPr>
      </w:pPr>
      <w:r w:rsidDel="00000000" w:rsidR="00000000" w:rsidRPr="00000000">
        <w:rPr>
          <w:rtl w:val="0"/>
        </w:rPr>
      </w:r>
    </w:p>
    <w:sdt>
      <w:sdtPr>
        <w:id w:val="1764597011"/>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rgfmikw75z2h">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Introduction</w:t>
            </w:r>
          </w:hyperlink>
          <w:hyperlink w:anchor="_heading=h.rgfmikw75z2h">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1yp7fmvtxd7i">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Task 1 of 4 – Selection of a Research Topic</w:t>
            </w:r>
          </w:hyperlink>
          <w:hyperlink w:anchor="_heading=h.1yp7fmvtxd7i">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1jzdi4qk7gc9">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Task 2 of 4 – Evaluating Information Sources</w:t>
            </w:r>
          </w:hyperlink>
          <w:hyperlink w:anchor="_heading=h.1jzdi4qk7gc9">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9lx1l5fn7eaz">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Task 3 of 4 – Research Methodologies</w:t>
            </w:r>
          </w:hyperlink>
          <w:hyperlink w:anchor="_heading=h.9lx1l5fn7eaz">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2qwsvxks35ai">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Task 4 of 4 – Data Collection</w:t>
            </w:r>
          </w:hyperlink>
          <w:hyperlink w:anchor="_heading=h.2qwsvxks35ai">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nt5osrsnin3y">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Conclusion</w:t>
            </w:r>
          </w:hyperlink>
          <w:hyperlink w:anchor="_heading=h.nt5osrsnin3y">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jy48ev98lz7g">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Reference List</w:t>
            </w:r>
          </w:hyperlink>
          <w:hyperlink w:anchor="_heading=h.jy48ev98lz7g">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5">
          <w:pPr>
            <w:spacing w:line="360" w:lineRule="auto"/>
            <w:jc w:val="both"/>
            <w:rPr>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spacing w:line="360" w:lineRule="auto"/>
        <w:jc w:val="both"/>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spacing w:line="360" w:lineRule="auto"/>
        <w:jc w:val="both"/>
        <w:rPr>
          <w:b w:val="1"/>
          <w:bCs w:val="1"/>
          <w:sz w:val="22"/>
          <w:szCs w:val="22"/>
        </w:rPr>
      </w:pPr>
      <w:bookmarkStart w:colFirst="0" w:colLast="0" w:name="_heading=h.rgfmikw75z2h" w:id="0"/>
      <w:bookmarkEnd w:id="0"/>
      <w:r w:rsidDel="00000000" w:rsidR="00000000" w:rsidRPr="00000000">
        <w:rPr>
          <w:b w:val="1"/>
          <w:bCs w:val="1"/>
          <w:color w:val="000000"/>
          <w:sz w:val="22"/>
          <w:szCs w:val="22"/>
          <w:rtl w:val="0"/>
        </w:rPr>
        <w:t xml:space="preserve">Introduction</w:t>
      </w:r>
      <w:r w:rsidDel="00000000" w:rsidR="00000000" w:rsidRPr="00000000">
        <w:rPr>
          <w:rtl w:val="0"/>
        </w:rPr>
      </w:r>
    </w:p>
    <w:p w:rsidR="00000000" w:rsidDel="00000000" w:rsidP="00000000" w:rsidRDefault="00000000" w:rsidRPr="00000000" w14:paraId="00000018">
      <w:pPr>
        <w:spacing w:line="360" w:lineRule="auto"/>
        <w:jc w:val="both"/>
        <w:rPr>
          <w:sz w:val="22"/>
          <w:szCs w:val="22"/>
        </w:rPr>
      </w:pPr>
      <w:r w:rsidDel="00000000" w:rsidR="00000000" w:rsidRPr="00000000">
        <w:rPr>
          <w:sz w:val="22"/>
          <w:szCs w:val="22"/>
          <w:rtl w:val="0"/>
        </w:rPr>
        <w:t xml:space="preserve">The purpose of this report is to outline a small-scale research study into the issue of staff burnout in the UK National Health Service (NHS). This report will justify the choice of this topic and explain its importance to both the NHS workforce and patient care, will evaluate three credible resources that provide evidence of the problem, will describe data and research methods, and finally will provide an explanation of the personal and professional reasons for conducting research on this important matter.</w:t>
      </w:r>
    </w:p>
    <w:p w:rsidR="00000000" w:rsidDel="00000000" w:rsidP="00000000" w:rsidRDefault="00000000" w:rsidRPr="00000000" w14:paraId="00000019">
      <w:pPr>
        <w:pStyle w:val="Heading1"/>
        <w:spacing w:line="360" w:lineRule="auto"/>
        <w:jc w:val="both"/>
        <w:rPr>
          <w:b w:val="1"/>
          <w:bCs w:val="1"/>
          <w:color w:val="000000"/>
          <w:sz w:val="22"/>
          <w:szCs w:val="22"/>
        </w:rPr>
      </w:pPr>
      <w:bookmarkStart w:colFirst="0" w:colLast="0" w:name="_heading=h.1yp7fmvtxd7i" w:id="1"/>
      <w:bookmarkEnd w:id="1"/>
      <w:r w:rsidDel="00000000" w:rsidR="00000000" w:rsidRPr="00000000">
        <w:rPr>
          <w:b w:val="1"/>
          <w:bCs w:val="1"/>
          <w:color w:val="000000"/>
          <w:sz w:val="22"/>
          <w:szCs w:val="22"/>
          <w:rtl w:val="0"/>
        </w:rPr>
        <w:t xml:space="preserve">Task 1 of 4 – Selection of a Research Topic</w:t>
      </w:r>
    </w:p>
    <w:p w:rsidR="00000000" w:rsidDel="00000000" w:rsidP="00000000" w:rsidRDefault="00000000" w:rsidRPr="00000000" w14:paraId="0000001A">
      <w:pPr>
        <w:spacing w:line="360" w:lineRule="auto"/>
        <w:jc w:val="both"/>
        <w:rPr>
          <w:sz w:val="22"/>
          <w:szCs w:val="22"/>
        </w:rPr>
      </w:pPr>
      <w:r w:rsidDel="00000000" w:rsidR="00000000" w:rsidRPr="00000000">
        <w:rPr>
          <w:sz w:val="22"/>
          <w:szCs w:val="22"/>
          <w:rtl w:val="0"/>
        </w:rPr>
        <w:t xml:space="preserve">The topic of this research report will be the issue of exhaustion among employees of the NHS and presenteeism. Burnout refers to the physical, emotional and mental exhaustion that has occurred as a result of prolonged stress and is connected to presenteeism which occurs when an employee works while sick.</w:t>
      </w:r>
    </w:p>
    <w:p w:rsidR="00000000" w:rsidDel="00000000" w:rsidP="00000000" w:rsidRDefault="00000000" w:rsidRPr="00000000" w14:paraId="0000001B">
      <w:pPr>
        <w:spacing w:line="360" w:lineRule="auto"/>
        <w:jc w:val="both"/>
        <w:rPr>
          <w:sz w:val="22"/>
          <w:szCs w:val="22"/>
        </w:rPr>
      </w:pPr>
      <w:r w:rsidDel="00000000" w:rsidR="00000000" w:rsidRPr="00000000">
        <w:rPr>
          <w:sz w:val="22"/>
          <w:szCs w:val="22"/>
          <w:rtl w:val="0"/>
        </w:rPr>
        <w:t xml:space="preserve">The problem not only impacts large numbers of employees across different sectors in the UK; it impacts all employees working in health and social care from those employed in the hospital to those working in home care/community care. Burnout causes serious health concerns for employees, and almost all doctors and medical students (93%) are at risk of developing burnout. As a consequence of burnout, organisations are faced with high turnover rates, lost productivity due to staff being unable to work and increased pressure to find replacement employees (which results in high costs). Additionally, burnout can also negatively impact the quality, safety and effectiveness of service provided to service users since burned-out employees are more likely to make an error or become unsafe.</w:t>
      </w:r>
    </w:p>
    <w:p w:rsidR="00000000" w:rsidDel="00000000" w:rsidP="00000000" w:rsidRDefault="00000000" w:rsidRPr="00000000" w14:paraId="0000001C">
      <w:pPr>
        <w:spacing w:line="360" w:lineRule="auto"/>
        <w:jc w:val="both"/>
        <w:rPr>
          <w:sz w:val="22"/>
          <w:szCs w:val="22"/>
        </w:rPr>
      </w:pPr>
      <w:r w:rsidDel="00000000" w:rsidR="00000000" w:rsidRPr="00000000">
        <w:rPr>
          <w:sz w:val="22"/>
          <w:szCs w:val="22"/>
          <w:rtl w:val="0"/>
        </w:rPr>
        <w:t xml:space="preserve">The level of severity of the issues related to employee burnout and presenteeism has become so serious that it has now been highlighted at the highest level of government and the latest evidence suggests that up to 73% of NHS staff are suffering from extreme levels of fatigue and burnout which puts both themselves and the people that use [the] services that they provide, at risk.</w:t>
      </w:r>
    </w:p>
    <w:p w:rsidR="00000000" w:rsidDel="00000000" w:rsidP="00000000" w:rsidRDefault="00000000" w:rsidRPr="00000000" w14:paraId="0000001D">
      <w:pPr>
        <w:spacing w:line="360" w:lineRule="auto"/>
        <w:jc w:val="both"/>
        <w:rPr>
          <w:sz w:val="22"/>
          <w:szCs w:val="22"/>
        </w:rPr>
      </w:pPr>
      <w:r w:rsidDel="00000000" w:rsidR="00000000" w:rsidRPr="00000000">
        <w:rPr>
          <w:sz w:val="22"/>
          <w:szCs w:val="22"/>
          <w:rtl w:val="0"/>
        </w:rPr>
        <w:t xml:space="preserve">This topic directly relates to my area of study and will assist me to achieve my personal and professional goals within the NHS. I believe that it is critical that we understand the causes of burnout and strategies to resolve the issue so that a sustainable NHS health and social care system can be established.</w:t>
      </w:r>
    </w:p>
    <w:p w:rsidR="00000000" w:rsidDel="00000000" w:rsidP="00000000" w:rsidRDefault="00000000" w:rsidRPr="00000000" w14:paraId="0000001E">
      <w:pPr>
        <w:pStyle w:val="Heading1"/>
        <w:spacing w:line="360" w:lineRule="auto"/>
        <w:jc w:val="both"/>
        <w:rPr>
          <w:b w:val="1"/>
          <w:bCs w:val="1"/>
          <w:sz w:val="22"/>
          <w:szCs w:val="22"/>
        </w:rPr>
      </w:pPr>
      <w:bookmarkStart w:colFirst="0" w:colLast="0" w:name="_heading=h.1jzdi4qk7gc9" w:id="2"/>
      <w:bookmarkEnd w:id="2"/>
      <w:r w:rsidDel="00000000" w:rsidR="00000000" w:rsidRPr="00000000">
        <w:rPr>
          <w:b w:val="1"/>
          <w:bCs w:val="1"/>
          <w:color w:val="000000"/>
          <w:sz w:val="22"/>
          <w:szCs w:val="22"/>
          <w:rtl w:val="0"/>
        </w:rPr>
        <w:t xml:space="preserve">Task 2 of 4 – Evaluating Information Sources</w:t>
      </w:r>
      <w:r w:rsidDel="00000000" w:rsidR="00000000" w:rsidRPr="00000000">
        <w:rPr>
          <w:rtl w:val="0"/>
        </w:rPr>
      </w:r>
    </w:p>
    <w:p w:rsidR="00000000" w:rsidDel="00000000" w:rsidP="00000000" w:rsidRDefault="00000000" w:rsidRPr="00000000" w14:paraId="0000001F">
      <w:pPr>
        <w:spacing w:line="360" w:lineRule="auto"/>
        <w:jc w:val="both"/>
        <w:rPr>
          <w:sz w:val="22"/>
          <w:szCs w:val="22"/>
        </w:rPr>
      </w:pPr>
      <w:r w:rsidDel="00000000" w:rsidR="00000000" w:rsidRPr="00000000">
        <w:rPr>
          <w:sz w:val="22"/>
          <w:szCs w:val="22"/>
          <w:rtl w:val="0"/>
        </w:rPr>
        <w:t xml:space="preserve">The below three credible sources were analysed in order to develop a comprehensive understanding of workforce burnout.</w:t>
      </w:r>
    </w:p>
    <w:p w:rsidR="00000000" w:rsidDel="00000000" w:rsidP="00000000" w:rsidRDefault="00000000" w:rsidRPr="00000000" w14:paraId="00000020">
      <w:pPr>
        <w:spacing w:line="360" w:lineRule="auto"/>
        <w:jc w:val="both"/>
        <w:rPr>
          <w:sz w:val="22"/>
          <w:szCs w:val="22"/>
        </w:rPr>
      </w:pPr>
      <w:r w:rsidDel="00000000" w:rsidR="00000000" w:rsidRPr="00000000">
        <w:rPr>
          <w:sz w:val="22"/>
          <w:szCs w:val="22"/>
          <w:rtl w:val="0"/>
        </w:rPr>
        <w:t xml:space="preserve">A January 2026 Hansard, published by UK Parliament, revealed that the MPs gathered to debate workforce burnout as a critical, high level issue. A UK MP stated during the parliamentary process that "a recent YouGov poll indicated that over 73 percent of NHS heroes—heroes to the UK—suffer from workforce burnout. In other words, suffering from extreme exhaustion". This source is reliable due to its publication as part of official UK government proceedings. Additionally, the issue of workforce burnout has been raised as a recognised significant issue at the top level of UK government. Thus, we have seen many MPs challenge and ask questions of Ministers regarding actions they are undertaking to combat the issue. While this provides valuable quantitative data, it fails to provide useful qualitative data about the personal experiences of staff, which also lead to a sense of exhaustion for staff.</w:t>
      </w:r>
    </w:p>
    <w:p w:rsidR="00000000" w:rsidDel="00000000" w:rsidP="00000000" w:rsidRDefault="00000000" w:rsidRPr="00000000" w14:paraId="00000021">
      <w:pPr>
        <w:spacing w:line="360" w:lineRule="auto"/>
        <w:jc w:val="both"/>
        <w:rPr>
          <w:sz w:val="22"/>
          <w:szCs w:val="22"/>
        </w:rPr>
      </w:pPr>
      <w:r w:rsidDel="00000000" w:rsidR="00000000" w:rsidRPr="00000000">
        <w:rPr>
          <w:sz w:val="22"/>
          <w:szCs w:val="22"/>
          <w:rtl w:val="0"/>
        </w:rPr>
        <w:t xml:space="preserve">The article published by Healthcare Management about a recent British Medical Association (BMA) report titled, "The Cost of Carrying On" presents a highly detailed profession based view. The BMA's report has been utilized several times in this paper due to its specificity and detail and does contain adequate data on presenteeism, with 81% of doctors and medical students reporting that they have worked while being unwell. The report also looks at the reason for this, with 71% reporting fear of letting down a colleague and 40% fear of being understaffed. Therefore the risk of presenteeism can be looked at from the similar views of both a workforce and as one that is looking at the factors causing presenteeism rather than simply tallying the numbers affected. It is important to note that this research is only for doctors and medical students at this time and therefore it cannot be assumed to be totally generalisable to the entire health and social care workforce, including nurses, allied health professionals, or social care workers.</w:t>
      </w:r>
    </w:p>
    <w:p w:rsidR="00000000" w:rsidDel="00000000" w:rsidP="00000000" w:rsidRDefault="00000000" w:rsidRPr="00000000" w14:paraId="00000022">
      <w:pPr>
        <w:spacing w:line="360" w:lineRule="auto"/>
        <w:jc w:val="both"/>
        <w:rPr>
          <w:sz w:val="22"/>
          <w:szCs w:val="22"/>
        </w:rPr>
      </w:pPr>
      <w:r w:rsidDel="00000000" w:rsidR="00000000" w:rsidRPr="00000000">
        <w:rPr>
          <w:sz w:val="22"/>
          <w:szCs w:val="22"/>
          <w:rtl w:val="0"/>
        </w:rPr>
        <w:t xml:space="preserve">According to a report from the Parliament Committees of the UK, dysfunctional practices within the NHS are causing stress and burnout to occur at an alarming rate across all areas of the workforce. The study indicates that the current approach to creating local services will not succeed without solving ongoing issues with low recruitment and high-level attrition rates among community-based staff. The difference between working at a community level versus working at an acute level includes pay differentials and fewer opportunities for advancement. This report provides a clear connection between the causes of individual-level stress and burnout (or the lack thereof) with systemic issues in workforce planning and policy. Further, this document suggests that systemic inequalities associated with the health service are contributing factors leading to burnout; this represents a significant gap in knowledge for practitioners because while no one knows how the problem affects the macro level (i.e., all practitioners), no research has been conducted to determine how these systemic factors are impacting individual-level practitioners.</w:t>
      </w:r>
    </w:p>
    <w:p w:rsidR="00000000" w:rsidDel="00000000" w:rsidP="00000000" w:rsidRDefault="00000000" w:rsidRPr="00000000" w14:paraId="00000023">
      <w:pPr>
        <w:pStyle w:val="Heading1"/>
        <w:spacing w:line="360" w:lineRule="auto"/>
        <w:jc w:val="both"/>
        <w:rPr>
          <w:b w:val="1"/>
          <w:bCs w:val="1"/>
          <w:color w:val="000000"/>
          <w:sz w:val="22"/>
          <w:szCs w:val="22"/>
        </w:rPr>
      </w:pPr>
      <w:bookmarkStart w:colFirst="0" w:colLast="0" w:name="_heading=h.9lx1l5fn7eaz" w:id="3"/>
      <w:bookmarkEnd w:id="3"/>
      <w:r w:rsidDel="00000000" w:rsidR="00000000" w:rsidRPr="00000000">
        <w:rPr>
          <w:b w:val="1"/>
          <w:bCs w:val="1"/>
          <w:color w:val="000000"/>
          <w:sz w:val="22"/>
          <w:szCs w:val="22"/>
          <w:rtl w:val="0"/>
        </w:rPr>
        <w:t xml:space="preserve">Task 3 of 4 – Research Methodologies</w:t>
      </w:r>
    </w:p>
    <w:p w:rsidR="00000000" w:rsidDel="00000000" w:rsidP="00000000" w:rsidRDefault="00000000" w:rsidRPr="00000000" w14:paraId="00000024">
      <w:pPr>
        <w:spacing w:line="360" w:lineRule="auto"/>
        <w:jc w:val="both"/>
        <w:rPr>
          <w:sz w:val="22"/>
          <w:szCs w:val="22"/>
        </w:rPr>
      </w:pPr>
      <w:r w:rsidDel="00000000" w:rsidR="00000000" w:rsidRPr="00000000">
        <w:rPr>
          <w:sz w:val="22"/>
          <w:szCs w:val="22"/>
          <w:rtl w:val="0"/>
        </w:rPr>
        <w:t xml:space="preserve">The term 'research methodology' is the overall method of research, which breaks down to three types of research methodology: quantitative research methodology - the use of numbers to quantifiably and statistically establish commonality (e.g. a survey), qualitative research methodology - a review of experiences and points of view as expressed through non-numerical data (e.g. an in-depth interview with nurses of their experience of being exhausted), and then the combination of both types to create a better understanding of a topic.</w:t>
      </w:r>
    </w:p>
    <w:p w:rsidR="00000000" w:rsidDel="00000000" w:rsidP="00000000" w:rsidRDefault="00000000" w:rsidRPr="00000000" w14:paraId="00000025">
      <w:pPr>
        <w:spacing w:line="360" w:lineRule="auto"/>
        <w:jc w:val="both"/>
        <w:rPr>
          <w:sz w:val="22"/>
          <w:szCs w:val="22"/>
        </w:rPr>
      </w:pPr>
      <w:r w:rsidDel="00000000" w:rsidR="00000000" w:rsidRPr="00000000">
        <w:rPr>
          <w:sz w:val="22"/>
          <w:szCs w:val="22"/>
          <w:rtl w:val="0"/>
        </w:rPr>
        <w:t xml:space="preserve">If I were to conduct future research on burnout among staff, I would choose a mixed-methods research methodology. This would best suit my research topic as burnout as an individual can be measured (quantitatively) and is very personal (qualitatively). The use of a quantitative survey would allow me to measure the occurrence of burnout amongst a large sample size</w:t>
      </w:r>
      <w:r w:rsidDel="00000000" w:rsidR="00000000" w:rsidRPr="00000000">
        <w:rPr>
          <w:b w:val="1"/>
          <w:bCs w:val="1"/>
          <w:sz w:val="22"/>
          <w:szCs w:val="22"/>
          <w:rtl w:val="0"/>
        </w:rPr>
        <w:t xml:space="preserve"> </w:t>
      </w:r>
      <w:r w:rsidDel="00000000" w:rsidR="00000000" w:rsidRPr="00000000">
        <w:rPr>
          <w:sz w:val="22"/>
          <w:szCs w:val="22"/>
          <w:rtl w:val="0"/>
        </w:rPr>
        <w:t xml:space="preserve">(staff members) producing an objective data set that can be generalised outside of the sample group; yet will not provide me with the nuance of why individuals feel unable to take sick time. By adding qualitative (interview) data to my research, I could determine the 'how' and 'why' behind the 'what', providing detailed narratives of the individuals' experiences of burnout. In making use of both data types, I would have a more complete evidence base by which to develop practical interventions.</w:t>
      </w:r>
    </w:p>
    <w:p w:rsidR="00000000" w:rsidDel="00000000" w:rsidP="00000000" w:rsidRDefault="00000000" w:rsidRPr="00000000" w14:paraId="00000026">
      <w:pPr>
        <w:spacing w:line="360" w:lineRule="auto"/>
        <w:jc w:val="both"/>
        <w:rPr>
          <w:sz w:val="22"/>
          <w:szCs w:val="22"/>
        </w:rPr>
      </w:pPr>
      <w:r w:rsidDel="00000000" w:rsidR="00000000" w:rsidRPr="00000000">
        <w:rPr>
          <w:sz w:val="22"/>
          <w:szCs w:val="22"/>
        </w:rPr>
        <w:drawing>
          <wp:inline distB="0" distT="0" distL="0" distR="0">
            <wp:extent cx="5943600" cy="4160520"/>
            <wp:effectExtent b="0" l="0" r="0" t="0"/>
            <wp:docPr id="184713434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416052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360" w:lineRule="auto"/>
        <w:jc w:val="both"/>
        <w:rPr>
          <w:sz w:val="22"/>
          <w:szCs w:val="22"/>
        </w:rPr>
      </w:pPr>
      <w:r w:rsidDel="00000000" w:rsidR="00000000" w:rsidRPr="00000000">
        <w:rPr>
          <w:b w:val="1"/>
          <w:bCs w:val="1"/>
          <w:sz w:val="22"/>
          <w:szCs w:val="22"/>
          <w:rtl w:val="0"/>
        </w:rPr>
        <w:t xml:space="preserve">Figure 1: NHS Staff Burnout Statistics</w:t>
      </w:r>
      <w:r w:rsidDel="00000000" w:rsidR="00000000" w:rsidRPr="00000000">
        <w:rPr>
          <w:rtl w:val="0"/>
        </w:rPr>
      </w:r>
    </w:p>
    <w:p w:rsidR="00000000" w:rsidDel="00000000" w:rsidP="00000000" w:rsidRDefault="00000000" w:rsidRPr="00000000" w14:paraId="00000028">
      <w:pPr>
        <w:spacing w:line="360" w:lineRule="auto"/>
        <w:jc w:val="both"/>
        <w:rPr>
          <w:sz w:val="22"/>
          <w:szCs w:val="22"/>
        </w:rPr>
      </w:pPr>
      <w:r w:rsidDel="00000000" w:rsidR="00000000" w:rsidRPr="00000000">
        <w:rPr>
          <w:sz w:val="22"/>
          <w:szCs w:val="22"/>
          <w:rtl w:val="0"/>
        </w:rPr>
        <w:t xml:space="preserve">Among NHS workers, there's a high level of burnout and presenteeism. Numbers show that 93% of doctors are at risk of burnout; 81% of staff are going to work while they feel unwell; and 73% of all the staff experience severe exhaustion. Overall, these statistics illustrate the magnitude of the challenges faced by the health sector in relation to workforce well-being.</w:t>
      </w:r>
    </w:p>
    <w:p w:rsidR="00000000" w:rsidDel="00000000" w:rsidP="00000000" w:rsidRDefault="00000000" w:rsidRPr="00000000" w14:paraId="00000029">
      <w:pPr>
        <w:pStyle w:val="Heading1"/>
        <w:spacing w:line="360" w:lineRule="auto"/>
        <w:jc w:val="both"/>
        <w:rPr>
          <w:b w:val="1"/>
          <w:bCs w:val="1"/>
          <w:color w:val="000000"/>
          <w:sz w:val="22"/>
          <w:szCs w:val="22"/>
        </w:rPr>
      </w:pPr>
      <w:bookmarkStart w:colFirst="0" w:colLast="0" w:name="_heading=h.2qwsvxks35ai" w:id="4"/>
      <w:bookmarkEnd w:id="4"/>
      <w:r w:rsidDel="00000000" w:rsidR="00000000" w:rsidRPr="00000000">
        <w:rPr>
          <w:b w:val="1"/>
          <w:bCs w:val="1"/>
          <w:color w:val="000000"/>
          <w:sz w:val="22"/>
          <w:szCs w:val="22"/>
          <w:rtl w:val="0"/>
        </w:rPr>
        <w:t xml:space="preserve">Task 4 of 4 – Data Collection</w:t>
      </w:r>
    </w:p>
    <w:p w:rsidR="00000000" w:rsidDel="00000000" w:rsidP="00000000" w:rsidRDefault="00000000" w:rsidRPr="00000000" w14:paraId="0000002A">
      <w:pPr>
        <w:spacing w:line="360" w:lineRule="auto"/>
        <w:jc w:val="both"/>
        <w:rPr>
          <w:sz w:val="22"/>
          <w:szCs w:val="22"/>
        </w:rPr>
      </w:pPr>
      <w:r w:rsidDel="00000000" w:rsidR="00000000" w:rsidRPr="00000000">
        <w:rPr>
          <w:sz w:val="22"/>
          <w:szCs w:val="22"/>
          <w:rtl w:val="0"/>
        </w:rPr>
        <w:t xml:space="preserve">Data collection is everything from how you define it (the tools or techniques used to gather information) to what type of information you will collect (i.e., Primary Data and Secondary Data). There are two main types of data: (1) Primary Data - New, Original Data Collectively Created by the Researcher, and it is collected INTERVIEWING people who are actually doing something as a result of the study. Example: When you have interviewed an individual and obtained data that did not exist before your study) and (2) Secondary Data - Data that has previously been analysed or collected for another purpose by another researcher(s). Examples: Government Statistics, Parliamentary Reports, and Previous Research Studies.</w:t>
      </w:r>
    </w:p>
    <w:p w:rsidR="00000000" w:rsidDel="00000000" w:rsidP="00000000" w:rsidRDefault="00000000" w:rsidRPr="00000000" w14:paraId="0000002B">
      <w:pPr>
        <w:spacing w:line="360" w:lineRule="auto"/>
        <w:jc w:val="both"/>
        <w:rPr>
          <w:sz w:val="22"/>
          <w:szCs w:val="22"/>
        </w:rPr>
      </w:pPr>
      <w:r w:rsidDel="00000000" w:rsidR="00000000" w:rsidRPr="00000000">
        <w:rPr>
          <w:sz w:val="22"/>
          <w:szCs w:val="22"/>
          <w:rtl w:val="0"/>
        </w:rPr>
        <w:t xml:space="preserve">In my proposed Mixed Methods Study on Burnout, I am collecting PRIMARY data. Specifically, the QUANTITATIVE data that I will be collecting will be through a self-administered/submitted questionnaire that I will develop and distribute to a large sample (NHS Trust multidisciplinary staff) and of which I will develop the validated instruments use to measure the level of BURNOUT (i.e. Oldenburg Burnout Inventory - BMA report); AND, the QUALITATIVE data that I will be collecting will consist of the semi-structured interviews that will be conducted with a smaller (self-selected) sample of participants from the above-mentioned questionnaires, in order to gain a greater understanding of their experience.</w:t>
      </w:r>
    </w:p>
    <w:p w:rsidR="00000000" w:rsidDel="00000000" w:rsidP="00000000" w:rsidRDefault="00000000" w:rsidRPr="00000000" w14:paraId="0000002C">
      <w:pPr>
        <w:spacing w:line="360" w:lineRule="auto"/>
        <w:jc w:val="both"/>
        <w:rPr>
          <w:sz w:val="22"/>
          <w:szCs w:val="22"/>
        </w:rPr>
      </w:pPr>
      <w:r w:rsidDel="00000000" w:rsidR="00000000" w:rsidRPr="00000000">
        <w:rPr>
          <w:sz w:val="22"/>
          <w:szCs w:val="22"/>
          <w:rtl w:val="0"/>
        </w:rPr>
        <w:t xml:space="preserve">One of the biggest benefits of collecting your own (primary) data is that you can develop your own specific research questions and acquire up-to-date context-based data directly from the population you are studying. However, a major disadvantage of using primary data is the amount of time and resources needed to develop, distribute, and analyse the data. Obtaining ethical clearance and gaining access to NHS personnel to conduct your research can also be an extended and complicated process.</w:t>
      </w:r>
    </w:p>
    <w:p w:rsidR="00000000" w:rsidDel="00000000" w:rsidP="00000000" w:rsidRDefault="00000000" w:rsidRPr="00000000" w14:paraId="0000002D">
      <w:pPr>
        <w:pStyle w:val="Heading1"/>
        <w:spacing w:line="360" w:lineRule="auto"/>
        <w:jc w:val="both"/>
        <w:rPr>
          <w:b w:val="1"/>
          <w:bCs w:val="1"/>
          <w:sz w:val="22"/>
          <w:szCs w:val="22"/>
        </w:rPr>
      </w:pPr>
      <w:bookmarkStart w:colFirst="0" w:colLast="0" w:name="_heading=h.nt5osrsnin3y" w:id="5"/>
      <w:bookmarkEnd w:id="5"/>
      <w:r w:rsidDel="00000000" w:rsidR="00000000" w:rsidRPr="00000000">
        <w:rPr>
          <w:b w:val="1"/>
          <w:bCs w:val="1"/>
          <w:color w:val="000000"/>
          <w:sz w:val="22"/>
          <w:szCs w:val="22"/>
          <w:rtl w:val="0"/>
        </w:rPr>
        <w:t xml:space="preserve">Conclusion</w:t>
      </w:r>
      <w:r w:rsidDel="00000000" w:rsidR="00000000" w:rsidRPr="00000000">
        <w:rPr>
          <w:rtl w:val="0"/>
        </w:rPr>
      </w:r>
    </w:p>
    <w:p w:rsidR="00000000" w:rsidDel="00000000" w:rsidP="00000000" w:rsidRDefault="00000000" w:rsidRPr="00000000" w14:paraId="0000002E">
      <w:pPr>
        <w:spacing w:line="360" w:lineRule="auto"/>
        <w:jc w:val="both"/>
        <w:rPr>
          <w:sz w:val="22"/>
          <w:szCs w:val="22"/>
        </w:rPr>
      </w:pPr>
      <w:r w:rsidDel="00000000" w:rsidR="00000000" w:rsidRPr="00000000">
        <w:rPr>
          <w:sz w:val="22"/>
          <w:szCs w:val="22"/>
          <w:rtl w:val="0"/>
        </w:rPr>
        <w:t xml:space="preserve">According to this report, burnout among staff is the most serious present day challenge currently faced by the UK health and social care system, and is evidenced by parliamentary debates as well as professional organisations. This report has shown that a mixed methods approach, using questionnaires together with interviews, provides greater insight into the challenges of staff burnout than any of the methods taken alone. Investigation into this area is not just an academic exercise; it is necessary to protect a workforce on which all services in the UK depend. The identification and resolution of the issue of staff burnout is key to maintaining patient safety, improving the quality of care and ensuring a sustainable and compassionate system of health and social care in the UK for all.</w:t>
      </w:r>
    </w:p>
    <w:p w:rsidR="00000000" w:rsidDel="00000000" w:rsidP="00000000" w:rsidRDefault="00000000" w:rsidRPr="00000000" w14:paraId="0000002F">
      <w:pPr>
        <w:spacing w:line="360" w:lineRule="auto"/>
        <w:jc w:val="both"/>
        <w:rPr>
          <w:b w:val="1"/>
          <w:bCs w:val="1"/>
          <w:sz w:val="22"/>
          <w:szCs w:val="22"/>
        </w:rPr>
      </w:pPr>
      <w:r w:rsidDel="00000000" w:rsidR="00000000" w:rsidRPr="00000000">
        <w:rPr>
          <w:rtl w:val="0"/>
        </w:rPr>
      </w:r>
    </w:p>
    <w:p w:rsidR="00000000" w:rsidDel="00000000" w:rsidP="00000000" w:rsidRDefault="00000000" w:rsidRPr="00000000" w14:paraId="00000030">
      <w:pPr>
        <w:spacing w:line="360" w:lineRule="auto"/>
        <w:jc w:val="both"/>
        <w:rPr>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1">
      <w:pPr>
        <w:spacing w:line="360" w:lineRule="auto"/>
        <w:jc w:val="both"/>
        <w:rPr>
          <w:b w:val="1"/>
          <w:bCs w:val="1"/>
          <w:sz w:val="22"/>
          <w:szCs w:val="22"/>
        </w:rPr>
      </w:pPr>
      <w:r w:rsidDel="00000000" w:rsidR="00000000" w:rsidRPr="00000000">
        <w:rPr>
          <w:rtl w:val="0"/>
        </w:rPr>
      </w:r>
    </w:p>
    <w:p w:rsidR="00000000" w:rsidDel="00000000" w:rsidP="00000000" w:rsidRDefault="00000000" w:rsidRPr="00000000" w14:paraId="00000032">
      <w:pPr>
        <w:pStyle w:val="Heading1"/>
        <w:spacing w:line="360" w:lineRule="auto"/>
        <w:jc w:val="both"/>
        <w:rPr>
          <w:b w:val="1"/>
          <w:bCs w:val="1"/>
          <w:color w:val="000000"/>
          <w:sz w:val="22"/>
          <w:szCs w:val="22"/>
        </w:rPr>
      </w:pPr>
      <w:bookmarkStart w:colFirst="0" w:colLast="0" w:name="_heading=h.jy48ev98lz7g" w:id="6"/>
      <w:bookmarkEnd w:id="6"/>
      <w:r w:rsidDel="00000000" w:rsidR="00000000" w:rsidRPr="00000000">
        <w:rPr>
          <w:b w:val="1"/>
          <w:bCs w:val="1"/>
          <w:color w:val="000000"/>
          <w:sz w:val="22"/>
          <w:szCs w:val="22"/>
          <w:rtl w:val="0"/>
        </w:rPr>
        <w:t xml:space="preserve">Reference List</w:t>
      </w:r>
    </w:p>
    <w:p w:rsidR="00000000" w:rsidDel="00000000" w:rsidP="00000000" w:rsidRDefault="00000000" w:rsidRPr="00000000" w14:paraId="00000033">
      <w:pPr>
        <w:numPr>
          <w:ilvl w:val="0"/>
          <w:numId w:val="1"/>
        </w:numPr>
        <w:spacing w:line="360" w:lineRule="auto"/>
        <w:ind w:left="720" w:hanging="360"/>
        <w:jc w:val="both"/>
        <w:rPr>
          <w:sz w:val="22"/>
          <w:szCs w:val="22"/>
        </w:rPr>
      </w:pPr>
      <w:r w:rsidDel="00000000" w:rsidR="00000000" w:rsidRPr="00000000">
        <w:rPr>
          <w:sz w:val="22"/>
          <w:szCs w:val="22"/>
          <w:rtl w:val="0"/>
        </w:rPr>
        <w:t xml:space="preserve">Healthcare Management (2026) </w:t>
      </w:r>
      <w:r w:rsidDel="00000000" w:rsidR="00000000" w:rsidRPr="00000000">
        <w:rPr>
          <w:i w:val="1"/>
          <w:iCs w:val="1"/>
          <w:sz w:val="22"/>
          <w:szCs w:val="22"/>
          <w:rtl w:val="0"/>
        </w:rPr>
        <w:t xml:space="preserve">Presenteeism 'failing' the NHS</w:t>
      </w:r>
      <w:r w:rsidDel="00000000" w:rsidR="00000000" w:rsidRPr="00000000">
        <w:rPr>
          <w:sz w:val="22"/>
          <w:szCs w:val="22"/>
          <w:rtl w:val="0"/>
        </w:rPr>
        <w:t xml:space="preserve">. Available at: </w:t>
      </w:r>
      <w:hyperlink r:id="rId9">
        <w:r w:rsidDel="00000000" w:rsidR="00000000" w:rsidRPr="00000000">
          <w:rPr>
            <w:color w:val="0563c1"/>
            <w:sz w:val="22"/>
            <w:szCs w:val="22"/>
            <w:u w:val="single"/>
            <w:rtl w:val="0"/>
          </w:rPr>
          <w:t xml:space="preserve">https://www.healthcare-management.uk/presenteeism-failing-nhs</w:t>
        </w:r>
      </w:hyperlink>
      <w:r w:rsidDel="00000000" w:rsidR="00000000" w:rsidRPr="00000000">
        <w:rPr>
          <w:sz w:val="22"/>
          <w:szCs w:val="22"/>
          <w:rtl w:val="0"/>
        </w:rPr>
        <w:t xml:space="preserve"> (Accessed: 10 March 2026). </w:t>
      </w:r>
    </w:p>
    <w:p w:rsidR="00000000" w:rsidDel="00000000" w:rsidP="00000000" w:rsidRDefault="00000000" w:rsidRPr="00000000" w14:paraId="00000034">
      <w:pPr>
        <w:numPr>
          <w:ilvl w:val="0"/>
          <w:numId w:val="1"/>
        </w:numPr>
        <w:spacing w:line="360" w:lineRule="auto"/>
        <w:ind w:left="720" w:hanging="360"/>
        <w:jc w:val="both"/>
        <w:rPr>
          <w:sz w:val="22"/>
          <w:szCs w:val="22"/>
        </w:rPr>
      </w:pPr>
      <w:r w:rsidDel="00000000" w:rsidR="00000000" w:rsidRPr="00000000">
        <w:rPr>
          <w:sz w:val="22"/>
          <w:szCs w:val="22"/>
          <w:rtl w:val="0"/>
        </w:rPr>
        <w:t xml:space="preserve">UK Parliament (2026) </w:t>
      </w:r>
      <w:r w:rsidDel="00000000" w:rsidR="00000000" w:rsidRPr="00000000">
        <w:rPr>
          <w:i w:val="1"/>
          <w:iCs w:val="1"/>
          <w:sz w:val="22"/>
          <w:szCs w:val="22"/>
          <w:rtl w:val="0"/>
        </w:rPr>
        <w:t xml:space="preserve">Health and Social Care</w:t>
      </w:r>
      <w:r w:rsidDel="00000000" w:rsidR="00000000" w:rsidRPr="00000000">
        <w:rPr>
          <w:sz w:val="22"/>
          <w:szCs w:val="22"/>
          <w:rtl w:val="0"/>
        </w:rPr>
        <w:t xml:space="preserve">. Available at: </w:t>
      </w:r>
      <w:hyperlink r:id="rId10">
        <w:r w:rsidDel="00000000" w:rsidR="00000000" w:rsidRPr="00000000">
          <w:rPr>
            <w:color w:val="0563c1"/>
            <w:sz w:val="22"/>
            <w:szCs w:val="22"/>
            <w:u w:val="single"/>
            <w:rtl w:val="0"/>
          </w:rPr>
          <w:t xml:space="preserve">https://hansard.parliament.uk/Commons/2026-01-13/debates/975B3FDA-16D8-4800-B6D9-0301D1AE678A/HealthAndSocialCare</w:t>
        </w:r>
      </w:hyperlink>
      <w:r w:rsidDel="00000000" w:rsidR="00000000" w:rsidRPr="00000000">
        <w:rPr>
          <w:sz w:val="22"/>
          <w:szCs w:val="22"/>
          <w:rtl w:val="0"/>
        </w:rPr>
        <w:t xml:space="preserve"> (Accessed: 10 March 2026). </w:t>
      </w:r>
    </w:p>
    <w:p w:rsidR="00000000" w:rsidDel="00000000" w:rsidP="00000000" w:rsidRDefault="00000000" w:rsidRPr="00000000" w14:paraId="00000035">
      <w:pPr>
        <w:numPr>
          <w:ilvl w:val="0"/>
          <w:numId w:val="1"/>
        </w:numPr>
        <w:spacing w:line="360" w:lineRule="auto"/>
        <w:ind w:left="720" w:hanging="360"/>
        <w:jc w:val="both"/>
        <w:rPr>
          <w:sz w:val="22"/>
          <w:szCs w:val="22"/>
        </w:rPr>
      </w:pPr>
      <w:r w:rsidDel="00000000" w:rsidR="00000000" w:rsidRPr="00000000">
        <w:rPr>
          <w:sz w:val="22"/>
          <w:szCs w:val="22"/>
          <w:rtl w:val="0"/>
        </w:rPr>
        <w:t xml:space="preserve">UK Parliament - Health and Social Care Committee (2026) </w:t>
      </w:r>
      <w:r w:rsidDel="00000000" w:rsidR="00000000" w:rsidRPr="00000000">
        <w:rPr>
          <w:i w:val="1"/>
          <w:iCs w:val="1"/>
          <w:sz w:val="22"/>
          <w:szCs w:val="22"/>
          <w:rtl w:val="0"/>
        </w:rPr>
        <w:t xml:space="preserve">NHS’s shift to neighbourhoods could flounder without strengthening the workforce, Health Committee tells Govt</w:t>
      </w:r>
      <w:r w:rsidDel="00000000" w:rsidR="00000000" w:rsidRPr="00000000">
        <w:rPr>
          <w:sz w:val="22"/>
          <w:szCs w:val="22"/>
          <w:rtl w:val="0"/>
        </w:rPr>
        <w:t xml:space="preserve">. Available at: </w:t>
      </w:r>
      <w:hyperlink r:id="rId11">
        <w:r w:rsidDel="00000000" w:rsidR="00000000" w:rsidRPr="00000000">
          <w:rPr>
            <w:color w:val="0563c1"/>
            <w:sz w:val="22"/>
            <w:szCs w:val="22"/>
            <w:u w:val="single"/>
            <w:rtl w:val="0"/>
          </w:rPr>
          <w:t xml:space="preserve">https://committees.parliament.uk/committee/81/health-and-social-care-committee/news/211224/nhss-shift-to-neighbourhoods-could-flounder-without-strengthening-the-workforce-health-committee-tells-govt/</w:t>
        </w:r>
      </w:hyperlink>
      <w:r w:rsidDel="00000000" w:rsidR="00000000" w:rsidRPr="00000000">
        <w:rPr>
          <w:sz w:val="22"/>
          <w:szCs w:val="22"/>
          <w:rtl w:val="0"/>
        </w:rPr>
        <w:t xml:space="preserve"> (Accessed: 10 March 2026). </w:t>
      </w:r>
    </w:p>
    <w:p w:rsidR="00000000" w:rsidDel="00000000" w:rsidP="00000000" w:rsidRDefault="00000000" w:rsidRPr="00000000" w14:paraId="00000036">
      <w:pPr>
        <w:numPr>
          <w:ilvl w:val="0"/>
          <w:numId w:val="1"/>
        </w:numPr>
        <w:spacing w:line="360" w:lineRule="auto"/>
        <w:ind w:left="720" w:hanging="360"/>
        <w:jc w:val="both"/>
        <w:rPr>
          <w:sz w:val="22"/>
          <w:szCs w:val="22"/>
        </w:rPr>
      </w:pPr>
      <w:r w:rsidDel="00000000" w:rsidR="00000000" w:rsidRPr="00000000">
        <w:rPr>
          <w:sz w:val="22"/>
          <w:szCs w:val="22"/>
          <w:rtl w:val="0"/>
        </w:rPr>
        <w:t xml:space="preserve">University of Southampton (2026) </w:t>
      </w:r>
      <w:r w:rsidDel="00000000" w:rsidR="00000000" w:rsidRPr="00000000">
        <w:rPr>
          <w:i w:val="1"/>
          <w:iCs w:val="1"/>
          <w:sz w:val="22"/>
          <w:szCs w:val="22"/>
          <w:rtl w:val="0"/>
        </w:rPr>
        <w:t xml:space="preserve">HLTH6224 Research methods (online) module overview</w:t>
      </w:r>
      <w:r w:rsidDel="00000000" w:rsidR="00000000" w:rsidRPr="00000000">
        <w:rPr>
          <w:sz w:val="22"/>
          <w:szCs w:val="22"/>
          <w:rtl w:val="0"/>
        </w:rPr>
        <w:t xml:space="preserve">. Available at: </w:t>
      </w:r>
      <w:hyperlink r:id="rId12">
        <w:r w:rsidDel="00000000" w:rsidR="00000000" w:rsidRPr="00000000">
          <w:rPr>
            <w:color w:val="0563c1"/>
            <w:sz w:val="22"/>
            <w:szCs w:val="22"/>
            <w:u w:val="single"/>
            <w:rtl w:val="0"/>
          </w:rPr>
          <w:t xml:space="preserve">https://cdn.southampton.ac.uk/courses/2025-26/modules/hlth6224</w:t>
        </w:r>
      </w:hyperlink>
      <w:r w:rsidDel="00000000" w:rsidR="00000000" w:rsidRPr="00000000">
        <w:rPr>
          <w:sz w:val="22"/>
          <w:szCs w:val="22"/>
          <w:rtl w:val="0"/>
        </w:rPr>
        <w:t xml:space="preserve"> (Accessed: 10 March 2026). </w:t>
      </w:r>
    </w:p>
    <w:p w:rsidR="00000000" w:rsidDel="00000000" w:rsidP="00000000" w:rsidRDefault="00000000" w:rsidRPr="00000000" w14:paraId="00000037">
      <w:pPr>
        <w:spacing w:line="360" w:lineRule="auto"/>
        <w:jc w:val="both"/>
        <w:rPr>
          <w:sz w:val="22"/>
          <w:szCs w:val="22"/>
        </w:rPr>
      </w:pPr>
      <w:r w:rsidDel="00000000" w:rsidR="00000000" w:rsidRPr="00000000">
        <w:rPr>
          <w:rtl w:val="0"/>
        </w:rPr>
      </w:r>
    </w:p>
    <w:sectPr>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2e75b5"/>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2e75b5"/>
      <w:sz w:val="32"/>
      <w:szCs w:val="32"/>
    </w:rPr>
  </w:style>
  <w:style w:type="paragraph" w:styleId="Heading3">
    <w:name w:val="heading 3"/>
    <w:basedOn w:val="Normal"/>
    <w:next w:val="Normal"/>
    <w:pPr>
      <w:keepNext w:val="1"/>
      <w:keepLines w:val="1"/>
      <w:spacing w:after="80" w:before="160" w:lineRule="auto"/>
    </w:pPr>
    <w:rPr>
      <w:color w:val="2e75b5"/>
      <w:sz w:val="28"/>
      <w:szCs w:val="28"/>
    </w:rPr>
  </w:style>
  <w:style w:type="paragraph" w:styleId="Heading4">
    <w:name w:val="heading 4"/>
    <w:basedOn w:val="Normal"/>
    <w:next w:val="Normal"/>
    <w:pPr>
      <w:keepNext w:val="1"/>
      <w:keepLines w:val="1"/>
      <w:spacing w:after="40" w:before="80" w:lineRule="auto"/>
    </w:pPr>
    <w:rPr>
      <w:i w:val="1"/>
      <w:iCs w:val="1"/>
      <w:color w:val="2e75b5"/>
    </w:rPr>
  </w:style>
  <w:style w:type="paragraph" w:styleId="Heading5">
    <w:name w:val="heading 5"/>
    <w:basedOn w:val="Normal"/>
    <w:next w:val="Normal"/>
    <w:pPr>
      <w:keepNext w:val="1"/>
      <w:keepLines w:val="1"/>
      <w:spacing w:after="40" w:before="80" w:lineRule="auto"/>
    </w:pPr>
    <w:rPr>
      <w:color w:val="2e75b5"/>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B82ECE"/>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B82ECE"/>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B82ECE"/>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82ECE"/>
    <w:rPr>
      <w:rFonts w:asciiTheme="majorHAnsi" w:cstheme="majorBidi" w:eastAsiaTheme="majorEastAsia" w:hAnsiTheme="majorHAnsi"/>
      <w:color w:val="2e74b5" w:themeColor="accent1" w:themeShade="0000BF"/>
      <w:sz w:val="40"/>
      <w:szCs w:val="40"/>
    </w:rPr>
  </w:style>
  <w:style w:type="character" w:styleId="Heading2Char" w:customStyle="1">
    <w:name w:val="Heading 2 Char"/>
    <w:basedOn w:val="DefaultParagraphFont"/>
    <w:link w:val="Heading2"/>
    <w:uiPriority w:val="9"/>
    <w:semiHidden w:val="1"/>
    <w:rsid w:val="00B82ECE"/>
    <w:rPr>
      <w:rFonts w:asciiTheme="majorHAnsi" w:cstheme="majorBidi" w:eastAsiaTheme="majorEastAsia" w:hAnsiTheme="majorHAnsi"/>
      <w:color w:val="2e74b5" w:themeColor="accent1" w:themeShade="0000BF"/>
      <w:sz w:val="32"/>
      <w:szCs w:val="32"/>
    </w:rPr>
  </w:style>
  <w:style w:type="character" w:styleId="Heading3Char" w:customStyle="1">
    <w:name w:val="Heading 3 Char"/>
    <w:basedOn w:val="DefaultParagraphFont"/>
    <w:link w:val="Heading3"/>
    <w:uiPriority w:val="9"/>
    <w:rsid w:val="00B82ECE"/>
    <w:rPr>
      <w:rFonts w:cstheme="majorBidi" w:eastAsiaTheme="majorEastAsia"/>
      <w:color w:val="2e74b5" w:themeColor="accent1" w:themeShade="0000BF"/>
      <w:sz w:val="28"/>
      <w:szCs w:val="28"/>
    </w:rPr>
  </w:style>
  <w:style w:type="character" w:styleId="Heading4Char" w:customStyle="1">
    <w:name w:val="Heading 4 Char"/>
    <w:basedOn w:val="DefaultParagraphFont"/>
    <w:link w:val="Heading4"/>
    <w:uiPriority w:val="9"/>
    <w:semiHidden w:val="1"/>
    <w:rsid w:val="00B82ECE"/>
    <w:rPr>
      <w:rFonts w:cstheme="majorBidi" w:eastAsiaTheme="majorEastAsia"/>
      <w:i w:val="1"/>
      <w:iCs w:val="1"/>
      <w:color w:val="2e74b5" w:themeColor="accent1" w:themeShade="0000BF"/>
    </w:rPr>
  </w:style>
  <w:style w:type="character" w:styleId="Heading5Char" w:customStyle="1">
    <w:name w:val="Heading 5 Char"/>
    <w:basedOn w:val="DefaultParagraphFont"/>
    <w:link w:val="Heading5"/>
    <w:uiPriority w:val="9"/>
    <w:semiHidden w:val="1"/>
    <w:rsid w:val="00B82ECE"/>
    <w:rPr>
      <w:rFonts w:cstheme="majorBidi" w:eastAsiaTheme="majorEastAsia"/>
      <w:color w:val="2e74b5" w:themeColor="accent1" w:themeShade="0000BF"/>
    </w:rPr>
  </w:style>
  <w:style w:type="character" w:styleId="Heading6Char" w:customStyle="1">
    <w:name w:val="Heading 6 Char"/>
    <w:basedOn w:val="DefaultParagraphFont"/>
    <w:link w:val="Heading6"/>
    <w:uiPriority w:val="9"/>
    <w:semiHidden w:val="1"/>
    <w:rsid w:val="00B82ECE"/>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B82ECE"/>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B82ECE"/>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B82ECE"/>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B82ECE"/>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B82ECE"/>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B82ECE"/>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B82ECE"/>
    <w:rPr>
      <w:i w:val="1"/>
      <w:iCs w:val="1"/>
      <w:color w:val="404040" w:themeColor="text1" w:themeTint="0000BF"/>
    </w:rPr>
  </w:style>
  <w:style w:type="paragraph" w:styleId="ListParagraph">
    <w:name w:val="List Paragraph"/>
    <w:basedOn w:val="Normal"/>
    <w:uiPriority w:val="34"/>
    <w:qFormat w:val="1"/>
    <w:rsid w:val="00B82ECE"/>
    <w:pPr>
      <w:ind w:left="720"/>
      <w:contextualSpacing w:val="1"/>
    </w:pPr>
  </w:style>
  <w:style w:type="character" w:styleId="IntenseEmphasis">
    <w:name w:val="Intense Emphasis"/>
    <w:basedOn w:val="DefaultParagraphFont"/>
    <w:uiPriority w:val="21"/>
    <w:qFormat w:val="1"/>
    <w:rsid w:val="00B82ECE"/>
    <w:rPr>
      <w:i w:val="1"/>
      <w:iCs w:val="1"/>
      <w:color w:val="2e74b5" w:themeColor="accent1" w:themeShade="0000BF"/>
    </w:rPr>
  </w:style>
  <w:style w:type="paragraph" w:styleId="IntenseQuote">
    <w:name w:val="Intense Quote"/>
    <w:basedOn w:val="Normal"/>
    <w:next w:val="Normal"/>
    <w:link w:val="IntenseQuoteChar"/>
    <w:uiPriority w:val="30"/>
    <w:qFormat w:val="1"/>
    <w:rsid w:val="00B82ECE"/>
    <w:pPr>
      <w:pBdr>
        <w:top w:color="2e74b5" w:space="10" w:sz="4" w:themeColor="accent1" w:themeShade="0000BF" w:val="single"/>
        <w:bottom w:color="2e74b5" w:space="10" w:sz="4" w:themeColor="accent1" w:themeShade="0000BF" w:val="single"/>
      </w:pBdr>
      <w:spacing w:after="360" w:before="360"/>
      <w:ind w:left="864" w:right="864"/>
      <w:jc w:val="center"/>
    </w:pPr>
    <w:rPr>
      <w:i w:val="1"/>
      <w:iCs w:val="1"/>
      <w:color w:val="2e74b5" w:themeColor="accent1" w:themeShade="0000BF"/>
    </w:rPr>
  </w:style>
  <w:style w:type="character" w:styleId="IntenseQuoteChar" w:customStyle="1">
    <w:name w:val="Intense Quote Char"/>
    <w:basedOn w:val="DefaultParagraphFont"/>
    <w:link w:val="IntenseQuote"/>
    <w:uiPriority w:val="30"/>
    <w:rsid w:val="00B82ECE"/>
    <w:rPr>
      <w:i w:val="1"/>
      <w:iCs w:val="1"/>
      <w:color w:val="2e74b5" w:themeColor="accent1" w:themeShade="0000BF"/>
    </w:rPr>
  </w:style>
  <w:style w:type="character" w:styleId="IntenseReference">
    <w:name w:val="Intense Reference"/>
    <w:basedOn w:val="DefaultParagraphFont"/>
    <w:uiPriority w:val="32"/>
    <w:qFormat w:val="1"/>
    <w:rsid w:val="00B82ECE"/>
    <w:rPr>
      <w:b w:val="1"/>
      <w:bCs w:val="1"/>
      <w:smallCaps w:val="1"/>
      <w:color w:val="2e74b5" w:themeColor="accent1" w:themeShade="0000BF"/>
      <w:spacing w:val="5"/>
    </w:rPr>
  </w:style>
  <w:style w:type="table" w:styleId="TableGrid">
    <w:name w:val="Table Grid"/>
    <w:basedOn w:val="TableNormal"/>
    <w:uiPriority w:val="39"/>
    <w:rsid w:val="009D694C"/>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CC6B02"/>
    <w:rPr>
      <w:color w:val="0563c1" w:themeColor="hyperlink"/>
      <w:u w:val="single"/>
    </w:rPr>
  </w:style>
  <w:style w:type="character" w:styleId="UnresolvedMention">
    <w:name w:val="Unresolved Mention"/>
    <w:basedOn w:val="DefaultParagraphFont"/>
    <w:uiPriority w:val="99"/>
    <w:semiHidden w:val="1"/>
    <w:unhideWhenUsed w:val="1"/>
    <w:rsid w:val="00CC6B02"/>
    <w:rPr>
      <w:color w:val="605e5c"/>
      <w:shd w:color="auto" w:fill="e1dfdd" w:val="clear"/>
    </w:rPr>
  </w:style>
  <w:style w:type="paragraph" w:styleId="TOCHeading">
    <w:name w:val="TOC Heading"/>
    <w:basedOn w:val="Heading1"/>
    <w:next w:val="Normal"/>
    <w:uiPriority w:val="39"/>
    <w:unhideWhenUsed w:val="1"/>
    <w:qFormat w:val="1"/>
    <w:rsid w:val="0062408F"/>
    <w:pPr>
      <w:spacing w:after="0" w:before="240" w:line="259" w:lineRule="auto"/>
      <w:outlineLvl w:val="9"/>
    </w:pPr>
    <w:rPr>
      <w:kern w:val="0"/>
      <w:sz w:val="32"/>
      <w:szCs w:val="32"/>
    </w:rPr>
  </w:style>
  <w:style w:type="paragraph" w:styleId="Header">
    <w:name w:val="header"/>
    <w:basedOn w:val="Normal"/>
    <w:link w:val="HeaderChar"/>
    <w:uiPriority w:val="99"/>
    <w:unhideWhenUsed w:val="1"/>
    <w:rsid w:val="00884D8D"/>
    <w:pPr>
      <w:tabs>
        <w:tab w:val="center" w:pos="4680"/>
        <w:tab w:val="right" w:pos="9360"/>
      </w:tabs>
      <w:spacing w:after="0" w:line="240" w:lineRule="auto"/>
    </w:pPr>
  </w:style>
  <w:style w:type="character" w:styleId="HeaderChar" w:customStyle="1">
    <w:name w:val="Header Char"/>
    <w:basedOn w:val="DefaultParagraphFont"/>
    <w:link w:val="Header"/>
    <w:uiPriority w:val="99"/>
    <w:rsid w:val="00884D8D"/>
  </w:style>
  <w:style w:type="paragraph" w:styleId="Footer">
    <w:name w:val="footer"/>
    <w:basedOn w:val="Normal"/>
    <w:link w:val="FooterChar"/>
    <w:uiPriority w:val="99"/>
    <w:unhideWhenUsed w:val="1"/>
    <w:rsid w:val="00884D8D"/>
    <w:pPr>
      <w:tabs>
        <w:tab w:val="center" w:pos="4680"/>
        <w:tab w:val="right" w:pos="9360"/>
      </w:tabs>
      <w:spacing w:after="0" w:line="240" w:lineRule="auto"/>
    </w:pPr>
  </w:style>
  <w:style w:type="character" w:styleId="FooterChar" w:customStyle="1">
    <w:name w:val="Footer Char"/>
    <w:basedOn w:val="DefaultParagraphFont"/>
    <w:link w:val="Footer"/>
    <w:uiPriority w:val="99"/>
    <w:rsid w:val="00884D8D"/>
  </w:style>
  <w:style w:type="paragraph" w:styleId="TOC1">
    <w:name w:val="toc 1"/>
    <w:basedOn w:val="Normal"/>
    <w:next w:val="Normal"/>
    <w:autoRedefine w:val="1"/>
    <w:uiPriority w:val="39"/>
    <w:unhideWhenUsed w:val="1"/>
    <w:rsid w:val="00DE037A"/>
    <w:pPr>
      <w:spacing w:after="100"/>
    </w:p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committees.parliament.uk/committee/81/health-and-social-care-committee/news/211224/nhss-shift-to-neighbourhoods-could-flounder-without-strengthening-the-workforce-health-committee-tells-govt/" TargetMode="External"/><Relationship Id="rId10" Type="http://schemas.openxmlformats.org/officeDocument/2006/relationships/hyperlink" Target="https://hansard.parliament.uk/Commons/2026-01-13/debates/975B3FDA-16D8-4800-B6D9-0301D1AE678A/HealthAndSocialCare" TargetMode="External"/><Relationship Id="rId13" Type="http://schemas.openxmlformats.org/officeDocument/2006/relationships/footer" Target="footer1.xml"/><Relationship Id="rId12" Type="http://schemas.openxmlformats.org/officeDocument/2006/relationships/hyperlink" Target="https://cdn.southampton.ac.uk/courses/2025-26/modules/hlth622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ealthcare-management.uk/presenteeism-failing-nh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syzHAKJGbzNNjXVwrNodUOVqOg==">CgMxLjAyDmgucmdmbWlrdzc1ejJoMg5oLjF5cDdmbXZ0eGQ3aTIOaC4xanpkaTRxazdnYzkyDmguOWx4MWw1Zm43ZWF6Mg5oLjJxd3N2eGtzMzVhaTIOaC5udDVvc3JzbmluM3kyDmguank0OGV2OThsejdnOAByITF3bDRtakRZaHMtUDYwVjNUWE4yRVJGaEtMbDNjdTFpWg==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2026-03-10T05:37:00Z</dcterms:created>
  <dc:creator>Abdul Rehman</dc:creator>
</cp:coreProperties>
</file>