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AF483B"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7FF20501"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3EC8D87E"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68997F8F"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4472F665"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44BA17E3"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725834F0"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6E014D71"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2A8BE29C" w14:textId="77777777" w:rsidR="000D2FE5" w:rsidRDefault="000D2FE5" w:rsidP="003719F0">
      <w:pPr>
        <w:spacing w:after="0" w:line="360" w:lineRule="auto"/>
        <w:jc w:val="both"/>
        <w:outlineLvl w:val="0"/>
        <w:rPr>
          <w:rFonts w:ascii="Times New Roman" w:eastAsia="Times New Roman" w:hAnsi="Times New Roman" w:cs="Times New Roman"/>
          <w:b/>
          <w:bCs/>
          <w:kern w:val="36"/>
          <w:sz w:val="32"/>
          <w:szCs w:val="32"/>
          <w14:ligatures w14:val="none"/>
        </w:rPr>
      </w:pPr>
    </w:p>
    <w:p w14:paraId="09739543" w14:textId="4304CF27" w:rsidR="005A3601" w:rsidRPr="005A3601" w:rsidRDefault="005A3601" w:rsidP="003719F0">
      <w:pPr>
        <w:spacing w:after="0" w:line="360" w:lineRule="auto"/>
        <w:jc w:val="both"/>
        <w:outlineLvl w:val="0"/>
        <w:rPr>
          <w:rFonts w:ascii="Times New Roman" w:eastAsia="Times New Roman" w:hAnsi="Times New Roman" w:cs="Times New Roman"/>
          <w:b/>
          <w:bCs/>
          <w:kern w:val="36"/>
          <w:sz w:val="32"/>
          <w:szCs w:val="32"/>
          <w14:ligatures w14:val="none"/>
        </w:rPr>
      </w:pPr>
      <w:r w:rsidRPr="005A3601">
        <w:rPr>
          <w:rFonts w:ascii="Times New Roman" w:eastAsia="Times New Roman" w:hAnsi="Times New Roman" w:cs="Times New Roman"/>
          <w:b/>
          <w:bCs/>
          <w:kern w:val="36"/>
          <w:sz w:val="32"/>
          <w:szCs w:val="32"/>
          <w14:ligatures w14:val="none"/>
        </w:rPr>
        <w:t>A SWOT Analysis of the Student’s Reflection Skills within the PAPD Module</w:t>
      </w:r>
    </w:p>
    <w:p w14:paraId="3231E436" w14:textId="576E814D" w:rsidR="005A3601" w:rsidRDefault="005A3601" w:rsidP="003719F0">
      <w:pPr>
        <w:spacing w:after="0" w:line="360" w:lineRule="auto"/>
        <w:jc w:val="both"/>
        <w:rPr>
          <w:rFonts w:ascii="Times New Roman" w:hAnsi="Times New Roman" w:cs="Times New Roman"/>
          <w:kern w:val="0"/>
          <w14:ligatures w14:val="none"/>
        </w:rPr>
      </w:pPr>
    </w:p>
    <w:p w14:paraId="64910BBB" w14:textId="673B15B5" w:rsidR="005A3601" w:rsidRPr="005A3601" w:rsidRDefault="005A3601" w:rsidP="003719F0">
      <w:pPr>
        <w:spacing w:after="0" w:line="360" w:lineRule="auto"/>
        <w:jc w:val="both"/>
        <w:rPr>
          <w:rFonts w:ascii="Times New Roman" w:hAnsi="Times New Roman" w:cs="Times New Roman"/>
          <w:kern w:val="0"/>
          <w14:ligatures w14:val="none"/>
        </w:rPr>
      </w:pPr>
      <w:r>
        <w:rPr>
          <w:rFonts w:ascii="Times New Roman" w:hAnsi="Times New Roman" w:cs="Times New Roman"/>
          <w:kern w:val="0"/>
          <w14:ligatures w14:val="none"/>
        </w:rPr>
        <w:br w:type="page"/>
      </w:r>
    </w:p>
    <w:p w14:paraId="67399419" w14:textId="053CC302" w:rsidR="005A3601" w:rsidRPr="005A3601" w:rsidRDefault="005A3601" w:rsidP="003719F0">
      <w:pPr>
        <w:spacing w:after="0" w:line="360" w:lineRule="auto"/>
        <w:jc w:val="both"/>
        <w:outlineLvl w:val="1"/>
        <w:rPr>
          <w:rFonts w:ascii="Times New Roman" w:eastAsia="Times New Roman" w:hAnsi="Times New Roman" w:cs="Times New Roman"/>
          <w:b/>
          <w:bCs/>
          <w:kern w:val="0"/>
          <w14:ligatures w14:val="none"/>
        </w:rPr>
      </w:pPr>
      <w:r w:rsidRPr="005A3601">
        <w:rPr>
          <w:rFonts w:ascii="Times New Roman" w:eastAsia="Times New Roman" w:hAnsi="Times New Roman" w:cs="Times New Roman"/>
          <w:b/>
          <w:bCs/>
          <w:kern w:val="0"/>
          <w14:ligatures w14:val="none"/>
        </w:rPr>
        <w:lastRenderedPageBreak/>
        <w:t>Introduction</w:t>
      </w:r>
    </w:p>
    <w:p w14:paraId="638DE0E4" w14:textId="68BBC5E6" w:rsidR="005A3601" w:rsidRPr="005A3601" w:rsidRDefault="006E3F45"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A SWOT analysis is a formal assessment instrument designed to determine the strengths, weaknesses, opportunities, and threats in reference to a particular skill or ability to be specifically developed and strategically evolved (</w:t>
      </w:r>
      <w:r w:rsidR="003719F0" w:rsidRPr="256A27D0">
        <w:rPr>
          <w:rFonts w:ascii="Times New Roman" w:hAnsi="Times New Roman" w:cs="Times New Roman"/>
          <w:kern w:val="0"/>
          <w:lang w:val="en-US"/>
          <w14:ligatures w14:val="none"/>
        </w:rPr>
        <w:t>Machost and Stains, 2023</w:t>
      </w:r>
      <w:r w:rsidRPr="256A27D0">
        <w:rPr>
          <w:rFonts w:ascii="Times New Roman" w:hAnsi="Times New Roman" w:cs="Times New Roman"/>
          <w:kern w:val="0"/>
          <w:lang w:val="en-US"/>
          <w14:ligatures w14:val="none"/>
        </w:rPr>
        <w:t>). In Higher Education, as a reflective model, SWOT analysis is becoming recogn</w:t>
      </w:r>
      <w:r w:rsidR="00667521" w:rsidRPr="256A27D0">
        <w:rPr>
          <w:rFonts w:ascii="Times New Roman" w:hAnsi="Times New Roman" w:cs="Times New Roman"/>
          <w:kern w:val="0"/>
          <w:lang w:val="en-US"/>
          <w14:ligatures w14:val="none"/>
        </w:rPr>
        <w:t>is</w:t>
      </w:r>
      <w:r w:rsidRPr="256A27D0">
        <w:rPr>
          <w:rFonts w:ascii="Times New Roman" w:hAnsi="Times New Roman" w:cs="Times New Roman"/>
          <w:kern w:val="0"/>
          <w:lang w:val="en-US"/>
          <w14:ligatures w14:val="none"/>
        </w:rPr>
        <w:t>ed as an important driver of self-awareness, career development, and professional learning (Gibbs, 1988; Moon, 2013). This SWOT analysis focuses on how the student applied the skill of reflection which is one of the key academic skills developed in the PAPD module. In academic and professional practice, especially in health and social care, reflection is a key capacity, requiring practitioners to constantly assess practice, integrate feedback, and respond to complex circumstances (Schön, 1983; Bulman and Schutz, 2019). This SWOT analysis will determine the effectiveness of reflective practice skills in experimental classroom practice and testing in PAPD, identify which development areas are most needed, and outline ways to reinforce these elements to facilitate academic achievement in an academic inquiry and private professional practice in the health and social care context.</w:t>
      </w:r>
    </w:p>
    <w:p w14:paraId="0426A5C8" w14:textId="2A4F78BA" w:rsidR="005A3601" w:rsidRPr="005A3601" w:rsidRDefault="005A3601" w:rsidP="003719F0">
      <w:pPr>
        <w:spacing w:after="0" w:line="360" w:lineRule="auto"/>
        <w:jc w:val="both"/>
        <w:outlineLvl w:val="1"/>
        <w:rPr>
          <w:rFonts w:ascii="Times New Roman" w:hAnsi="Times New Roman" w:cs="Times New Roman"/>
          <w:b/>
          <w:bCs/>
          <w:kern w:val="0"/>
          <w14:ligatures w14:val="none"/>
        </w:rPr>
      </w:pPr>
      <w:r w:rsidRPr="005A3601">
        <w:rPr>
          <w:rFonts w:ascii="Times New Roman" w:eastAsia="Times New Roman" w:hAnsi="Times New Roman" w:cs="Times New Roman"/>
          <w:b/>
          <w:bCs/>
          <w:kern w:val="0"/>
          <w14:ligatures w14:val="none"/>
        </w:rPr>
        <w:t xml:space="preserve">Strengths </w:t>
      </w:r>
    </w:p>
    <w:p w14:paraId="21D2E0A5" w14:textId="77777777" w:rsidR="00EE34A4" w:rsidRPr="00EE34A4" w:rsidRDefault="00EE34A4"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Listening to the student describe the learning experience in a way that is more structural and purposeful than entirely descriptive is a good strength the student displays as an aspect of learning. In the PAPD module, the learner has successfully applied established reflective models, especially Gibbs Reflective Cycle (1988) when composing written thoughts about academic activities like feedback analysis and skills practice activities. Studies propose the application of structured reflective models to the promotion of cognition and in-depth learning through the transition of learners out of the descriptive layer to the analysis and evaluation of hypotheses (Moon, 2013; Bassot, 2020). The fact that the student works with such frameworks suggests the growing ability to think in ways that are reflective in accordance with the demands of Higher Education.</w:t>
      </w:r>
    </w:p>
    <w:p w14:paraId="3200E445" w14:textId="2B46524A" w:rsidR="00EE34A4" w:rsidRPr="00EE34A4" w:rsidRDefault="00EE34A4"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The other strength is also the capability of the student to attribute reflection to improvement as a manifestation of reflective learning but not reflection as a passive activity. To illustrate, the student has considered the areas of weakness in clarity and organisation and has made changes to the strategies of academic writing after receiving feedback on it in the PAPD module. This is in line with the theory of experiential learning, which as suggested by Kolb (1984) denotes reflection as an intermediary between the experience and practical experimentation. Research emphas</w:t>
      </w:r>
      <w:r w:rsidR="00667521" w:rsidRPr="256A27D0">
        <w:rPr>
          <w:rFonts w:ascii="Times New Roman" w:hAnsi="Times New Roman" w:cs="Times New Roman"/>
          <w:kern w:val="0"/>
          <w:lang w:val="en-US"/>
          <w14:ligatures w14:val="none"/>
        </w:rPr>
        <w:t>is</w:t>
      </w:r>
      <w:r w:rsidRPr="256A27D0">
        <w:rPr>
          <w:rFonts w:ascii="Times New Roman" w:hAnsi="Times New Roman" w:cs="Times New Roman"/>
          <w:kern w:val="0"/>
          <w:lang w:val="en-US"/>
          <w14:ligatures w14:val="none"/>
        </w:rPr>
        <w:t xml:space="preserve">es that learners who explicitly relate reflection with action planning are more inclined </w:t>
      </w:r>
      <w:r w:rsidRPr="256A27D0">
        <w:rPr>
          <w:rFonts w:ascii="Times New Roman" w:hAnsi="Times New Roman" w:cs="Times New Roman"/>
          <w:kern w:val="0"/>
          <w:lang w:val="en-US"/>
          <w14:ligatures w14:val="none"/>
        </w:rPr>
        <w:lastRenderedPageBreak/>
        <w:t>towards exhibiting positive academic development (Trundle et al., 2025; Hartmann, Kruijf, and Van Weesep, 2023).</w:t>
      </w:r>
    </w:p>
    <w:p w14:paraId="67420C19" w14:textId="77777777" w:rsidR="00EE34A4" w:rsidRPr="00EE34A4" w:rsidRDefault="00EE34A4"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Moreover, the student demonstrates an increased self-awareness, which is one of the keys to effective reflection during health and social care education. Professional accountability, ethical practice, and emotional intelligence have been associated with self-awareness, which is key to providing safe and effective care services (Bulman and Schutz, 2019). The student reflected in PAPD activities has identified their own learning styles, level of confidence, and areas they need to improve which is that of the reflective practitioner (Schon, 1983).</w:t>
      </w:r>
    </w:p>
    <w:p w14:paraId="7FB5DBCB" w14:textId="109D5B04" w:rsidR="005A3601" w:rsidRPr="005A3601" w:rsidRDefault="00EE34A4"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Most importantly, reflection has been util</w:t>
      </w:r>
      <w:r w:rsidR="00667521" w:rsidRPr="256A27D0">
        <w:rPr>
          <w:rFonts w:ascii="Times New Roman" w:hAnsi="Times New Roman" w:cs="Times New Roman"/>
          <w:kern w:val="0"/>
          <w:lang w:val="en-US"/>
          <w14:ligatures w14:val="none"/>
        </w:rPr>
        <w:t>is</w:t>
      </w:r>
      <w:r w:rsidRPr="256A27D0">
        <w:rPr>
          <w:rFonts w:ascii="Times New Roman" w:hAnsi="Times New Roman" w:cs="Times New Roman"/>
          <w:kern w:val="0"/>
          <w:lang w:val="en-US"/>
          <w14:ligatures w14:val="none"/>
        </w:rPr>
        <w:t>ed to not only assess academic performance but think about the development of professional identity as well, which is a primary expectation in health and social care programmes (Machost and Stains, 2023). It means that the student is already using reflection as a transferable professional quality and is becoming prepared to work in the future.</w:t>
      </w:r>
    </w:p>
    <w:p w14:paraId="598A8B70" w14:textId="0E0C84FB" w:rsidR="005A3601" w:rsidRPr="005A3601" w:rsidRDefault="005A3601" w:rsidP="003719F0">
      <w:pPr>
        <w:spacing w:after="0" w:line="360" w:lineRule="auto"/>
        <w:jc w:val="both"/>
        <w:outlineLvl w:val="1"/>
        <w:rPr>
          <w:rFonts w:ascii="Times New Roman" w:hAnsi="Times New Roman" w:cs="Times New Roman"/>
          <w:b/>
          <w:bCs/>
          <w:kern w:val="0"/>
          <w14:ligatures w14:val="none"/>
        </w:rPr>
      </w:pPr>
      <w:r w:rsidRPr="005A3601">
        <w:rPr>
          <w:rFonts w:ascii="Times New Roman" w:eastAsia="Times New Roman" w:hAnsi="Times New Roman" w:cs="Times New Roman"/>
          <w:b/>
          <w:bCs/>
          <w:kern w:val="0"/>
          <w14:ligatures w14:val="none"/>
        </w:rPr>
        <w:t xml:space="preserve">Weaknesses </w:t>
      </w:r>
    </w:p>
    <w:p w14:paraId="21C61ACC" w14:textId="052269F9" w:rsidR="005E4A97" w:rsidRPr="005E4A97" w:rsidRDefault="005E4A9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Although these are the strengths, one of the weaknesses that can be noted is the inconsistency in the depth of critical reflection, where some of the reflective outputs are still too descriptive. Descriptive reflection is summar</w:t>
      </w:r>
      <w:r w:rsidR="00667521" w:rsidRPr="256A27D0">
        <w:rPr>
          <w:rFonts w:ascii="Times New Roman" w:hAnsi="Times New Roman" w:cs="Times New Roman"/>
          <w:kern w:val="0"/>
          <w:lang w:val="en-US"/>
          <w14:ligatures w14:val="none"/>
        </w:rPr>
        <w:t>is</w:t>
      </w:r>
      <w:r w:rsidRPr="256A27D0">
        <w:rPr>
          <w:rFonts w:ascii="Times New Roman" w:hAnsi="Times New Roman" w:cs="Times New Roman"/>
          <w:kern w:val="0"/>
          <w:lang w:val="en-US"/>
          <w14:ligatures w14:val="none"/>
        </w:rPr>
        <w:t>ing events, whereas critical reflection involves disputing assumptions, considering alternative views, and combining theory with practice (Cole, Hinchcliff, and Carling, 2022; Bassot, 2020). The student has sometimes summarised experiences on the PAPD module without adequately analysing the cause of specific challenges and how further learning can be informed. Studies indicate that beginner reflectors frequently have a hard time going past the description stage especially when reflective writing is introduced (Chan and Lee, 2020).</w:t>
      </w:r>
    </w:p>
    <w:p w14:paraId="47FEC380" w14:textId="77777777" w:rsidR="005E4A97" w:rsidRPr="005E4A97" w:rsidRDefault="005E4A9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The other weakness is associated with inadequate incorporation of academic literature in reflective writing. Though the student displays personal insight, reflections do not necessarily have direct connections to academic evidence on learning, skills growth, or professional practice. Theory is supposed to support academic reflection in Higher Education to manifest critical engagement and academic rigour (Machost and Stains, 2023). The lack of a unified theory grounding might decrease the scholarly results of reflective assignments, especially in health-related areas, where evidence-based practice is paramount (NMC, 2018).</w:t>
      </w:r>
    </w:p>
    <w:p w14:paraId="139ED29B" w14:textId="77777777" w:rsidR="005E4A97" w:rsidRPr="005E4A97" w:rsidRDefault="005E4A9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 xml:space="preserve">There is also uncertainty in the reflective language of the student, who sometimes makes use of tentative or emotive terms instead of analytical ones. This can be an indication of an insecurity with reflective writing rules. Students usually find reflection to be personal and this may lead to some discomfort when composing academically about personal experiences (Chan </w:t>
      </w:r>
      <w:r w:rsidRPr="256A27D0">
        <w:rPr>
          <w:rFonts w:ascii="Times New Roman" w:hAnsi="Times New Roman" w:cs="Times New Roman"/>
          <w:kern w:val="0"/>
          <w:lang w:val="en-US"/>
          <w14:ligatures w14:val="none"/>
        </w:rPr>
        <w:lastRenderedPageBreak/>
        <w:t>and Lee, 2020). Personal voice vs. academic propriety: this strife can restrain clarity and coherence of reflective reports.</w:t>
      </w:r>
    </w:p>
    <w:p w14:paraId="282BB18F" w14:textId="6A4772AE" w:rsidR="005A3601" w:rsidRPr="005A3601" w:rsidRDefault="005E4A9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And lastly, time limitations in the PAPD module have occasionally led to hasty reflection, lessening the chances of deeper reflection and refinement. Research has repeatedly demonstrated that reflection is best supported by time and cognitive spacing, in cases where students are still acquiring new skills in their academic skills (Trundle et al., 2025). All these weaknesses imply that structured help and purposeful practice can be used to improve the depth of reflection and academic integration</w:t>
      </w:r>
      <w:r w:rsidR="006C4BDE" w:rsidRPr="256A27D0">
        <w:rPr>
          <w:rFonts w:ascii="Times New Roman" w:hAnsi="Times New Roman" w:cs="Times New Roman"/>
          <w:kern w:val="0"/>
          <w:lang w:val="en-US"/>
          <w14:ligatures w14:val="none"/>
        </w:rPr>
        <w:t xml:space="preserve"> (Machost and Stains, 2023</w:t>
      </w:r>
      <w:proofErr w:type="gramStart"/>
      <w:r w:rsidR="006C4BDE" w:rsidRPr="256A27D0">
        <w:rPr>
          <w:rFonts w:ascii="Times New Roman" w:hAnsi="Times New Roman" w:cs="Times New Roman"/>
          <w:kern w:val="0"/>
          <w:lang w:val="en-US"/>
          <w14:ligatures w14:val="none"/>
        </w:rPr>
        <w:t>).</w:t>
      </w:r>
      <w:r w:rsidRPr="256A27D0">
        <w:rPr>
          <w:rFonts w:ascii="Times New Roman" w:hAnsi="Times New Roman" w:cs="Times New Roman"/>
          <w:kern w:val="0"/>
          <w:lang w:val="en-US"/>
          <w14:ligatures w14:val="none"/>
        </w:rPr>
        <w:t>.</w:t>
      </w:r>
      <w:proofErr w:type="gramEnd"/>
    </w:p>
    <w:p w14:paraId="6635714C" w14:textId="1B75063A" w:rsidR="005A3601" w:rsidRPr="005A3601" w:rsidRDefault="005A3601" w:rsidP="003719F0">
      <w:pPr>
        <w:spacing w:after="0" w:line="360" w:lineRule="auto"/>
        <w:jc w:val="both"/>
        <w:outlineLvl w:val="1"/>
        <w:rPr>
          <w:rFonts w:ascii="Times New Roman" w:hAnsi="Times New Roman" w:cs="Times New Roman"/>
          <w:b/>
          <w:bCs/>
          <w:kern w:val="0"/>
          <w14:ligatures w14:val="none"/>
        </w:rPr>
      </w:pPr>
      <w:r w:rsidRPr="005A3601">
        <w:rPr>
          <w:rFonts w:ascii="Times New Roman" w:eastAsia="Times New Roman" w:hAnsi="Times New Roman" w:cs="Times New Roman"/>
          <w:b/>
          <w:bCs/>
          <w:kern w:val="0"/>
          <w14:ligatures w14:val="none"/>
        </w:rPr>
        <w:t>Opportunities</w:t>
      </w:r>
    </w:p>
    <w:p w14:paraId="3E7C4490" w14:textId="77777777" w:rsidR="007B1BCE" w:rsidRPr="007B1BCE" w:rsidRDefault="007B1BCE"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 xml:space="preserve">The main area to improve the reflection skills of the student is the greater use of formative feedback in the PAPD module in both written and spoken forms. Studies suggest that feedback-based reflection is incredibly effective in enhancing learning outcomes, since students engaged in reflection will make changes </w:t>
      </w:r>
      <w:proofErr w:type="gramStart"/>
      <w:r w:rsidRPr="256A27D0">
        <w:rPr>
          <w:rFonts w:ascii="Times New Roman" w:hAnsi="Times New Roman" w:cs="Times New Roman"/>
          <w:kern w:val="0"/>
          <w:lang w:val="en-US"/>
          <w14:ligatures w14:val="none"/>
        </w:rPr>
        <w:t>once</w:t>
      </w:r>
      <w:proofErr w:type="gramEnd"/>
      <w:r w:rsidRPr="256A27D0">
        <w:rPr>
          <w:rFonts w:ascii="Times New Roman" w:hAnsi="Times New Roman" w:cs="Times New Roman"/>
          <w:kern w:val="0"/>
          <w:lang w:val="en-US"/>
          <w14:ligatures w14:val="none"/>
        </w:rPr>
        <w:t xml:space="preserve"> they actively reflect on comments (Carless and Boud, 2018). The systematic reflection of tutor feedback based on the systematic models that the student engages in can enhance his or her depth of analysis and academic alignment.</w:t>
      </w:r>
    </w:p>
    <w:p w14:paraId="405F12B7" w14:textId="2B23CFE0" w:rsidR="007B1BCE" w:rsidRPr="007B1BCE" w:rsidRDefault="007B1BCE"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The other major opportunity is the involvement in university-based academic skills workshops dealing with reflective writing. It has been indicated that scaffolded writing, examples, and practice teaching, enhance student writing skills in critically reflective accounts (Bassot, 2020). Learning development materials and online tutorials may assist the student with better comprehension between theory and reflective analysis to fill the recogn</w:t>
      </w:r>
      <w:r w:rsidR="00667521" w:rsidRPr="256A27D0">
        <w:rPr>
          <w:rFonts w:ascii="Times New Roman" w:hAnsi="Times New Roman" w:cs="Times New Roman"/>
          <w:kern w:val="0"/>
          <w:lang w:val="en-US"/>
          <w14:ligatures w14:val="none"/>
        </w:rPr>
        <w:t>is</w:t>
      </w:r>
      <w:r w:rsidRPr="256A27D0">
        <w:rPr>
          <w:rFonts w:ascii="Times New Roman" w:hAnsi="Times New Roman" w:cs="Times New Roman"/>
          <w:kern w:val="0"/>
          <w:lang w:val="en-US"/>
          <w14:ligatures w14:val="none"/>
        </w:rPr>
        <w:t>ed gaps.</w:t>
      </w:r>
    </w:p>
    <w:p w14:paraId="1A5DDE7C" w14:textId="77777777" w:rsidR="007B1BCE" w:rsidRPr="007B1BCE" w:rsidRDefault="007B1BCE"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There is also an opportunity in peer learning. It has been demonstrated that collaborative reflection and peer discussion are beneficial to develop critical thinking as they expose students to other possible perspectives and challenge assumptions (Chan and Lee, 2020). Reflective dialogue might help the student identify blind spots and form more subtle reflections when it is a part of PAPD group activities (Machost and Stains, 2023).</w:t>
      </w:r>
    </w:p>
    <w:p w14:paraId="0AFFD2D0" w14:textId="3D73D498" w:rsidR="005A3601" w:rsidRPr="005A3601" w:rsidRDefault="007B1BCE"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Further, having a learning journal out of assessed work might facilitate ongoing skill acquisition. Literature points to the fact that long-lasting reflective journaling enhances metacognition and professional reasoning in health and social care education (Bulman and Schutz, 2019). Such a possibility makes the reflection a continuous practice instead of an evaluative one, as is demanded by lifelong learning principles and needed in professional practice (Machost and Stains, 2023).</w:t>
      </w:r>
    </w:p>
    <w:p w14:paraId="2D48C76F" w14:textId="429769C5" w:rsidR="005A3601" w:rsidRPr="005A3601" w:rsidRDefault="005A3601" w:rsidP="003719F0">
      <w:pPr>
        <w:spacing w:after="0" w:line="360" w:lineRule="auto"/>
        <w:jc w:val="both"/>
        <w:outlineLvl w:val="1"/>
        <w:rPr>
          <w:rFonts w:ascii="Times New Roman" w:hAnsi="Times New Roman" w:cs="Times New Roman"/>
          <w:b/>
          <w:bCs/>
          <w:kern w:val="0"/>
          <w14:ligatures w14:val="none"/>
        </w:rPr>
      </w:pPr>
      <w:r w:rsidRPr="005A3601">
        <w:rPr>
          <w:rFonts w:ascii="Times New Roman" w:eastAsia="Times New Roman" w:hAnsi="Times New Roman" w:cs="Times New Roman"/>
          <w:b/>
          <w:bCs/>
          <w:kern w:val="0"/>
          <w14:ligatures w14:val="none"/>
        </w:rPr>
        <w:t xml:space="preserve">Threats </w:t>
      </w:r>
    </w:p>
    <w:p w14:paraId="6D1525EC" w14:textId="4B9BC702" w:rsidR="007D01E7" w:rsidRPr="007D01E7" w:rsidRDefault="007D01E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 xml:space="preserve">One major obstacle to the process of developing effective reflection skills is the pressure of obtaining academic work during numerous modules. It has been observed that high workload </w:t>
      </w:r>
      <w:r w:rsidRPr="256A27D0">
        <w:rPr>
          <w:rFonts w:ascii="Times New Roman" w:hAnsi="Times New Roman" w:cs="Times New Roman"/>
          <w:kern w:val="0"/>
          <w:lang w:val="en-US"/>
          <w14:ligatures w14:val="none"/>
        </w:rPr>
        <w:lastRenderedPageBreak/>
        <w:t xml:space="preserve">is a limitation to deep reflective practice that tends to prompt students to focus on meeting task requirements, as opposed to substantive learning </w:t>
      </w:r>
      <w:r w:rsidR="0025736E" w:rsidRPr="256A27D0">
        <w:rPr>
          <w:rFonts w:ascii="Times New Roman" w:hAnsi="Times New Roman" w:cs="Times New Roman"/>
          <w:kern w:val="0"/>
          <w:lang w:val="en-US"/>
          <w14:ligatures w14:val="none"/>
        </w:rPr>
        <w:t>(Chan and Lee, 2020)</w:t>
      </w:r>
      <w:r w:rsidRPr="256A27D0">
        <w:rPr>
          <w:rFonts w:ascii="Times New Roman" w:hAnsi="Times New Roman" w:cs="Times New Roman"/>
          <w:kern w:val="0"/>
          <w:lang w:val="en-US"/>
          <w14:ligatures w14:val="none"/>
        </w:rPr>
        <w:t>. In such a restraint, reflection is in danger of being surface-level or functional.</w:t>
      </w:r>
    </w:p>
    <w:p w14:paraId="5F5CB0F7" w14:textId="17D02451" w:rsidR="007D01E7" w:rsidRPr="007D01E7" w:rsidRDefault="007D01E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 xml:space="preserve">The other threat is a lack of confidence especially where reflection entails self-criticism. Reflection requires candor and openness, which might not feel comfortable, particularly to a student who fears being judged in the academic domain </w:t>
      </w:r>
      <w:r w:rsidR="003A0E5C" w:rsidRPr="256A27D0">
        <w:rPr>
          <w:rFonts w:ascii="Times New Roman" w:hAnsi="Times New Roman" w:cs="Times New Roman"/>
          <w:kern w:val="0"/>
          <w:lang w:val="en-US"/>
          <w14:ligatures w14:val="none"/>
        </w:rPr>
        <w:t>(Machost and Stains, 2023)</w:t>
      </w:r>
      <w:r w:rsidRPr="256A27D0">
        <w:rPr>
          <w:rFonts w:ascii="Times New Roman" w:hAnsi="Times New Roman" w:cs="Times New Roman"/>
          <w:kern w:val="0"/>
          <w:lang w:val="en-US"/>
          <w14:ligatures w14:val="none"/>
        </w:rPr>
        <w:t>. These can lead to self-defense or shying away from deeper self-examination.</w:t>
      </w:r>
    </w:p>
    <w:p w14:paraId="01FDD2AB" w14:textId="2C5D146A" w:rsidR="007D01E7" w:rsidRPr="007D01E7" w:rsidRDefault="007D01E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Reflective writing presents some extra cognitive and linguistic problems to students who learn a second language. Academic reflection incorporates advanced language, synthesis, and abstraction, which can impede the articulation of complicated ideas (</w:t>
      </w:r>
      <w:r w:rsidR="003A0E5C" w:rsidRPr="256A27D0">
        <w:rPr>
          <w:rFonts w:ascii="Times New Roman" w:hAnsi="Times New Roman" w:cs="Times New Roman"/>
          <w:kern w:val="0"/>
          <w:lang w:val="en-US"/>
          <w14:ligatures w14:val="none"/>
        </w:rPr>
        <w:t>Chan and Lee, 2020)</w:t>
      </w:r>
      <w:r w:rsidRPr="256A27D0">
        <w:rPr>
          <w:rFonts w:ascii="Times New Roman" w:hAnsi="Times New Roman" w:cs="Times New Roman"/>
          <w:kern w:val="0"/>
          <w:lang w:val="en-US"/>
          <w14:ligatures w14:val="none"/>
        </w:rPr>
        <w:t>. This may restrain the capacity of the student to express critical insights to the fullest regardless of serious reflection.</w:t>
      </w:r>
    </w:p>
    <w:p w14:paraId="38E9091A" w14:textId="4B81DF13" w:rsidR="005A3601" w:rsidRPr="005A3601" w:rsidRDefault="007D01E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Lastly, a lack of consistency in responding to assessment expectations is menacing. According to research, a lack of clarity in marking criteria of reflection may cause confusion and superficial compliance among the students (Machost and Stains, 2023). In the absence of guidance, the student can find it challenging to maintain the balance between personal reflection and academic criticism, which affects performance and self-confidence.</w:t>
      </w:r>
    </w:p>
    <w:p w14:paraId="5E07777C" w14:textId="35B44BC5" w:rsidR="005A3601" w:rsidRPr="005A3601" w:rsidRDefault="005A3601" w:rsidP="003719F0">
      <w:pPr>
        <w:spacing w:after="0" w:line="360" w:lineRule="auto"/>
        <w:jc w:val="both"/>
        <w:outlineLvl w:val="1"/>
        <w:rPr>
          <w:rFonts w:ascii="Times New Roman" w:hAnsi="Times New Roman" w:cs="Times New Roman"/>
          <w:b/>
          <w:bCs/>
          <w:kern w:val="0"/>
          <w14:ligatures w14:val="none"/>
        </w:rPr>
      </w:pPr>
      <w:r w:rsidRPr="005A3601">
        <w:rPr>
          <w:rFonts w:ascii="Times New Roman" w:eastAsia="Times New Roman" w:hAnsi="Times New Roman" w:cs="Times New Roman"/>
          <w:b/>
          <w:bCs/>
          <w:kern w:val="0"/>
          <w14:ligatures w14:val="none"/>
        </w:rPr>
        <w:t>Conclusion</w:t>
      </w:r>
    </w:p>
    <w:p w14:paraId="40013700" w14:textId="089434CD" w:rsidR="005A3601" w:rsidRPr="005A3601" w:rsidRDefault="00996947" w:rsidP="256A27D0">
      <w:pPr>
        <w:spacing w:after="0" w:line="360" w:lineRule="auto"/>
        <w:jc w:val="both"/>
        <w:rPr>
          <w:rFonts w:ascii="Times New Roman" w:hAnsi="Times New Roman" w:cs="Times New Roman"/>
          <w:kern w:val="0"/>
          <w:lang w:val="en-US"/>
          <w14:ligatures w14:val="none"/>
        </w:rPr>
      </w:pPr>
      <w:r w:rsidRPr="256A27D0">
        <w:rPr>
          <w:rFonts w:ascii="Times New Roman" w:hAnsi="Times New Roman" w:cs="Times New Roman"/>
          <w:kern w:val="0"/>
          <w:lang w:val="en-US"/>
          <w14:ligatures w14:val="none"/>
        </w:rPr>
        <w:t xml:space="preserve">Through this SWOT analysis, it has been established that the student is showing some emerging strengths in purposeful reflection, structured and self-aware reflection, but has weaknesses in depth, theoretical integration, and confidence. The high level of opportunities including feedback engagement, skills workshops/reflective journaling presents specific developmental </w:t>
      </w:r>
      <w:proofErr w:type="gramStart"/>
      <w:r w:rsidRPr="256A27D0">
        <w:rPr>
          <w:rFonts w:ascii="Times New Roman" w:hAnsi="Times New Roman" w:cs="Times New Roman"/>
          <w:kern w:val="0"/>
          <w:lang w:val="en-US"/>
          <w14:ligatures w14:val="none"/>
        </w:rPr>
        <w:t>directions</w:t>
      </w:r>
      <w:proofErr w:type="gramEnd"/>
      <w:r w:rsidRPr="256A27D0">
        <w:rPr>
          <w:rFonts w:ascii="Times New Roman" w:hAnsi="Times New Roman" w:cs="Times New Roman"/>
          <w:kern w:val="0"/>
          <w:lang w:val="en-US"/>
          <w14:ligatures w14:val="none"/>
        </w:rPr>
        <w:t xml:space="preserve"> and the threats of workload pressure and language obstacles can impede development. Notably, performing this SWOT analysis has allowed a critical self-evaluation and given a clear picture of priorities in academic and professional development. Reflective frameworks of self-assessment of personal skills are transferable competences necessary to sustained professional growth, positive practice, professional responsibility, and lifelong learning in health and social care professions.</w:t>
      </w:r>
    </w:p>
    <w:p w14:paraId="14AFA66D" w14:textId="77777777" w:rsidR="005A3601" w:rsidRDefault="005A3601" w:rsidP="003719F0">
      <w:pPr>
        <w:spacing w:after="0" w:line="360" w:lineRule="auto"/>
        <w:jc w:val="both"/>
        <w:outlineLvl w:val="1"/>
        <w:rPr>
          <w:rFonts w:ascii="Times New Roman" w:eastAsia="Times New Roman" w:hAnsi="Times New Roman" w:cs="Times New Roman"/>
          <w:b/>
          <w:bCs/>
          <w:kern w:val="0"/>
          <w14:ligatures w14:val="none"/>
        </w:rPr>
      </w:pPr>
    </w:p>
    <w:p w14:paraId="34E3CABA" w14:textId="6A0F22B5" w:rsidR="005A3601" w:rsidRDefault="005A3601" w:rsidP="003719F0">
      <w:pPr>
        <w:spacing w:after="0" w:line="360" w:lineRule="auto"/>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0407EB87" w14:textId="61B36559" w:rsidR="005A3601" w:rsidRPr="005A3601" w:rsidRDefault="005A3601" w:rsidP="003719F0">
      <w:pPr>
        <w:spacing w:after="0" w:line="360" w:lineRule="auto"/>
        <w:jc w:val="both"/>
        <w:outlineLvl w:val="1"/>
        <w:rPr>
          <w:rFonts w:ascii="Times New Roman" w:hAnsi="Times New Roman" w:cs="Times New Roman"/>
          <w:b/>
          <w:bCs/>
          <w:kern w:val="0"/>
          <w14:ligatures w14:val="none"/>
        </w:rPr>
      </w:pPr>
      <w:r w:rsidRPr="005A3601">
        <w:rPr>
          <w:rFonts w:ascii="Times New Roman" w:eastAsia="Times New Roman" w:hAnsi="Times New Roman" w:cs="Times New Roman"/>
          <w:b/>
          <w:bCs/>
          <w:kern w:val="0"/>
          <w14:ligatures w14:val="none"/>
        </w:rPr>
        <w:lastRenderedPageBreak/>
        <w:t>References</w:t>
      </w:r>
    </w:p>
    <w:p w14:paraId="7DD4B434" w14:textId="77777777" w:rsidR="00D256AA" w:rsidRPr="00D256AA" w:rsidRDefault="00D256AA" w:rsidP="256A27D0">
      <w:pPr>
        <w:pStyle w:val="NormalWeb"/>
        <w:spacing w:after="0" w:line="480" w:lineRule="atLeast"/>
        <w:ind w:left="720" w:hanging="720"/>
        <w:jc w:val="both"/>
        <w:rPr>
          <w:color w:val="000000"/>
          <w:lang w:val="en-US"/>
        </w:rPr>
      </w:pPr>
      <w:r w:rsidRPr="256A27D0">
        <w:rPr>
          <w:color w:val="000000" w:themeColor="text1"/>
          <w:lang w:val="en-US"/>
        </w:rPr>
        <w:t>Bassot, B. (2020) The reflective journal. 2nd edn. London: Palgrave Macmillan.</w:t>
      </w:r>
    </w:p>
    <w:p w14:paraId="3F23F329" w14:textId="77777777" w:rsidR="00D256AA" w:rsidRDefault="00D256AA"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Bulman, C. and Schutz, S. (2019) Reflective practice in nursing. 6th edn. Oxford: Wiley-Blackwell.</w:t>
      </w:r>
    </w:p>
    <w:p w14:paraId="4A5E54DA" w14:textId="251C0621" w:rsidR="00D256AA" w:rsidRDefault="00D256AA" w:rsidP="003719F0">
      <w:pPr>
        <w:pStyle w:val="NormalWeb"/>
        <w:spacing w:before="0" w:beforeAutospacing="0" w:after="0" w:afterAutospacing="0" w:line="480" w:lineRule="atLeast"/>
        <w:ind w:left="720" w:hanging="720"/>
        <w:jc w:val="both"/>
        <w:rPr>
          <w:color w:val="000000"/>
        </w:rPr>
      </w:pPr>
      <w:r>
        <w:rPr>
          <w:color w:val="000000"/>
        </w:rPr>
        <w:t>Carless, D. and Boud, D. (2018) “The development of student feedback literacy: enabling uptake of feedback,”</w:t>
      </w:r>
      <w:r>
        <w:rPr>
          <w:rStyle w:val="apple-converted-space"/>
          <w:color w:val="000000"/>
        </w:rPr>
        <w:t> </w:t>
      </w:r>
      <w:r>
        <w:rPr>
          <w:i/>
          <w:iCs/>
          <w:color w:val="000000"/>
        </w:rPr>
        <w:t>Assessment &amp; Evaluation in Higher Education</w:t>
      </w:r>
      <w:r>
        <w:rPr>
          <w:color w:val="000000"/>
        </w:rPr>
        <w:t>, 43(8), pp. 1315–1325. Available at:</w:t>
      </w:r>
      <w:r>
        <w:rPr>
          <w:rStyle w:val="apple-converted-space"/>
          <w:color w:val="000000"/>
        </w:rPr>
        <w:t> </w:t>
      </w:r>
      <w:r>
        <w:rPr>
          <w:rStyle w:val="url"/>
          <w:color w:val="000000"/>
        </w:rPr>
        <w:t>https://doi.org/10.1080/02602938.2018.1463354</w:t>
      </w:r>
      <w:r>
        <w:rPr>
          <w:color w:val="000000"/>
        </w:rPr>
        <w:t>.</w:t>
      </w:r>
    </w:p>
    <w:p w14:paraId="1FEA1420" w14:textId="77777777" w:rsidR="00D256AA" w:rsidRDefault="00D256AA"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Chan, Cecilia.K.Y. and Lee, Katherine.K.W. (2020) “Reflection literacy: A multilevel perspective on the challenges of using reflections in higher education through a comprehensive literature review,”</w:t>
      </w:r>
      <w:r w:rsidRPr="256A27D0">
        <w:rPr>
          <w:rStyle w:val="apple-converted-space"/>
          <w:color w:val="000000" w:themeColor="text1"/>
          <w:lang w:val="en-US"/>
        </w:rPr>
        <w:t> </w:t>
      </w:r>
      <w:r w:rsidRPr="256A27D0">
        <w:rPr>
          <w:i/>
          <w:iCs/>
          <w:color w:val="000000" w:themeColor="text1"/>
          <w:lang w:val="en-US"/>
        </w:rPr>
        <w:t>Educational Research Review</w:t>
      </w:r>
      <w:r w:rsidRPr="256A27D0">
        <w:rPr>
          <w:color w:val="000000" w:themeColor="text1"/>
          <w:lang w:val="en-US"/>
        </w:rPr>
        <w:t>, 32, p. 100376. Available at:</w:t>
      </w:r>
      <w:r w:rsidRPr="256A27D0">
        <w:rPr>
          <w:rStyle w:val="apple-converted-space"/>
          <w:color w:val="000000" w:themeColor="text1"/>
          <w:lang w:val="en-US"/>
        </w:rPr>
        <w:t> </w:t>
      </w:r>
      <w:r w:rsidRPr="256A27D0">
        <w:rPr>
          <w:rStyle w:val="url"/>
          <w:color w:val="000000" w:themeColor="text1"/>
          <w:lang w:val="en-US"/>
        </w:rPr>
        <w:t>https://doi.org/10.1016/j.edurev.2020.100376</w:t>
      </w:r>
      <w:r w:rsidRPr="256A27D0">
        <w:rPr>
          <w:color w:val="000000" w:themeColor="text1"/>
          <w:lang w:val="en-US"/>
        </w:rPr>
        <w:t>.</w:t>
      </w:r>
    </w:p>
    <w:p w14:paraId="33ACAB99" w14:textId="75651B5E" w:rsidR="00D256AA" w:rsidRDefault="00D256AA" w:rsidP="003719F0">
      <w:pPr>
        <w:pStyle w:val="NormalWeb"/>
        <w:spacing w:before="0" w:beforeAutospacing="0" w:after="0" w:afterAutospacing="0" w:line="480" w:lineRule="atLeast"/>
        <w:ind w:left="720" w:hanging="720"/>
        <w:jc w:val="both"/>
        <w:rPr>
          <w:color w:val="000000"/>
        </w:rPr>
      </w:pPr>
      <w:r>
        <w:rPr>
          <w:color w:val="000000"/>
        </w:rPr>
        <w:t>Cole, C., Hinchcliff, E. and Carling, R. (2022) “Reflection as teachers: Our critical developments,”</w:t>
      </w:r>
      <w:r>
        <w:rPr>
          <w:rStyle w:val="apple-converted-space"/>
          <w:color w:val="000000"/>
        </w:rPr>
        <w:t> </w:t>
      </w:r>
      <w:r>
        <w:rPr>
          <w:i/>
          <w:iCs/>
          <w:color w:val="000000"/>
        </w:rPr>
        <w:t>Frontiers in Education</w:t>
      </w:r>
      <w:r>
        <w:rPr>
          <w:color w:val="000000"/>
        </w:rPr>
        <w:t>, 7. Available at:</w:t>
      </w:r>
      <w:r>
        <w:rPr>
          <w:rStyle w:val="apple-converted-space"/>
          <w:color w:val="000000"/>
        </w:rPr>
        <w:t> </w:t>
      </w:r>
      <w:hyperlink r:id="rId4" w:history="1">
        <w:r w:rsidRPr="00CF5A3E">
          <w:rPr>
            <w:rStyle w:val="Hyperlink"/>
          </w:rPr>
          <w:t>https://doi.org/10.3389/feduc.2022.1037280</w:t>
        </w:r>
      </w:hyperlink>
      <w:r>
        <w:rPr>
          <w:color w:val="000000"/>
        </w:rPr>
        <w:t>.</w:t>
      </w:r>
    </w:p>
    <w:p w14:paraId="2B36680F" w14:textId="5CCCB0EF" w:rsidR="00D256AA" w:rsidRPr="005A3601" w:rsidRDefault="00D256AA" w:rsidP="256A27D0">
      <w:pPr>
        <w:pStyle w:val="NormalWeb"/>
        <w:spacing w:before="0" w:beforeAutospacing="0" w:after="0" w:afterAutospacing="0" w:line="480" w:lineRule="atLeast"/>
        <w:ind w:left="720" w:hanging="720"/>
        <w:jc w:val="both"/>
        <w:rPr>
          <w:color w:val="000000"/>
          <w:lang w:val="en-US"/>
        </w:rPr>
      </w:pPr>
      <w:r w:rsidRPr="256A27D0">
        <w:rPr>
          <w:lang w:val="en-US"/>
        </w:rPr>
        <w:t>Gibbs, G. (1988) Learning by doing: A guide to teaching and learning methods. Oxford: Oxford Polytechnic.</w:t>
      </w:r>
    </w:p>
    <w:p w14:paraId="68613F16" w14:textId="1C3360DC" w:rsidR="00D256AA" w:rsidRDefault="00D256AA"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Hartmann, A., Kruijf, J.V.-D. and Van Weesep, R. (2023) “Asking the right questions: The role of reflection for learning in and between projects,”</w:t>
      </w:r>
      <w:r w:rsidRPr="256A27D0">
        <w:rPr>
          <w:rStyle w:val="apple-converted-space"/>
          <w:color w:val="000000" w:themeColor="text1"/>
          <w:lang w:val="en-US"/>
        </w:rPr>
        <w:t> </w:t>
      </w:r>
      <w:r w:rsidRPr="256A27D0">
        <w:rPr>
          <w:i/>
          <w:iCs/>
          <w:color w:val="000000" w:themeColor="text1"/>
          <w:lang w:val="en-US"/>
        </w:rPr>
        <w:t>International Journal of Project Management</w:t>
      </w:r>
      <w:r w:rsidRPr="256A27D0">
        <w:rPr>
          <w:color w:val="000000" w:themeColor="text1"/>
          <w:lang w:val="en-US"/>
        </w:rPr>
        <w:t>, 41(5), p. 102494. Available at:</w:t>
      </w:r>
      <w:r w:rsidRPr="256A27D0">
        <w:rPr>
          <w:rStyle w:val="apple-converted-space"/>
          <w:color w:val="000000" w:themeColor="text1"/>
          <w:lang w:val="en-US"/>
        </w:rPr>
        <w:t> </w:t>
      </w:r>
      <w:hyperlink r:id="rId5">
        <w:r w:rsidRPr="256A27D0">
          <w:rPr>
            <w:rStyle w:val="Hyperlink"/>
            <w:lang w:val="en-US"/>
          </w:rPr>
          <w:t>https://doi.org/10.1016/j.ijproman.2023.102494</w:t>
        </w:r>
      </w:hyperlink>
      <w:r w:rsidRPr="256A27D0">
        <w:rPr>
          <w:color w:val="000000" w:themeColor="text1"/>
          <w:lang w:val="en-US"/>
        </w:rPr>
        <w:t>.</w:t>
      </w:r>
    </w:p>
    <w:p w14:paraId="6D13DBA2" w14:textId="3672ACF0" w:rsidR="00D256AA" w:rsidRPr="005A3601" w:rsidRDefault="00D256AA" w:rsidP="256A27D0">
      <w:pPr>
        <w:pStyle w:val="NormalWeb"/>
        <w:spacing w:before="0" w:beforeAutospacing="0" w:after="0" w:afterAutospacing="0" w:line="480" w:lineRule="atLeast"/>
        <w:ind w:left="720" w:hanging="720"/>
        <w:jc w:val="both"/>
        <w:rPr>
          <w:color w:val="000000"/>
          <w:lang w:val="en-US"/>
        </w:rPr>
      </w:pPr>
      <w:r w:rsidRPr="256A27D0">
        <w:rPr>
          <w:lang w:val="en-US"/>
        </w:rPr>
        <w:t>Kolb, D.A. (1984) Experiential learning. Englewood Cliffs: Prentice Hall.</w:t>
      </w:r>
    </w:p>
    <w:p w14:paraId="76FEAAEF" w14:textId="44A6E763" w:rsidR="00D256AA" w:rsidRDefault="00D256AA"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Machost, H. and Stains, M. (2023) “Reflective Practices in Education: A primer for practitioners,”</w:t>
      </w:r>
      <w:r w:rsidRPr="256A27D0">
        <w:rPr>
          <w:rStyle w:val="apple-converted-space"/>
          <w:color w:val="000000" w:themeColor="text1"/>
          <w:lang w:val="en-US"/>
        </w:rPr>
        <w:t> </w:t>
      </w:r>
      <w:r w:rsidRPr="256A27D0">
        <w:rPr>
          <w:i/>
          <w:iCs/>
          <w:color w:val="000000" w:themeColor="text1"/>
          <w:lang w:val="en-US"/>
        </w:rPr>
        <w:t>CBE—Life Sciences Education</w:t>
      </w:r>
      <w:r w:rsidRPr="256A27D0">
        <w:rPr>
          <w:color w:val="000000" w:themeColor="text1"/>
          <w:lang w:val="en-US"/>
        </w:rPr>
        <w:t>, 22(2), p. es2. Available at:</w:t>
      </w:r>
      <w:r w:rsidRPr="256A27D0">
        <w:rPr>
          <w:rStyle w:val="apple-converted-space"/>
          <w:color w:val="000000" w:themeColor="text1"/>
          <w:lang w:val="en-US"/>
        </w:rPr>
        <w:t> </w:t>
      </w:r>
      <w:hyperlink r:id="rId6">
        <w:r w:rsidRPr="256A27D0">
          <w:rPr>
            <w:rStyle w:val="Hyperlink"/>
            <w:lang w:val="en-US"/>
          </w:rPr>
          <w:t>https://doi.org/10.1187/cbe.22-07-0148</w:t>
        </w:r>
      </w:hyperlink>
      <w:r w:rsidRPr="256A27D0">
        <w:rPr>
          <w:color w:val="000000" w:themeColor="text1"/>
          <w:lang w:val="en-US"/>
        </w:rPr>
        <w:t>.</w:t>
      </w:r>
    </w:p>
    <w:p w14:paraId="771A3964" w14:textId="6F785917" w:rsidR="00D256AA" w:rsidRPr="005A3601" w:rsidRDefault="00D256AA" w:rsidP="256A27D0">
      <w:pPr>
        <w:pStyle w:val="NormalWeb"/>
        <w:spacing w:before="0" w:beforeAutospacing="0" w:after="0" w:afterAutospacing="0" w:line="480" w:lineRule="atLeast"/>
        <w:ind w:left="720" w:hanging="720"/>
        <w:jc w:val="both"/>
        <w:rPr>
          <w:color w:val="000000"/>
          <w:lang w:val="en-US"/>
        </w:rPr>
      </w:pPr>
      <w:r w:rsidRPr="256A27D0">
        <w:rPr>
          <w:lang w:val="en-US"/>
        </w:rPr>
        <w:t>Moon, J.A. (2013) Reflection and employability. London: Routledge.</w:t>
      </w:r>
    </w:p>
    <w:p w14:paraId="2AA7B087" w14:textId="77777777" w:rsidR="00D256AA" w:rsidRDefault="00D256AA"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 xml:space="preserve">Menekse, M., Putra, A.S., Kim, Jiwon, Butt, A.A., McDaniel, M., Davidesco, I., Cadieux, M., Kim, Joe and Litman, D. (2025) “Enhancing student reflections with natural language </w:t>
      </w:r>
      <w:proofErr w:type="gramStart"/>
      <w:r w:rsidRPr="256A27D0">
        <w:rPr>
          <w:color w:val="000000" w:themeColor="text1"/>
          <w:lang w:val="en-US"/>
        </w:rPr>
        <w:t>processing based</w:t>
      </w:r>
      <w:proofErr w:type="gramEnd"/>
      <w:r w:rsidRPr="256A27D0">
        <w:rPr>
          <w:color w:val="000000" w:themeColor="text1"/>
          <w:lang w:val="en-US"/>
        </w:rPr>
        <w:t xml:space="preserve"> scaffolding: A quasi-experimental study in a large lecture </w:t>
      </w:r>
      <w:r w:rsidRPr="256A27D0">
        <w:rPr>
          <w:color w:val="000000" w:themeColor="text1"/>
          <w:lang w:val="en-US"/>
        </w:rPr>
        <w:lastRenderedPageBreak/>
        <w:t>course,”</w:t>
      </w:r>
      <w:r w:rsidRPr="256A27D0">
        <w:rPr>
          <w:rStyle w:val="apple-converted-space"/>
          <w:color w:val="000000" w:themeColor="text1"/>
          <w:lang w:val="en-US"/>
        </w:rPr>
        <w:t> </w:t>
      </w:r>
      <w:r w:rsidRPr="256A27D0">
        <w:rPr>
          <w:i/>
          <w:iCs/>
          <w:color w:val="000000" w:themeColor="text1"/>
          <w:lang w:val="en-US"/>
        </w:rPr>
        <w:t>Computers and Education Artificial Intelligence</w:t>
      </w:r>
      <w:r w:rsidRPr="256A27D0">
        <w:rPr>
          <w:color w:val="000000" w:themeColor="text1"/>
          <w:lang w:val="en-US"/>
        </w:rPr>
        <w:t>, 8, p. 100397. Available at:</w:t>
      </w:r>
      <w:r w:rsidRPr="256A27D0">
        <w:rPr>
          <w:rStyle w:val="apple-converted-space"/>
          <w:color w:val="000000" w:themeColor="text1"/>
          <w:lang w:val="en-US"/>
        </w:rPr>
        <w:t> </w:t>
      </w:r>
      <w:r w:rsidRPr="256A27D0">
        <w:rPr>
          <w:rStyle w:val="url"/>
          <w:color w:val="000000" w:themeColor="text1"/>
          <w:lang w:val="en-US"/>
        </w:rPr>
        <w:t>https://doi.org/10.1016/j.caeai.2025.100397</w:t>
      </w:r>
      <w:r w:rsidRPr="256A27D0">
        <w:rPr>
          <w:color w:val="000000" w:themeColor="text1"/>
          <w:lang w:val="en-US"/>
        </w:rPr>
        <w:t>.</w:t>
      </w:r>
    </w:p>
    <w:p w14:paraId="7E2C0661" w14:textId="37858EF5" w:rsidR="00D256AA" w:rsidRDefault="00D256AA"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NMC (2018) The Code. Available at: https://www.nmc.org.uk/standards/code/ (Accessed: 11 Dec, 2025</w:t>
      </w:r>
      <w:proofErr w:type="gramStart"/>
      <w:r w:rsidRPr="256A27D0">
        <w:rPr>
          <w:color w:val="000000" w:themeColor="text1"/>
          <w:lang w:val="en-US"/>
        </w:rPr>
        <w:t>).Puyt</w:t>
      </w:r>
      <w:proofErr w:type="gramEnd"/>
      <w:r w:rsidRPr="256A27D0">
        <w:rPr>
          <w:color w:val="000000" w:themeColor="text1"/>
          <w:lang w:val="en-US"/>
        </w:rPr>
        <w:t>, R.W., Lie, F.B. and Wilderom, C.P.M. (2023) “The origins of SWOT analysis,”</w:t>
      </w:r>
      <w:r w:rsidRPr="256A27D0">
        <w:rPr>
          <w:rStyle w:val="apple-converted-space"/>
          <w:color w:val="000000" w:themeColor="text1"/>
          <w:lang w:val="en-US"/>
        </w:rPr>
        <w:t> </w:t>
      </w:r>
      <w:r w:rsidRPr="256A27D0">
        <w:rPr>
          <w:i/>
          <w:iCs/>
          <w:color w:val="000000" w:themeColor="text1"/>
          <w:lang w:val="en-US"/>
        </w:rPr>
        <w:t>Long Range Planning</w:t>
      </w:r>
      <w:r w:rsidRPr="256A27D0">
        <w:rPr>
          <w:color w:val="000000" w:themeColor="text1"/>
          <w:lang w:val="en-US"/>
        </w:rPr>
        <w:t>, 56(3), p. 102304. Available at:</w:t>
      </w:r>
      <w:r w:rsidRPr="256A27D0">
        <w:rPr>
          <w:rStyle w:val="apple-converted-space"/>
          <w:color w:val="000000" w:themeColor="text1"/>
          <w:lang w:val="en-US"/>
        </w:rPr>
        <w:t> </w:t>
      </w:r>
      <w:r w:rsidRPr="256A27D0">
        <w:rPr>
          <w:rStyle w:val="url"/>
          <w:color w:val="000000" w:themeColor="text1"/>
          <w:lang w:val="en-US"/>
        </w:rPr>
        <w:t>https://doi.org/10.1016/j.lrp.2023.102304</w:t>
      </w:r>
      <w:r w:rsidRPr="256A27D0">
        <w:rPr>
          <w:color w:val="000000" w:themeColor="text1"/>
          <w:lang w:val="en-US"/>
        </w:rPr>
        <w:t>.</w:t>
      </w:r>
    </w:p>
    <w:p w14:paraId="2F7E8AF0" w14:textId="77777777" w:rsidR="0065015D" w:rsidRDefault="0065015D"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Schön, D.A. (1983) The reflective practitioner. New York: Basic Books.</w:t>
      </w:r>
    </w:p>
    <w:p w14:paraId="79FDA12F" w14:textId="777DC86A" w:rsidR="00D256AA" w:rsidRDefault="00D256AA" w:rsidP="256A27D0">
      <w:pPr>
        <w:pStyle w:val="NormalWeb"/>
        <w:spacing w:before="0" w:beforeAutospacing="0" w:after="0" w:afterAutospacing="0" w:line="480" w:lineRule="atLeast"/>
        <w:ind w:left="720" w:hanging="720"/>
        <w:jc w:val="both"/>
        <w:rPr>
          <w:color w:val="000000"/>
          <w:lang w:val="en-US"/>
        </w:rPr>
      </w:pPr>
      <w:r w:rsidRPr="256A27D0">
        <w:rPr>
          <w:color w:val="000000" w:themeColor="text1"/>
          <w:lang w:val="en-US"/>
        </w:rPr>
        <w:t xml:space="preserve">Trundle, C., Gill, J., Gupta, S., Marcucci, J. and Petridis, L. (2025) “Collaborating </w:t>
      </w:r>
      <w:proofErr w:type="gramStart"/>
      <w:r w:rsidRPr="256A27D0">
        <w:rPr>
          <w:color w:val="000000" w:themeColor="text1"/>
          <w:lang w:val="en-US"/>
        </w:rPr>
        <w:t>With</w:t>
      </w:r>
      <w:proofErr w:type="gramEnd"/>
      <w:r w:rsidRPr="256A27D0">
        <w:rPr>
          <w:color w:val="000000" w:themeColor="text1"/>
          <w:lang w:val="en-US"/>
        </w:rPr>
        <w:t xml:space="preserve"> Care: Creating Spaces for Authentic Reflective Practice in Academia,”</w:t>
      </w:r>
      <w:r w:rsidRPr="256A27D0">
        <w:rPr>
          <w:rStyle w:val="apple-converted-space"/>
          <w:color w:val="000000" w:themeColor="text1"/>
          <w:lang w:val="en-US"/>
        </w:rPr>
        <w:t> </w:t>
      </w:r>
      <w:r w:rsidRPr="256A27D0">
        <w:rPr>
          <w:i/>
          <w:iCs/>
          <w:color w:val="000000" w:themeColor="text1"/>
          <w:lang w:val="en-US"/>
        </w:rPr>
        <w:t>Higher Education Research &amp; Development</w:t>
      </w:r>
      <w:r w:rsidRPr="256A27D0">
        <w:rPr>
          <w:color w:val="000000" w:themeColor="text1"/>
          <w:lang w:val="en-US"/>
        </w:rPr>
        <w:t>, 44(7), pp. 1819–1833. Available at:</w:t>
      </w:r>
      <w:r w:rsidRPr="256A27D0">
        <w:rPr>
          <w:rStyle w:val="apple-converted-space"/>
          <w:color w:val="000000" w:themeColor="text1"/>
          <w:lang w:val="en-US"/>
        </w:rPr>
        <w:t> </w:t>
      </w:r>
      <w:r w:rsidRPr="256A27D0">
        <w:rPr>
          <w:rStyle w:val="url"/>
          <w:color w:val="000000" w:themeColor="text1"/>
          <w:lang w:val="en-US"/>
        </w:rPr>
        <w:t>https://doi.org/10.1080/07294360.2025.2488857</w:t>
      </w:r>
      <w:r w:rsidRPr="256A27D0">
        <w:rPr>
          <w:color w:val="000000" w:themeColor="text1"/>
          <w:lang w:val="en-US"/>
        </w:rPr>
        <w:t>.</w:t>
      </w:r>
    </w:p>
    <w:p w14:paraId="14635DCF" w14:textId="77777777" w:rsidR="00D256AA" w:rsidRDefault="00D256AA" w:rsidP="003719F0">
      <w:pPr>
        <w:spacing w:after="0" w:line="360" w:lineRule="auto"/>
        <w:jc w:val="both"/>
        <w:rPr>
          <w:rFonts w:ascii="Times New Roman" w:hAnsi="Times New Roman" w:cs="Times New Roman"/>
          <w:kern w:val="0"/>
          <w14:ligatures w14:val="none"/>
        </w:rPr>
      </w:pPr>
    </w:p>
    <w:p w14:paraId="7A1E8CC4" w14:textId="4A799F73" w:rsidR="005A3601" w:rsidRPr="005A3601" w:rsidRDefault="005A3601" w:rsidP="003719F0">
      <w:pPr>
        <w:spacing w:after="0" w:line="360" w:lineRule="auto"/>
        <w:jc w:val="both"/>
        <w:rPr>
          <w:rFonts w:ascii="Times New Roman" w:hAnsi="Times New Roman" w:cs="Times New Roman"/>
          <w:kern w:val="0"/>
          <w14:ligatures w14:val="none"/>
        </w:rPr>
      </w:pPr>
    </w:p>
    <w:sectPr w:rsidR="005A3601" w:rsidRPr="005A36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601"/>
    <w:rsid w:val="00097263"/>
    <w:rsid w:val="000D2FE5"/>
    <w:rsid w:val="000F5048"/>
    <w:rsid w:val="000F7031"/>
    <w:rsid w:val="001906C2"/>
    <w:rsid w:val="001B559A"/>
    <w:rsid w:val="001B70B9"/>
    <w:rsid w:val="00255AC1"/>
    <w:rsid w:val="0025736E"/>
    <w:rsid w:val="003719F0"/>
    <w:rsid w:val="003A0E5C"/>
    <w:rsid w:val="004C134F"/>
    <w:rsid w:val="005A3601"/>
    <w:rsid w:val="005E4A97"/>
    <w:rsid w:val="0065015D"/>
    <w:rsid w:val="00667521"/>
    <w:rsid w:val="006A4EE8"/>
    <w:rsid w:val="006C4BDE"/>
    <w:rsid w:val="006E27A8"/>
    <w:rsid w:val="006E3F45"/>
    <w:rsid w:val="006F7AB1"/>
    <w:rsid w:val="007538C7"/>
    <w:rsid w:val="00764F3C"/>
    <w:rsid w:val="00791D50"/>
    <w:rsid w:val="007B1BCE"/>
    <w:rsid w:val="007D01E7"/>
    <w:rsid w:val="007D20DE"/>
    <w:rsid w:val="00815571"/>
    <w:rsid w:val="00864CDD"/>
    <w:rsid w:val="00893E16"/>
    <w:rsid w:val="008B194D"/>
    <w:rsid w:val="008E7763"/>
    <w:rsid w:val="009800DC"/>
    <w:rsid w:val="00996947"/>
    <w:rsid w:val="009C4FE2"/>
    <w:rsid w:val="009F6AEE"/>
    <w:rsid w:val="00A034C6"/>
    <w:rsid w:val="00A12CFB"/>
    <w:rsid w:val="00B74510"/>
    <w:rsid w:val="00C00E8C"/>
    <w:rsid w:val="00C246EB"/>
    <w:rsid w:val="00C43F9E"/>
    <w:rsid w:val="00C9082F"/>
    <w:rsid w:val="00CA695B"/>
    <w:rsid w:val="00D256AA"/>
    <w:rsid w:val="00D46AE4"/>
    <w:rsid w:val="00DC5DB6"/>
    <w:rsid w:val="00E63400"/>
    <w:rsid w:val="00EE34A4"/>
    <w:rsid w:val="00F3076B"/>
    <w:rsid w:val="00F3692E"/>
    <w:rsid w:val="00FF741F"/>
    <w:rsid w:val="256A27D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87366"/>
  <w15:chartTrackingRefBased/>
  <w15:docId w15:val="{6DBFB578-9BCA-504D-99BC-DFF406F82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6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36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6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6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6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6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6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6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6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6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6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6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6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601"/>
    <w:rPr>
      <w:rFonts w:eastAsiaTheme="majorEastAsia" w:cstheme="majorBidi"/>
      <w:color w:val="272727" w:themeColor="text1" w:themeTint="D8"/>
    </w:rPr>
  </w:style>
  <w:style w:type="paragraph" w:styleId="Title">
    <w:name w:val="Title"/>
    <w:basedOn w:val="Normal"/>
    <w:next w:val="Normal"/>
    <w:link w:val="TitleChar"/>
    <w:uiPriority w:val="10"/>
    <w:qFormat/>
    <w:rsid w:val="005A3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6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6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601"/>
    <w:pPr>
      <w:spacing w:before="160"/>
      <w:jc w:val="center"/>
    </w:pPr>
    <w:rPr>
      <w:i/>
      <w:iCs/>
      <w:color w:val="404040" w:themeColor="text1" w:themeTint="BF"/>
    </w:rPr>
  </w:style>
  <w:style w:type="character" w:customStyle="1" w:styleId="QuoteChar">
    <w:name w:val="Quote Char"/>
    <w:basedOn w:val="DefaultParagraphFont"/>
    <w:link w:val="Quote"/>
    <w:uiPriority w:val="29"/>
    <w:rsid w:val="005A3601"/>
    <w:rPr>
      <w:i/>
      <w:iCs/>
      <w:color w:val="404040" w:themeColor="text1" w:themeTint="BF"/>
    </w:rPr>
  </w:style>
  <w:style w:type="paragraph" w:styleId="ListParagraph">
    <w:name w:val="List Paragraph"/>
    <w:basedOn w:val="Normal"/>
    <w:uiPriority w:val="34"/>
    <w:qFormat/>
    <w:rsid w:val="005A3601"/>
    <w:pPr>
      <w:ind w:left="720"/>
      <w:contextualSpacing/>
    </w:pPr>
  </w:style>
  <w:style w:type="character" w:styleId="IntenseEmphasis">
    <w:name w:val="Intense Emphasis"/>
    <w:basedOn w:val="DefaultParagraphFont"/>
    <w:uiPriority w:val="21"/>
    <w:qFormat/>
    <w:rsid w:val="005A3601"/>
    <w:rPr>
      <w:i/>
      <w:iCs/>
      <w:color w:val="0F4761" w:themeColor="accent1" w:themeShade="BF"/>
    </w:rPr>
  </w:style>
  <w:style w:type="paragraph" w:styleId="IntenseQuote">
    <w:name w:val="Intense Quote"/>
    <w:basedOn w:val="Normal"/>
    <w:next w:val="Normal"/>
    <w:link w:val="IntenseQuoteChar"/>
    <w:uiPriority w:val="30"/>
    <w:qFormat/>
    <w:rsid w:val="005A36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601"/>
    <w:rPr>
      <w:i/>
      <w:iCs/>
      <w:color w:val="0F4761" w:themeColor="accent1" w:themeShade="BF"/>
    </w:rPr>
  </w:style>
  <w:style w:type="character" w:styleId="IntenseReference">
    <w:name w:val="Intense Reference"/>
    <w:basedOn w:val="DefaultParagraphFont"/>
    <w:uiPriority w:val="32"/>
    <w:qFormat/>
    <w:rsid w:val="005A3601"/>
    <w:rPr>
      <w:b/>
      <w:bCs/>
      <w:smallCaps/>
      <w:color w:val="0F4761" w:themeColor="accent1" w:themeShade="BF"/>
      <w:spacing w:val="5"/>
    </w:rPr>
  </w:style>
  <w:style w:type="character" w:customStyle="1" w:styleId="s1">
    <w:name w:val="s1"/>
    <w:basedOn w:val="DefaultParagraphFont"/>
    <w:rsid w:val="005A3601"/>
  </w:style>
  <w:style w:type="paragraph" w:customStyle="1" w:styleId="p2">
    <w:name w:val="p2"/>
    <w:basedOn w:val="Normal"/>
    <w:rsid w:val="005A360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A3601"/>
  </w:style>
  <w:style w:type="paragraph" w:customStyle="1" w:styleId="p3">
    <w:name w:val="p3"/>
    <w:basedOn w:val="Normal"/>
    <w:rsid w:val="005A360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5A3601"/>
  </w:style>
  <w:style w:type="character" w:customStyle="1" w:styleId="s4">
    <w:name w:val="s4"/>
    <w:basedOn w:val="DefaultParagraphFont"/>
    <w:rsid w:val="005A3601"/>
  </w:style>
  <w:style w:type="paragraph" w:styleId="NormalWeb">
    <w:name w:val="Normal (Web)"/>
    <w:basedOn w:val="Normal"/>
    <w:uiPriority w:val="99"/>
    <w:unhideWhenUsed/>
    <w:rsid w:val="00D256AA"/>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256AA"/>
  </w:style>
  <w:style w:type="character" w:customStyle="1" w:styleId="url">
    <w:name w:val="url"/>
    <w:basedOn w:val="DefaultParagraphFont"/>
    <w:rsid w:val="00D256AA"/>
  </w:style>
  <w:style w:type="character" w:styleId="Hyperlink">
    <w:name w:val="Hyperlink"/>
    <w:basedOn w:val="DefaultParagraphFont"/>
    <w:uiPriority w:val="99"/>
    <w:unhideWhenUsed/>
    <w:rsid w:val="00D256AA"/>
    <w:rPr>
      <w:color w:val="467886" w:themeColor="hyperlink"/>
      <w:u w:val="single"/>
    </w:rPr>
  </w:style>
  <w:style w:type="character" w:styleId="UnresolvedMention">
    <w:name w:val="Unresolved Mention"/>
    <w:basedOn w:val="DefaultParagraphFont"/>
    <w:uiPriority w:val="99"/>
    <w:semiHidden/>
    <w:unhideWhenUsed/>
    <w:rsid w:val="00D256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87/cbe.22-07-0148" TargetMode="External"/><Relationship Id="rId5" Type="http://schemas.openxmlformats.org/officeDocument/2006/relationships/hyperlink" Target="https://doi.org/10.1016/j.ijproman.2023.102494" TargetMode="External"/><Relationship Id="rId4" Type="http://schemas.openxmlformats.org/officeDocument/2006/relationships/hyperlink" Target="https://doi.org/10.3389/feduc.2022.10372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2034</Words>
  <Characters>11600</Characters>
  <Application>Microsoft Office Word</Application>
  <DocSecurity>0</DocSecurity>
  <Lines>96</Lines>
  <Paragraphs>27</Paragraphs>
  <ScaleCrop>false</ScaleCrop>
  <Company/>
  <LinksUpToDate>false</LinksUpToDate>
  <CharactersWithSpaces>13607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Baig</dc:creator>
  <cp:keywords/>
  <dc:description/>
  <cp:lastModifiedBy>charlotte gardiner</cp:lastModifiedBy>
  <cp:revision>2</cp:revision>
  <dcterms:created xsi:type="dcterms:W3CDTF">2025-12-10T22:45:00Z</dcterms:created>
  <dcterms:modified xsi:type="dcterms:W3CDTF">2025-12-10T22:45:00Z</dcterms:modified>
</cp:coreProperties>
</file>