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A30BC" w14:textId="059F3A93" w:rsidR="00CC43AD" w:rsidRDefault="00CC43AD" w:rsidP="00CC43AD">
      <w:pPr>
        <w:pStyle w:val="NormalWeb"/>
        <w:rPr>
          <w:rFonts w:ascii="TimesNewRomanPS" w:hAnsi="TimesNewRomanPS"/>
          <w:b/>
          <w:bCs/>
          <w:sz w:val="32"/>
          <w:szCs w:val="32"/>
        </w:rPr>
      </w:pPr>
      <w:r>
        <w:fldChar w:fldCharType="begin"/>
      </w:r>
      <w:r>
        <w:instrText xml:space="preserve"> INCLUDEPICTURE "/Users/lori/Library/Group Containers/UBF8T346G9.ms/WebArchiveCopyPasteTempFiles/com.microsoft.Word/guhVm+RXl2XfwAAAABJRU5ErkJggg==" \* MERGEFORMATINET </w:instrText>
      </w:r>
      <w:r>
        <w:fldChar w:fldCharType="separate"/>
      </w:r>
      <w:r>
        <w:rPr>
          <w:noProof/>
        </w:rPr>
        <w:drawing>
          <wp:inline distT="0" distB="0" distL="0" distR="0" wp14:anchorId="14544F8C" wp14:editId="5EDDFF7D">
            <wp:extent cx="1879600" cy="1879600"/>
            <wp:effectExtent l="0" t="0" r="0" b="0"/>
            <wp:docPr id="1014389990" name="Picture 8" descr="UWTSDLondon (@UWTSDLondon)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RAKDavj6K7GxhbIPqNv4-Ag_5" descr="UWTSDLondon (@UWTSDLondon) / Posts / X"/>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79600" cy="1879600"/>
                    </a:xfrm>
                    <a:prstGeom prst="rect">
                      <a:avLst/>
                    </a:prstGeom>
                    <a:noFill/>
                    <a:ln>
                      <a:noFill/>
                    </a:ln>
                  </pic:spPr>
                </pic:pic>
              </a:graphicData>
            </a:graphic>
          </wp:inline>
        </w:drawing>
      </w:r>
      <w:r>
        <w:fldChar w:fldCharType="end"/>
      </w:r>
    </w:p>
    <w:p w14:paraId="2EF9FDF7" w14:textId="77777777" w:rsidR="00CC43AD" w:rsidRDefault="00CC43AD" w:rsidP="00CC43AD">
      <w:pPr>
        <w:pStyle w:val="NormalWeb"/>
        <w:rPr>
          <w:rFonts w:ascii="TimesNewRomanPS" w:hAnsi="TimesNewRomanPS"/>
          <w:b/>
          <w:bCs/>
          <w:sz w:val="32"/>
          <w:szCs w:val="32"/>
        </w:rPr>
      </w:pPr>
    </w:p>
    <w:p w14:paraId="21D39667" w14:textId="77777777" w:rsidR="00CC43AD" w:rsidRDefault="00CC43AD" w:rsidP="00CC43AD">
      <w:pPr>
        <w:pStyle w:val="NormalWeb"/>
        <w:rPr>
          <w:rFonts w:ascii="TimesNewRomanPS" w:hAnsi="TimesNewRomanPS"/>
          <w:b/>
          <w:bCs/>
          <w:sz w:val="32"/>
          <w:szCs w:val="32"/>
        </w:rPr>
      </w:pPr>
    </w:p>
    <w:p w14:paraId="533DA13D" w14:textId="77777777" w:rsidR="00CC43AD" w:rsidRDefault="00CC43AD" w:rsidP="00CC43AD">
      <w:pPr>
        <w:pStyle w:val="NormalWeb"/>
        <w:rPr>
          <w:rFonts w:ascii="TimesNewRomanPS" w:hAnsi="TimesNewRomanPS"/>
          <w:b/>
          <w:bCs/>
          <w:sz w:val="32"/>
          <w:szCs w:val="32"/>
        </w:rPr>
      </w:pPr>
    </w:p>
    <w:p w14:paraId="35FA5D86" w14:textId="77777777" w:rsidR="00CC43AD" w:rsidRDefault="00CC43AD" w:rsidP="00CC43AD">
      <w:pPr>
        <w:pStyle w:val="NormalWeb"/>
        <w:spacing w:line="360" w:lineRule="auto"/>
        <w:jc w:val="center"/>
        <w:rPr>
          <w:rFonts w:ascii="TimesNewRomanPS" w:hAnsi="TimesNewRomanPS"/>
          <w:b/>
          <w:bCs/>
          <w:sz w:val="32"/>
          <w:szCs w:val="32"/>
        </w:rPr>
      </w:pPr>
      <w:r>
        <w:rPr>
          <w:rFonts w:ascii="TimesNewRomanPS" w:hAnsi="TimesNewRomanPS"/>
          <w:b/>
          <w:bCs/>
          <w:sz w:val="32"/>
          <w:szCs w:val="32"/>
        </w:rPr>
        <w:t>Evaluating Communication Style Differences Between UK and Japanese Teams: A Cross-Cultural Analysis for International Business</w:t>
      </w:r>
      <w:r>
        <w:rPr>
          <w:rFonts w:ascii="TimesNewRomanPS" w:hAnsi="TimesNewRomanPS"/>
          <w:b/>
          <w:bCs/>
          <w:sz w:val="32"/>
          <w:szCs w:val="32"/>
        </w:rPr>
        <w:t xml:space="preserve"> </w:t>
      </w:r>
    </w:p>
    <w:p w14:paraId="6DCDABBC" w14:textId="16E59B13" w:rsidR="00CC43AD" w:rsidRDefault="00CC43AD" w:rsidP="00CC43AD">
      <w:pPr>
        <w:pStyle w:val="NormalWeb"/>
        <w:spacing w:line="360" w:lineRule="auto"/>
        <w:jc w:val="center"/>
        <w:rPr>
          <w:rFonts w:ascii="TimesNewRomanPS" w:hAnsi="TimesNewRomanPS"/>
          <w:b/>
          <w:bCs/>
          <w:sz w:val="28"/>
          <w:szCs w:val="28"/>
        </w:rPr>
      </w:pPr>
      <w:r>
        <w:rPr>
          <w:rFonts w:ascii="TimesNewRomanPS" w:hAnsi="TimesNewRomanPS"/>
          <w:b/>
          <w:bCs/>
          <w:sz w:val="28"/>
          <w:szCs w:val="28"/>
        </w:rPr>
        <w:t>Assignment 2-</w:t>
      </w:r>
      <w:r>
        <w:rPr>
          <w:rFonts w:ascii="TimesNewRomanPS" w:hAnsi="TimesNewRomanPS"/>
          <w:b/>
          <w:bCs/>
          <w:sz w:val="28"/>
          <w:szCs w:val="28"/>
        </w:rPr>
        <w:t xml:space="preserve"> Essay</w:t>
      </w:r>
    </w:p>
    <w:p w14:paraId="6605D834" w14:textId="0CAB1AA8" w:rsidR="00CC43AD" w:rsidRPr="00CC43AD" w:rsidRDefault="00CC43AD" w:rsidP="00CC43AD">
      <w:pPr>
        <w:pStyle w:val="NormalWeb"/>
        <w:spacing w:line="360" w:lineRule="auto"/>
        <w:jc w:val="center"/>
        <w:rPr>
          <w:rFonts w:ascii="TimesNewRomanPS" w:hAnsi="TimesNewRomanPS"/>
          <w:b/>
          <w:bCs/>
          <w:sz w:val="32"/>
          <w:szCs w:val="32"/>
        </w:rPr>
      </w:pPr>
      <w:r>
        <w:rPr>
          <w:rFonts w:ascii="TimesNewRomanPSMT" w:hAnsi="TimesNewRomanPSMT"/>
          <w:sz w:val="28"/>
          <w:szCs w:val="28"/>
        </w:rPr>
        <w:t>BA (Hons) Business Management</w:t>
      </w:r>
      <w:r>
        <w:rPr>
          <w:rFonts w:ascii="TimesNewRomanPS" w:hAnsi="TimesNewRomanPS"/>
          <w:b/>
          <w:bCs/>
          <w:sz w:val="28"/>
          <w:szCs w:val="28"/>
        </w:rPr>
        <w:t xml:space="preserve"> </w:t>
      </w:r>
    </w:p>
    <w:p w14:paraId="32593708" w14:textId="77777777" w:rsidR="00CC43AD" w:rsidRDefault="00CC43AD" w:rsidP="00CC43AD">
      <w:pPr>
        <w:pStyle w:val="NormalWeb"/>
      </w:pPr>
    </w:p>
    <w:p w14:paraId="145BAC0A" w14:textId="77777777" w:rsidR="00CC43AD" w:rsidRDefault="00CC43AD" w:rsidP="00CC43AD">
      <w:pPr>
        <w:pStyle w:val="NormalWeb"/>
        <w:spacing w:line="360" w:lineRule="auto"/>
        <w:rPr>
          <w:rFonts w:ascii="TimesNewRomanPS" w:hAnsi="TimesNewRomanPS"/>
          <w:b/>
          <w:bCs/>
          <w:sz w:val="32"/>
          <w:szCs w:val="32"/>
        </w:rPr>
      </w:pPr>
    </w:p>
    <w:p w14:paraId="5F31F765" w14:textId="1DB677A5" w:rsidR="00CC43AD" w:rsidRDefault="00CC43AD" w:rsidP="00CC43AD">
      <w:pPr>
        <w:pStyle w:val="NormalWeb"/>
        <w:spacing w:line="360" w:lineRule="auto"/>
        <w:rPr>
          <w:rFonts w:ascii="TimesNewRomanPS" w:hAnsi="TimesNewRomanPS"/>
        </w:rPr>
      </w:pPr>
      <w:r>
        <w:rPr>
          <w:rFonts w:ascii="TimesNewRomanPS" w:hAnsi="TimesNewRomanPS"/>
        </w:rPr>
        <w:t>Student name: Marilena Loredana Mihai</w:t>
      </w:r>
    </w:p>
    <w:p w14:paraId="3E8C3086" w14:textId="77777777" w:rsidR="00CC43AD" w:rsidRDefault="00CC43AD" w:rsidP="00CC43AD">
      <w:pPr>
        <w:pStyle w:val="NormalWeb"/>
        <w:spacing w:line="360" w:lineRule="auto"/>
        <w:rPr>
          <w:rFonts w:ascii="TimesNewRomanPS" w:hAnsi="TimesNewRomanPS"/>
        </w:rPr>
      </w:pPr>
      <w:r>
        <w:rPr>
          <w:rFonts w:ascii="TimesNewRomanPS" w:hAnsi="TimesNewRomanPS"/>
        </w:rPr>
        <w:t>Student ID.: 2129859</w:t>
      </w:r>
    </w:p>
    <w:p w14:paraId="41DCBCBE" w14:textId="1231E783" w:rsidR="00CC43AD" w:rsidRDefault="00CC43AD" w:rsidP="00CC43AD">
      <w:pPr>
        <w:pStyle w:val="NormalWeb"/>
        <w:spacing w:line="360" w:lineRule="auto"/>
        <w:rPr>
          <w:rFonts w:ascii="TimesNewRomanPS" w:hAnsi="TimesNewRomanPS"/>
        </w:rPr>
      </w:pPr>
      <w:r>
        <w:rPr>
          <w:rFonts w:ascii="TimesNewRomanPS" w:hAnsi="TimesNewRomanPS"/>
        </w:rPr>
        <w:t xml:space="preserve">Module name: International Business Communications  </w:t>
      </w:r>
    </w:p>
    <w:p w14:paraId="3BA17483" w14:textId="10CC90EB" w:rsidR="00CC43AD" w:rsidRDefault="00CC43AD" w:rsidP="00CC43AD">
      <w:pPr>
        <w:pStyle w:val="NormalWeb"/>
        <w:spacing w:line="360" w:lineRule="auto"/>
        <w:rPr>
          <w:rFonts w:ascii="TimesNewRomanPS" w:hAnsi="TimesNewRomanPS"/>
        </w:rPr>
      </w:pPr>
      <w:r>
        <w:rPr>
          <w:rFonts w:ascii="TimesNewRomanPS" w:hAnsi="TimesNewRomanPS"/>
        </w:rPr>
        <w:t>Module code:LCBB6023</w:t>
      </w:r>
    </w:p>
    <w:p w14:paraId="3F5E98BB" w14:textId="400CBA4E" w:rsidR="00CC43AD" w:rsidRDefault="00CC43AD" w:rsidP="00CC43AD">
      <w:pPr>
        <w:pStyle w:val="NormalWeb"/>
        <w:spacing w:line="360" w:lineRule="auto"/>
        <w:rPr>
          <w:rFonts w:ascii="TimesNewRomanPS" w:hAnsi="TimesNewRomanPS"/>
        </w:rPr>
      </w:pPr>
      <w:r>
        <w:rPr>
          <w:rFonts w:ascii="TimesNewRomanPS" w:hAnsi="TimesNewRomanPS"/>
        </w:rPr>
        <w:t>Lecturer: Afzal Munna</w:t>
      </w:r>
    </w:p>
    <w:p w14:paraId="0E2E2BFD" w14:textId="17668CBD" w:rsidR="00CC43AD" w:rsidRPr="00CC43AD" w:rsidRDefault="00CC43AD" w:rsidP="00CC43AD">
      <w:pPr>
        <w:pStyle w:val="NormalWeb"/>
        <w:spacing w:line="360" w:lineRule="auto"/>
        <w:rPr>
          <w:rFonts w:ascii="TimesNewRomanPS" w:hAnsi="TimesNewRomanPS"/>
        </w:rPr>
      </w:pPr>
    </w:p>
    <w:p w14:paraId="78502B05" w14:textId="530F0A0B" w:rsidR="00CC43AD" w:rsidRDefault="00CC43AD" w:rsidP="00CC43AD">
      <w:pPr>
        <w:pStyle w:val="NormalWeb"/>
        <w:spacing w:line="360" w:lineRule="auto"/>
        <w:rPr>
          <w:rFonts w:ascii="TimesNewRomanPSMT" w:hAnsi="TimesNewRomanPSMT"/>
        </w:rPr>
      </w:pPr>
      <w:r>
        <w:rPr>
          <w:rFonts w:ascii="TimesNewRomanPSMT" w:hAnsi="TimesNewRomanPSMT"/>
        </w:rPr>
        <w:lastRenderedPageBreak/>
        <w:t>Table of content</w:t>
      </w:r>
    </w:p>
    <w:p w14:paraId="70766449" w14:textId="18045DC1" w:rsidR="00CC43AD" w:rsidRDefault="00CC43AD" w:rsidP="00CC43AD">
      <w:pPr>
        <w:pStyle w:val="NormalWeb"/>
        <w:spacing w:line="360" w:lineRule="auto"/>
        <w:rPr>
          <w:rFonts w:ascii="TimesNewRomanPSMT" w:hAnsi="TimesNewRomanPSMT"/>
        </w:rPr>
      </w:pPr>
      <w:r>
        <w:rPr>
          <w:rFonts w:ascii="TimesNewRomanPSMT" w:hAnsi="TimesNewRomanPSMT"/>
        </w:rPr>
        <w:t>Introduction………………………………………………………………………………3</w:t>
      </w:r>
    </w:p>
    <w:p w14:paraId="5B1C27DB" w14:textId="4992CDAC" w:rsidR="00CC43AD" w:rsidRDefault="00CC43AD" w:rsidP="00CC43AD">
      <w:pPr>
        <w:pStyle w:val="NormalWeb"/>
        <w:spacing w:line="360" w:lineRule="auto"/>
        <w:rPr>
          <w:rFonts w:ascii="TimesNewRomanPSMT" w:hAnsi="TimesNewRomanPSMT"/>
        </w:rPr>
      </w:pPr>
      <w:r>
        <w:rPr>
          <w:rFonts w:ascii="TimesNewRomanPSMT" w:hAnsi="TimesNewRomanPSMT"/>
        </w:rPr>
        <w:t xml:space="preserve">Theoretical Framework for </w:t>
      </w:r>
      <w:proofErr w:type="spellStart"/>
      <w:r>
        <w:rPr>
          <w:rFonts w:ascii="TimesNewRomanPSMT" w:hAnsi="TimesNewRomanPSMT"/>
        </w:rPr>
        <w:t>Analysising</w:t>
      </w:r>
      <w:proofErr w:type="spellEnd"/>
      <w:r>
        <w:rPr>
          <w:rFonts w:ascii="TimesNewRomanPSMT" w:hAnsi="TimesNewRomanPSMT"/>
        </w:rPr>
        <w:t xml:space="preserve"> Cross-Cultural Communication………………..3</w:t>
      </w:r>
    </w:p>
    <w:p w14:paraId="61A0BD7F" w14:textId="47DA2F50" w:rsidR="00CC43AD" w:rsidRDefault="00CC43AD" w:rsidP="00CC43AD">
      <w:pPr>
        <w:pStyle w:val="NormalWeb"/>
        <w:spacing w:line="360" w:lineRule="auto"/>
        <w:jc w:val="both"/>
        <w:rPr>
          <w:rFonts w:ascii="TimesNewRomanPSMT" w:hAnsi="TimesNewRomanPSMT"/>
        </w:rPr>
      </w:pPr>
      <w:r>
        <w:rPr>
          <w:rFonts w:ascii="TimesNewRomanPSMT" w:hAnsi="TimesNewRomanPSMT"/>
        </w:rPr>
        <w:t>Power Distance and Hierarchical Communication……….………………………………4</w:t>
      </w:r>
    </w:p>
    <w:p w14:paraId="604B6ED8" w14:textId="6125FA58" w:rsidR="00CC43AD" w:rsidRDefault="00CC43AD" w:rsidP="00CC43AD">
      <w:pPr>
        <w:pStyle w:val="NormalWeb"/>
        <w:spacing w:line="360" w:lineRule="auto"/>
        <w:jc w:val="both"/>
        <w:rPr>
          <w:rFonts w:ascii="TimesNewRomanPSMT" w:hAnsi="TimesNewRomanPSMT"/>
        </w:rPr>
      </w:pPr>
      <w:r>
        <w:rPr>
          <w:rFonts w:ascii="TimesNewRomanPSMT" w:hAnsi="TimesNewRomanPSMT"/>
        </w:rPr>
        <w:t>Individualism, Collectivism and Group Decision- Making………………………………4</w:t>
      </w:r>
    </w:p>
    <w:p w14:paraId="40005A93" w14:textId="305792FC" w:rsidR="00CC43AD" w:rsidRDefault="00CC43AD" w:rsidP="00CC43AD">
      <w:pPr>
        <w:pStyle w:val="NormalWeb"/>
        <w:spacing w:line="360" w:lineRule="auto"/>
        <w:jc w:val="both"/>
        <w:rPr>
          <w:rFonts w:ascii="TimesNewRomanPSMT" w:hAnsi="TimesNewRomanPSMT"/>
        </w:rPr>
      </w:pPr>
      <w:r>
        <w:rPr>
          <w:rFonts w:ascii="TimesNewRomanPSMT" w:hAnsi="TimesNewRomanPSMT"/>
        </w:rPr>
        <w:t>High- Context vs. Low-Context Communication Styles………………………………….5</w:t>
      </w:r>
    </w:p>
    <w:p w14:paraId="6AFD5A30" w14:textId="28CDB8D9" w:rsidR="00CC43AD" w:rsidRDefault="00CC43AD" w:rsidP="00CC43AD">
      <w:pPr>
        <w:pStyle w:val="NormalWeb"/>
        <w:spacing w:line="360" w:lineRule="auto"/>
        <w:jc w:val="both"/>
        <w:rPr>
          <w:rFonts w:ascii="TimesNewRomanPSMT" w:hAnsi="TimesNewRomanPSMT"/>
        </w:rPr>
      </w:pPr>
      <w:r>
        <w:rPr>
          <w:rFonts w:ascii="TimesNewRomanPSMT" w:hAnsi="TimesNewRomanPSMT"/>
        </w:rPr>
        <w:t>Uncertainty Avoidance, Time Orientation and Business Planning………………………..6</w:t>
      </w:r>
    </w:p>
    <w:p w14:paraId="02B5A6F5" w14:textId="04EEA577" w:rsidR="00CC43AD" w:rsidRDefault="00CC43AD" w:rsidP="00CC43AD">
      <w:pPr>
        <w:pStyle w:val="NormalWeb"/>
        <w:spacing w:line="360" w:lineRule="auto"/>
        <w:jc w:val="both"/>
        <w:rPr>
          <w:rFonts w:ascii="TimesNewRomanPSMT" w:hAnsi="TimesNewRomanPSMT"/>
        </w:rPr>
      </w:pPr>
      <w:r>
        <w:rPr>
          <w:rFonts w:ascii="TimesNewRomanPSMT" w:hAnsi="TimesNewRomanPSMT"/>
        </w:rPr>
        <w:t>Managing Communication in the UK-Japan Partnership: Practical Implications………….6</w:t>
      </w:r>
    </w:p>
    <w:p w14:paraId="3E6C5F05" w14:textId="34F66B61" w:rsidR="00CC43AD" w:rsidRDefault="00CC43AD" w:rsidP="00CC43AD">
      <w:pPr>
        <w:pStyle w:val="NormalWeb"/>
        <w:spacing w:line="360" w:lineRule="auto"/>
        <w:jc w:val="both"/>
        <w:rPr>
          <w:rFonts w:ascii="TimesNewRomanPSMT" w:hAnsi="TimesNewRomanPSMT"/>
        </w:rPr>
      </w:pPr>
      <w:r>
        <w:rPr>
          <w:rFonts w:ascii="TimesNewRomanPSMT" w:hAnsi="TimesNewRomanPSMT"/>
        </w:rPr>
        <w:t>Conclusion…………………………………………………………………………………..7</w:t>
      </w:r>
    </w:p>
    <w:p w14:paraId="5A0303E5" w14:textId="223F28FF" w:rsidR="00CC43AD" w:rsidRDefault="00CC43AD" w:rsidP="00CC43AD">
      <w:pPr>
        <w:pStyle w:val="NormalWeb"/>
        <w:spacing w:line="360" w:lineRule="auto"/>
        <w:jc w:val="both"/>
        <w:rPr>
          <w:rFonts w:ascii="TimesNewRomanPSMT" w:hAnsi="TimesNewRomanPSMT"/>
        </w:rPr>
      </w:pPr>
      <w:r>
        <w:rPr>
          <w:rFonts w:ascii="TimesNewRomanPSMT" w:hAnsi="TimesNewRomanPSMT"/>
        </w:rPr>
        <w:t>References………………………………………………………………………………….8</w:t>
      </w:r>
    </w:p>
    <w:p w14:paraId="00C0AA45" w14:textId="77777777" w:rsidR="00CC43AD" w:rsidRDefault="00CC43AD" w:rsidP="00CC43AD">
      <w:pPr>
        <w:pStyle w:val="NormalWeb"/>
        <w:spacing w:line="360" w:lineRule="auto"/>
        <w:jc w:val="both"/>
        <w:rPr>
          <w:rFonts w:ascii="TimesNewRomanPSMT" w:hAnsi="TimesNewRomanPSMT"/>
        </w:rPr>
      </w:pPr>
    </w:p>
    <w:p w14:paraId="6CD94E09" w14:textId="6C1492A1" w:rsidR="00CC43AD" w:rsidRDefault="00CC43AD" w:rsidP="00CC43AD">
      <w:pPr>
        <w:pStyle w:val="NormalWeb"/>
        <w:spacing w:line="360" w:lineRule="auto"/>
      </w:pPr>
      <w:r>
        <w:rPr>
          <w:rFonts w:ascii="TimesNewRomanPSMT" w:hAnsi="TimesNewRomanPSMT"/>
        </w:rPr>
        <w:t xml:space="preserve"> </w:t>
      </w:r>
    </w:p>
    <w:p w14:paraId="7A6F581E" w14:textId="77777777" w:rsidR="00CC43AD" w:rsidRDefault="00CC43AD" w:rsidP="00CC43AD">
      <w:pPr>
        <w:spacing w:before="100" w:beforeAutospacing="1" w:after="100" w:afterAutospacing="1" w:line="360" w:lineRule="auto"/>
        <w:rPr>
          <w:rFonts w:ascii="TimesNewRomanPS" w:eastAsia="Times New Roman" w:hAnsi="TimesNewRomanPS" w:cs="Times New Roman"/>
          <w:b/>
          <w:bCs/>
          <w:kern w:val="0"/>
          <w:sz w:val="30"/>
          <w:szCs w:val="30"/>
          <w:lang w:eastAsia="en-GB"/>
          <w14:ligatures w14:val="none"/>
        </w:rPr>
      </w:pPr>
    </w:p>
    <w:p w14:paraId="06ACD1FE" w14:textId="77777777" w:rsidR="00CC43AD" w:rsidRDefault="00CC43AD" w:rsidP="00CC43AD">
      <w:pPr>
        <w:spacing w:before="100" w:beforeAutospacing="1" w:after="100" w:afterAutospacing="1" w:line="360" w:lineRule="auto"/>
        <w:rPr>
          <w:rFonts w:ascii="TimesNewRomanPS" w:eastAsia="Times New Roman" w:hAnsi="TimesNewRomanPS" w:cs="Times New Roman"/>
          <w:b/>
          <w:bCs/>
          <w:kern w:val="0"/>
          <w:sz w:val="30"/>
          <w:szCs w:val="30"/>
          <w:lang w:eastAsia="en-GB"/>
          <w14:ligatures w14:val="none"/>
        </w:rPr>
      </w:pPr>
    </w:p>
    <w:p w14:paraId="60533483" w14:textId="77777777" w:rsidR="00CC43AD" w:rsidRDefault="00CC43AD" w:rsidP="00CC43AD">
      <w:pPr>
        <w:spacing w:before="100" w:beforeAutospacing="1" w:after="100" w:afterAutospacing="1" w:line="360" w:lineRule="auto"/>
        <w:rPr>
          <w:rFonts w:ascii="TimesNewRomanPS" w:eastAsia="Times New Roman" w:hAnsi="TimesNewRomanPS" w:cs="Times New Roman"/>
          <w:b/>
          <w:bCs/>
          <w:kern w:val="0"/>
          <w:sz w:val="30"/>
          <w:szCs w:val="30"/>
          <w:lang w:eastAsia="en-GB"/>
          <w14:ligatures w14:val="none"/>
        </w:rPr>
      </w:pPr>
    </w:p>
    <w:p w14:paraId="2778A755" w14:textId="77777777" w:rsidR="00CC43AD" w:rsidRDefault="00CC43AD" w:rsidP="00CC43AD">
      <w:pPr>
        <w:spacing w:before="100" w:beforeAutospacing="1" w:after="100" w:afterAutospacing="1" w:line="360" w:lineRule="auto"/>
        <w:rPr>
          <w:rFonts w:ascii="TimesNewRomanPS" w:eastAsia="Times New Roman" w:hAnsi="TimesNewRomanPS" w:cs="Times New Roman"/>
          <w:b/>
          <w:bCs/>
          <w:kern w:val="0"/>
          <w:sz w:val="30"/>
          <w:szCs w:val="30"/>
          <w:lang w:eastAsia="en-GB"/>
          <w14:ligatures w14:val="none"/>
        </w:rPr>
      </w:pPr>
    </w:p>
    <w:p w14:paraId="6979049E" w14:textId="77777777" w:rsidR="00CC43AD" w:rsidRDefault="00CC43AD" w:rsidP="00CC43AD">
      <w:pPr>
        <w:spacing w:before="100" w:beforeAutospacing="1" w:after="100" w:afterAutospacing="1" w:line="360" w:lineRule="auto"/>
        <w:rPr>
          <w:rFonts w:ascii="TimesNewRomanPS" w:eastAsia="Times New Roman" w:hAnsi="TimesNewRomanPS" w:cs="Times New Roman"/>
          <w:b/>
          <w:bCs/>
          <w:kern w:val="0"/>
          <w:sz w:val="30"/>
          <w:szCs w:val="30"/>
          <w:lang w:eastAsia="en-GB"/>
          <w14:ligatures w14:val="none"/>
        </w:rPr>
      </w:pPr>
    </w:p>
    <w:p w14:paraId="0A9EBF55" w14:textId="77777777" w:rsidR="00CC43AD" w:rsidRDefault="00CC43AD" w:rsidP="00CC43AD">
      <w:pPr>
        <w:spacing w:before="100" w:beforeAutospacing="1" w:after="100" w:afterAutospacing="1" w:line="360" w:lineRule="auto"/>
        <w:rPr>
          <w:rFonts w:ascii="TimesNewRomanPS" w:eastAsia="Times New Roman" w:hAnsi="TimesNewRomanPS" w:cs="Times New Roman"/>
          <w:b/>
          <w:bCs/>
          <w:kern w:val="0"/>
          <w:sz w:val="30"/>
          <w:szCs w:val="30"/>
          <w:lang w:eastAsia="en-GB"/>
          <w14:ligatures w14:val="none"/>
        </w:rPr>
      </w:pPr>
    </w:p>
    <w:p w14:paraId="43ADA698" w14:textId="77777777" w:rsidR="00CC43AD" w:rsidRDefault="00CC43AD" w:rsidP="00CC43AD">
      <w:pPr>
        <w:spacing w:before="100" w:beforeAutospacing="1" w:after="100" w:afterAutospacing="1" w:line="360" w:lineRule="auto"/>
        <w:rPr>
          <w:rFonts w:ascii="TimesNewRomanPS" w:eastAsia="Times New Roman" w:hAnsi="TimesNewRomanPS" w:cs="Times New Roman"/>
          <w:b/>
          <w:bCs/>
          <w:kern w:val="0"/>
          <w:sz w:val="30"/>
          <w:szCs w:val="30"/>
          <w:lang w:eastAsia="en-GB"/>
          <w14:ligatures w14:val="none"/>
        </w:rPr>
      </w:pPr>
    </w:p>
    <w:p w14:paraId="6BF33F30" w14:textId="071ECD11"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 w:eastAsia="Times New Roman" w:hAnsi="TimesNewRomanPS" w:cs="Times New Roman"/>
          <w:b/>
          <w:bCs/>
          <w:kern w:val="0"/>
          <w:sz w:val="30"/>
          <w:szCs w:val="30"/>
          <w:lang w:eastAsia="en-GB"/>
          <w14:ligatures w14:val="none"/>
        </w:rPr>
        <w:lastRenderedPageBreak/>
        <w:t xml:space="preserve">Introduction </w:t>
      </w:r>
    </w:p>
    <w:p w14:paraId="6DCC0AF9" w14:textId="77777777"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MT" w:eastAsia="Times New Roman" w:hAnsi="TimesNewRomanPSMT" w:cs="Times New Roman"/>
          <w:kern w:val="0"/>
          <w:lang w:eastAsia="en-GB"/>
          <w14:ligatures w14:val="none"/>
        </w:rPr>
        <w:t xml:space="preserve">In this essay the UK company is represented by the British founded, long established consumer goods multinational Unilever with a significant operational base in the UK, and the Japanese partner is represented by the Japanese personal-care, cosmetics and household chemical products giant, Kao Corporation. The two companies mentioned in this partnership are hypothetical constructs that were created for this assignment, but they are realistic because they are both in similar industries and both have regular experience working with international product-development teams, permitting that they can be used as realistic points of reference against which to examine the cultural and communication issues discussed. </w:t>
      </w:r>
    </w:p>
    <w:p w14:paraId="47CDD9EF" w14:textId="77777777"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MT" w:eastAsia="Times New Roman" w:hAnsi="TimesNewRomanPSMT" w:cs="Times New Roman"/>
          <w:kern w:val="0"/>
          <w:lang w:eastAsia="en-GB"/>
          <w14:ligatures w14:val="none"/>
        </w:rPr>
        <w:t xml:space="preserve">The United Kingdom and Japan are both economically developed business environments that vary greatly in values that underlie everyday workplace communication. Generally, the UK is an individualistic country, with a low power distance, and a low-context communication style, while Japan is collectivist with a high-power distance and a high-context communication style (Hofstede, Hofstede and Minkov, 2010; Hall, 1976). These differences affect the way meetings are conducted, how differences of opinion are expressed, how decisions are made, and how oral and written messages are understood. If not tackled, they can lead to serious misunderstandings between UK and Japanese colleagues on the same project, which could cause delays, strained relationships and compromises to product quality. This essay assesses the main differences in communication style between UK and Japanese teams using Hofstede's cultural dimensions, Hall's high and low context theory and, if appropriate, Trompenaars and Hampden-Turner's seven dimensions of culture and then looks at the implications for managing the joint venture team effectively. </w:t>
      </w:r>
    </w:p>
    <w:p w14:paraId="3F2E79D2" w14:textId="77777777"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 w:eastAsia="Times New Roman" w:hAnsi="TimesNewRomanPS" w:cs="Times New Roman"/>
          <w:b/>
          <w:bCs/>
          <w:kern w:val="0"/>
          <w:sz w:val="30"/>
          <w:szCs w:val="30"/>
          <w:lang w:eastAsia="en-GB"/>
          <w14:ligatures w14:val="none"/>
        </w:rPr>
        <w:t xml:space="preserve">Theoretical Framework for Analysing Cross-Cultural Communication </w:t>
      </w:r>
    </w:p>
    <w:p w14:paraId="1FE92F94" w14:textId="0BDE09DA"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MT" w:eastAsia="Times New Roman" w:hAnsi="TimesNewRomanPSMT" w:cs="Times New Roman"/>
          <w:kern w:val="0"/>
          <w:lang w:eastAsia="en-GB"/>
          <w14:ligatures w14:val="none"/>
        </w:rPr>
        <w:t xml:space="preserve">This essay is written through a prism of three complementary frameworks. Hofstede, Hofstede and Minkov (2010) describe six dimensions of national cultures, each of which influences national values in the workplace and consequently also communication. Specific to communication is Hall's (1976) model of high-context and low-context cultures, where meaning is communicated through shared understanding, relationships, tone, and non-verbal cues in the first, and through words in the second. Trompenaars and Hampden-Turner (1997) would add another seven dimensions such as the neutral versus emotional expression of </w:t>
      </w:r>
      <w:r w:rsidRPr="00CC43AD">
        <w:rPr>
          <w:rFonts w:ascii="TimesNewRomanPSMT" w:eastAsia="Times New Roman" w:hAnsi="TimesNewRomanPSMT" w:cs="Times New Roman"/>
          <w:kern w:val="0"/>
          <w:lang w:eastAsia="en-GB"/>
          <w14:ligatures w14:val="none"/>
        </w:rPr>
        <w:lastRenderedPageBreak/>
        <w:t xml:space="preserve">colleagues, specific versus diffuse relationships, which account for the less distinct division between business and personal relationships of colleagues from Japan as compared with British colleagues, and the more restrained expression of emotion in the business environment. If used in conjunction then these frameworks can help to systematically analyse why a UK team member might not understand what his Japanese counterpart is saying, and why a seemingly trivial communication habit can lead to significant misunderstandings in a multinational team. </w:t>
      </w:r>
    </w:p>
    <w:p w14:paraId="4FD30493" w14:textId="77777777"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 w:eastAsia="Times New Roman" w:hAnsi="TimesNewRomanPS" w:cs="Times New Roman"/>
          <w:b/>
          <w:bCs/>
          <w:kern w:val="0"/>
          <w:sz w:val="30"/>
          <w:szCs w:val="30"/>
          <w:lang w:eastAsia="en-GB"/>
          <w14:ligatures w14:val="none"/>
        </w:rPr>
        <w:t xml:space="preserve">Power Distance and Hierarchical Communication </w:t>
      </w:r>
    </w:p>
    <w:p w14:paraId="6D636400" w14:textId="77777777"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MT" w:eastAsia="Times New Roman" w:hAnsi="TimesNewRomanPSMT" w:cs="Times New Roman"/>
          <w:kern w:val="0"/>
          <w:lang w:eastAsia="en-GB"/>
          <w14:ligatures w14:val="none"/>
        </w:rPr>
        <w:t>Japan has a relatively high degree of power distance, meaning the inequalities in power are accepted in Japanese society compared to the UK (Hofstede, Hofstede and Minkov, 2010). In Japanese company, the hierarchy, the seniority and the formal title have a significant communicative value: an employee is usually formally addressed by the senior colleague, at the beginning of a relationship, exchanging business cards (</w:t>
      </w:r>
      <w:proofErr w:type="spellStart"/>
      <w:r w:rsidRPr="00CC43AD">
        <w:rPr>
          <w:rFonts w:ascii="TimesNewRomanPSMT" w:eastAsia="Times New Roman" w:hAnsi="TimesNewRomanPSMT" w:cs="Times New Roman"/>
          <w:kern w:val="0"/>
          <w:lang w:eastAsia="en-GB"/>
          <w14:ligatures w14:val="none"/>
        </w:rPr>
        <w:t>meishi</w:t>
      </w:r>
      <w:proofErr w:type="spellEnd"/>
      <w:r w:rsidRPr="00CC43AD">
        <w:rPr>
          <w:rFonts w:ascii="TimesNewRomanPSMT" w:eastAsia="Times New Roman" w:hAnsi="TimesNewRomanPSMT" w:cs="Times New Roman"/>
          <w:kern w:val="0"/>
          <w:lang w:eastAsia="en-GB"/>
          <w14:ligatures w14:val="none"/>
        </w:rPr>
        <w:t xml:space="preserve">) is done with great ceremony, the employee will avoid contradicting the superior in public, as it could be embarrassing or loss of face for both. UK teams, on the other hand, prefer a more informal communication style, where lower-level employees are more likely to voice their opinions openly during meetings, and where first names, for example, and direct emails to high-level executives are more prevalent. In the context of the joint project, such a difference can be a source of tension. When Japanese team members don't show their immediate reaction during a meeting, they may be silently agreeing or they may be silently feeling uneasy, as they will likely want to voice their concerns later on in a private setting. On the other hand, the UK staff's direct approach to parents might be seen by Japanese employees as an assault on their status and experience. </w:t>
      </w:r>
    </w:p>
    <w:p w14:paraId="190043B9" w14:textId="77777777"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 w:eastAsia="Times New Roman" w:hAnsi="TimesNewRomanPS" w:cs="Times New Roman"/>
          <w:b/>
          <w:bCs/>
          <w:kern w:val="0"/>
          <w:sz w:val="30"/>
          <w:szCs w:val="30"/>
          <w:lang w:eastAsia="en-GB"/>
          <w14:ligatures w14:val="none"/>
        </w:rPr>
        <w:t xml:space="preserve">Individualism, Collectivism and Group Decision-Making </w:t>
      </w:r>
    </w:p>
    <w:p w14:paraId="7D0D342C" w14:textId="7E0E4169"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MT" w:eastAsia="Times New Roman" w:hAnsi="TimesNewRomanPSMT" w:cs="Times New Roman"/>
          <w:kern w:val="0"/>
          <w:lang w:eastAsia="en-GB"/>
          <w14:ligatures w14:val="none"/>
        </w:rPr>
        <w:t xml:space="preserve">It is a highly individualist culture like the UK, which is associated with </w:t>
      </w:r>
      <w:proofErr w:type="spellStart"/>
      <w:proofErr w:type="gramStart"/>
      <w:r w:rsidRPr="00CC43AD">
        <w:rPr>
          <w:rFonts w:ascii="TimesNewRomanPSMT" w:eastAsia="Times New Roman" w:hAnsi="TimesNewRomanPSMT" w:cs="Times New Roman"/>
          <w:kern w:val="0"/>
          <w:lang w:eastAsia="en-GB"/>
          <w14:ligatures w14:val="none"/>
        </w:rPr>
        <w:t>a</w:t>
      </w:r>
      <w:proofErr w:type="spellEnd"/>
      <w:proofErr w:type="gramEnd"/>
      <w:r w:rsidRPr="00CC43AD">
        <w:rPr>
          <w:rFonts w:ascii="TimesNewRomanPSMT" w:eastAsia="Times New Roman" w:hAnsi="TimesNewRomanPSMT" w:cs="Times New Roman"/>
          <w:kern w:val="0"/>
          <w:lang w:eastAsia="en-GB"/>
          <w14:ligatures w14:val="none"/>
        </w:rPr>
        <w:t xml:space="preserve"> emphasis on personal achievement, individual accountability and relatively quick, independent decision making. Japan is definitely on the collectivist side of the spectrum where group harmony (</w:t>
      </w:r>
      <w:proofErr w:type="spellStart"/>
      <w:r w:rsidRPr="00CC43AD">
        <w:rPr>
          <w:rFonts w:ascii="TimesNewRomanPSMT" w:eastAsia="Times New Roman" w:hAnsi="TimesNewRomanPSMT" w:cs="Times New Roman"/>
          <w:kern w:val="0"/>
          <w:lang w:eastAsia="en-GB"/>
          <w14:ligatures w14:val="none"/>
        </w:rPr>
        <w:t>wa</w:t>
      </w:r>
      <w:proofErr w:type="spellEnd"/>
      <w:r w:rsidRPr="00CC43AD">
        <w:rPr>
          <w:rFonts w:ascii="TimesNewRomanPSMT" w:eastAsia="Times New Roman" w:hAnsi="TimesNewRomanPSMT" w:cs="Times New Roman"/>
          <w:kern w:val="0"/>
          <w:lang w:eastAsia="en-GB"/>
          <w14:ligatures w14:val="none"/>
        </w:rPr>
        <w:t xml:space="preserve">) and group consensus always supersede individual opinion (Hofstede, Hofstede and Minkov, 2010). This is most noticeable in the practice of decision making. The </w:t>
      </w:r>
      <w:proofErr w:type="spellStart"/>
      <w:r w:rsidRPr="00CC43AD">
        <w:rPr>
          <w:rFonts w:ascii="TimesNewRomanPSMT" w:eastAsia="Times New Roman" w:hAnsi="TimesNewRomanPSMT" w:cs="Times New Roman"/>
          <w:kern w:val="0"/>
          <w:lang w:eastAsia="en-GB"/>
          <w14:ligatures w14:val="none"/>
        </w:rPr>
        <w:t>nemawashi</w:t>
      </w:r>
      <w:proofErr w:type="spellEnd"/>
      <w:r w:rsidRPr="00CC43AD">
        <w:rPr>
          <w:rFonts w:ascii="TimesNewRomanPSMT" w:eastAsia="Times New Roman" w:hAnsi="TimesNewRomanPSMT" w:cs="Times New Roman"/>
          <w:kern w:val="0"/>
          <w:lang w:eastAsia="en-GB"/>
          <w14:ligatures w14:val="none"/>
        </w:rPr>
        <w:t xml:space="preserve"> is an informal method of consulting with relevant stakeholders without having to formally </w:t>
      </w:r>
      <w:r w:rsidRPr="00CC43AD">
        <w:rPr>
          <w:rFonts w:ascii="TimesNewRomanPSMT" w:eastAsia="Times New Roman" w:hAnsi="TimesNewRomanPSMT" w:cs="Times New Roman"/>
          <w:kern w:val="0"/>
          <w:lang w:eastAsia="en-GB"/>
          <w14:ligatures w14:val="none"/>
        </w:rPr>
        <w:lastRenderedPageBreak/>
        <w:t xml:space="preserve">present the proposal to them; the </w:t>
      </w:r>
      <w:proofErr w:type="spellStart"/>
      <w:r w:rsidRPr="00CC43AD">
        <w:rPr>
          <w:rFonts w:ascii="TimesNewRomanPSMT" w:eastAsia="Times New Roman" w:hAnsi="TimesNewRomanPSMT" w:cs="Times New Roman"/>
          <w:kern w:val="0"/>
          <w:lang w:eastAsia="en-GB"/>
          <w14:ligatures w14:val="none"/>
        </w:rPr>
        <w:t>ringi</w:t>
      </w:r>
      <w:proofErr w:type="spellEnd"/>
      <w:r w:rsidRPr="00CC43AD">
        <w:rPr>
          <w:rFonts w:ascii="TimesNewRomanPSMT" w:eastAsia="Times New Roman" w:hAnsi="TimesNewRomanPSMT" w:cs="Times New Roman"/>
          <w:kern w:val="0"/>
          <w:lang w:eastAsia="en-GB"/>
          <w14:ligatures w14:val="none"/>
        </w:rPr>
        <w:t xml:space="preserve"> system involves a written proposal being circulated for approval at various levels of management prior to implementation, common in Japanese organisations (Kawaguchi, 2024). This may take a longer time to reach a consensus than a single manager would take to </w:t>
      </w:r>
      <w:proofErr w:type="gramStart"/>
      <w:r w:rsidRPr="00CC43AD">
        <w:rPr>
          <w:rFonts w:ascii="TimesNewRomanPSMT" w:eastAsia="Times New Roman" w:hAnsi="TimesNewRomanPSMT" w:cs="Times New Roman"/>
          <w:kern w:val="0"/>
          <w:lang w:eastAsia="en-GB"/>
          <w14:ligatures w14:val="none"/>
        </w:rPr>
        <w:t>make a decision</w:t>
      </w:r>
      <w:proofErr w:type="gramEnd"/>
      <w:r w:rsidRPr="00CC43AD">
        <w:rPr>
          <w:rFonts w:ascii="TimesNewRomanPSMT" w:eastAsia="Times New Roman" w:hAnsi="TimesNewRomanPSMT" w:cs="Times New Roman"/>
          <w:kern w:val="0"/>
          <w:lang w:eastAsia="en-GB"/>
          <w14:ligatures w14:val="none"/>
        </w:rPr>
        <w:t xml:space="preserve">, but it eliminates the possibility of open </w:t>
      </w:r>
      <w:r w:rsidRPr="00CC43AD">
        <w:rPr>
          <w:rFonts w:ascii="TimesNewRomanPSMT" w:eastAsia="Times New Roman" w:hAnsi="TimesNewRomanPSMT" w:cs="Times New Roman"/>
          <w:kern w:val="0"/>
          <w:lang w:eastAsia="en-GB"/>
          <w14:ligatures w14:val="none"/>
        </w:rPr>
        <w:t>conflict and</w:t>
      </w:r>
      <w:r w:rsidRPr="00CC43AD">
        <w:rPr>
          <w:rFonts w:ascii="TimesNewRomanPSMT" w:eastAsia="Times New Roman" w:hAnsi="TimesNewRomanPSMT" w:cs="Times New Roman"/>
          <w:kern w:val="0"/>
          <w:lang w:eastAsia="en-GB"/>
          <w14:ligatures w14:val="none"/>
        </w:rPr>
        <w:t xml:space="preserve"> ensures that the entire organisation is on board before the decision is made. The American managers that are used to rapid, </w:t>
      </w:r>
      <w:proofErr w:type="gramStart"/>
      <w:r w:rsidRPr="00CC43AD">
        <w:rPr>
          <w:rFonts w:ascii="TimesNewRomanPSMT" w:eastAsia="Times New Roman" w:hAnsi="TimesNewRomanPSMT" w:cs="Times New Roman"/>
          <w:kern w:val="0"/>
          <w:lang w:eastAsia="en-GB"/>
          <w14:ligatures w14:val="none"/>
        </w:rPr>
        <w:t>top down</w:t>
      </w:r>
      <w:proofErr w:type="gramEnd"/>
      <w:r w:rsidRPr="00CC43AD">
        <w:rPr>
          <w:rFonts w:ascii="TimesNewRomanPSMT" w:eastAsia="Times New Roman" w:hAnsi="TimesNewRomanPSMT" w:cs="Times New Roman"/>
          <w:kern w:val="0"/>
          <w:lang w:eastAsia="en-GB"/>
          <w14:ligatures w14:val="none"/>
        </w:rPr>
        <w:t xml:space="preserve"> decision making may become frustrated by the seeming lack of activity from Japan's managers and think they were not </w:t>
      </w:r>
      <w:proofErr w:type="gramStart"/>
      <w:r w:rsidRPr="00CC43AD">
        <w:rPr>
          <w:rFonts w:ascii="TimesNewRomanPSMT" w:eastAsia="Times New Roman" w:hAnsi="TimesNewRomanPSMT" w:cs="Times New Roman"/>
          <w:kern w:val="0"/>
          <w:lang w:eastAsia="en-GB"/>
          <w14:ligatures w14:val="none"/>
        </w:rPr>
        <w:t>making a decision</w:t>
      </w:r>
      <w:proofErr w:type="gramEnd"/>
      <w:r w:rsidRPr="00CC43AD">
        <w:rPr>
          <w:rFonts w:ascii="TimesNewRomanPSMT" w:eastAsia="Times New Roman" w:hAnsi="TimesNewRomanPSMT" w:cs="Times New Roman"/>
          <w:kern w:val="0"/>
          <w:lang w:eastAsia="en-GB"/>
          <w14:ligatures w14:val="none"/>
        </w:rPr>
        <w:t xml:space="preserve">, when in fact, it was a deliberate and inclusive process that would take a long time to be categorised as a decision. Without management this imbalance in speed can cause a product to be developed too </w:t>
      </w:r>
      <w:r w:rsidRPr="00CC43AD">
        <w:rPr>
          <w:rFonts w:ascii="TimesNewRomanPSMT" w:eastAsia="Times New Roman" w:hAnsi="TimesNewRomanPSMT" w:cs="Times New Roman"/>
          <w:kern w:val="0"/>
          <w:lang w:eastAsia="en-GB"/>
          <w14:ligatures w14:val="none"/>
        </w:rPr>
        <w:t>late and</w:t>
      </w:r>
      <w:r w:rsidRPr="00CC43AD">
        <w:rPr>
          <w:rFonts w:ascii="TimesNewRomanPSMT" w:eastAsia="Times New Roman" w:hAnsi="TimesNewRomanPSMT" w:cs="Times New Roman"/>
          <w:kern w:val="0"/>
          <w:lang w:eastAsia="en-GB"/>
          <w14:ligatures w14:val="none"/>
        </w:rPr>
        <w:t xml:space="preserve"> make one team resent the other which may seem too slow or too rushed. </w:t>
      </w:r>
    </w:p>
    <w:p w14:paraId="7E977118" w14:textId="77777777"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 w:eastAsia="Times New Roman" w:hAnsi="TimesNewRomanPS" w:cs="Times New Roman"/>
          <w:b/>
          <w:bCs/>
          <w:kern w:val="0"/>
          <w:sz w:val="30"/>
          <w:szCs w:val="30"/>
          <w:lang w:eastAsia="en-GB"/>
          <w14:ligatures w14:val="none"/>
        </w:rPr>
        <w:t xml:space="preserve">High-Context vs. Low-Context Communication Styles </w:t>
      </w:r>
    </w:p>
    <w:p w14:paraId="12DAA254" w14:textId="594AA8B6"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MT" w:eastAsia="Times New Roman" w:hAnsi="TimesNewRomanPSMT" w:cs="Times New Roman"/>
          <w:kern w:val="0"/>
          <w:lang w:eastAsia="en-GB"/>
          <w14:ligatures w14:val="none"/>
        </w:rPr>
        <w:t xml:space="preserve">An explanation for the day-to-day conflicts between the two teams comes from Hall's (1976) distinction between high-context and low-context communication. The UK is not as high- context as the United States or Germany, although it is closer to being low-context than these two countries, meaning that meaning is expected to be explicit, and instructions, emails and contracts are expected to be reasonably precise. Japan is one of the most high-context cultures in the world where a lot of the meaning in the conversation is communicated through tone, silence, posture and common background knowledge rather than by stating it explicitly (Kittler, </w:t>
      </w:r>
      <w:proofErr w:type="spellStart"/>
      <w:r w:rsidRPr="00CC43AD">
        <w:rPr>
          <w:rFonts w:ascii="TimesNewRomanPSMT" w:eastAsia="Times New Roman" w:hAnsi="TimesNewRomanPSMT" w:cs="Times New Roman"/>
          <w:kern w:val="0"/>
          <w:lang w:eastAsia="en-GB"/>
          <w14:ligatures w14:val="none"/>
        </w:rPr>
        <w:t>Rygl</w:t>
      </w:r>
      <w:proofErr w:type="spellEnd"/>
      <w:r w:rsidRPr="00CC43AD">
        <w:rPr>
          <w:rFonts w:ascii="TimesNewRomanPSMT" w:eastAsia="Times New Roman" w:hAnsi="TimesNewRomanPSMT" w:cs="Times New Roman"/>
          <w:kern w:val="0"/>
          <w:lang w:eastAsia="en-GB"/>
          <w14:ligatures w14:val="none"/>
        </w:rPr>
        <w:t xml:space="preserve"> and Mackinnon, 2011). When Japanese colleagues give a reluctant "no" by using indirect language, it doesn't mean they're really refusing, it's just a way of being polite. The word "</w:t>
      </w:r>
      <w:proofErr w:type="spellStart"/>
      <w:r w:rsidRPr="00CC43AD">
        <w:rPr>
          <w:rFonts w:ascii="TimesNewRomanPSMT" w:eastAsia="Times New Roman" w:hAnsi="TimesNewRomanPSMT" w:cs="Times New Roman"/>
          <w:kern w:val="0"/>
          <w:lang w:eastAsia="en-GB"/>
          <w14:ligatures w14:val="none"/>
        </w:rPr>
        <w:t>hai</w:t>
      </w:r>
      <w:proofErr w:type="spellEnd"/>
      <w:r w:rsidRPr="00CC43AD">
        <w:rPr>
          <w:rFonts w:ascii="TimesNewRomanPSMT" w:eastAsia="Times New Roman" w:hAnsi="TimesNewRomanPSMT" w:cs="Times New Roman"/>
          <w:kern w:val="0"/>
          <w:lang w:eastAsia="en-GB"/>
          <w14:ligatures w14:val="none"/>
        </w:rPr>
        <w:t xml:space="preserve">" in conversation often is not a sign of agreement, but rather of listening. British people, who like some others are generally more understated than very low-context cultures, still tend to expect the verbal response to be </w:t>
      </w:r>
      <w:r w:rsidRPr="00CC43AD">
        <w:rPr>
          <w:rFonts w:ascii="TimesNewRomanPSMT" w:eastAsia="Times New Roman" w:hAnsi="TimesNewRomanPSMT" w:cs="Times New Roman"/>
          <w:kern w:val="0"/>
          <w:lang w:eastAsia="en-GB"/>
          <w14:ligatures w14:val="none"/>
        </w:rPr>
        <w:t>more definite and clearer</w:t>
      </w:r>
      <w:r w:rsidRPr="00CC43AD">
        <w:rPr>
          <w:rFonts w:ascii="TimesNewRomanPSMT" w:eastAsia="Times New Roman" w:hAnsi="TimesNewRomanPSMT" w:cs="Times New Roman"/>
          <w:kern w:val="0"/>
          <w:lang w:eastAsia="en-GB"/>
          <w14:ligatures w14:val="none"/>
        </w:rPr>
        <w:t xml:space="preserve"> in a business context. In a high-context culture, "silence" has a meaning, it is a moment that allows reflection, a moment that is considered, not a moment where it is to be avoided because people think they are losing out on contributing, as happens in low-context cultures, where people feel a primal urge to fill in the gap. Assume that the Japanese project manager is hesitating to make a clear decision, and the British is pressing to </w:t>
      </w:r>
      <w:proofErr w:type="gramStart"/>
      <w:r w:rsidRPr="00CC43AD">
        <w:rPr>
          <w:rFonts w:ascii="TimesNewRomanPSMT" w:eastAsia="Times New Roman" w:hAnsi="TimesNewRomanPSMT" w:cs="Times New Roman"/>
          <w:kern w:val="0"/>
          <w:lang w:eastAsia="en-GB"/>
          <w14:ligatures w14:val="none"/>
        </w:rPr>
        <w:t>make a decision</w:t>
      </w:r>
      <w:proofErr w:type="gramEnd"/>
      <w:r w:rsidRPr="00CC43AD">
        <w:rPr>
          <w:rFonts w:ascii="TimesNewRomanPSMT" w:eastAsia="Times New Roman" w:hAnsi="TimesNewRomanPSMT" w:cs="Times New Roman"/>
          <w:kern w:val="0"/>
          <w:lang w:eastAsia="en-GB"/>
          <w14:ligatures w14:val="none"/>
        </w:rPr>
        <w:t xml:space="preserve">, both parties are at risk of misunderstanding what the other is </w:t>
      </w:r>
      <w:proofErr w:type="gramStart"/>
      <w:r w:rsidRPr="00CC43AD">
        <w:rPr>
          <w:rFonts w:ascii="TimesNewRomanPSMT" w:eastAsia="Times New Roman" w:hAnsi="TimesNewRomanPSMT" w:cs="Times New Roman"/>
          <w:kern w:val="0"/>
          <w:lang w:eastAsia="en-GB"/>
          <w14:ligatures w14:val="none"/>
        </w:rPr>
        <w:t>saying, and</w:t>
      </w:r>
      <w:proofErr w:type="gramEnd"/>
      <w:r w:rsidRPr="00CC43AD">
        <w:rPr>
          <w:rFonts w:ascii="TimesNewRomanPSMT" w:eastAsia="Times New Roman" w:hAnsi="TimesNewRomanPSMT" w:cs="Times New Roman"/>
          <w:kern w:val="0"/>
          <w:lang w:eastAsia="en-GB"/>
          <w14:ligatures w14:val="none"/>
        </w:rPr>
        <w:t xml:space="preserve"> ending up with a misinterpretation of where the decision stands, or if it is even truly a decision. </w:t>
      </w:r>
    </w:p>
    <w:p w14:paraId="689226B0" w14:textId="77777777"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 w:eastAsia="Times New Roman" w:hAnsi="TimesNewRomanPS" w:cs="Times New Roman"/>
          <w:b/>
          <w:bCs/>
          <w:kern w:val="0"/>
          <w:sz w:val="30"/>
          <w:szCs w:val="30"/>
          <w:lang w:eastAsia="en-GB"/>
          <w14:ligatures w14:val="none"/>
        </w:rPr>
        <w:lastRenderedPageBreak/>
        <w:t xml:space="preserve">Uncertainty Avoidance, Time Orientation and Business Planning </w:t>
      </w:r>
    </w:p>
    <w:p w14:paraId="097D2C5A" w14:textId="33515B02"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MT" w:eastAsia="Times New Roman" w:hAnsi="TimesNewRomanPSMT" w:cs="Times New Roman"/>
          <w:kern w:val="0"/>
          <w:lang w:eastAsia="en-GB"/>
          <w14:ligatures w14:val="none"/>
        </w:rPr>
        <w:t xml:space="preserve">Japan also has a high score on uncertainty avoidance which indicates that there is a preference in the country for detailed planning, thorough documentation, and risk minimisation, while the UK is relatively more tolerant of uncertainty and able to adapt plans when situations change (Hofstede, Hofstede and Minkov, 2010). It can impact on written and formal communication in the partnership - Japanese colleagues might require full specifications, meeting minutes and formal sign off documents before implementing a new product feature, while UK colleagues may suffice with a brief confirming email and want to iron out the remaining specifics as the project progresses. The long-term orientation further supports patience in Japan and the desire to invest in a relationship over years as opposed to having immediate returns, given that UK business culture is driven by short term shareholder expectations (Hofstede, Hofstede and Minkov, 2010). There is yet another nuance: According to Trompenaars and Hampden-Turner (1997) the British like to have specific business relationships, whereas the Japanese prefer more diffuse ones, with relationships developed socially, for instance with an evening meal, which in turn has a meaningful impact on how their colleagues are treated at work. These differences require that timelines, contractual expectations and reports formality and detail be clearly discussed and agreed at the start of the partnership, not assumed by either partner. </w:t>
      </w:r>
    </w:p>
    <w:p w14:paraId="221B37C9" w14:textId="77777777"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 w:eastAsia="Times New Roman" w:hAnsi="TimesNewRomanPS" w:cs="Times New Roman"/>
          <w:b/>
          <w:bCs/>
          <w:kern w:val="0"/>
          <w:sz w:val="30"/>
          <w:szCs w:val="30"/>
          <w:lang w:eastAsia="en-GB"/>
          <w14:ligatures w14:val="none"/>
        </w:rPr>
        <w:t xml:space="preserve">Managing Communication in the UK-Japan Partnership: Practical </w:t>
      </w:r>
    </w:p>
    <w:p w14:paraId="0937F19D" w14:textId="77777777"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 w:eastAsia="Times New Roman" w:hAnsi="TimesNewRomanPS" w:cs="Times New Roman"/>
          <w:b/>
          <w:bCs/>
          <w:kern w:val="0"/>
          <w:sz w:val="30"/>
          <w:szCs w:val="30"/>
          <w:lang w:eastAsia="en-GB"/>
          <w14:ligatures w14:val="none"/>
        </w:rPr>
        <w:t xml:space="preserve">Implications </w:t>
      </w:r>
    </w:p>
    <w:p w14:paraId="262B78D1" w14:textId="16E54734"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MT" w:eastAsia="Times New Roman" w:hAnsi="TimesNewRomanPSMT" w:cs="Times New Roman"/>
          <w:kern w:val="0"/>
          <w:lang w:eastAsia="en-GB"/>
          <w14:ligatures w14:val="none"/>
        </w:rPr>
        <w:t xml:space="preserve">If a joint venture like the one mentioned above is to be a success, there are a number of practical changes to the practice that need to be made to communication. First, the meetings should include a built-in opportunity for Japanese colleagues to contribute after private preparation, rather than open debate; circulating agendas and materials well in advance will help to facilitate a </w:t>
      </w:r>
      <w:proofErr w:type="spellStart"/>
      <w:r w:rsidRPr="00CC43AD">
        <w:rPr>
          <w:rFonts w:ascii="TimesNewRomanPSMT" w:eastAsia="Times New Roman" w:hAnsi="TimesNewRomanPSMT" w:cs="Times New Roman"/>
          <w:kern w:val="0"/>
          <w:lang w:eastAsia="en-GB"/>
          <w14:ligatures w14:val="none"/>
        </w:rPr>
        <w:t>nemawashi</w:t>
      </w:r>
      <w:proofErr w:type="spellEnd"/>
      <w:r w:rsidRPr="00CC43AD">
        <w:rPr>
          <w:rFonts w:ascii="TimesNewRomanPSMT" w:eastAsia="Times New Roman" w:hAnsi="TimesNewRomanPSMT" w:cs="Times New Roman"/>
          <w:kern w:val="0"/>
          <w:lang w:eastAsia="en-GB"/>
          <w14:ligatures w14:val="none"/>
        </w:rPr>
        <w:t xml:space="preserve"> </w:t>
      </w:r>
      <w:proofErr w:type="gramStart"/>
      <w:r w:rsidRPr="00CC43AD">
        <w:rPr>
          <w:rFonts w:ascii="TimesNewRomanPSMT" w:eastAsia="Times New Roman" w:hAnsi="TimesNewRomanPSMT" w:cs="Times New Roman"/>
          <w:kern w:val="0"/>
          <w:lang w:eastAsia="en-GB"/>
          <w14:ligatures w14:val="none"/>
        </w:rPr>
        <w:t>approach, and</w:t>
      </w:r>
      <w:proofErr w:type="gramEnd"/>
      <w:r w:rsidRPr="00CC43AD">
        <w:rPr>
          <w:rFonts w:ascii="TimesNewRomanPSMT" w:eastAsia="Times New Roman" w:hAnsi="TimesNewRomanPSMT" w:cs="Times New Roman"/>
          <w:kern w:val="0"/>
          <w:lang w:eastAsia="en-GB"/>
          <w14:ligatures w14:val="none"/>
        </w:rPr>
        <w:t xml:space="preserve"> give time for a true consensus to develop before the formal meetings. Second, UK managers need to learn that silence, hesitation and indirect communication are not signs of disengagement, but forms of communication; and they must not "corner" staff so that they give an immediate answer, explicit or not, to senior colleagues. Third, written correspondence should be more precise and detailed than UK teams may be and in line with Japanese expectations for uncertainty avoidance to reduce ambiguity which </w:t>
      </w:r>
      <w:r w:rsidRPr="00CC43AD">
        <w:rPr>
          <w:rFonts w:ascii="TimesNewRomanPSMT" w:eastAsia="Times New Roman" w:hAnsi="TimesNewRomanPSMT" w:cs="Times New Roman"/>
          <w:kern w:val="0"/>
          <w:lang w:eastAsia="en-GB"/>
          <w14:ligatures w14:val="none"/>
        </w:rPr>
        <w:lastRenderedPageBreak/>
        <w:t xml:space="preserve">may be interpreted as careless. Fourth, cross-cultural training and the use of bicultural liaison staff who understand both British and Japanese business practices, can aid not only in the translation of language, but also of intent, between the two business teams, especially when negotiating important issues. Next, project timelines should be flexible from the start to accommodate Japanese decision-making process, so that consensus building is viewed as a strength of the process that creates enduring and supported decisions within both organisations, rather than as a hurdle to be cleared quickly. </w:t>
      </w:r>
    </w:p>
    <w:p w14:paraId="3A8E3030" w14:textId="77777777" w:rsidR="00CC43AD" w:rsidRDefault="00CC43AD" w:rsidP="00CC43AD">
      <w:pPr>
        <w:spacing w:before="100" w:beforeAutospacing="1" w:after="100" w:afterAutospacing="1" w:line="360" w:lineRule="auto"/>
        <w:rPr>
          <w:rFonts w:ascii="TimesNewRomanPS" w:eastAsia="Times New Roman" w:hAnsi="TimesNewRomanPS" w:cs="Times New Roman"/>
          <w:b/>
          <w:bCs/>
          <w:kern w:val="0"/>
          <w:sz w:val="30"/>
          <w:szCs w:val="30"/>
          <w:lang w:eastAsia="en-GB"/>
          <w14:ligatures w14:val="none"/>
        </w:rPr>
      </w:pPr>
    </w:p>
    <w:p w14:paraId="44C9AAAB" w14:textId="77777777" w:rsidR="00CC43AD" w:rsidRDefault="00CC43AD" w:rsidP="00CC43AD">
      <w:pPr>
        <w:spacing w:before="100" w:beforeAutospacing="1" w:after="100" w:afterAutospacing="1" w:line="360" w:lineRule="auto"/>
        <w:rPr>
          <w:rFonts w:ascii="TimesNewRomanPS" w:eastAsia="Times New Roman" w:hAnsi="TimesNewRomanPS" w:cs="Times New Roman"/>
          <w:b/>
          <w:bCs/>
          <w:kern w:val="0"/>
          <w:sz w:val="30"/>
          <w:szCs w:val="30"/>
          <w:lang w:eastAsia="en-GB"/>
          <w14:ligatures w14:val="none"/>
        </w:rPr>
      </w:pPr>
    </w:p>
    <w:p w14:paraId="6CC6AC3C" w14:textId="10FC9415"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 w:eastAsia="Times New Roman" w:hAnsi="TimesNewRomanPS" w:cs="Times New Roman"/>
          <w:b/>
          <w:bCs/>
          <w:kern w:val="0"/>
          <w:sz w:val="30"/>
          <w:szCs w:val="30"/>
          <w:lang w:eastAsia="en-GB"/>
          <w14:ligatures w14:val="none"/>
        </w:rPr>
        <w:t xml:space="preserve">Conclusion </w:t>
      </w:r>
    </w:p>
    <w:p w14:paraId="3DF1CEC3" w14:textId="22D23480"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MT" w:eastAsia="Times New Roman" w:hAnsi="TimesNewRomanPSMT" w:cs="Times New Roman"/>
          <w:kern w:val="0"/>
          <w:lang w:eastAsia="en-GB"/>
          <w14:ligatures w14:val="none"/>
        </w:rPr>
        <w:t xml:space="preserve">There are significant differences between the communication styles found in the UK and Japan and these differences are related to the cultural values of hierarchy, individualism, context and uncertainty. The combination of Hofstede's cultural dimensions, Hall's high-/low-context theory and Trompenaars and Hampden-Turner's seven dimensions demonstrate that is not language itself that is the cause of misunderstandings between the two teams; it is simply different assumptions as to how meaning should be conveyed, as to how decisions should be made, and as to how business should be conducted. If the UK firm and its Japanese partner are to successfully launch novel products, they need to go beyond tolerating these </w:t>
      </w:r>
      <w:proofErr w:type="gramStart"/>
      <w:r w:rsidRPr="00CC43AD">
        <w:rPr>
          <w:rFonts w:ascii="TimesNewRomanPSMT" w:eastAsia="Times New Roman" w:hAnsi="TimesNewRomanPSMT" w:cs="Times New Roman"/>
          <w:kern w:val="0"/>
          <w:lang w:eastAsia="en-GB"/>
          <w14:ligatures w14:val="none"/>
        </w:rPr>
        <w:t>differences, and</w:t>
      </w:r>
      <w:proofErr w:type="gramEnd"/>
      <w:r w:rsidRPr="00CC43AD">
        <w:rPr>
          <w:rFonts w:ascii="TimesNewRomanPSMT" w:eastAsia="Times New Roman" w:hAnsi="TimesNewRomanPSMT" w:cs="Times New Roman"/>
          <w:kern w:val="0"/>
          <w:lang w:eastAsia="en-GB"/>
          <w14:ligatures w14:val="none"/>
        </w:rPr>
        <w:t xml:space="preserve"> actively adopt communication norms and styles different from what they are used to, such as having structured meetings, going over documentation, showing patience with consensus- based decision making, and investing in cross-cultural training. Early recognition and the development of bicultural competence among the project team members will be key in preventing the seeds of poor communication, and in optimising the commercial potential of the UK-Japan partnership. </w:t>
      </w:r>
      <w:r w:rsidRPr="00CC43AD">
        <w:rPr>
          <w:rFonts w:ascii="TimesNewRomanPSMT" w:eastAsia="Times New Roman" w:hAnsi="TimesNewRomanPSMT" w:cs="Times New Roman"/>
          <w:color w:val="7C7C7C"/>
          <w:kern w:val="0"/>
          <w:lang w:eastAsia="en-GB"/>
          <w14:ligatures w14:val="none"/>
        </w:rPr>
        <w:t xml:space="preserve"> </w:t>
      </w:r>
    </w:p>
    <w:p w14:paraId="670BB448" w14:textId="77777777" w:rsidR="00CC43AD" w:rsidRDefault="00CC43AD" w:rsidP="00CC43AD">
      <w:pPr>
        <w:spacing w:before="100" w:beforeAutospacing="1" w:after="100" w:afterAutospacing="1" w:line="360" w:lineRule="auto"/>
        <w:rPr>
          <w:rFonts w:ascii="TimesNewRomanPS" w:eastAsia="Times New Roman" w:hAnsi="TimesNewRomanPS" w:cs="Times New Roman"/>
          <w:b/>
          <w:bCs/>
          <w:kern w:val="0"/>
          <w:sz w:val="30"/>
          <w:szCs w:val="30"/>
          <w:lang w:eastAsia="en-GB"/>
          <w14:ligatures w14:val="none"/>
        </w:rPr>
      </w:pPr>
    </w:p>
    <w:p w14:paraId="4FBBB487" w14:textId="77777777" w:rsidR="00CC43AD" w:rsidRDefault="00CC43AD" w:rsidP="00CC43AD">
      <w:pPr>
        <w:spacing w:before="100" w:beforeAutospacing="1" w:after="100" w:afterAutospacing="1" w:line="360" w:lineRule="auto"/>
        <w:rPr>
          <w:rFonts w:ascii="TimesNewRomanPS" w:eastAsia="Times New Roman" w:hAnsi="TimesNewRomanPS" w:cs="Times New Roman"/>
          <w:b/>
          <w:bCs/>
          <w:kern w:val="0"/>
          <w:sz w:val="30"/>
          <w:szCs w:val="30"/>
          <w:lang w:eastAsia="en-GB"/>
          <w14:ligatures w14:val="none"/>
        </w:rPr>
      </w:pPr>
    </w:p>
    <w:p w14:paraId="6746E96C" w14:textId="77777777" w:rsidR="00CC43AD" w:rsidRDefault="00CC43AD" w:rsidP="00CC43AD">
      <w:pPr>
        <w:spacing w:before="100" w:beforeAutospacing="1" w:after="100" w:afterAutospacing="1" w:line="360" w:lineRule="auto"/>
        <w:rPr>
          <w:rFonts w:ascii="TimesNewRomanPS" w:eastAsia="Times New Roman" w:hAnsi="TimesNewRomanPS" w:cs="Times New Roman"/>
          <w:b/>
          <w:bCs/>
          <w:kern w:val="0"/>
          <w:sz w:val="30"/>
          <w:szCs w:val="30"/>
          <w:lang w:eastAsia="en-GB"/>
          <w14:ligatures w14:val="none"/>
        </w:rPr>
      </w:pPr>
    </w:p>
    <w:p w14:paraId="0095D3DA" w14:textId="77392B81"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 w:eastAsia="Times New Roman" w:hAnsi="TimesNewRomanPS" w:cs="Times New Roman"/>
          <w:b/>
          <w:bCs/>
          <w:kern w:val="0"/>
          <w:sz w:val="30"/>
          <w:szCs w:val="30"/>
          <w:lang w:eastAsia="en-GB"/>
          <w14:ligatures w14:val="none"/>
        </w:rPr>
        <w:lastRenderedPageBreak/>
        <w:t xml:space="preserve">References </w:t>
      </w:r>
    </w:p>
    <w:p w14:paraId="0EED10D7" w14:textId="77777777"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MT" w:eastAsia="Times New Roman" w:hAnsi="TimesNewRomanPSMT" w:cs="Times New Roman"/>
          <w:kern w:val="0"/>
          <w:lang w:eastAsia="en-GB"/>
          <w14:ligatures w14:val="none"/>
        </w:rPr>
        <w:t xml:space="preserve">Hall, E.T. (1976). Beyond Culture. New York: Anchor Books/Doubleday. </w:t>
      </w:r>
    </w:p>
    <w:p w14:paraId="37ABB5E3" w14:textId="77777777"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MT" w:eastAsia="Times New Roman" w:hAnsi="TimesNewRomanPSMT" w:cs="Times New Roman"/>
          <w:kern w:val="0"/>
          <w:lang w:eastAsia="en-GB"/>
          <w14:ligatures w14:val="none"/>
        </w:rPr>
        <w:t xml:space="preserve">Hofstede, G., Hofstede, G.J. and Minkov, M. (2010). Cultures and Organizations: Software of the Mind. 3rd ed. New York: McGraw-Hill. </w:t>
      </w:r>
    </w:p>
    <w:p w14:paraId="516DAA21" w14:textId="77777777"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MT" w:eastAsia="Times New Roman" w:hAnsi="TimesNewRomanPSMT" w:cs="Times New Roman"/>
          <w:kern w:val="0"/>
          <w:lang w:eastAsia="en-GB"/>
          <w14:ligatures w14:val="none"/>
        </w:rPr>
        <w:t xml:space="preserve">Kawaguchi, S. (2024). The effect of cultural norms on group decision-making in Japanese corporations. Frontiers in Management Science, 3(5), pp.70-75. </w:t>
      </w:r>
    </w:p>
    <w:p w14:paraId="7724A25B" w14:textId="77777777"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MT" w:eastAsia="Times New Roman" w:hAnsi="TimesNewRomanPSMT" w:cs="Times New Roman"/>
          <w:kern w:val="0"/>
          <w:lang w:eastAsia="en-GB"/>
          <w14:ligatures w14:val="none"/>
        </w:rPr>
        <w:t xml:space="preserve">Kittler, M.G., Rygl, D. and Mackinnon, A. (2011). Special review article: Beyond culture or beyond control? Reviewing the use of Hall's high-/low-context concept. International Journal of Cross-Cultural Management, 11(1), pp.63-82. </w:t>
      </w:r>
      <w:proofErr w:type="spellStart"/>
      <w:r w:rsidRPr="00CC43AD">
        <w:rPr>
          <w:rFonts w:ascii="TimesNewRomanPSMT" w:eastAsia="Times New Roman" w:hAnsi="TimesNewRomanPSMT" w:cs="Times New Roman"/>
          <w:kern w:val="0"/>
          <w:lang w:eastAsia="en-GB"/>
          <w14:ligatures w14:val="none"/>
        </w:rPr>
        <w:t>doi</w:t>
      </w:r>
      <w:proofErr w:type="spellEnd"/>
      <w:r w:rsidRPr="00CC43AD">
        <w:rPr>
          <w:rFonts w:ascii="TimesNewRomanPSMT" w:eastAsia="Times New Roman" w:hAnsi="TimesNewRomanPSMT" w:cs="Times New Roman"/>
          <w:kern w:val="0"/>
          <w:lang w:eastAsia="en-GB"/>
          <w14:ligatures w14:val="none"/>
        </w:rPr>
        <w:t xml:space="preserve">: </w:t>
      </w:r>
      <w:r w:rsidRPr="00CC43AD">
        <w:rPr>
          <w:rFonts w:ascii="TimesNewRomanPSMT" w:eastAsia="Times New Roman" w:hAnsi="TimesNewRomanPSMT" w:cs="Times New Roman"/>
          <w:color w:val="447784"/>
          <w:kern w:val="0"/>
          <w:lang w:eastAsia="en-GB"/>
          <w14:ligatures w14:val="none"/>
        </w:rPr>
        <w:t>https://doi.org/10.1177/1470595811398797</w:t>
      </w:r>
      <w:r w:rsidRPr="00CC43AD">
        <w:rPr>
          <w:rFonts w:ascii="TimesNewRomanPSMT" w:eastAsia="Times New Roman" w:hAnsi="TimesNewRomanPSMT" w:cs="Times New Roman"/>
          <w:kern w:val="0"/>
          <w:lang w:eastAsia="en-GB"/>
          <w14:ligatures w14:val="none"/>
        </w:rPr>
        <w:t xml:space="preserve">. </w:t>
      </w:r>
    </w:p>
    <w:p w14:paraId="53756C40" w14:textId="77777777"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MT" w:eastAsia="Times New Roman" w:hAnsi="TimesNewRomanPSMT" w:cs="Times New Roman"/>
          <w:kern w:val="0"/>
          <w:lang w:eastAsia="en-GB"/>
          <w14:ligatures w14:val="none"/>
        </w:rPr>
        <w:t xml:space="preserve">Meyer, E. (2014). The Culture Map: Breaking Through the Invisible Boundaries of Global Business. New York: PublicAffairs. </w:t>
      </w:r>
    </w:p>
    <w:p w14:paraId="5AC6C25E" w14:textId="77777777" w:rsidR="00CC43AD" w:rsidRPr="00CC43AD" w:rsidRDefault="00CC43AD" w:rsidP="00CC43AD">
      <w:pPr>
        <w:spacing w:before="100" w:beforeAutospacing="1" w:after="100" w:afterAutospacing="1" w:line="360" w:lineRule="auto"/>
        <w:rPr>
          <w:rFonts w:ascii="Times New Roman" w:eastAsia="Times New Roman" w:hAnsi="Times New Roman" w:cs="Times New Roman"/>
          <w:kern w:val="0"/>
          <w:lang w:eastAsia="en-GB"/>
          <w14:ligatures w14:val="none"/>
        </w:rPr>
      </w:pPr>
      <w:r w:rsidRPr="00CC43AD">
        <w:rPr>
          <w:rFonts w:ascii="TimesNewRomanPSMT" w:eastAsia="Times New Roman" w:hAnsi="TimesNewRomanPSMT" w:cs="Times New Roman"/>
          <w:kern w:val="0"/>
          <w:lang w:eastAsia="en-GB"/>
          <w14:ligatures w14:val="none"/>
        </w:rPr>
        <w:t xml:space="preserve">Trompenaars, F. and Hampden-Turner, C. (1997). Riding the Waves of Culture: Understanding Cultural Diversity in Business. 2nd ed. London: Nicholas Brealey. </w:t>
      </w:r>
    </w:p>
    <w:p w14:paraId="36E2E7E2" w14:textId="74746B87" w:rsidR="00CC43AD" w:rsidRPr="00CC43AD" w:rsidRDefault="00CC43AD" w:rsidP="00CC43AD">
      <w:pPr>
        <w:spacing w:line="360" w:lineRule="auto"/>
        <w:rPr>
          <w:rFonts w:ascii="Times New Roman" w:eastAsia="Times New Roman" w:hAnsi="Times New Roman" w:cs="Times New Roman"/>
          <w:kern w:val="0"/>
          <w:lang w:eastAsia="en-GB"/>
          <w14:ligatures w14:val="none"/>
        </w:rPr>
      </w:pPr>
    </w:p>
    <w:p w14:paraId="7F3A8F3A" w14:textId="77777777" w:rsidR="00CC43AD" w:rsidRDefault="00CC43AD" w:rsidP="00CC43AD">
      <w:pPr>
        <w:pStyle w:val="NormalWeb"/>
        <w:spacing w:line="360" w:lineRule="auto"/>
      </w:pPr>
    </w:p>
    <w:p w14:paraId="0C5CD870" w14:textId="77777777" w:rsidR="00CD71CD" w:rsidRDefault="00CD71CD" w:rsidP="00CC43AD">
      <w:pPr>
        <w:spacing w:line="360" w:lineRule="auto"/>
      </w:pPr>
    </w:p>
    <w:sectPr w:rsidR="00CD71CD">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6369E2" w14:textId="77777777" w:rsidR="00CC43AD" w:rsidRDefault="00CC43AD" w:rsidP="00CC43AD">
      <w:r>
        <w:separator/>
      </w:r>
    </w:p>
  </w:endnote>
  <w:endnote w:type="continuationSeparator" w:id="0">
    <w:p w14:paraId="0A1C4C46" w14:textId="77777777" w:rsidR="00CC43AD" w:rsidRDefault="00CC43AD" w:rsidP="00CC43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NewRomanPS">
    <w:altName w:val="Times New Roman"/>
    <w:panose1 w:val="020B0604020202020204"/>
    <w:charset w:val="00"/>
    <w:family w:val="roman"/>
    <w:notTrueType/>
    <w:pitch w:val="default"/>
  </w:font>
  <w:font w:name="TimesNewRomanPSMT">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469951"/>
      <w:docPartObj>
        <w:docPartGallery w:val="Page Numbers (Bottom of Page)"/>
        <w:docPartUnique/>
      </w:docPartObj>
    </w:sdtPr>
    <w:sdtContent>
      <w:p w14:paraId="2AF9966A" w14:textId="1F75B010" w:rsidR="00CC43AD" w:rsidRDefault="00CC43AD" w:rsidP="00B918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C49E4B" w14:textId="77777777" w:rsidR="00CC43AD" w:rsidRDefault="00CC43AD" w:rsidP="00CC43A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39680766"/>
      <w:docPartObj>
        <w:docPartGallery w:val="Page Numbers (Bottom of Page)"/>
        <w:docPartUnique/>
      </w:docPartObj>
    </w:sdtPr>
    <w:sdtContent>
      <w:p w14:paraId="06818687" w14:textId="3B683424" w:rsidR="00CC43AD" w:rsidRDefault="00CC43AD" w:rsidP="00B918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0C2202" w14:textId="77777777" w:rsidR="00CC43AD" w:rsidRDefault="00CC43AD" w:rsidP="00CC43A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1B0AA7" w14:textId="77777777" w:rsidR="00CC43AD" w:rsidRDefault="00CC43AD" w:rsidP="00CC43AD">
      <w:r>
        <w:separator/>
      </w:r>
    </w:p>
  </w:footnote>
  <w:footnote w:type="continuationSeparator" w:id="0">
    <w:p w14:paraId="00F503F0" w14:textId="77777777" w:rsidR="00CC43AD" w:rsidRDefault="00CC43AD" w:rsidP="00CC43A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3AD"/>
    <w:rsid w:val="000F4E4D"/>
    <w:rsid w:val="001076E2"/>
    <w:rsid w:val="00185C23"/>
    <w:rsid w:val="00637DE5"/>
    <w:rsid w:val="008032D4"/>
    <w:rsid w:val="00A9342F"/>
    <w:rsid w:val="00CC43AD"/>
    <w:rsid w:val="00CD71CD"/>
    <w:rsid w:val="00F16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CE82A2"/>
  <w15:chartTrackingRefBased/>
  <w15:docId w15:val="{9D7018FA-344C-CB4B-979B-C20FEC69E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43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43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43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43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43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43A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43A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43A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43A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43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43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43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43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43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43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43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43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43AD"/>
    <w:rPr>
      <w:rFonts w:eastAsiaTheme="majorEastAsia" w:cstheme="majorBidi"/>
      <w:color w:val="272727" w:themeColor="text1" w:themeTint="D8"/>
    </w:rPr>
  </w:style>
  <w:style w:type="paragraph" w:styleId="Title">
    <w:name w:val="Title"/>
    <w:basedOn w:val="Normal"/>
    <w:next w:val="Normal"/>
    <w:link w:val="TitleChar"/>
    <w:uiPriority w:val="10"/>
    <w:qFormat/>
    <w:rsid w:val="00CC43A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43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43A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43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43A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C43AD"/>
    <w:rPr>
      <w:i/>
      <w:iCs/>
      <w:color w:val="404040" w:themeColor="text1" w:themeTint="BF"/>
    </w:rPr>
  </w:style>
  <w:style w:type="paragraph" w:styleId="ListParagraph">
    <w:name w:val="List Paragraph"/>
    <w:basedOn w:val="Normal"/>
    <w:uiPriority w:val="34"/>
    <w:qFormat/>
    <w:rsid w:val="00CC43AD"/>
    <w:pPr>
      <w:ind w:left="720"/>
      <w:contextualSpacing/>
    </w:pPr>
  </w:style>
  <w:style w:type="character" w:styleId="IntenseEmphasis">
    <w:name w:val="Intense Emphasis"/>
    <w:basedOn w:val="DefaultParagraphFont"/>
    <w:uiPriority w:val="21"/>
    <w:qFormat/>
    <w:rsid w:val="00CC43AD"/>
    <w:rPr>
      <w:i/>
      <w:iCs/>
      <w:color w:val="0F4761" w:themeColor="accent1" w:themeShade="BF"/>
    </w:rPr>
  </w:style>
  <w:style w:type="paragraph" w:styleId="IntenseQuote">
    <w:name w:val="Intense Quote"/>
    <w:basedOn w:val="Normal"/>
    <w:next w:val="Normal"/>
    <w:link w:val="IntenseQuoteChar"/>
    <w:uiPriority w:val="30"/>
    <w:qFormat/>
    <w:rsid w:val="00CC43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43AD"/>
    <w:rPr>
      <w:i/>
      <w:iCs/>
      <w:color w:val="0F4761" w:themeColor="accent1" w:themeShade="BF"/>
    </w:rPr>
  </w:style>
  <w:style w:type="character" w:styleId="IntenseReference">
    <w:name w:val="Intense Reference"/>
    <w:basedOn w:val="DefaultParagraphFont"/>
    <w:uiPriority w:val="32"/>
    <w:qFormat/>
    <w:rsid w:val="00CC43AD"/>
    <w:rPr>
      <w:b/>
      <w:bCs/>
      <w:smallCaps/>
      <w:color w:val="0F4761" w:themeColor="accent1" w:themeShade="BF"/>
      <w:spacing w:val="5"/>
    </w:rPr>
  </w:style>
  <w:style w:type="paragraph" w:styleId="NormalWeb">
    <w:name w:val="Normal (Web)"/>
    <w:basedOn w:val="Normal"/>
    <w:uiPriority w:val="99"/>
    <w:semiHidden/>
    <w:unhideWhenUsed/>
    <w:rsid w:val="00CC43AD"/>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CC43AD"/>
    <w:pPr>
      <w:tabs>
        <w:tab w:val="center" w:pos="4513"/>
        <w:tab w:val="right" w:pos="9026"/>
      </w:tabs>
    </w:pPr>
  </w:style>
  <w:style w:type="character" w:customStyle="1" w:styleId="FooterChar">
    <w:name w:val="Footer Char"/>
    <w:basedOn w:val="DefaultParagraphFont"/>
    <w:link w:val="Footer"/>
    <w:uiPriority w:val="99"/>
    <w:rsid w:val="00CC43AD"/>
  </w:style>
  <w:style w:type="character" w:styleId="PageNumber">
    <w:name w:val="page number"/>
    <w:basedOn w:val="DefaultParagraphFont"/>
    <w:uiPriority w:val="99"/>
    <w:semiHidden/>
    <w:unhideWhenUsed/>
    <w:rsid w:val="00CC43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2106</Words>
  <Characters>12010</Characters>
  <Application>Microsoft Office Word</Application>
  <DocSecurity>0</DocSecurity>
  <Lines>100</Lines>
  <Paragraphs>28</Paragraphs>
  <ScaleCrop>false</ScaleCrop>
  <Company/>
  <LinksUpToDate>false</LinksUpToDate>
  <CharactersWithSpaces>14088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Marilena-Loredana Mihai (2129859)</dc:creator>
  <cp:keywords/>
  <dc:description/>
  <cp:lastModifiedBy>Marilena-Loredana Mihai (2129859)</cp:lastModifiedBy>
  <cp:revision>2</cp:revision>
  <dcterms:created xsi:type="dcterms:W3CDTF">2026-08-17T12:47:00Z</dcterms:created>
  <dcterms:modified xsi:type="dcterms:W3CDTF">2026-08-17T12:47:00Z</dcterms:modified>
</cp:coreProperties>
</file>