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323A4" w14:textId="77777777" w:rsidR="00C576DA" w:rsidRDefault="00000000">
      <w:pPr>
        <w:spacing w:after="381" w:line="259" w:lineRule="auto"/>
        <w:ind w:left="0" w:firstLine="0"/>
        <w:jc w:val="left"/>
      </w:pPr>
      <w:r>
        <w:rPr>
          <w:sz w:val="24"/>
        </w:rPr>
        <w:t xml:space="preserve"> </w:t>
      </w:r>
    </w:p>
    <w:p w14:paraId="48EB355A" w14:textId="77777777" w:rsidR="00C576DA" w:rsidRDefault="00000000">
      <w:pPr>
        <w:spacing w:after="0" w:line="422" w:lineRule="auto"/>
        <w:ind w:left="1586" w:right="1492" w:firstLine="0"/>
        <w:jc w:val="center"/>
      </w:pPr>
      <w:r>
        <w:rPr>
          <w:sz w:val="40"/>
        </w:rPr>
        <w:t xml:space="preserve">Community Engagement LCBB4002 </w:t>
      </w:r>
    </w:p>
    <w:p w14:paraId="026A9152" w14:textId="77777777" w:rsidR="00C576DA" w:rsidRDefault="00000000">
      <w:pPr>
        <w:spacing w:after="308" w:line="259" w:lineRule="auto"/>
        <w:ind w:left="94" w:firstLine="0"/>
        <w:jc w:val="center"/>
      </w:pPr>
      <w:r>
        <w:rPr>
          <w:sz w:val="40"/>
        </w:rPr>
        <w:t xml:space="preserve"> </w:t>
      </w:r>
    </w:p>
    <w:p w14:paraId="4D559F2D" w14:textId="77777777" w:rsidR="00C576DA" w:rsidRDefault="00000000">
      <w:pPr>
        <w:spacing w:after="313" w:line="259" w:lineRule="auto"/>
        <w:ind w:left="3429"/>
        <w:jc w:val="left"/>
      </w:pPr>
      <w:r>
        <w:rPr>
          <w:sz w:val="40"/>
        </w:rPr>
        <w:t xml:space="preserve">Assessment 1 </w:t>
      </w:r>
    </w:p>
    <w:p w14:paraId="68C85784" w14:textId="77777777" w:rsidR="00C576DA" w:rsidRDefault="00000000">
      <w:pPr>
        <w:spacing w:after="0" w:line="422" w:lineRule="auto"/>
        <w:ind w:left="0" w:right="8932" w:firstLine="0"/>
        <w:jc w:val="left"/>
      </w:pPr>
      <w:r>
        <w:rPr>
          <w:sz w:val="40"/>
        </w:rPr>
        <w:t xml:space="preserve">  </w:t>
      </w:r>
    </w:p>
    <w:p w14:paraId="68D24F72" w14:textId="77777777" w:rsidR="00C576DA" w:rsidRDefault="00000000">
      <w:pPr>
        <w:spacing w:after="308" w:line="259" w:lineRule="auto"/>
        <w:ind w:left="0" w:firstLine="0"/>
        <w:jc w:val="left"/>
      </w:pPr>
      <w:r>
        <w:rPr>
          <w:sz w:val="40"/>
        </w:rPr>
        <w:t xml:space="preserve"> </w:t>
      </w:r>
    </w:p>
    <w:p w14:paraId="673EC937" w14:textId="77777777" w:rsidR="00C576DA" w:rsidRDefault="00000000">
      <w:pPr>
        <w:spacing w:after="313" w:line="259" w:lineRule="auto"/>
        <w:ind w:left="-5"/>
        <w:jc w:val="left"/>
      </w:pPr>
      <w:r>
        <w:rPr>
          <w:sz w:val="40"/>
        </w:rPr>
        <w:t xml:space="preserve">Student name: </w:t>
      </w:r>
      <w:proofErr w:type="spellStart"/>
      <w:r>
        <w:rPr>
          <w:sz w:val="40"/>
        </w:rPr>
        <w:t>Ivaylo</w:t>
      </w:r>
      <w:proofErr w:type="spellEnd"/>
      <w:r>
        <w:rPr>
          <w:sz w:val="40"/>
        </w:rPr>
        <w:t xml:space="preserve"> </w:t>
      </w:r>
      <w:proofErr w:type="spellStart"/>
      <w:r>
        <w:rPr>
          <w:sz w:val="40"/>
        </w:rPr>
        <w:t>Bakalov</w:t>
      </w:r>
      <w:proofErr w:type="spellEnd"/>
      <w:r>
        <w:rPr>
          <w:sz w:val="40"/>
        </w:rPr>
        <w:t xml:space="preserve"> </w:t>
      </w:r>
    </w:p>
    <w:p w14:paraId="6EBA2608" w14:textId="77777777" w:rsidR="00C576DA" w:rsidRDefault="00000000">
      <w:pPr>
        <w:spacing w:after="313" w:line="259" w:lineRule="auto"/>
        <w:ind w:left="-5"/>
        <w:jc w:val="left"/>
      </w:pPr>
      <w:r>
        <w:rPr>
          <w:sz w:val="40"/>
        </w:rPr>
        <w:t xml:space="preserve">Student number: 2128950 </w:t>
      </w:r>
    </w:p>
    <w:p w14:paraId="7652060D" w14:textId="5FEB71B2" w:rsidR="00C576DA" w:rsidRDefault="00000000">
      <w:pPr>
        <w:spacing w:after="164" w:line="259" w:lineRule="auto"/>
        <w:ind w:left="-5"/>
        <w:jc w:val="left"/>
      </w:pPr>
      <w:r>
        <w:rPr>
          <w:sz w:val="40"/>
        </w:rPr>
        <w:t>Lecturer name:</w:t>
      </w:r>
      <w:r>
        <w:rPr>
          <w:rFonts w:ascii="Segoe UI" w:eastAsia="Segoe UI" w:hAnsi="Segoe UI" w:cs="Segoe UI"/>
          <w:color w:val="373A3B"/>
          <w:sz w:val="24"/>
        </w:rPr>
        <w:t xml:space="preserve"> </w:t>
      </w:r>
      <w:r>
        <w:rPr>
          <w:rFonts w:ascii="Calibri" w:eastAsia="Calibri" w:hAnsi="Calibri" w:cs="Calibri"/>
          <w:noProof/>
          <w:sz w:val="22"/>
        </w:rPr>
        <mc:AlternateContent>
          <mc:Choice Requires="wpg">
            <w:drawing>
              <wp:inline distT="0" distB="0" distL="0" distR="0" wp14:anchorId="2DFD2B6C" wp14:editId="6477AD17">
                <wp:extent cx="39624" cy="292608"/>
                <wp:effectExtent l="0" t="0" r="0" b="0"/>
                <wp:docPr id="9040" name="Group 9040"/>
                <wp:cNvGraphicFramePr/>
                <a:graphic xmlns:a="http://schemas.openxmlformats.org/drawingml/2006/main">
                  <a:graphicData uri="http://schemas.microsoft.com/office/word/2010/wordprocessingGroup">
                    <wpg:wgp>
                      <wpg:cNvGrpSpPr/>
                      <wpg:grpSpPr>
                        <a:xfrm>
                          <a:off x="0" y="0"/>
                          <a:ext cx="39624" cy="292608"/>
                          <a:chOff x="0" y="0"/>
                          <a:chExt cx="39624" cy="292608"/>
                        </a:xfrm>
                      </wpg:grpSpPr>
                      <wps:wsp>
                        <wps:cNvPr id="11069" name="Shape 11069"/>
                        <wps:cNvSpPr/>
                        <wps:spPr>
                          <a:xfrm>
                            <a:off x="0" y="0"/>
                            <a:ext cx="39624" cy="292608"/>
                          </a:xfrm>
                          <a:custGeom>
                            <a:avLst/>
                            <a:gdLst/>
                            <a:ahLst/>
                            <a:cxnLst/>
                            <a:rect l="0" t="0" r="0" b="0"/>
                            <a:pathLst>
                              <a:path w="39624" h="292608">
                                <a:moveTo>
                                  <a:pt x="0" y="0"/>
                                </a:moveTo>
                                <a:lnTo>
                                  <a:pt x="39624" y="0"/>
                                </a:lnTo>
                                <a:lnTo>
                                  <a:pt x="39624" y="292608"/>
                                </a:lnTo>
                                <a:lnTo>
                                  <a:pt x="0" y="292608"/>
                                </a:lnTo>
                                <a:lnTo>
                                  <a:pt x="0" y="0"/>
                                </a:lnTo>
                              </a:path>
                            </a:pathLst>
                          </a:custGeom>
                          <a:ln w="0" cap="flat">
                            <a:miter lim="127000"/>
                          </a:ln>
                        </wps:spPr>
                        <wps:style>
                          <a:lnRef idx="0">
                            <a:srgbClr val="000000">
                              <a:alpha val="0"/>
                            </a:srgbClr>
                          </a:lnRef>
                          <a:fillRef idx="1">
                            <a:srgbClr val="F9F9F9"/>
                          </a:fillRef>
                          <a:effectRef idx="0">
                            <a:scrgbClr r="0" g="0" b="0"/>
                          </a:effectRef>
                          <a:fontRef idx="none"/>
                        </wps:style>
                        <wps:bodyPr/>
                      </wps:wsp>
                    </wpg:wgp>
                  </a:graphicData>
                </a:graphic>
              </wp:inline>
            </w:drawing>
          </mc:Choice>
          <mc:Fallback xmlns:a="http://schemas.openxmlformats.org/drawingml/2006/main">
            <w:pict>
              <v:group id="Group 9040" style="width:3.12pt;height:23.04pt;mso-position-horizontal-relative:char;mso-position-vertical-relative:line" coordsize="396,2926">
                <v:shape id="Shape 11070" style="position:absolute;width:396;height:2926;left:0;top:0;" coordsize="39624,292608" path="m0,0l39624,0l39624,292608l0,292608l0,0">
                  <v:stroke weight="0pt" endcap="flat" joinstyle="miter" miterlimit="10" on="false" color="#000000" opacity="0"/>
                  <v:fill on="true" color="#f9f9f9"/>
                </v:shape>
              </v:group>
            </w:pict>
          </mc:Fallback>
        </mc:AlternateContent>
      </w:r>
      <w:r>
        <w:rPr>
          <w:sz w:val="40"/>
        </w:rPr>
        <w:t xml:space="preserve"> </w:t>
      </w:r>
      <w:proofErr w:type="spellStart"/>
      <w:r w:rsidR="00C21769">
        <w:rPr>
          <w:sz w:val="40"/>
        </w:rPr>
        <w:t>Akinseye</w:t>
      </w:r>
      <w:proofErr w:type="spellEnd"/>
      <w:r w:rsidR="00C21769">
        <w:rPr>
          <w:sz w:val="40"/>
        </w:rPr>
        <w:t xml:space="preserve"> Aluko</w:t>
      </w:r>
    </w:p>
    <w:p w14:paraId="43BF1862" w14:textId="77777777" w:rsidR="00C576DA" w:rsidRDefault="00000000">
      <w:pPr>
        <w:spacing w:after="232" w:line="259" w:lineRule="auto"/>
        <w:ind w:left="0" w:firstLine="0"/>
        <w:jc w:val="left"/>
      </w:pPr>
      <w:r>
        <w:rPr>
          <w:sz w:val="24"/>
        </w:rPr>
        <w:t xml:space="preserve"> </w:t>
      </w:r>
    </w:p>
    <w:p w14:paraId="15174497" w14:textId="77777777" w:rsidR="00C576DA" w:rsidRDefault="00000000">
      <w:pPr>
        <w:spacing w:after="232" w:line="259" w:lineRule="auto"/>
        <w:ind w:left="0" w:firstLine="0"/>
        <w:jc w:val="left"/>
      </w:pPr>
      <w:r>
        <w:rPr>
          <w:sz w:val="24"/>
        </w:rPr>
        <w:t xml:space="preserve"> </w:t>
      </w:r>
    </w:p>
    <w:p w14:paraId="38AF184B" w14:textId="77777777" w:rsidR="00C576DA" w:rsidRDefault="00000000">
      <w:pPr>
        <w:spacing w:after="232" w:line="259" w:lineRule="auto"/>
        <w:ind w:left="0" w:firstLine="0"/>
        <w:jc w:val="left"/>
      </w:pPr>
      <w:r>
        <w:rPr>
          <w:sz w:val="24"/>
        </w:rPr>
        <w:t xml:space="preserve"> </w:t>
      </w:r>
    </w:p>
    <w:p w14:paraId="3043BB01" w14:textId="77777777" w:rsidR="00C576DA" w:rsidRDefault="00000000">
      <w:pPr>
        <w:spacing w:after="237" w:line="259" w:lineRule="auto"/>
        <w:ind w:left="0" w:firstLine="0"/>
        <w:jc w:val="left"/>
      </w:pPr>
      <w:r>
        <w:rPr>
          <w:sz w:val="24"/>
        </w:rPr>
        <w:t xml:space="preserve"> </w:t>
      </w:r>
    </w:p>
    <w:p w14:paraId="3169F353" w14:textId="77777777" w:rsidR="00C576DA" w:rsidRDefault="00000000">
      <w:pPr>
        <w:spacing w:after="232" w:line="259" w:lineRule="auto"/>
        <w:ind w:left="0" w:firstLine="0"/>
        <w:jc w:val="left"/>
      </w:pPr>
      <w:r>
        <w:rPr>
          <w:sz w:val="24"/>
        </w:rPr>
        <w:t xml:space="preserve"> </w:t>
      </w:r>
    </w:p>
    <w:p w14:paraId="48A88873" w14:textId="77777777" w:rsidR="00C576DA" w:rsidRDefault="00000000">
      <w:pPr>
        <w:spacing w:after="232" w:line="259" w:lineRule="auto"/>
        <w:ind w:left="0" w:firstLine="0"/>
        <w:jc w:val="left"/>
      </w:pPr>
      <w:r>
        <w:rPr>
          <w:sz w:val="24"/>
        </w:rPr>
        <w:t xml:space="preserve"> </w:t>
      </w:r>
    </w:p>
    <w:p w14:paraId="048780B1" w14:textId="77777777" w:rsidR="00C576DA" w:rsidRDefault="00000000">
      <w:pPr>
        <w:spacing w:after="232" w:line="259" w:lineRule="auto"/>
        <w:ind w:left="0" w:firstLine="0"/>
        <w:jc w:val="left"/>
      </w:pPr>
      <w:r>
        <w:rPr>
          <w:sz w:val="24"/>
        </w:rPr>
        <w:t xml:space="preserve"> </w:t>
      </w:r>
    </w:p>
    <w:p w14:paraId="5D60C2C4" w14:textId="77777777" w:rsidR="00C576DA" w:rsidRDefault="00000000">
      <w:pPr>
        <w:spacing w:after="237" w:line="259" w:lineRule="auto"/>
        <w:ind w:left="0" w:firstLine="0"/>
        <w:jc w:val="left"/>
      </w:pPr>
      <w:r>
        <w:rPr>
          <w:sz w:val="24"/>
        </w:rPr>
        <w:t xml:space="preserve"> </w:t>
      </w:r>
    </w:p>
    <w:p w14:paraId="641CC972" w14:textId="77777777" w:rsidR="00C576DA" w:rsidRDefault="00000000">
      <w:pPr>
        <w:spacing w:after="232" w:line="259" w:lineRule="auto"/>
        <w:ind w:left="0" w:firstLine="0"/>
        <w:jc w:val="left"/>
      </w:pPr>
      <w:r>
        <w:rPr>
          <w:sz w:val="24"/>
        </w:rPr>
        <w:t xml:space="preserve"> </w:t>
      </w:r>
    </w:p>
    <w:p w14:paraId="3F68F800" w14:textId="77777777" w:rsidR="00C576DA" w:rsidRDefault="00000000">
      <w:pPr>
        <w:spacing w:after="0" w:line="259" w:lineRule="auto"/>
        <w:ind w:left="0" w:firstLine="0"/>
        <w:jc w:val="left"/>
      </w:pPr>
      <w:r>
        <w:rPr>
          <w:sz w:val="24"/>
        </w:rPr>
        <w:t xml:space="preserve"> </w:t>
      </w:r>
    </w:p>
    <w:p w14:paraId="38FEECD2" w14:textId="77777777" w:rsidR="00C576DA" w:rsidRDefault="00000000">
      <w:pPr>
        <w:spacing w:after="232" w:line="259" w:lineRule="auto"/>
        <w:ind w:left="0" w:firstLine="0"/>
        <w:jc w:val="left"/>
      </w:pPr>
      <w:r>
        <w:rPr>
          <w:sz w:val="24"/>
        </w:rPr>
        <w:t xml:space="preserve"> </w:t>
      </w:r>
    </w:p>
    <w:p w14:paraId="26CFFF72" w14:textId="77777777" w:rsidR="00C576DA" w:rsidRDefault="00000000">
      <w:pPr>
        <w:spacing w:after="232" w:line="259" w:lineRule="auto"/>
        <w:ind w:left="0" w:firstLine="0"/>
        <w:jc w:val="left"/>
      </w:pPr>
      <w:r>
        <w:rPr>
          <w:sz w:val="24"/>
        </w:rPr>
        <w:lastRenderedPageBreak/>
        <w:t xml:space="preserve"> </w:t>
      </w:r>
    </w:p>
    <w:p w14:paraId="14877303" w14:textId="77777777" w:rsidR="00C576DA" w:rsidRDefault="00000000">
      <w:pPr>
        <w:spacing w:after="237" w:line="259" w:lineRule="auto"/>
        <w:ind w:left="0" w:firstLine="0"/>
        <w:jc w:val="left"/>
      </w:pPr>
      <w:r>
        <w:rPr>
          <w:sz w:val="24"/>
        </w:rPr>
        <w:t xml:space="preserve"> </w:t>
      </w:r>
    </w:p>
    <w:p w14:paraId="2B53EF37" w14:textId="77777777" w:rsidR="00C576DA" w:rsidRDefault="00000000">
      <w:pPr>
        <w:spacing w:after="232" w:line="259" w:lineRule="auto"/>
        <w:ind w:left="0" w:firstLine="0"/>
        <w:jc w:val="left"/>
      </w:pPr>
      <w:r>
        <w:rPr>
          <w:sz w:val="24"/>
        </w:rPr>
        <w:t xml:space="preserve"> </w:t>
      </w:r>
    </w:p>
    <w:p w14:paraId="4E0CE280" w14:textId="77777777" w:rsidR="00C576DA" w:rsidRDefault="00000000">
      <w:pPr>
        <w:spacing w:after="232" w:line="259" w:lineRule="auto"/>
        <w:ind w:left="0" w:firstLine="0"/>
        <w:jc w:val="left"/>
      </w:pPr>
      <w:r>
        <w:rPr>
          <w:sz w:val="24"/>
        </w:rPr>
        <w:t xml:space="preserve"> </w:t>
      </w:r>
    </w:p>
    <w:p w14:paraId="5F5A3A51" w14:textId="77777777" w:rsidR="00C576DA" w:rsidRDefault="00000000">
      <w:pPr>
        <w:spacing w:after="232" w:line="259" w:lineRule="auto"/>
        <w:ind w:left="0" w:firstLine="0"/>
        <w:jc w:val="left"/>
      </w:pPr>
      <w:r>
        <w:rPr>
          <w:sz w:val="24"/>
        </w:rPr>
        <w:t xml:space="preserve"> </w:t>
      </w:r>
    </w:p>
    <w:p w14:paraId="237C0BE5" w14:textId="77777777" w:rsidR="00C576DA" w:rsidRDefault="00000000">
      <w:pPr>
        <w:spacing w:after="237" w:line="259" w:lineRule="auto"/>
        <w:ind w:left="0" w:firstLine="0"/>
        <w:jc w:val="left"/>
      </w:pPr>
      <w:r>
        <w:rPr>
          <w:sz w:val="24"/>
        </w:rPr>
        <w:t xml:space="preserve"> </w:t>
      </w:r>
    </w:p>
    <w:p w14:paraId="68E11B31" w14:textId="77777777" w:rsidR="00C576DA" w:rsidRDefault="00000000">
      <w:pPr>
        <w:spacing w:after="232" w:line="259" w:lineRule="auto"/>
        <w:ind w:left="0" w:firstLine="0"/>
        <w:jc w:val="left"/>
      </w:pPr>
      <w:r>
        <w:rPr>
          <w:sz w:val="24"/>
        </w:rPr>
        <w:t xml:space="preserve"> </w:t>
      </w:r>
    </w:p>
    <w:p w14:paraId="1EDD2030" w14:textId="77777777" w:rsidR="00C576DA" w:rsidRDefault="00000000">
      <w:pPr>
        <w:spacing w:after="232" w:line="259" w:lineRule="auto"/>
        <w:ind w:left="0" w:firstLine="0"/>
        <w:jc w:val="left"/>
      </w:pPr>
      <w:r>
        <w:rPr>
          <w:sz w:val="24"/>
        </w:rPr>
        <w:t xml:space="preserve"> </w:t>
      </w:r>
    </w:p>
    <w:p w14:paraId="24288ECE" w14:textId="77777777" w:rsidR="00C576DA" w:rsidRDefault="00000000">
      <w:pPr>
        <w:spacing w:after="232" w:line="259" w:lineRule="auto"/>
        <w:ind w:left="0" w:firstLine="0"/>
        <w:jc w:val="left"/>
      </w:pPr>
      <w:r>
        <w:rPr>
          <w:sz w:val="24"/>
        </w:rPr>
        <w:t xml:space="preserve"> </w:t>
      </w:r>
    </w:p>
    <w:p w14:paraId="42FB459C" w14:textId="77777777" w:rsidR="00C576DA" w:rsidRDefault="00000000">
      <w:pPr>
        <w:spacing w:after="237" w:line="259" w:lineRule="auto"/>
        <w:ind w:left="0" w:firstLine="0"/>
        <w:jc w:val="left"/>
      </w:pPr>
      <w:r>
        <w:rPr>
          <w:sz w:val="24"/>
        </w:rPr>
        <w:t xml:space="preserve"> </w:t>
      </w:r>
    </w:p>
    <w:p w14:paraId="3CAA442B" w14:textId="77777777" w:rsidR="00C576DA" w:rsidRDefault="00000000">
      <w:pPr>
        <w:spacing w:after="266" w:line="259" w:lineRule="auto"/>
        <w:ind w:left="0" w:firstLine="0"/>
        <w:jc w:val="left"/>
      </w:pPr>
      <w:r>
        <w:rPr>
          <w:sz w:val="24"/>
        </w:rPr>
        <w:t xml:space="preserve"> </w:t>
      </w:r>
    </w:p>
    <w:p w14:paraId="6B05FEEF" w14:textId="77777777" w:rsidR="00C576DA" w:rsidRDefault="00000000">
      <w:pPr>
        <w:spacing w:after="386" w:line="259" w:lineRule="auto"/>
        <w:ind w:left="0" w:firstLine="0"/>
        <w:jc w:val="left"/>
      </w:pPr>
      <w:r>
        <w:t xml:space="preserve"> </w:t>
      </w:r>
    </w:p>
    <w:p w14:paraId="60120471" w14:textId="77777777" w:rsidR="00C576DA" w:rsidRDefault="00000000">
      <w:pPr>
        <w:spacing w:after="125" w:line="259" w:lineRule="auto"/>
        <w:ind w:left="0" w:firstLine="0"/>
        <w:jc w:val="left"/>
      </w:pPr>
      <w:r>
        <w:rPr>
          <w:rFonts w:ascii="Calibri" w:eastAsia="Calibri" w:hAnsi="Calibri" w:cs="Calibri"/>
          <w:color w:val="2E5496"/>
        </w:rPr>
        <w:t xml:space="preserve">Table of Contents </w:t>
      </w:r>
    </w:p>
    <w:p w14:paraId="2E41595D" w14:textId="77777777" w:rsidR="00C576DA" w:rsidRDefault="00000000">
      <w:pPr>
        <w:numPr>
          <w:ilvl w:val="0"/>
          <w:numId w:val="1"/>
        </w:numPr>
        <w:spacing w:after="274" w:line="259" w:lineRule="auto"/>
        <w:ind w:hanging="660"/>
      </w:pPr>
      <w:r>
        <w:t>Introduction .................................................................................................... 4</w:t>
      </w:r>
      <w:r>
        <w:rPr>
          <w:rFonts w:ascii="Calibri" w:eastAsia="Calibri" w:hAnsi="Calibri" w:cs="Calibri"/>
        </w:rPr>
        <w:t xml:space="preserve"> </w:t>
      </w:r>
    </w:p>
    <w:p w14:paraId="1C0E175C" w14:textId="08022D57" w:rsidR="00C576DA" w:rsidRDefault="00000000">
      <w:pPr>
        <w:numPr>
          <w:ilvl w:val="0"/>
          <w:numId w:val="1"/>
        </w:numPr>
        <w:spacing w:after="264" w:line="259" w:lineRule="auto"/>
        <w:ind w:hanging="660"/>
      </w:pPr>
      <w:r>
        <w:t xml:space="preserve">Concise summary of the effort ..................... </w:t>
      </w:r>
    </w:p>
    <w:p w14:paraId="63A2DE57" w14:textId="77777777" w:rsidR="00C576DA" w:rsidRDefault="00000000">
      <w:pPr>
        <w:numPr>
          <w:ilvl w:val="0"/>
          <w:numId w:val="1"/>
        </w:numPr>
        <w:spacing w:after="269" w:line="259" w:lineRule="auto"/>
        <w:ind w:hanging="660"/>
      </w:pPr>
      <w:r>
        <w:t>Principles and standards of community engagement ..................................... 5</w:t>
      </w:r>
      <w:r>
        <w:rPr>
          <w:rFonts w:ascii="Calibri" w:eastAsia="Calibri" w:hAnsi="Calibri" w:cs="Calibri"/>
        </w:rPr>
        <w:t xml:space="preserve"> </w:t>
      </w:r>
    </w:p>
    <w:p w14:paraId="7A38991A" w14:textId="77777777" w:rsidR="00C576DA" w:rsidRDefault="00000000">
      <w:pPr>
        <w:numPr>
          <w:ilvl w:val="0"/>
          <w:numId w:val="1"/>
        </w:numPr>
        <w:spacing w:after="269" w:line="259" w:lineRule="auto"/>
        <w:ind w:hanging="660"/>
      </w:pPr>
      <w:r>
        <w:t>Cooperation with Stakeholders ...................................................................... 6</w:t>
      </w:r>
      <w:r>
        <w:rPr>
          <w:rFonts w:ascii="Calibri" w:eastAsia="Calibri" w:hAnsi="Calibri" w:cs="Calibri"/>
        </w:rPr>
        <w:t xml:space="preserve"> </w:t>
      </w:r>
    </w:p>
    <w:p w14:paraId="6856710E" w14:textId="77777777" w:rsidR="00C576DA" w:rsidRDefault="00000000">
      <w:pPr>
        <w:numPr>
          <w:ilvl w:val="0"/>
          <w:numId w:val="1"/>
        </w:numPr>
        <w:spacing w:after="259" w:line="259" w:lineRule="auto"/>
        <w:ind w:hanging="660"/>
      </w:pPr>
      <w:r>
        <w:t xml:space="preserve">Engagement strategies for the </w:t>
      </w:r>
      <w:proofErr w:type="gramStart"/>
      <w:r>
        <w:t>common wealth</w:t>
      </w:r>
      <w:proofErr w:type="gramEnd"/>
      <w:r>
        <w:t xml:space="preserve"> games .................................. 7</w:t>
      </w:r>
      <w:r>
        <w:rPr>
          <w:rFonts w:ascii="Calibri" w:eastAsia="Calibri" w:hAnsi="Calibri" w:cs="Calibri"/>
        </w:rPr>
        <w:t xml:space="preserve"> </w:t>
      </w:r>
    </w:p>
    <w:p w14:paraId="573C149B" w14:textId="77777777" w:rsidR="00C576DA" w:rsidRDefault="00000000">
      <w:pPr>
        <w:numPr>
          <w:ilvl w:val="1"/>
          <w:numId w:val="1"/>
        </w:numPr>
        <w:ind w:right="2" w:hanging="640"/>
        <w:jc w:val="right"/>
      </w:pPr>
      <w:r>
        <w:t>What social media is? And how the organisations utilise it to engage stakeholders ....................................................................................................... 7</w:t>
      </w:r>
      <w:r>
        <w:rPr>
          <w:rFonts w:ascii="Calibri" w:eastAsia="Calibri" w:hAnsi="Calibri" w:cs="Calibri"/>
        </w:rPr>
        <w:t xml:space="preserve"> </w:t>
      </w:r>
    </w:p>
    <w:p w14:paraId="36EF5514" w14:textId="77777777" w:rsidR="00C576DA" w:rsidRDefault="00000000">
      <w:pPr>
        <w:numPr>
          <w:ilvl w:val="0"/>
          <w:numId w:val="1"/>
        </w:numPr>
        <w:spacing w:after="264" w:line="259" w:lineRule="auto"/>
        <w:ind w:hanging="660"/>
      </w:pPr>
      <w:r>
        <w:lastRenderedPageBreak/>
        <w:t xml:space="preserve">Promoting community participation, collaboration, diversity and </w:t>
      </w:r>
      <w:proofErr w:type="gramStart"/>
      <w:r>
        <w:t>inclusion .</w:t>
      </w:r>
      <w:proofErr w:type="gramEnd"/>
      <w:r>
        <w:t xml:space="preserve"> 8</w:t>
      </w:r>
      <w:r>
        <w:rPr>
          <w:rFonts w:ascii="Calibri" w:eastAsia="Calibri" w:hAnsi="Calibri" w:cs="Calibri"/>
        </w:rPr>
        <w:t xml:space="preserve"> </w:t>
      </w:r>
    </w:p>
    <w:p w14:paraId="169FA0C8" w14:textId="77777777" w:rsidR="00C576DA" w:rsidRDefault="00000000">
      <w:pPr>
        <w:numPr>
          <w:ilvl w:val="1"/>
          <w:numId w:val="1"/>
        </w:numPr>
        <w:spacing w:after="266" w:line="259" w:lineRule="auto"/>
        <w:ind w:right="2" w:hanging="640"/>
        <w:jc w:val="right"/>
      </w:pPr>
      <w:r>
        <w:t>Workers Who Have Disabilities .............................................................. 9</w:t>
      </w:r>
      <w:r>
        <w:rPr>
          <w:rFonts w:ascii="Calibri" w:eastAsia="Calibri" w:hAnsi="Calibri" w:cs="Calibri"/>
        </w:rPr>
        <w:t xml:space="preserve"> </w:t>
      </w:r>
    </w:p>
    <w:p w14:paraId="04E7DB32" w14:textId="77777777" w:rsidR="00C576DA" w:rsidRDefault="00000000">
      <w:pPr>
        <w:numPr>
          <w:ilvl w:val="1"/>
          <w:numId w:val="1"/>
        </w:numPr>
        <w:spacing w:after="266" w:line="259" w:lineRule="auto"/>
        <w:ind w:right="2" w:hanging="640"/>
        <w:jc w:val="right"/>
      </w:pPr>
      <w:proofErr w:type="spellStart"/>
      <w:r>
        <w:t>Empahsising</w:t>
      </w:r>
      <w:proofErr w:type="spellEnd"/>
      <w:r>
        <w:t xml:space="preserve"> communication ................................................................... 9</w:t>
      </w:r>
      <w:r>
        <w:rPr>
          <w:rFonts w:ascii="Calibri" w:eastAsia="Calibri" w:hAnsi="Calibri" w:cs="Calibri"/>
        </w:rPr>
        <w:t xml:space="preserve"> </w:t>
      </w:r>
    </w:p>
    <w:p w14:paraId="4DD0CC07" w14:textId="77777777" w:rsidR="00C576DA" w:rsidRDefault="00000000">
      <w:pPr>
        <w:numPr>
          <w:ilvl w:val="0"/>
          <w:numId w:val="1"/>
        </w:numPr>
        <w:spacing w:line="259" w:lineRule="auto"/>
        <w:ind w:hanging="660"/>
      </w:pPr>
      <w:r>
        <w:t>Values of Diversity, Tolerance, and Inclusion ............................................. 10</w:t>
      </w:r>
      <w:r>
        <w:rPr>
          <w:rFonts w:ascii="Calibri" w:eastAsia="Calibri" w:hAnsi="Calibri" w:cs="Calibri"/>
        </w:rPr>
        <w:t xml:space="preserve"> </w:t>
      </w:r>
    </w:p>
    <w:p w14:paraId="5E301197" w14:textId="77777777" w:rsidR="00C576DA" w:rsidRDefault="00000000">
      <w:pPr>
        <w:numPr>
          <w:ilvl w:val="0"/>
          <w:numId w:val="1"/>
        </w:numPr>
        <w:spacing w:after="264" w:line="259" w:lineRule="auto"/>
        <w:ind w:hanging="660"/>
      </w:pPr>
      <w:r>
        <w:t>The Analysis of the Situation ....................................................................... 10</w:t>
      </w:r>
      <w:r>
        <w:rPr>
          <w:rFonts w:ascii="Calibri" w:eastAsia="Calibri" w:hAnsi="Calibri" w:cs="Calibri"/>
        </w:rPr>
        <w:t xml:space="preserve"> </w:t>
      </w:r>
    </w:p>
    <w:p w14:paraId="751FC104" w14:textId="77777777" w:rsidR="00C576DA" w:rsidRDefault="00000000">
      <w:pPr>
        <w:numPr>
          <w:ilvl w:val="0"/>
          <w:numId w:val="1"/>
        </w:numPr>
        <w:spacing w:after="269" w:line="259" w:lineRule="auto"/>
        <w:ind w:hanging="660"/>
      </w:pPr>
      <w:r>
        <w:t>Internal and external variables affecting the Community engagement ........ 11</w:t>
      </w:r>
      <w:r>
        <w:rPr>
          <w:rFonts w:ascii="Calibri" w:eastAsia="Calibri" w:hAnsi="Calibri" w:cs="Calibri"/>
        </w:rPr>
        <w:t xml:space="preserve"> </w:t>
      </w:r>
    </w:p>
    <w:p w14:paraId="5E3CBD9F" w14:textId="77777777" w:rsidR="00C576DA" w:rsidRDefault="00000000">
      <w:pPr>
        <w:numPr>
          <w:ilvl w:val="0"/>
          <w:numId w:val="1"/>
        </w:numPr>
        <w:spacing w:after="269" w:line="259" w:lineRule="auto"/>
        <w:ind w:hanging="660"/>
      </w:pPr>
      <w:r>
        <w:t>Conclusion ................................................................................................. 12</w:t>
      </w:r>
      <w:r>
        <w:rPr>
          <w:rFonts w:ascii="Calibri" w:eastAsia="Calibri" w:hAnsi="Calibri" w:cs="Calibri"/>
        </w:rPr>
        <w:t xml:space="preserve"> </w:t>
      </w:r>
    </w:p>
    <w:p w14:paraId="5B4370AD" w14:textId="77777777" w:rsidR="00C576DA" w:rsidRDefault="00000000">
      <w:pPr>
        <w:spacing w:after="243" w:line="259" w:lineRule="auto"/>
        <w:ind w:right="2"/>
        <w:jc w:val="right"/>
      </w:pPr>
      <w:r>
        <w:t>References ....................................................................................................... 13</w:t>
      </w:r>
      <w:r>
        <w:rPr>
          <w:rFonts w:ascii="Calibri" w:eastAsia="Calibri" w:hAnsi="Calibri" w:cs="Calibri"/>
        </w:rPr>
        <w:t xml:space="preserve"> </w:t>
      </w:r>
    </w:p>
    <w:p w14:paraId="4546769D" w14:textId="77777777" w:rsidR="00C576DA" w:rsidRDefault="00000000">
      <w:pPr>
        <w:spacing w:after="256" w:line="259" w:lineRule="auto"/>
        <w:ind w:left="0" w:firstLine="0"/>
        <w:jc w:val="left"/>
      </w:pPr>
      <w:r>
        <w:rPr>
          <w:b/>
        </w:rPr>
        <w:t xml:space="preserve"> </w:t>
      </w:r>
    </w:p>
    <w:p w14:paraId="3B412FBD" w14:textId="77777777" w:rsidR="00C576DA" w:rsidRDefault="00000000">
      <w:pPr>
        <w:spacing w:after="256" w:line="259" w:lineRule="auto"/>
        <w:ind w:left="0" w:firstLine="0"/>
        <w:jc w:val="left"/>
      </w:pPr>
      <w:r>
        <w:t xml:space="preserve"> </w:t>
      </w:r>
    </w:p>
    <w:p w14:paraId="4ED1432C" w14:textId="77777777" w:rsidR="00C576DA" w:rsidRDefault="00000000">
      <w:pPr>
        <w:spacing w:after="252" w:line="259" w:lineRule="auto"/>
        <w:ind w:left="0" w:firstLine="0"/>
        <w:jc w:val="left"/>
      </w:pPr>
      <w:r>
        <w:t xml:space="preserve"> </w:t>
      </w:r>
    </w:p>
    <w:p w14:paraId="4D0ABCD6" w14:textId="77777777" w:rsidR="00C576DA" w:rsidRDefault="00000000">
      <w:pPr>
        <w:spacing w:after="256" w:line="259" w:lineRule="auto"/>
        <w:ind w:left="0" w:firstLine="0"/>
        <w:jc w:val="left"/>
      </w:pPr>
      <w:r>
        <w:t xml:space="preserve"> </w:t>
      </w:r>
    </w:p>
    <w:p w14:paraId="2FFB2D05" w14:textId="77777777" w:rsidR="00C576DA" w:rsidRDefault="00000000">
      <w:pPr>
        <w:spacing w:after="256" w:line="259" w:lineRule="auto"/>
        <w:ind w:left="0" w:firstLine="0"/>
        <w:jc w:val="left"/>
      </w:pPr>
      <w:r>
        <w:t xml:space="preserve"> </w:t>
      </w:r>
    </w:p>
    <w:p w14:paraId="51FAD309" w14:textId="77777777" w:rsidR="00C576DA" w:rsidRDefault="00000000">
      <w:pPr>
        <w:spacing w:after="252" w:line="259" w:lineRule="auto"/>
        <w:ind w:left="0" w:firstLine="0"/>
        <w:jc w:val="left"/>
      </w:pPr>
      <w:r>
        <w:t xml:space="preserve"> </w:t>
      </w:r>
    </w:p>
    <w:p w14:paraId="1E7EDF48" w14:textId="77777777" w:rsidR="00C576DA" w:rsidRDefault="00000000">
      <w:pPr>
        <w:spacing w:after="256" w:line="259" w:lineRule="auto"/>
        <w:ind w:left="0" w:firstLine="0"/>
        <w:jc w:val="left"/>
      </w:pPr>
      <w:r>
        <w:t xml:space="preserve"> </w:t>
      </w:r>
    </w:p>
    <w:p w14:paraId="04488CED" w14:textId="77777777" w:rsidR="00C576DA" w:rsidRDefault="00000000">
      <w:pPr>
        <w:spacing w:after="252" w:line="259" w:lineRule="auto"/>
        <w:ind w:left="0" w:firstLine="0"/>
        <w:jc w:val="left"/>
      </w:pPr>
      <w:r>
        <w:t xml:space="preserve"> </w:t>
      </w:r>
    </w:p>
    <w:p w14:paraId="6E530350" w14:textId="77777777" w:rsidR="00C576DA" w:rsidRDefault="00000000">
      <w:pPr>
        <w:spacing w:after="256" w:line="259" w:lineRule="auto"/>
        <w:ind w:left="0" w:firstLine="0"/>
        <w:jc w:val="left"/>
      </w:pPr>
      <w:r>
        <w:t xml:space="preserve"> </w:t>
      </w:r>
    </w:p>
    <w:p w14:paraId="01B2FC24" w14:textId="77777777" w:rsidR="00C576DA" w:rsidRDefault="00000000">
      <w:pPr>
        <w:spacing w:after="256" w:line="259" w:lineRule="auto"/>
        <w:ind w:left="0" w:firstLine="0"/>
        <w:jc w:val="left"/>
      </w:pPr>
      <w:r>
        <w:t xml:space="preserve"> </w:t>
      </w:r>
    </w:p>
    <w:p w14:paraId="4A7FB018" w14:textId="77777777" w:rsidR="00C576DA" w:rsidRDefault="00000000">
      <w:pPr>
        <w:spacing w:after="252" w:line="259" w:lineRule="auto"/>
        <w:ind w:left="0" w:firstLine="0"/>
        <w:jc w:val="left"/>
      </w:pPr>
      <w:r>
        <w:t xml:space="preserve"> </w:t>
      </w:r>
    </w:p>
    <w:p w14:paraId="1F935959" w14:textId="77777777" w:rsidR="00C576DA" w:rsidRDefault="00000000">
      <w:pPr>
        <w:spacing w:after="256" w:line="259" w:lineRule="auto"/>
        <w:ind w:left="0" w:firstLine="0"/>
        <w:jc w:val="left"/>
      </w:pPr>
      <w:r>
        <w:t xml:space="preserve"> </w:t>
      </w:r>
    </w:p>
    <w:p w14:paraId="72D76087" w14:textId="77777777" w:rsidR="00C576DA" w:rsidRDefault="00000000">
      <w:pPr>
        <w:spacing w:after="252" w:line="259" w:lineRule="auto"/>
        <w:ind w:left="0" w:firstLine="0"/>
        <w:jc w:val="left"/>
      </w:pPr>
      <w:r>
        <w:lastRenderedPageBreak/>
        <w:t xml:space="preserve"> </w:t>
      </w:r>
    </w:p>
    <w:p w14:paraId="4B9F19E5" w14:textId="77777777" w:rsidR="00C576DA" w:rsidRDefault="00000000">
      <w:pPr>
        <w:spacing w:after="256" w:line="259" w:lineRule="auto"/>
        <w:ind w:left="0" w:firstLine="0"/>
        <w:jc w:val="left"/>
      </w:pPr>
      <w:r>
        <w:t xml:space="preserve"> </w:t>
      </w:r>
    </w:p>
    <w:p w14:paraId="31B153F6" w14:textId="77777777" w:rsidR="00C576DA" w:rsidRDefault="00000000">
      <w:pPr>
        <w:spacing w:after="256" w:line="259" w:lineRule="auto"/>
        <w:ind w:left="0" w:firstLine="0"/>
        <w:jc w:val="left"/>
      </w:pPr>
      <w:r>
        <w:t xml:space="preserve"> </w:t>
      </w:r>
    </w:p>
    <w:p w14:paraId="7AEEE22D" w14:textId="77777777" w:rsidR="00C576DA" w:rsidRDefault="00000000">
      <w:pPr>
        <w:spacing w:after="252" w:line="259" w:lineRule="auto"/>
        <w:ind w:left="0" w:firstLine="0"/>
        <w:jc w:val="left"/>
      </w:pPr>
      <w:r>
        <w:t xml:space="preserve"> </w:t>
      </w:r>
    </w:p>
    <w:p w14:paraId="3967C212" w14:textId="77777777" w:rsidR="00C576DA" w:rsidRDefault="00000000">
      <w:pPr>
        <w:spacing w:after="256" w:line="259" w:lineRule="auto"/>
        <w:ind w:left="0" w:firstLine="0"/>
        <w:jc w:val="left"/>
      </w:pPr>
      <w:r>
        <w:t xml:space="preserve"> </w:t>
      </w:r>
    </w:p>
    <w:p w14:paraId="5C8D11C4" w14:textId="77777777" w:rsidR="00C576DA" w:rsidRDefault="00000000">
      <w:pPr>
        <w:spacing w:after="256" w:line="259" w:lineRule="auto"/>
        <w:ind w:left="0" w:firstLine="0"/>
        <w:jc w:val="left"/>
      </w:pPr>
      <w:r>
        <w:t xml:space="preserve"> </w:t>
      </w:r>
    </w:p>
    <w:p w14:paraId="2AEF7541" w14:textId="77777777" w:rsidR="00C576DA" w:rsidRDefault="00000000">
      <w:pPr>
        <w:spacing w:after="0" w:line="259" w:lineRule="auto"/>
        <w:ind w:left="0" w:firstLine="0"/>
        <w:jc w:val="left"/>
      </w:pPr>
      <w:r>
        <w:t xml:space="preserve"> </w:t>
      </w:r>
    </w:p>
    <w:p w14:paraId="3F720B6A" w14:textId="77777777" w:rsidR="00C576DA" w:rsidRDefault="00000000">
      <w:pPr>
        <w:spacing w:after="256" w:line="259" w:lineRule="auto"/>
        <w:ind w:left="0" w:firstLine="0"/>
        <w:jc w:val="left"/>
      </w:pPr>
      <w:r>
        <w:t xml:space="preserve"> </w:t>
      </w:r>
    </w:p>
    <w:p w14:paraId="152CC251" w14:textId="77777777" w:rsidR="00C576DA" w:rsidRDefault="00000000">
      <w:pPr>
        <w:spacing w:after="252" w:line="259" w:lineRule="auto"/>
        <w:ind w:left="0" w:firstLine="0"/>
        <w:jc w:val="left"/>
      </w:pPr>
      <w:r>
        <w:t xml:space="preserve"> </w:t>
      </w:r>
    </w:p>
    <w:p w14:paraId="71276AF9" w14:textId="77777777" w:rsidR="00C576DA" w:rsidRDefault="00000000">
      <w:pPr>
        <w:spacing w:after="256" w:line="259" w:lineRule="auto"/>
        <w:ind w:left="0" w:firstLine="0"/>
        <w:jc w:val="left"/>
      </w:pPr>
      <w:r>
        <w:t xml:space="preserve"> </w:t>
      </w:r>
    </w:p>
    <w:p w14:paraId="103FD296" w14:textId="77777777" w:rsidR="00C576DA" w:rsidRDefault="00000000">
      <w:pPr>
        <w:spacing w:after="375" w:line="259" w:lineRule="auto"/>
        <w:ind w:left="0" w:firstLine="0"/>
        <w:jc w:val="left"/>
      </w:pPr>
      <w:r>
        <w:t xml:space="preserve"> </w:t>
      </w:r>
    </w:p>
    <w:p w14:paraId="7B7E8F58" w14:textId="77777777" w:rsidR="00C576DA" w:rsidRDefault="00000000">
      <w:pPr>
        <w:pStyle w:val="Heading1"/>
        <w:ind w:left="705" w:hanging="360"/>
      </w:pPr>
      <w:r>
        <w:t xml:space="preserve">Introduction </w:t>
      </w:r>
    </w:p>
    <w:p w14:paraId="414E0E6B" w14:textId="77777777" w:rsidR="00C576DA" w:rsidRDefault="00000000">
      <w:pPr>
        <w:ind w:left="-5"/>
      </w:pPr>
      <w:r>
        <w:t xml:space="preserve">Through a shared love of sport and the celebration of human achievement, the Commonwealth Games bring nations together (Dunn, 2022). Since their inception in 1930, however, the Games have undergone numerous transformations. There was a hiatus during World War II, but the Games have been running strong for decades, growing from a modest gathering of 11 countries and 400 competitors to a global spectacular including 4,600 athletes from 72 countries and territories. Through a spectacular celebration of sports, the Games aim to bring the people of the Commonwealth closer together under the guiding ideals of humanity, equality, and destiny. The event has earned the moniker "Friendly Games" due to its reputation for fostering positive attitudes toward competition and respect among contestants. </w:t>
      </w:r>
    </w:p>
    <w:p w14:paraId="6A8BE4A1" w14:textId="77777777" w:rsidR="00C576DA" w:rsidRDefault="00000000">
      <w:pPr>
        <w:ind w:left="-5"/>
      </w:pPr>
      <w:r>
        <w:t>Legendary sporting moments have taken place at the Commonwealth Games (</w:t>
      </w:r>
      <w:proofErr w:type="spellStart"/>
      <w:r>
        <w:t>thecgf</w:t>
      </w:r>
      <w:proofErr w:type="spellEnd"/>
      <w:r>
        <w:t xml:space="preserve">, </w:t>
      </w:r>
      <w:proofErr w:type="spellStart"/>
      <w:r>
        <w:t>n.d</w:t>
      </w:r>
      <w:proofErr w:type="spellEnd"/>
      <w:r>
        <w:t xml:space="preserve">). It was Roger Bannister and John Landy that broke the four-minute mile barrier in the historic "Miracle Mile" at the 1954 Vancouver Olympics. </w:t>
      </w:r>
      <w:r>
        <w:lastRenderedPageBreak/>
        <w:t xml:space="preserve">Historically, Chantal </w:t>
      </w:r>
      <w:proofErr w:type="spellStart"/>
      <w:r>
        <w:t>Petitclerc</w:t>
      </w:r>
      <w:proofErr w:type="spellEnd"/>
      <w:r>
        <w:t xml:space="preserve"> won the first ever Olympic gold medal for a woman in a para-sport in 2002. In other words, this marked the first time in Olympic history that a competition tailored to impaired athletes was formally recognised as part of the programme. When Nicola Adams of Team England won the flyweight gold medal in the 2014 Commonwealth Games, boxing swiftly established itself as a mainstay event. </w:t>
      </w:r>
    </w:p>
    <w:p w14:paraId="13CED274" w14:textId="77777777" w:rsidR="00C576DA" w:rsidRDefault="00000000">
      <w:pPr>
        <w:spacing w:after="246"/>
        <w:ind w:left="-5"/>
      </w:pPr>
      <w:r>
        <w:t xml:space="preserve">The optimistic vibe of the Games has motivated athletes to push their bodies to the maximum. When West Midlands hosts the Olympic Games in 2022, it will make history as the third British city to do so, joining London (1934) and Manchester (2002). As plans take shape for the 2022 Commonwealth Games to be held in Birmingham, the West Midlands will forever be etched into the annals of sport. That is an awesome display of cooperation, camaraderie, and skill. </w:t>
      </w:r>
    </w:p>
    <w:p w14:paraId="006C5714" w14:textId="77777777" w:rsidR="00C576DA" w:rsidRDefault="00000000">
      <w:pPr>
        <w:pStyle w:val="Heading1"/>
        <w:ind w:left="705" w:hanging="360"/>
      </w:pPr>
      <w:r>
        <w:t xml:space="preserve">Principles and standards of community engagement </w:t>
      </w:r>
    </w:p>
    <w:p w14:paraId="575550D0" w14:textId="77777777" w:rsidR="00C576DA" w:rsidRDefault="00000000">
      <w:pPr>
        <w:spacing w:after="170"/>
        <w:ind w:left="-5"/>
      </w:pPr>
      <w:r>
        <w:t>Several organisations and scholars have developed best practises for meaningful community service (</w:t>
      </w:r>
      <w:proofErr w:type="spellStart"/>
      <w:r>
        <w:t>Mcdaniel</w:t>
      </w:r>
      <w:proofErr w:type="spellEnd"/>
      <w:r>
        <w:t xml:space="preserve">, 2011). The Co-Intelligence Institute has developed seven key principles—conflict, conflict resolution, and collaboration—to effectively reflect the shared thoughts and understandings of those working in the field of community participation. These theoretical principles, along with others, are put into practise in many different settings. </w:t>
      </w:r>
    </w:p>
    <w:p w14:paraId="7F0A1E64" w14:textId="77777777" w:rsidR="00C576DA" w:rsidRDefault="00000000">
      <w:pPr>
        <w:numPr>
          <w:ilvl w:val="0"/>
          <w:numId w:val="2"/>
        </w:numPr>
        <w:spacing w:after="55"/>
        <w:ind w:hanging="360"/>
      </w:pPr>
      <w:r>
        <w:t xml:space="preserve">The most essential thing we've learned is that even if communities have their flaws, they are vital to society. They and their citizens can make important contributions to many fields, including education, economic growth, healthcare, and racial peace. </w:t>
      </w:r>
    </w:p>
    <w:p w14:paraId="423CDE09" w14:textId="77777777" w:rsidR="00C576DA" w:rsidRDefault="00000000">
      <w:pPr>
        <w:numPr>
          <w:ilvl w:val="0"/>
          <w:numId w:val="2"/>
        </w:numPr>
        <w:spacing w:line="259" w:lineRule="auto"/>
        <w:ind w:hanging="360"/>
      </w:pPr>
      <w:r>
        <w:t xml:space="preserve">Kettering Foundation, David Mathews (2008) </w:t>
      </w:r>
    </w:p>
    <w:p w14:paraId="341ED4EA" w14:textId="77777777" w:rsidR="00C576DA" w:rsidRDefault="00000000">
      <w:pPr>
        <w:numPr>
          <w:ilvl w:val="0"/>
          <w:numId w:val="2"/>
        </w:numPr>
        <w:spacing w:after="56"/>
        <w:ind w:hanging="360"/>
      </w:pPr>
      <w:r>
        <w:t xml:space="preserve">Extremely cautious and well-organized preparation. It is crucial that the process be planned, organised, and convened so that it achieves its stated goal and meets the requirements of those who will be taking part in it. </w:t>
      </w:r>
    </w:p>
    <w:p w14:paraId="1DDAE017" w14:textId="77777777" w:rsidR="00C576DA" w:rsidRDefault="00000000">
      <w:pPr>
        <w:numPr>
          <w:ilvl w:val="0"/>
          <w:numId w:val="2"/>
        </w:numPr>
        <w:spacing w:after="55"/>
        <w:ind w:hanging="360"/>
      </w:pPr>
      <w:r>
        <w:lastRenderedPageBreak/>
        <w:t xml:space="preserve">Diversity in the population and an inclusive attitude are also part of this. The success of your democracy and the quality of its output depend on your ability to fairly include a wide range of people's opinions, ideas, and facts. </w:t>
      </w:r>
    </w:p>
    <w:p w14:paraId="70D385FA" w14:textId="77777777" w:rsidR="00C576DA" w:rsidRDefault="00000000">
      <w:pPr>
        <w:numPr>
          <w:ilvl w:val="0"/>
          <w:numId w:val="2"/>
        </w:numPr>
        <w:ind w:hanging="360"/>
      </w:pPr>
      <w:r>
        <w:t xml:space="preserve">Third, cooperating to achieve an objective. Encourage and help participants, government agencies, community organisations, and others work together for the common good. </w:t>
      </w:r>
    </w:p>
    <w:p w14:paraId="7DC7CDCA" w14:textId="77777777" w:rsidR="00C576DA" w:rsidRDefault="00000000">
      <w:pPr>
        <w:numPr>
          <w:ilvl w:val="0"/>
          <w:numId w:val="2"/>
        </w:numPr>
        <w:spacing w:after="55"/>
        <w:ind w:hanging="360"/>
      </w:pPr>
      <w:r>
        <w:t xml:space="preserve">A hunger for knowledge and a thirst for exploration are also important. Encourage thoughtful discussion, test theories without placing too much stock in the outcomes, acquire and use information in creative ways, and evaluate the success of community involvement projects with great care. </w:t>
      </w:r>
    </w:p>
    <w:p w14:paraId="752EB5E4" w14:textId="77777777" w:rsidR="00C576DA" w:rsidRDefault="00000000">
      <w:pPr>
        <w:numPr>
          <w:ilvl w:val="0"/>
          <w:numId w:val="2"/>
        </w:numPr>
        <w:spacing w:after="51"/>
        <w:ind w:hanging="360"/>
      </w:pPr>
      <w:r>
        <w:t xml:space="preserve">Fifth on the list of priorities is maintaining public trust in the system. The event's organisers, sponsors, results, and the full range of views and perspectives expressed should all be documented and made available to the public. </w:t>
      </w:r>
    </w:p>
    <w:p w14:paraId="1C04E13E" w14:textId="77777777" w:rsidR="00C576DA" w:rsidRDefault="00000000">
      <w:pPr>
        <w:numPr>
          <w:ilvl w:val="0"/>
          <w:numId w:val="2"/>
        </w:numPr>
        <w:spacing w:after="56"/>
        <w:ind w:hanging="360"/>
      </w:pPr>
      <w:r>
        <w:t xml:space="preserve">Quantitative Analysis of Affect and Response Make sure everyone knows how their contribution could affect the bigger picture. </w:t>
      </w:r>
    </w:p>
    <w:p w14:paraId="0241D348" w14:textId="77777777" w:rsidR="00C576DA" w:rsidRDefault="00000000">
      <w:pPr>
        <w:numPr>
          <w:ilvl w:val="0"/>
          <w:numId w:val="2"/>
        </w:numPr>
        <w:spacing w:after="239"/>
        <w:ind w:hanging="360"/>
      </w:pPr>
      <w:r>
        <w:t xml:space="preserve">Consistent participation and an attitude of giving back to the community. Create a culture of engaged citizenry by launching programmes and policies that inspire long-term, high-quality contributions to the public good. </w:t>
      </w:r>
    </w:p>
    <w:p w14:paraId="325316C5" w14:textId="77777777" w:rsidR="00C576DA" w:rsidRDefault="00000000">
      <w:pPr>
        <w:pStyle w:val="Heading1"/>
        <w:ind w:left="705" w:hanging="360"/>
      </w:pPr>
      <w:r>
        <w:t xml:space="preserve">Cooperation with Stakeholders </w:t>
      </w:r>
    </w:p>
    <w:p w14:paraId="389D6474" w14:textId="77777777" w:rsidR="00C576DA" w:rsidRDefault="00000000">
      <w:pPr>
        <w:spacing w:after="244"/>
        <w:ind w:left="-5"/>
      </w:pPr>
      <w:r>
        <w:t xml:space="preserve">Every four years, athletes from every country in the Commonwealth compete in a series of games called the Commonwealth Games. The competition occurs every four years, just like the Olympic Games. While the Games did not take place in 1942 and 1946 owing to World War II, they have been held annually since 1930. The event's name evolved from the British Empire Games (1930– 1950), the British Empire and Commonwealth Games (1970–1974), and finally </w:t>
      </w:r>
      <w:r>
        <w:lastRenderedPageBreak/>
        <w:t xml:space="preserve">the Commonwealth Games (1974). (1978). British culture and history are preserved in the Games' opening and closing rituals, flag, and the Queen's Baton. </w:t>
      </w:r>
      <w:proofErr w:type="spellStart"/>
      <w:r>
        <w:t>To</w:t>
      </w:r>
      <w:proofErr w:type="spellEnd"/>
      <w:r>
        <w:t xml:space="preserve"> far, only the countries of Australia, Canada, England, New Zealand, Scotland, and Wales have sent athletes to all ten Commonwealth Games. Outside of the original six, only three games were played in other regions: twice in Asia (Malaysia and India) and once in the Caribbean (Jamaica). The games are coordinated by the Commonwealth Games Federation (CGF), which also selects the host cities and coordinates the programme of events (Commonwealth. </w:t>
      </w:r>
      <w:proofErr w:type="spellStart"/>
      <w:r>
        <w:t>n.d</w:t>
      </w:r>
      <w:proofErr w:type="spellEnd"/>
      <w:r>
        <w:t xml:space="preserve">). There are various International Sports Federations, Commonwealth Games Associations, and local organising committees that make up what is called the Commonwealth Games Movement. Several sports that are popular in Commonwealth countries but not on the Olympic schedule, such as lawn bowls, netball, and squash, will be showcased. Authors' survey found that "games and medals," "Commonwealth of Nations," "star athletes," "opening and closing ceremonies," and "host cities" were the most frequently used terms to describe the event. </w:t>
      </w:r>
    </w:p>
    <w:p w14:paraId="09237B4E" w14:textId="77777777" w:rsidR="00C576DA" w:rsidRDefault="00000000">
      <w:pPr>
        <w:pStyle w:val="Heading1"/>
        <w:ind w:left="705" w:hanging="360"/>
      </w:pPr>
      <w:r>
        <w:t xml:space="preserve">Engagement strategies for the </w:t>
      </w:r>
      <w:proofErr w:type="gramStart"/>
      <w:r>
        <w:t>common wealth</w:t>
      </w:r>
      <w:proofErr w:type="gramEnd"/>
      <w:r>
        <w:t xml:space="preserve"> games </w:t>
      </w:r>
    </w:p>
    <w:p w14:paraId="313E058D" w14:textId="77777777" w:rsidR="00C576DA" w:rsidRDefault="00000000">
      <w:pPr>
        <w:spacing w:after="42"/>
        <w:ind w:left="-5"/>
      </w:pPr>
      <w:r>
        <w:t xml:space="preserve">If you're in the public sector and aren't using social media to communicate with and engage your constituents, you're leaving a lot of money on the table. Those numbers can't be ignored. There are currently 1.11 billion active members on Facebook. The number of people using Twitter is 55 million. Given the 255 million LinkedIn users and 1 billion monthly YouTube viewers, it's safe to assume that a sizable portion of your stakeholder base is active on at least one major social network and likely also reads and comments on blogs, subscribes to RSS feeds, and more. </w:t>
      </w:r>
      <w:proofErr w:type="gramStart"/>
      <w:r>
        <w:t>A large number of</w:t>
      </w:r>
      <w:proofErr w:type="gramEnd"/>
      <w:r>
        <w:t xml:space="preserve"> spectators will be present. How can you, though, zero in on the people who truly matter to you in that sea of users? To what extent do you use social media to educate, engage, and work together with others? </w:t>
      </w:r>
    </w:p>
    <w:p w14:paraId="3367BE20" w14:textId="77777777" w:rsidR="00C576DA" w:rsidRDefault="00000000">
      <w:pPr>
        <w:spacing w:after="120"/>
        <w:ind w:left="1065" w:hanging="720"/>
        <w:jc w:val="left"/>
      </w:pPr>
      <w:r>
        <w:rPr>
          <w:b/>
        </w:rPr>
        <w:lastRenderedPageBreak/>
        <w:t>4.1.</w:t>
      </w:r>
      <w:r>
        <w:rPr>
          <w:rFonts w:ascii="Arial" w:eastAsia="Arial" w:hAnsi="Arial" w:cs="Arial"/>
          <w:b/>
        </w:rPr>
        <w:t xml:space="preserve"> </w:t>
      </w:r>
      <w:r>
        <w:rPr>
          <w:b/>
        </w:rPr>
        <w:t xml:space="preserve">What social media is? And how the organisations utilise it to </w:t>
      </w:r>
    </w:p>
    <w:p w14:paraId="2DF5AB8A" w14:textId="77777777" w:rsidR="00C576DA" w:rsidRDefault="00000000">
      <w:pPr>
        <w:pStyle w:val="Heading2"/>
        <w:numPr>
          <w:ilvl w:val="0"/>
          <w:numId w:val="0"/>
        </w:numPr>
        <w:spacing w:after="120" w:line="361" w:lineRule="auto"/>
        <w:ind w:left="1065" w:hanging="720"/>
      </w:pPr>
      <w:r>
        <w:t xml:space="preserve">engage stakeholders </w:t>
      </w:r>
    </w:p>
    <w:p w14:paraId="44C2A5C6" w14:textId="77777777" w:rsidR="00C576DA" w:rsidRDefault="00000000">
      <w:pPr>
        <w:ind w:left="-5"/>
      </w:pPr>
      <w:r>
        <w:t>The term "social media" is often used to describe any platform that facilitates user-to-user interaction, content sharing, and content promotion (</w:t>
      </w:r>
      <w:proofErr w:type="spellStart"/>
      <w:r>
        <w:t>Safko</w:t>
      </w:r>
      <w:proofErr w:type="spellEnd"/>
      <w:r>
        <w:t xml:space="preserve"> 2010). The ways in which people interact, from shopping to working together, have been profoundly altered by the rise of social media, as is generally acknowledged. Nowadays, it's impossible to avoid being exposed to some type of social media, whether it's instant messaging (IM), blogging, wiki-building, or networking on sites like Facebook and Twitter (Kaplan &amp; </w:t>
      </w:r>
      <w:proofErr w:type="spellStart"/>
      <w:r>
        <w:t>Haenlein</w:t>
      </w:r>
      <w:proofErr w:type="spellEnd"/>
      <w:r>
        <w:t xml:space="preserve">, 2010). </w:t>
      </w:r>
    </w:p>
    <w:p w14:paraId="7A5E7232" w14:textId="77777777" w:rsidR="00C576DA" w:rsidRDefault="00000000">
      <w:pPr>
        <w:ind w:left="-5"/>
      </w:pPr>
      <w:proofErr w:type="gramStart"/>
      <w:r>
        <w:t>Despite the fact that</w:t>
      </w:r>
      <w:proofErr w:type="gramEnd"/>
      <w:r>
        <w:t xml:space="preserve"> social media platforms were first created with consumers in mind, businesses have taken an interest in them. According to a study (Kane et al., 2014). This is </w:t>
      </w:r>
      <w:proofErr w:type="gramStart"/>
      <w:r>
        <w:t>due to the fact that</w:t>
      </w:r>
      <w:proofErr w:type="gramEnd"/>
      <w:r>
        <w:t xml:space="preserve"> social media has become an indispensable tool for modern businesses, as it can be used for advertising and public relations at a low cost and in a timely manner, with a high degree of reliability. Adopting social media platforms may boost satisfaction among stakeholders and customers. </w:t>
      </w:r>
    </w:p>
    <w:p w14:paraId="144FDD21" w14:textId="77777777" w:rsidR="00C576DA" w:rsidRDefault="00000000">
      <w:pPr>
        <w:spacing w:after="244"/>
        <w:ind w:left="-5"/>
      </w:pPr>
      <w:r>
        <w:t xml:space="preserve">With the help of social media, we can spread news and ideas much more quickly. Rather of only broadcasting messages to the masses, businesses can have one-on-one conversations with their target demographic. Companies may now include social media into their overarching branding and marketing plans with the help of these features. Therefore, many businesses are using it as a knowledge management and product/service development tool because to its efficacy in fostering internal contacts and collaborations (Kim, Lee &amp; Lee 2013). Academics have argued that when stakeholders can more easily see a firm's actions and policies, the corporation becomes more transparent and accountable to those stakeholders. In conclusion, businesses can boost their performance by establishing trust and credibility in the eyes of their stakeholders and the general public </w:t>
      </w:r>
      <w:proofErr w:type="gramStart"/>
      <w:r>
        <w:t>through the use of</w:t>
      </w:r>
      <w:proofErr w:type="gramEnd"/>
      <w:r>
        <w:t xml:space="preserve"> social media. </w:t>
      </w:r>
    </w:p>
    <w:p w14:paraId="56E3034B" w14:textId="77777777" w:rsidR="00C576DA" w:rsidRDefault="00000000">
      <w:pPr>
        <w:pStyle w:val="Heading1"/>
        <w:spacing w:after="115" w:line="361" w:lineRule="auto"/>
        <w:ind w:left="705" w:hanging="360"/>
      </w:pPr>
      <w:r>
        <w:lastRenderedPageBreak/>
        <w:t xml:space="preserve">Promoting community participation, collaboration, diversity and inclusion </w:t>
      </w:r>
    </w:p>
    <w:p w14:paraId="5E0238F3" w14:textId="77777777" w:rsidR="00C576DA" w:rsidRDefault="00000000">
      <w:pPr>
        <w:spacing w:after="36"/>
        <w:ind w:left="-5"/>
      </w:pPr>
      <w:r>
        <w:t xml:space="preserve">Potentially New Business Opportunities and Expenditures in Non-Current Assets </w:t>
      </w:r>
      <w:proofErr w:type="gramStart"/>
      <w:r>
        <w:t>The</w:t>
      </w:r>
      <w:proofErr w:type="gramEnd"/>
      <w:r>
        <w:t xml:space="preserve"> Company anticipates recording capital assets of £2.1m in 2021/22. The bulk of this sum is attributable to the Company's decision to capitalise a second office lease in accordance with IFRS 16 and to increased spending on IT as a result of the increased headcount necessitated by the approach to the Games. </w:t>
      </w:r>
    </w:p>
    <w:p w14:paraId="164FA0EA" w14:textId="77777777" w:rsidR="00C576DA" w:rsidRDefault="00000000">
      <w:pPr>
        <w:pStyle w:val="Heading2"/>
        <w:ind w:left="1065" w:hanging="720"/>
      </w:pPr>
      <w:r>
        <w:t xml:space="preserve">Workers Who Have Disabilities </w:t>
      </w:r>
    </w:p>
    <w:p w14:paraId="07DCF44C" w14:textId="77777777" w:rsidR="00C576DA" w:rsidRDefault="00000000">
      <w:pPr>
        <w:ind w:left="-5"/>
      </w:pPr>
      <w:r>
        <w:t xml:space="preserve">The organisation has been certified as a "Disability Confident" business. This signifies that the Company is dedicated to eliminating all forms of discrimination, both legal and otherwise, and that it recognises the benefits of a diverse workforce. If the applicant meets the minimal requirements listed in the job posting, they will have the option to request an interview under the guaranteed interview plan. </w:t>
      </w:r>
    </w:p>
    <w:p w14:paraId="4294BF6E" w14:textId="77777777" w:rsidR="00C576DA" w:rsidRDefault="00000000">
      <w:pPr>
        <w:spacing w:after="42"/>
        <w:ind w:left="-5"/>
      </w:pPr>
      <w:r>
        <w:t xml:space="preserve">When it comes to the happiness and satisfaction of its workforce, the Company takes a proactive stance. The Company's recruitment strategy </w:t>
      </w:r>
      <w:proofErr w:type="gramStart"/>
      <w:r>
        <w:t>takes into account</w:t>
      </w:r>
      <w:proofErr w:type="gramEnd"/>
      <w:r>
        <w:t xml:space="preserve"> the fact that talent can manifest in a variety of forms. The Company's policy is to provide equal opportunities for all employees, including those with disabilities, in terms of training, advancement, and promotion. </w:t>
      </w:r>
    </w:p>
    <w:p w14:paraId="5F80C529" w14:textId="77777777" w:rsidR="00C576DA" w:rsidRDefault="00000000">
      <w:pPr>
        <w:pStyle w:val="Heading2"/>
        <w:ind w:left="1065" w:hanging="720"/>
      </w:pPr>
      <w:proofErr w:type="spellStart"/>
      <w:r>
        <w:t>Empahsising</w:t>
      </w:r>
      <w:proofErr w:type="spellEnd"/>
      <w:r>
        <w:t xml:space="preserve"> communication </w:t>
      </w:r>
    </w:p>
    <w:p w14:paraId="6A18ACCE" w14:textId="77777777" w:rsidR="00C576DA" w:rsidRDefault="00000000">
      <w:pPr>
        <w:ind w:left="-5"/>
      </w:pPr>
      <w:r>
        <w:t xml:space="preserve">The Group places a high priority on its employees' active participation and has maintained an open line of communication with them regarding matters that influence them and the Company's success. To this end, the company hosts a weekly briefing for all employees called "Birmingham Buzz," has developed and launched an intranet called "The Foundry," hosts presentations from different functional areas at regular intervals called "Lunch and Learn" or "Teatime Talk," and sends out emails to all employees with important updates and </w:t>
      </w:r>
      <w:r>
        <w:lastRenderedPageBreak/>
        <w:t xml:space="preserve">announcements. The Group has started several groups for different types of employees, such as those from different racial and ethnic backgrounds, women, and anyone who identifies as a minority. </w:t>
      </w:r>
    </w:p>
    <w:p w14:paraId="4FAA3ECA" w14:textId="77777777" w:rsidR="00C576DA" w:rsidRDefault="00000000">
      <w:pPr>
        <w:pStyle w:val="Heading1"/>
        <w:ind w:left="705" w:hanging="360"/>
      </w:pPr>
      <w:r>
        <w:t xml:space="preserve">Values of Diversity, Tolerance, and Inclusion </w:t>
      </w:r>
    </w:p>
    <w:p w14:paraId="5137B10F" w14:textId="77777777" w:rsidR="00C576DA" w:rsidRDefault="00000000">
      <w:pPr>
        <w:ind w:left="-5"/>
      </w:pPr>
      <w:r>
        <w:t xml:space="preserve">In addition to the Group's legal responsibilities under the Equality Act 2010, the Public Sector Equality Duty, and any other applicable equality law, the Company's approach to EDI is grounded in the following five principles: </w:t>
      </w:r>
    </w:p>
    <w:p w14:paraId="609078F2" w14:textId="77777777" w:rsidR="00C576DA" w:rsidRDefault="00000000">
      <w:pPr>
        <w:ind w:left="-5"/>
      </w:pPr>
      <w:r>
        <w:t xml:space="preserve">Educating and developing our shared understanding on issues of inequality; Connecting communities to the Games through engagement and participation; Developing a workforce reflective of the West Midlands; Delivering a highly accessible and inclusive Games; Creating a fair, supportive, and open culture throughout Games delivery. </w:t>
      </w:r>
    </w:p>
    <w:p w14:paraId="217CB65B" w14:textId="77777777" w:rsidR="00C576DA" w:rsidRDefault="00000000">
      <w:pPr>
        <w:spacing w:after="244"/>
        <w:ind w:left="-5"/>
      </w:pPr>
      <w:r>
        <w:t xml:space="preserve">The National Centre for Diversity has recognised the Company as a Leader in Diversity and granted the company accreditation. The business is actively pursuing its EDI strategy. Based on data from the National Diversity Centre, the company ranks as the fourteenth most inclusive workplace in the country for 2021. </w:t>
      </w:r>
    </w:p>
    <w:p w14:paraId="486C7DC0" w14:textId="77777777" w:rsidR="00C576DA" w:rsidRDefault="00000000">
      <w:pPr>
        <w:pStyle w:val="Heading1"/>
        <w:ind w:left="705" w:hanging="360"/>
      </w:pPr>
      <w:r>
        <w:t xml:space="preserve">The Analysis of the Situation </w:t>
      </w:r>
    </w:p>
    <w:p w14:paraId="05210D8A" w14:textId="77777777" w:rsidR="00C576DA" w:rsidRDefault="00000000">
      <w:pPr>
        <w:ind w:left="-5"/>
      </w:pPr>
      <w:r>
        <w:t xml:space="preserve">Humanitarian workers and the local community can conduct a situation analysis to better understand the circumstances around a displacement or crisis, allowing for better decision-making, prioritisation of tasks, and planning of operations to ensure the highest level of protection is provided. An integral part of </w:t>
      </w:r>
      <w:proofErr w:type="spellStart"/>
      <w:r>
        <w:t>resultbased</w:t>
      </w:r>
      <w:proofErr w:type="spellEnd"/>
      <w:r>
        <w:t xml:space="preserve"> management, this phase helps shape subsequent phases including project planning and goal setting. The UNHCR's situation analysis process consists of three interconnected phases: information analysis, stakeholder resource and capacity mapping, and participatory assessment. This allows all parties involved </w:t>
      </w:r>
      <w:r>
        <w:lastRenderedPageBreak/>
        <w:t xml:space="preserve">to arrive at a mutual understanding of the protection risks, capacities, and solutions at hand. </w:t>
      </w:r>
    </w:p>
    <w:p w14:paraId="601111FD" w14:textId="77777777" w:rsidR="00C576DA" w:rsidRDefault="00000000">
      <w:pPr>
        <w:spacing w:line="259" w:lineRule="auto"/>
        <w:ind w:left="-5"/>
      </w:pPr>
      <w:r>
        <w:t xml:space="preserve">Community action plans, humanitarian appeals amongst organisations, and </w:t>
      </w:r>
    </w:p>
    <w:p w14:paraId="09EC1338" w14:textId="77777777" w:rsidR="00C576DA" w:rsidRDefault="00000000">
      <w:pPr>
        <w:ind w:left="-5"/>
      </w:pPr>
      <w:r>
        <w:t xml:space="preserve">UNHCR country operation plans are all possible outcomes of such a collaborative planning approach. No matter the current state of the operation, it is important to do regular situation analyses. Interagency and stakeholder planning sessions would benefit from including community-based organisation representatives. The analysis is carried out by a desk assessment of the available material, which includes population data. </w:t>
      </w:r>
    </w:p>
    <w:p w14:paraId="40AA0BEF" w14:textId="77777777" w:rsidR="00C576DA" w:rsidRDefault="00000000">
      <w:pPr>
        <w:spacing w:after="244"/>
        <w:ind w:left="-5"/>
      </w:pPr>
      <w:r>
        <w:t xml:space="preserve">Finding and learning about the many stakeholders' interests and priorities, as well as charting their respective activities, resources, and areas of expertise, is also part of this process. The reliability of the current data and analysis is then put to the test by conducting a participatory assessment with various members of the public to learn about their protection risks, capacities, and ideas. The assessment's </w:t>
      </w:r>
      <w:proofErr w:type="gramStart"/>
      <w:r>
        <w:t>final results</w:t>
      </w:r>
      <w:proofErr w:type="gramEnd"/>
      <w:r>
        <w:t xml:space="preserve">, protection risks, recommended solutions, and resource implications should be analysed collaboratively by all relevant parties in order to set priorities, design programmes and budgets, and draught action plans. </w:t>
      </w:r>
    </w:p>
    <w:p w14:paraId="56989954" w14:textId="77777777" w:rsidR="00C576DA" w:rsidRDefault="00000000">
      <w:pPr>
        <w:pStyle w:val="Heading1"/>
        <w:spacing w:after="252"/>
        <w:ind w:left="360" w:right="45" w:hanging="360"/>
        <w:jc w:val="right"/>
      </w:pPr>
      <w:r>
        <w:t xml:space="preserve">Internal and external variables affecting the Community engagement </w:t>
      </w:r>
    </w:p>
    <w:p w14:paraId="373F0CA0" w14:textId="77777777" w:rsidR="00C576DA" w:rsidRDefault="00000000">
      <w:pPr>
        <w:ind w:left="-5"/>
      </w:pPr>
      <w:r>
        <w:t xml:space="preserve">Keep the following in mind as you conduct your age, gender, and diversity analysis on the data you already possess: </w:t>
      </w:r>
    </w:p>
    <w:p w14:paraId="08D41931" w14:textId="77777777" w:rsidR="00C576DA" w:rsidRDefault="00000000">
      <w:pPr>
        <w:ind w:left="-5"/>
      </w:pPr>
      <w:r>
        <w:t xml:space="preserve">Who is at most risk, and what other features the community </w:t>
      </w:r>
      <w:proofErr w:type="gramStart"/>
      <w:r>
        <w:t>as a whole possesses</w:t>
      </w:r>
      <w:proofErr w:type="gramEnd"/>
      <w:r>
        <w:t xml:space="preserve"> in terms of the abilities and resources of its members. The community's formal and informal structures, as well as the people who serve diverse positions within them, interact to determine daily routines. </w:t>
      </w:r>
    </w:p>
    <w:p w14:paraId="4BD70FB8" w14:textId="77777777" w:rsidR="00C576DA" w:rsidRDefault="00000000">
      <w:pPr>
        <w:ind w:left="-5"/>
      </w:pPr>
      <w:r>
        <w:t xml:space="preserve">A discussion of the methods used to ensure that people of various ages, races, and abilities are represented in community governance and decision making. </w:t>
      </w:r>
      <w:r>
        <w:lastRenderedPageBreak/>
        <w:t xml:space="preserve">Safeguards have been put in place, with an emphasis on meeting the needs of the disabled and other marginalised populations.  </w:t>
      </w:r>
    </w:p>
    <w:p w14:paraId="1482D20C" w14:textId="77777777" w:rsidR="00C576DA" w:rsidRDefault="00000000">
      <w:pPr>
        <w:ind w:left="-5"/>
      </w:pPr>
      <w:r>
        <w:t xml:space="preserve">Being in control of valuable assets in the black market, such as real estate, machinery, expertise, and relationships. Intergroup relations and the distribution of power in a community. Who has power, and how are they using it? How exactly does it work then? Who is this helping, anyway? Tourists can unwind and take use of the many government and community services offered at no cost. Tensions and discordant exchanges between the locals and the helpless. </w:t>
      </w:r>
    </w:p>
    <w:p w14:paraId="79C0E5C8" w14:textId="77777777" w:rsidR="00C576DA" w:rsidRDefault="00000000">
      <w:pPr>
        <w:spacing w:after="244"/>
        <w:ind w:left="-5"/>
      </w:pPr>
      <w:r>
        <w:t xml:space="preserve">Critical security concerns and long-term approaches to addressing them. Tell me about the state of things back home and the adjustments that have been made since you were compelled to leave. Where and with whom should we concentrate our joint efforts? </w:t>
      </w:r>
    </w:p>
    <w:p w14:paraId="783C182C" w14:textId="77777777" w:rsidR="00C576DA" w:rsidRDefault="00000000">
      <w:pPr>
        <w:pStyle w:val="Heading1"/>
        <w:ind w:left="705" w:hanging="360"/>
      </w:pPr>
      <w:r>
        <w:t xml:space="preserve">Conclusion </w:t>
      </w:r>
    </w:p>
    <w:p w14:paraId="34784D31" w14:textId="77777777" w:rsidR="00C576DA" w:rsidRDefault="00000000">
      <w:pPr>
        <w:ind w:left="-5"/>
      </w:pPr>
      <w:r>
        <w:t xml:space="preserve">The local city council and GOLDOC collaborated on a series of Connect Community events to encourage residents to live healthier, more active, and more sustainable lives while also fostering a sense of civic pride. The goal of these endeavours was to facilitate communication about gaming experiences across the state by enlisting the help of local clubs and groups. To foster understanding and respect between Indigenous Australians and the rest of Australia's population, the Reconciliation Action Plan was drafted. In order to get the local population involved in Festival 2018, organisers on the Gold Coast developed cultural activities. Community legacy initiatives in Queensland aimed to foster a deeper sense of community among more than just the residents of the host places. Queensland's educational institutions have introduced new cultural and educational projects that will have a long-lasting impact on the state and its residents. Cultural events were held before, during, and after GC2018 to entertain both locals and visitors. While most groups participated, there was some </w:t>
      </w:r>
      <w:r>
        <w:lastRenderedPageBreak/>
        <w:t xml:space="preserve">indication that those with substantial linguistic and cultural distinctions were less inclined to do so. The 15,000 "game shapers" who volunteered their time and efforts to make GC2108 a success were a great representation of the community's dedication to the event. </w:t>
      </w:r>
    </w:p>
    <w:p w14:paraId="0636185C" w14:textId="77777777" w:rsidR="00C576DA" w:rsidRDefault="00000000">
      <w:pPr>
        <w:pStyle w:val="Heading2"/>
        <w:numPr>
          <w:ilvl w:val="0"/>
          <w:numId w:val="0"/>
        </w:numPr>
        <w:spacing w:after="192"/>
        <w:ind w:left="-5"/>
        <w:jc w:val="both"/>
      </w:pPr>
      <w:r>
        <w:rPr>
          <w:b w:val="0"/>
          <w:sz w:val="24"/>
        </w:rPr>
        <w:t>References</w:t>
      </w:r>
      <w:r>
        <w:rPr>
          <w:b w:val="0"/>
        </w:rPr>
        <w:t xml:space="preserve"> </w:t>
      </w:r>
    </w:p>
    <w:p w14:paraId="645146CE" w14:textId="77777777" w:rsidR="00C576DA" w:rsidRDefault="00000000">
      <w:pPr>
        <w:spacing w:after="117" w:line="359" w:lineRule="auto"/>
        <w:ind w:left="-5"/>
      </w:pPr>
      <w:proofErr w:type="spellStart"/>
      <w:r>
        <w:rPr>
          <w:sz w:val="24"/>
        </w:rPr>
        <w:t>Absalyamov</w:t>
      </w:r>
      <w:proofErr w:type="spellEnd"/>
      <w:r>
        <w:rPr>
          <w:sz w:val="24"/>
        </w:rPr>
        <w:t xml:space="preserve">, T. 2015. The influence of cultural and sports mega-events on sustainable development of the city. Procedia-Social </w:t>
      </w:r>
      <w:proofErr w:type="spellStart"/>
      <w:r>
        <w:rPr>
          <w:sz w:val="24"/>
        </w:rPr>
        <w:t>Behav</w:t>
      </w:r>
      <w:proofErr w:type="spellEnd"/>
      <w:r>
        <w:rPr>
          <w:sz w:val="24"/>
        </w:rPr>
        <w:t>. Sci. 188, 197–201. [</w:t>
      </w:r>
      <w:proofErr w:type="spellStart"/>
      <w:r>
        <w:rPr>
          <w:sz w:val="24"/>
        </w:rPr>
        <w:t>CrossRef</w:t>
      </w:r>
      <w:proofErr w:type="spellEnd"/>
      <w:r>
        <w:rPr>
          <w:sz w:val="24"/>
        </w:rPr>
        <w:t xml:space="preserve">] </w:t>
      </w:r>
    </w:p>
    <w:p w14:paraId="1D162E52" w14:textId="77777777" w:rsidR="00C576DA" w:rsidRDefault="00000000">
      <w:pPr>
        <w:spacing w:after="117" w:line="259" w:lineRule="auto"/>
        <w:ind w:left="-5"/>
      </w:pPr>
      <w:r>
        <w:rPr>
          <w:sz w:val="24"/>
        </w:rPr>
        <w:t xml:space="preserve">Birmingham.gov.uk. (n.d.). £778m investment into city and region to deliver Commonwealth </w:t>
      </w:r>
    </w:p>
    <w:p w14:paraId="76FBBF53" w14:textId="77777777" w:rsidR="00C576DA" w:rsidRDefault="00000000">
      <w:pPr>
        <w:tabs>
          <w:tab w:val="center" w:pos="1252"/>
          <w:tab w:val="center" w:pos="2445"/>
          <w:tab w:val="center" w:pos="3820"/>
          <w:tab w:val="center" w:pos="4998"/>
          <w:tab w:val="center" w:pos="6350"/>
          <w:tab w:val="center" w:pos="7758"/>
          <w:tab w:val="right" w:pos="9032"/>
        </w:tabs>
        <w:spacing w:after="117" w:line="259" w:lineRule="auto"/>
        <w:ind w:left="-15" w:firstLine="0"/>
        <w:jc w:val="left"/>
      </w:pPr>
      <w:r>
        <w:rPr>
          <w:sz w:val="24"/>
        </w:rPr>
        <w:t xml:space="preserve">Games </w:t>
      </w:r>
      <w:r>
        <w:rPr>
          <w:sz w:val="24"/>
        </w:rPr>
        <w:tab/>
        <w:t xml:space="preserve">| </w:t>
      </w:r>
      <w:r>
        <w:rPr>
          <w:sz w:val="24"/>
        </w:rPr>
        <w:tab/>
        <w:t xml:space="preserve">Birmingham </w:t>
      </w:r>
      <w:r>
        <w:rPr>
          <w:sz w:val="24"/>
        </w:rPr>
        <w:tab/>
        <w:t xml:space="preserve">City </w:t>
      </w:r>
      <w:r>
        <w:rPr>
          <w:sz w:val="24"/>
        </w:rPr>
        <w:tab/>
        <w:t xml:space="preserve">Council. </w:t>
      </w:r>
      <w:r>
        <w:rPr>
          <w:sz w:val="24"/>
        </w:rPr>
        <w:tab/>
        <w:t xml:space="preserve">[online] </w:t>
      </w:r>
      <w:r>
        <w:rPr>
          <w:sz w:val="24"/>
        </w:rPr>
        <w:tab/>
        <w:t xml:space="preserve">Available </w:t>
      </w:r>
      <w:r>
        <w:rPr>
          <w:sz w:val="24"/>
        </w:rPr>
        <w:tab/>
        <w:t xml:space="preserve">at: </w:t>
      </w:r>
    </w:p>
    <w:p w14:paraId="32E7D48E" w14:textId="77777777" w:rsidR="00C576DA" w:rsidRDefault="00000000">
      <w:pPr>
        <w:spacing w:after="121" w:line="357" w:lineRule="auto"/>
        <w:ind w:left="-5"/>
      </w:pPr>
      <w:r>
        <w:rPr>
          <w:color w:val="0000FF"/>
          <w:sz w:val="24"/>
          <w:u w:val="single" w:color="0000FF"/>
        </w:rPr>
        <w:t xml:space="preserve">https://www.birmingham.gov.uk/news/article/438/778m_investment_into_city_and_region_t </w:t>
      </w:r>
      <w:proofErr w:type="spellStart"/>
      <w:r>
        <w:rPr>
          <w:color w:val="0000FF"/>
          <w:sz w:val="24"/>
          <w:u w:val="single" w:color="0000FF"/>
        </w:rPr>
        <w:t>o_deliver_commonwealth_games</w:t>
      </w:r>
      <w:proofErr w:type="spellEnd"/>
      <w:r>
        <w:rPr>
          <w:sz w:val="24"/>
        </w:rPr>
        <w:t xml:space="preserve">. </w:t>
      </w:r>
    </w:p>
    <w:p w14:paraId="02D219BD" w14:textId="77777777" w:rsidR="00C576DA" w:rsidRDefault="00000000">
      <w:pPr>
        <w:spacing w:after="117" w:line="259" w:lineRule="auto"/>
        <w:ind w:left="-5"/>
      </w:pPr>
      <w:r>
        <w:rPr>
          <w:sz w:val="24"/>
        </w:rPr>
        <w:t xml:space="preserve">Britishcouncil.org. (2022). Commonwealth Games, 2022. Schools Resource | British Council. </w:t>
      </w:r>
    </w:p>
    <w:p w14:paraId="51322C72" w14:textId="77777777" w:rsidR="00C576DA" w:rsidRDefault="00000000">
      <w:pPr>
        <w:spacing w:after="117" w:line="359" w:lineRule="auto"/>
        <w:ind w:left="-5"/>
      </w:pPr>
      <w:r>
        <w:rPr>
          <w:sz w:val="24"/>
        </w:rPr>
        <w:t xml:space="preserve">[online] </w:t>
      </w:r>
      <w:r>
        <w:rPr>
          <w:sz w:val="24"/>
        </w:rPr>
        <w:tab/>
        <w:t xml:space="preserve">Available </w:t>
      </w:r>
      <w:r>
        <w:rPr>
          <w:sz w:val="24"/>
        </w:rPr>
        <w:tab/>
        <w:t xml:space="preserve">at: </w:t>
      </w:r>
      <w:r>
        <w:rPr>
          <w:sz w:val="24"/>
        </w:rPr>
        <w:tab/>
        <w:t xml:space="preserve">https://www.britishcouncil.org/schoolresources/find/classroom/commonwealth-games-resource [Accessed 19 Nov. 2022]. </w:t>
      </w:r>
    </w:p>
    <w:p w14:paraId="0CDFE185" w14:textId="77777777" w:rsidR="00C576DA" w:rsidRDefault="00000000">
      <w:pPr>
        <w:spacing w:after="237" w:line="259" w:lineRule="auto"/>
        <w:ind w:left="-5"/>
      </w:pPr>
      <w:r>
        <w:rPr>
          <w:sz w:val="24"/>
        </w:rPr>
        <w:t xml:space="preserve">Boykoff, J. 2013. Celebration Capitalism and the Olympic Games; Routledge: London, UK.  </w:t>
      </w:r>
    </w:p>
    <w:p w14:paraId="03DB561B" w14:textId="77777777" w:rsidR="00C576DA" w:rsidRDefault="00000000">
      <w:pPr>
        <w:spacing w:after="117" w:line="259" w:lineRule="auto"/>
        <w:ind w:left="-5"/>
      </w:pPr>
      <w:r>
        <w:rPr>
          <w:sz w:val="24"/>
        </w:rPr>
        <w:t xml:space="preserve">Birmingham City University. (n.d.). A day in the life of: Irfan Khawaja. [online] Available at: </w:t>
      </w:r>
    </w:p>
    <w:p w14:paraId="1082F26C" w14:textId="77777777" w:rsidR="00C576DA" w:rsidRDefault="00000000">
      <w:pPr>
        <w:spacing w:after="117" w:line="359" w:lineRule="auto"/>
        <w:ind w:left="-5"/>
      </w:pPr>
      <w:r>
        <w:rPr>
          <w:sz w:val="24"/>
        </w:rPr>
        <w:t xml:space="preserve">https://www.bcu.ac.uk/health-sciences/about-us/school-blog/a-day-in-the-life-of-irfankhawaja [Accessed 19 Nov. 2022]. </w:t>
      </w:r>
    </w:p>
    <w:p w14:paraId="0A9ADDF2" w14:textId="77777777" w:rsidR="00C576DA" w:rsidRDefault="00000000">
      <w:pPr>
        <w:spacing w:after="1" w:line="359" w:lineRule="auto"/>
        <w:ind w:left="-5"/>
      </w:pPr>
      <w:r>
        <w:rPr>
          <w:sz w:val="24"/>
        </w:rPr>
        <w:t xml:space="preserve">Commonwealth. (n.d.). Birmingham 2022 to help boost development and health outcomes across the Commonwealth. [online] Available at: </w:t>
      </w:r>
    </w:p>
    <w:p w14:paraId="7241560B" w14:textId="77777777" w:rsidR="00C576DA" w:rsidRDefault="00000000">
      <w:pPr>
        <w:spacing w:after="117" w:line="359" w:lineRule="auto"/>
        <w:ind w:left="-5"/>
      </w:pPr>
      <w:r>
        <w:rPr>
          <w:sz w:val="24"/>
        </w:rPr>
        <w:t xml:space="preserve">https://thecommonwealth.org/news/birmingham-2022-help-boost-development-and-healthoutcomes-across-commonwealth. </w:t>
      </w:r>
    </w:p>
    <w:p w14:paraId="4F8EC8A0" w14:textId="77777777" w:rsidR="00C576DA" w:rsidRDefault="00000000">
      <w:pPr>
        <w:spacing w:after="117" w:line="359" w:lineRule="auto"/>
        <w:ind w:left="-5"/>
      </w:pPr>
      <w:r>
        <w:rPr>
          <w:sz w:val="24"/>
        </w:rPr>
        <w:t xml:space="preserve">Dunn, C. (2022). Commonwealth Games 2022. [online] The Royal Family. Available at: https://www.royal.uk/commonwealth-games-2022 [Accessed 2 Dec. 2022]. </w:t>
      </w:r>
    </w:p>
    <w:p w14:paraId="33B379DE" w14:textId="77777777" w:rsidR="00C576DA" w:rsidRDefault="00000000">
      <w:pPr>
        <w:spacing w:after="117" w:line="359" w:lineRule="auto"/>
        <w:ind w:left="-5"/>
      </w:pPr>
      <w:r>
        <w:rPr>
          <w:sz w:val="24"/>
        </w:rPr>
        <w:t xml:space="preserve">Fourie, J. 2010. Santana-Gallego, M. The Impact of Mega-events on Tourist Arrivals; Working Paper Number 171; Stellenbosch University: Stellenbosch, South Africa. </w:t>
      </w:r>
    </w:p>
    <w:p w14:paraId="07570807" w14:textId="77777777" w:rsidR="00C576DA" w:rsidRDefault="00000000">
      <w:pPr>
        <w:spacing w:after="121" w:line="357" w:lineRule="auto"/>
        <w:ind w:left="-5"/>
      </w:pPr>
      <w:r>
        <w:rPr>
          <w:sz w:val="24"/>
        </w:rPr>
        <w:t xml:space="preserve">Commonwealth Games - Birmingham 2022. Equality, Diversity and Inclusion. [online] Available at: </w:t>
      </w:r>
      <w:r>
        <w:rPr>
          <w:color w:val="0000FF"/>
          <w:sz w:val="24"/>
          <w:u w:val="single" w:color="0000FF"/>
        </w:rPr>
        <w:t>https://www.birmingham2022.com/corporate/governance/freedom-ofinformation-publication-scheme/equality-diversity-and-inclusion/</w:t>
      </w:r>
      <w:r>
        <w:rPr>
          <w:sz w:val="24"/>
        </w:rPr>
        <w:t xml:space="preserve">. </w:t>
      </w:r>
    </w:p>
    <w:p w14:paraId="30DBA7DF" w14:textId="77777777" w:rsidR="00C576DA" w:rsidRDefault="00000000">
      <w:pPr>
        <w:spacing w:after="117" w:line="259" w:lineRule="auto"/>
        <w:ind w:left="-5"/>
      </w:pPr>
      <w:r>
        <w:rPr>
          <w:sz w:val="24"/>
        </w:rPr>
        <w:lastRenderedPageBreak/>
        <w:t xml:space="preserve">Commonwealth Games - Birmingham 2022. We Went All Out. [online] Available at: </w:t>
      </w:r>
    </w:p>
    <w:p w14:paraId="75C3D9BE" w14:textId="77777777" w:rsidR="00C576DA" w:rsidRDefault="00000000">
      <w:pPr>
        <w:spacing w:after="237" w:line="259" w:lineRule="auto"/>
        <w:ind w:left="-5"/>
      </w:pPr>
      <w:r>
        <w:rPr>
          <w:sz w:val="24"/>
        </w:rPr>
        <w:t xml:space="preserve">https://www.birmingham2022.com/festival [Accessed 19 Nov. 2022]. </w:t>
      </w:r>
    </w:p>
    <w:p w14:paraId="75855604" w14:textId="77777777" w:rsidR="00C576DA" w:rsidRDefault="00000000">
      <w:pPr>
        <w:spacing w:after="117" w:line="359" w:lineRule="auto"/>
        <w:ind w:left="-5"/>
      </w:pPr>
      <w:r>
        <w:rPr>
          <w:sz w:val="24"/>
        </w:rPr>
        <w:t xml:space="preserve">Commonwealth Games – Birmingham, 2022. Our Partners. [online] Available at: </w:t>
      </w:r>
      <w:r>
        <w:rPr>
          <w:color w:val="0000FF"/>
          <w:sz w:val="24"/>
          <w:u w:val="single" w:color="0000FF"/>
        </w:rPr>
        <w:t>https://www.birmingham2022.com/corporate/who-we-are/our-partners</w:t>
      </w:r>
      <w:r>
        <w:rPr>
          <w:sz w:val="24"/>
        </w:rPr>
        <w:t xml:space="preserve">. </w:t>
      </w:r>
    </w:p>
    <w:p w14:paraId="1741CB5F" w14:textId="77777777" w:rsidR="00C576DA" w:rsidRDefault="00000000">
      <w:pPr>
        <w:spacing w:after="117" w:line="359" w:lineRule="auto"/>
        <w:ind w:left="-5"/>
      </w:pPr>
      <w:r>
        <w:rPr>
          <w:sz w:val="24"/>
        </w:rPr>
        <w:t xml:space="preserve">Commonwealth Games – Birmingham, 2022. Our Purpose and Brand. [online] Available at: https://www.birmingham2022.com/about-us/our-purpose#:~:text=everything%20we%20do.- [Accessed 19 Nov. 2022]. </w:t>
      </w:r>
    </w:p>
    <w:p w14:paraId="5223AEFD" w14:textId="77777777" w:rsidR="00C576DA" w:rsidRDefault="00000000">
      <w:pPr>
        <w:spacing w:after="123" w:line="358" w:lineRule="auto"/>
        <w:ind w:left="-5" w:right="-12"/>
        <w:jc w:val="left"/>
      </w:pPr>
      <w:r>
        <w:rPr>
          <w:sz w:val="24"/>
        </w:rPr>
        <w:t xml:space="preserve">GOV.UK. (n.d.). Birmingham 2022 Commonwealth Games: the highlights. [online] Available </w:t>
      </w:r>
      <w:r>
        <w:rPr>
          <w:sz w:val="24"/>
        </w:rPr>
        <w:tab/>
        <w:t xml:space="preserve">at: </w:t>
      </w:r>
      <w:r>
        <w:rPr>
          <w:sz w:val="24"/>
        </w:rPr>
        <w:tab/>
        <w:t xml:space="preserve">https://www.gov.uk/government/publications/birmingham-2022commonwealth-games-the-highlights/birmingham-2022-commonwealth-games-thehighlights#evaluation [Accessed 19 Nov. 2022]. </w:t>
      </w:r>
    </w:p>
    <w:p w14:paraId="3DFCF195" w14:textId="77777777" w:rsidR="00C576DA" w:rsidRDefault="00000000">
      <w:pPr>
        <w:spacing w:after="232" w:line="259" w:lineRule="auto"/>
        <w:ind w:left="0" w:firstLine="0"/>
        <w:jc w:val="left"/>
      </w:pPr>
      <w:r>
        <w:rPr>
          <w:sz w:val="24"/>
        </w:rPr>
        <w:t xml:space="preserve"> </w:t>
      </w:r>
    </w:p>
    <w:p w14:paraId="2BCCBA85" w14:textId="77777777" w:rsidR="00C576DA" w:rsidRDefault="00000000">
      <w:pPr>
        <w:spacing w:after="232" w:line="259" w:lineRule="auto"/>
        <w:ind w:left="0" w:firstLine="0"/>
        <w:jc w:val="left"/>
      </w:pPr>
      <w:r>
        <w:rPr>
          <w:sz w:val="24"/>
        </w:rPr>
        <w:t xml:space="preserve"> </w:t>
      </w:r>
    </w:p>
    <w:p w14:paraId="681C4E8A" w14:textId="77777777" w:rsidR="00C576DA" w:rsidRDefault="00000000">
      <w:pPr>
        <w:spacing w:after="117" w:line="359" w:lineRule="auto"/>
        <w:ind w:left="-5"/>
      </w:pPr>
      <w:r>
        <w:rPr>
          <w:sz w:val="24"/>
        </w:rPr>
        <w:t>Jones, C. 2001. Mega-events and host-region impacts: Determining the true worth of the 1999 Rugby World Cup. Int. J. Tour. Res. 3, 241–251. [</w:t>
      </w:r>
      <w:proofErr w:type="spellStart"/>
      <w:r>
        <w:rPr>
          <w:sz w:val="24"/>
        </w:rPr>
        <w:t>CrossRef</w:t>
      </w:r>
      <w:proofErr w:type="spellEnd"/>
      <w:r>
        <w:rPr>
          <w:sz w:val="24"/>
        </w:rPr>
        <w:t xml:space="preserve">] </w:t>
      </w:r>
    </w:p>
    <w:p w14:paraId="20FDF640" w14:textId="77777777" w:rsidR="00C576DA" w:rsidRDefault="00000000">
      <w:pPr>
        <w:spacing w:after="117" w:line="359" w:lineRule="auto"/>
        <w:ind w:left="-5"/>
      </w:pPr>
      <w:r>
        <w:rPr>
          <w:sz w:val="24"/>
        </w:rPr>
        <w:t xml:space="preserve">Kim, </w:t>
      </w:r>
      <w:proofErr w:type="spellStart"/>
      <w:r>
        <w:rPr>
          <w:sz w:val="24"/>
        </w:rPr>
        <w:t>Hee</w:t>
      </w:r>
      <w:proofErr w:type="spellEnd"/>
      <w:r>
        <w:rPr>
          <w:sz w:val="24"/>
        </w:rPr>
        <w:t xml:space="preserve"> </w:t>
      </w:r>
      <w:proofErr w:type="spellStart"/>
      <w:r>
        <w:rPr>
          <w:sz w:val="24"/>
        </w:rPr>
        <w:t>Dae</w:t>
      </w:r>
      <w:proofErr w:type="spellEnd"/>
      <w:r>
        <w:rPr>
          <w:sz w:val="24"/>
        </w:rPr>
        <w:t xml:space="preserve">, Lee, In, and Lee, Choong Kwon. 2013. “Building Web 2.0 Enterprises: A Study of Small and Medium Enterprises in the United States.” International Small Business Journal, 31(2): 156 –174. </w:t>
      </w:r>
      <w:proofErr w:type="spellStart"/>
      <w:r>
        <w:rPr>
          <w:color w:val="DD3333"/>
          <w:sz w:val="24"/>
          <w:u w:val="single" w:color="DD3333"/>
        </w:rPr>
        <w:t>Crossref</w:t>
      </w:r>
      <w:proofErr w:type="spellEnd"/>
      <w:r>
        <w:rPr>
          <w:sz w:val="24"/>
        </w:rPr>
        <w:t xml:space="preserve"> </w:t>
      </w:r>
    </w:p>
    <w:p w14:paraId="49DCC13A" w14:textId="77777777" w:rsidR="00C576DA" w:rsidRDefault="00000000">
      <w:pPr>
        <w:spacing w:after="237" w:line="259" w:lineRule="auto"/>
        <w:ind w:left="0" w:firstLine="0"/>
        <w:jc w:val="left"/>
      </w:pPr>
      <w:r>
        <w:rPr>
          <w:sz w:val="24"/>
        </w:rPr>
        <w:t xml:space="preserve"> </w:t>
      </w:r>
    </w:p>
    <w:p w14:paraId="34EDAEF4" w14:textId="77777777" w:rsidR="00C576DA" w:rsidRDefault="00000000">
      <w:pPr>
        <w:spacing w:after="117" w:line="359" w:lineRule="auto"/>
        <w:ind w:left="-5"/>
      </w:pPr>
      <w:r>
        <w:rPr>
          <w:sz w:val="24"/>
        </w:rPr>
        <w:t xml:space="preserve">Kaplan, Andreas M., and </w:t>
      </w:r>
      <w:proofErr w:type="spellStart"/>
      <w:r>
        <w:rPr>
          <w:sz w:val="24"/>
        </w:rPr>
        <w:t>Haenlein</w:t>
      </w:r>
      <w:proofErr w:type="spellEnd"/>
      <w:r>
        <w:rPr>
          <w:sz w:val="24"/>
        </w:rPr>
        <w:t xml:space="preserve">, Michael. 2010. “Users of the World, Unite! The Challenges and Opportunities of </w:t>
      </w:r>
      <w:proofErr w:type="gramStart"/>
      <w:r>
        <w:rPr>
          <w:sz w:val="24"/>
        </w:rPr>
        <w:t>Social Media</w:t>
      </w:r>
      <w:proofErr w:type="gramEnd"/>
      <w:r>
        <w:rPr>
          <w:sz w:val="24"/>
        </w:rPr>
        <w:t xml:space="preserve">.” Business Horizons, 53(1): 59-68. </w:t>
      </w:r>
      <w:proofErr w:type="spellStart"/>
      <w:r>
        <w:rPr>
          <w:sz w:val="24"/>
        </w:rPr>
        <w:t>Crossref</w:t>
      </w:r>
      <w:proofErr w:type="spellEnd"/>
      <w:r>
        <w:rPr>
          <w:sz w:val="24"/>
        </w:rPr>
        <w:t xml:space="preserve"> </w:t>
      </w:r>
    </w:p>
    <w:p w14:paraId="1D5D9B2A" w14:textId="77777777" w:rsidR="00C576DA" w:rsidRDefault="00000000">
      <w:pPr>
        <w:spacing w:after="117" w:line="359" w:lineRule="auto"/>
        <w:ind w:left="-5"/>
      </w:pPr>
      <w:r>
        <w:rPr>
          <w:sz w:val="24"/>
        </w:rPr>
        <w:t xml:space="preserve">Kane, Gerald C., </w:t>
      </w:r>
      <w:proofErr w:type="spellStart"/>
      <w:r>
        <w:rPr>
          <w:sz w:val="24"/>
        </w:rPr>
        <w:t>Alavi</w:t>
      </w:r>
      <w:proofErr w:type="spellEnd"/>
      <w:r>
        <w:rPr>
          <w:sz w:val="24"/>
        </w:rPr>
        <w:t xml:space="preserve">, Maryam, </w:t>
      </w:r>
      <w:proofErr w:type="spellStart"/>
      <w:r>
        <w:rPr>
          <w:sz w:val="24"/>
        </w:rPr>
        <w:t>Labianca</w:t>
      </w:r>
      <w:proofErr w:type="spellEnd"/>
      <w:r>
        <w:rPr>
          <w:sz w:val="24"/>
        </w:rPr>
        <w:t xml:space="preserve">, Giuseppe (Joe), and </w:t>
      </w:r>
      <w:proofErr w:type="spellStart"/>
      <w:r>
        <w:rPr>
          <w:sz w:val="24"/>
        </w:rPr>
        <w:t>Borgatti</w:t>
      </w:r>
      <w:proofErr w:type="spellEnd"/>
      <w:r>
        <w:rPr>
          <w:sz w:val="24"/>
        </w:rPr>
        <w:t xml:space="preserve">, Stephen P. 2014. “What’s Different About Social Media Networks? A Framework and Research Agenda.” MIS Quarterly, 38(1): 275-304. </w:t>
      </w:r>
      <w:proofErr w:type="spellStart"/>
      <w:r>
        <w:rPr>
          <w:sz w:val="24"/>
        </w:rPr>
        <w:t>Crossref</w:t>
      </w:r>
      <w:proofErr w:type="spellEnd"/>
      <w:r>
        <w:rPr>
          <w:sz w:val="24"/>
        </w:rPr>
        <w:t xml:space="preserve"> </w:t>
      </w:r>
    </w:p>
    <w:p w14:paraId="2B16498A" w14:textId="77777777" w:rsidR="00C576DA" w:rsidRDefault="00000000">
      <w:pPr>
        <w:spacing w:after="232" w:line="259" w:lineRule="auto"/>
        <w:ind w:left="0" w:firstLine="0"/>
        <w:jc w:val="left"/>
      </w:pPr>
      <w:r>
        <w:rPr>
          <w:sz w:val="24"/>
        </w:rPr>
        <w:t xml:space="preserve"> </w:t>
      </w:r>
    </w:p>
    <w:p w14:paraId="110FFE37" w14:textId="77777777" w:rsidR="00C576DA" w:rsidRDefault="00000000">
      <w:pPr>
        <w:spacing w:after="117" w:line="359" w:lineRule="auto"/>
        <w:ind w:left="-5"/>
      </w:pPr>
      <w:proofErr w:type="spellStart"/>
      <w:r>
        <w:rPr>
          <w:sz w:val="24"/>
        </w:rPr>
        <w:t>Malecki</w:t>
      </w:r>
      <w:proofErr w:type="spellEnd"/>
      <w:r>
        <w:rPr>
          <w:sz w:val="24"/>
        </w:rPr>
        <w:t>, E. 2004. Jockeying for the position: What it means and why it matters to regional development policy when places compete. Reg. Stud, 38, 1101–1120. [</w:t>
      </w:r>
      <w:proofErr w:type="spellStart"/>
      <w:r>
        <w:rPr>
          <w:sz w:val="24"/>
        </w:rPr>
        <w:t>CrossRef</w:t>
      </w:r>
      <w:proofErr w:type="spellEnd"/>
      <w:r>
        <w:rPr>
          <w:sz w:val="24"/>
        </w:rPr>
        <w:t xml:space="preserve">] </w:t>
      </w:r>
    </w:p>
    <w:p w14:paraId="2D98379C" w14:textId="77777777" w:rsidR="00C576DA" w:rsidRDefault="00000000">
      <w:pPr>
        <w:spacing w:after="232" w:line="259" w:lineRule="auto"/>
        <w:ind w:left="0" w:firstLine="0"/>
        <w:jc w:val="left"/>
      </w:pPr>
      <w:r>
        <w:rPr>
          <w:sz w:val="24"/>
        </w:rPr>
        <w:t xml:space="preserve"> </w:t>
      </w:r>
    </w:p>
    <w:p w14:paraId="439A14EB" w14:textId="77777777" w:rsidR="00C576DA" w:rsidRDefault="00000000">
      <w:pPr>
        <w:spacing w:after="117" w:line="359" w:lineRule="auto"/>
        <w:ind w:left="-5"/>
      </w:pPr>
      <w:proofErr w:type="spellStart"/>
      <w:r>
        <w:rPr>
          <w:sz w:val="24"/>
        </w:rPr>
        <w:lastRenderedPageBreak/>
        <w:t>Maennig</w:t>
      </w:r>
      <w:proofErr w:type="spellEnd"/>
      <w:r>
        <w:rPr>
          <w:sz w:val="24"/>
        </w:rPr>
        <w:t xml:space="preserve">, W. 2009, Du Plessis, S. Sport stadia, sporting events and urban development: International experience and the ambitions of Durban. In Urban Forum; Springer: Dordrecht, The Netherlands; Volume 20, pp. 61–76 </w:t>
      </w:r>
    </w:p>
    <w:p w14:paraId="09214C86" w14:textId="77777777" w:rsidR="00C576DA" w:rsidRDefault="00000000">
      <w:pPr>
        <w:spacing w:after="117" w:line="359" w:lineRule="auto"/>
        <w:ind w:left="-5"/>
      </w:pPr>
      <w:proofErr w:type="spellStart"/>
      <w:r>
        <w:rPr>
          <w:sz w:val="24"/>
        </w:rPr>
        <w:t>Mcdaniel</w:t>
      </w:r>
      <w:proofErr w:type="spellEnd"/>
      <w:r>
        <w:rPr>
          <w:sz w:val="24"/>
        </w:rPr>
        <w:t xml:space="preserve">, R. (2011). What is Service Learning or Community Engagement? [online] Vanderbilt University. Available at: https://cft.vanderbilt.edu/guides-sub-pages/teachingthrough-community-engagement/. </w:t>
      </w:r>
    </w:p>
    <w:p w14:paraId="5D81594A" w14:textId="77777777" w:rsidR="00C576DA" w:rsidRDefault="00000000">
      <w:pPr>
        <w:spacing w:after="232" w:line="259" w:lineRule="auto"/>
        <w:ind w:left="0" w:firstLine="0"/>
        <w:jc w:val="left"/>
      </w:pPr>
      <w:r>
        <w:rPr>
          <w:sz w:val="24"/>
        </w:rPr>
        <w:t xml:space="preserve"> </w:t>
      </w:r>
    </w:p>
    <w:p w14:paraId="464B56F5" w14:textId="77777777" w:rsidR="00C576DA" w:rsidRDefault="00000000">
      <w:pPr>
        <w:spacing w:after="0" w:line="359" w:lineRule="auto"/>
        <w:ind w:left="-5"/>
      </w:pPr>
      <w:r>
        <w:rPr>
          <w:sz w:val="24"/>
        </w:rPr>
        <w:t xml:space="preserve">Ren, X. 2017. Aspirational Urbanism from Beijing to Rio de Janeiro: Olympic Cities in the Global South and Contradictions. J. Urban </w:t>
      </w:r>
      <w:proofErr w:type="spellStart"/>
      <w:r>
        <w:rPr>
          <w:sz w:val="24"/>
        </w:rPr>
        <w:t>Aff</w:t>
      </w:r>
      <w:proofErr w:type="spellEnd"/>
      <w:r>
        <w:rPr>
          <w:sz w:val="24"/>
        </w:rPr>
        <w:t>. 39, 894–908. [</w:t>
      </w:r>
      <w:proofErr w:type="spellStart"/>
      <w:r>
        <w:rPr>
          <w:sz w:val="24"/>
        </w:rPr>
        <w:t>CrossRef</w:t>
      </w:r>
      <w:proofErr w:type="spellEnd"/>
      <w:r>
        <w:rPr>
          <w:sz w:val="24"/>
        </w:rPr>
        <w:t xml:space="preserve">] </w:t>
      </w:r>
    </w:p>
    <w:p w14:paraId="5353BE22" w14:textId="77777777" w:rsidR="00C576DA" w:rsidRDefault="00000000">
      <w:pPr>
        <w:shd w:val="clear" w:color="auto" w:fill="F9F9F9"/>
        <w:spacing w:after="130" w:line="236" w:lineRule="auto"/>
        <w:ind w:left="0" w:firstLine="0"/>
        <w:jc w:val="left"/>
      </w:pPr>
      <w:proofErr w:type="spellStart"/>
      <w:r>
        <w:rPr>
          <w:sz w:val="24"/>
        </w:rPr>
        <w:t>Safko</w:t>
      </w:r>
      <w:proofErr w:type="spellEnd"/>
      <w:r>
        <w:rPr>
          <w:sz w:val="24"/>
        </w:rPr>
        <w:t xml:space="preserve">, Lon. 2010, The </w:t>
      </w:r>
      <w:proofErr w:type="gramStart"/>
      <w:r>
        <w:rPr>
          <w:sz w:val="24"/>
        </w:rPr>
        <w:t>Social Media Bible</w:t>
      </w:r>
      <w:proofErr w:type="gramEnd"/>
      <w:r>
        <w:rPr>
          <w:sz w:val="24"/>
        </w:rPr>
        <w:t xml:space="preserve">: Tactics, Tools, and Strategies for Business Success, Second </w:t>
      </w:r>
      <w:proofErr w:type="spellStart"/>
      <w:r>
        <w:rPr>
          <w:sz w:val="24"/>
        </w:rPr>
        <w:t>edn</w:t>
      </w:r>
      <w:proofErr w:type="spellEnd"/>
      <w:r>
        <w:rPr>
          <w:sz w:val="24"/>
        </w:rPr>
        <w:t xml:space="preserve">., John Wiley &amp; Sons, Inc, Hoboken, New Jersey. </w:t>
      </w:r>
    </w:p>
    <w:p w14:paraId="4EB202FB" w14:textId="77777777" w:rsidR="00C576DA" w:rsidRDefault="00000000">
      <w:pPr>
        <w:spacing w:after="232" w:line="259" w:lineRule="auto"/>
        <w:ind w:left="0" w:firstLine="0"/>
        <w:jc w:val="left"/>
      </w:pPr>
      <w:r>
        <w:rPr>
          <w:sz w:val="24"/>
        </w:rPr>
        <w:t xml:space="preserve"> </w:t>
      </w:r>
    </w:p>
    <w:p w14:paraId="1E292EDA" w14:textId="77777777" w:rsidR="00C576DA" w:rsidRDefault="00000000">
      <w:pPr>
        <w:spacing w:after="123" w:line="358" w:lineRule="auto"/>
        <w:ind w:left="-5" w:right="-12"/>
        <w:jc w:val="left"/>
      </w:pPr>
      <w:r>
        <w:rPr>
          <w:sz w:val="24"/>
        </w:rPr>
        <w:t xml:space="preserve">thecgf.com. (n.d.). Top 10 Commonwealth Sport Moments | Commonwealth Games Federation. [online] Available at: https://thecgf.com/stories/top-10-commonwealth-sportmoments. </w:t>
      </w:r>
    </w:p>
    <w:p w14:paraId="2CF7289A" w14:textId="77777777" w:rsidR="00C576DA" w:rsidRDefault="00000000">
      <w:pPr>
        <w:spacing w:after="117" w:line="359" w:lineRule="auto"/>
        <w:ind w:left="-5"/>
      </w:pPr>
      <w:r>
        <w:rPr>
          <w:sz w:val="24"/>
        </w:rPr>
        <w:t>Shin, H.B.; Li, B. 2013. Whose games? The costs of being “Olympic citizens” in Beijing. Environ. Urban. 25, 559–576. [</w:t>
      </w:r>
      <w:proofErr w:type="spellStart"/>
      <w:r>
        <w:rPr>
          <w:sz w:val="24"/>
        </w:rPr>
        <w:t>CrossRef</w:t>
      </w:r>
      <w:proofErr w:type="spellEnd"/>
      <w:r>
        <w:rPr>
          <w:sz w:val="24"/>
        </w:rPr>
        <w:t xml:space="preserve">] </w:t>
      </w:r>
    </w:p>
    <w:p w14:paraId="20DD79C2" w14:textId="77777777" w:rsidR="00C576DA" w:rsidRDefault="00000000">
      <w:pPr>
        <w:spacing w:after="232" w:line="259" w:lineRule="auto"/>
        <w:ind w:left="0" w:firstLine="0"/>
        <w:jc w:val="left"/>
      </w:pPr>
      <w:r>
        <w:rPr>
          <w:sz w:val="24"/>
        </w:rPr>
        <w:t xml:space="preserve"> </w:t>
      </w:r>
    </w:p>
    <w:p w14:paraId="6B94CAD6" w14:textId="77777777" w:rsidR="00C576DA" w:rsidRDefault="00000000">
      <w:pPr>
        <w:spacing w:after="237" w:line="259" w:lineRule="auto"/>
        <w:ind w:left="0" w:firstLine="0"/>
        <w:jc w:val="left"/>
      </w:pPr>
      <w:r>
        <w:rPr>
          <w:sz w:val="24"/>
        </w:rPr>
        <w:t xml:space="preserve"> </w:t>
      </w:r>
    </w:p>
    <w:p w14:paraId="463658E5" w14:textId="77777777" w:rsidR="00C576DA" w:rsidRDefault="00000000">
      <w:pPr>
        <w:spacing w:after="123" w:line="358" w:lineRule="auto"/>
        <w:ind w:left="-5" w:right="-12"/>
        <w:jc w:val="left"/>
      </w:pPr>
      <w:r>
        <w:rPr>
          <w:sz w:val="24"/>
        </w:rPr>
        <w:t xml:space="preserve">Youth Charter. 2022. YC 2022 Commonwealth Youth Manifesto (2022). [online] Available at: </w:t>
      </w:r>
      <w:r>
        <w:rPr>
          <w:sz w:val="24"/>
        </w:rPr>
        <w:tab/>
        <w:t xml:space="preserve">https://www.youthcharter.org/product-page/yc-2022-commonwealth-youth-manifesto2022 [Accessed 19 Nov. 2022]. </w:t>
      </w:r>
    </w:p>
    <w:sectPr w:rsidR="00C576DA">
      <w:pgSz w:w="11906" w:h="16838"/>
      <w:pgMar w:top="1460" w:right="1424" w:bottom="1509" w:left="1449"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262BE"/>
    <w:multiLevelType w:val="multilevel"/>
    <w:tmpl w:val="B7FA9D86"/>
    <w:lvl w:ilvl="0">
      <w:start w:val="1"/>
      <w:numFmt w:val="decimal"/>
      <w:lvlText w:val="%1."/>
      <w:lvlJc w:val="left"/>
      <w:pPr>
        <w:ind w:left="6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start w:val="1"/>
      <w:numFmt w:val="decimal"/>
      <w:lvlText w:val="%1.%2."/>
      <w:lvlJc w:val="left"/>
      <w:pPr>
        <w:ind w:left="6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start w:val="1"/>
      <w:numFmt w:val="lowerRoman"/>
      <w:lvlText w:val="%3"/>
      <w:lvlJc w:val="left"/>
      <w:pPr>
        <w:ind w:left="13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20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7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4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42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9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6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32E65E18"/>
    <w:multiLevelType w:val="hybridMultilevel"/>
    <w:tmpl w:val="F6ACC594"/>
    <w:lvl w:ilvl="0" w:tplc="6FDA9B24">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44C81842">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E872FC82">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C1C2E0F4">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72C6978C">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646E3814">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AF40C26E">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A9DAC3F2">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AA0E6B7E">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2" w15:restartNumberingAfterBreak="0">
    <w:nsid w:val="7F6C274E"/>
    <w:multiLevelType w:val="multilevel"/>
    <w:tmpl w:val="20769786"/>
    <w:lvl w:ilvl="0">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2">
      <w:start w:val="1"/>
      <w:numFmt w:val="lowerRoman"/>
      <w:lvlText w:val="%3"/>
      <w:lvlJc w:val="left"/>
      <w:pPr>
        <w:ind w:left="144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216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88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60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432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504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76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abstractNum>
  <w:num w:numId="1" w16cid:durableId="1351251112">
    <w:abstractNumId w:val="0"/>
  </w:num>
  <w:num w:numId="2" w16cid:durableId="899487077">
    <w:abstractNumId w:val="1"/>
  </w:num>
  <w:num w:numId="3" w16cid:durableId="1889600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6DA"/>
    <w:rsid w:val="00C21769"/>
    <w:rsid w:val="00C57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784178"/>
  <w15:docId w15:val="{B26A2A29-522D-8B45-B411-FE3AA8EC7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6" w:line="361" w:lineRule="auto"/>
      <w:ind w:left="10" w:hanging="10"/>
      <w:jc w:val="both"/>
    </w:pPr>
    <w:rPr>
      <w:rFonts w:ascii="Times New Roman" w:eastAsia="Times New Roman" w:hAnsi="Times New Roman" w:cs="Times New Roman"/>
      <w:color w:val="000000"/>
      <w:sz w:val="28"/>
    </w:rPr>
  </w:style>
  <w:style w:type="paragraph" w:styleId="Heading1">
    <w:name w:val="heading 1"/>
    <w:next w:val="Normal"/>
    <w:link w:val="Heading1Char"/>
    <w:uiPriority w:val="9"/>
    <w:qFormat/>
    <w:pPr>
      <w:keepNext/>
      <w:keepLines/>
      <w:numPr>
        <w:numId w:val="3"/>
      </w:numPr>
      <w:spacing w:after="254" w:line="259" w:lineRule="auto"/>
      <w:ind w:left="370"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numPr>
        <w:ilvl w:val="1"/>
        <w:numId w:val="3"/>
      </w:numPr>
      <w:spacing w:after="254" w:line="259" w:lineRule="auto"/>
      <w:ind w:left="370" w:hanging="10"/>
      <w:outlineLvl w:val="1"/>
    </w:pPr>
    <w:rPr>
      <w:rFonts w:ascii="Times New Roman" w:eastAsia="Times New Roman" w:hAnsi="Times New Roman" w:cs="Times New Roman"/>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2Char">
    <w:name w:val="Heading 2 Char"/>
    <w:link w:val="Heading2"/>
    <w:rPr>
      <w:rFonts w:ascii="Times New Roman" w:eastAsia="Times New Roman" w:hAnsi="Times New Roman" w:cs="Times New Roman"/>
      <w:b/>
      <w:color w:val="000000"/>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3394</Words>
  <Characters>19348</Characters>
  <Application>Microsoft Office Word</Application>
  <DocSecurity>0</DocSecurity>
  <Lines>161</Lines>
  <Paragraphs>45</Paragraphs>
  <ScaleCrop>false</ScaleCrop>
  <Company/>
  <LinksUpToDate>false</LinksUpToDate>
  <CharactersWithSpaces>22697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Common Wealth Games (Edited).docx</dc:title>
  <dc:subject/>
  <dc:creator>Ivaylo Bakalov (2128950)</dc:creator>
  <cp:keywords/>
  <cp:lastModifiedBy>Ivaylo Bakalov (2128950)</cp:lastModifiedBy>
  <cp:revision>2</cp:revision>
  <dcterms:created xsi:type="dcterms:W3CDTF">2022-12-02T23:49:00Z</dcterms:created>
  <dcterms:modified xsi:type="dcterms:W3CDTF">2022-12-02T23:49:00Z</dcterms:modified>
</cp:coreProperties>
</file>