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40336737"/>
        <w:docPartObj>
          <w:docPartGallery w:val="Cover Pages"/>
          <w:docPartUnique/>
        </w:docPartObj>
      </w:sdtPr>
      <w:sdtEndPr>
        <w:rPr>
          <w:rFonts w:ascii="Calibri" w:hAnsi="Calibri" w:eastAsia="Calibri" w:cs="Calibri"/>
        </w:rPr>
      </w:sdtEndPr>
      <w:sdtContent>
        <w:p w:rsidR="007347C5" w:rsidRDefault="007347C5" w14:paraId="26D69A5A" w14:textId="23940942">
          <w:r>
            <w:rPr>
              <w:noProof/>
            </w:rPr>
            <mc:AlternateContent>
              <mc:Choice Requires="wps">
                <w:drawing>
                  <wp:anchor distT="0" distB="0" distL="114300" distR="114300" simplePos="0" relativeHeight="251664384" behindDoc="0" locked="0" layoutInCell="1" allowOverlap="1" wp14:anchorId="11EC42B1" wp14:editId="2FC74B8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7347C5" w:rsidRDefault="00000000" w14:paraId="2913BCF2" w14:textId="40A548CC">
                                <w:pPr>
                                  <w:pStyle w:val="SemEspaamento"/>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7347C5">
                                      <w:rPr>
                                        <w:noProof/>
                                        <w:color w:val="44546A" w:themeColor="text2"/>
                                      </w:rPr>
                                      <w:t>Gabriel Aragão (2405655)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w14:anchorId="11EC42B1">
                    <v:stroke joinstyle="miter"/>
                    <v:path gradientshapeok="t" o:connecttype="rect"/>
                  </v:shapetype>
                  <v:shape id="Text Box 255"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v:textbox style="mso-fit-shape-to-text:t">
                      <w:txbxContent>
                        <w:p w:rsidR="007347C5" w:rsidRDefault="007347C5" w14:paraId="2913BCF2" w14:textId="40A548C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Gabriel Aragão (2405655)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BA961F9" wp14:editId="7C203E75">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7347C5" w:rsidRDefault="007347C5" w14:paraId="75446960" w14:textId="7777777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25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7" fillcolor="#d9e2f3 [660]" stroked="f" strokeweight="1pt" w14:anchorId="0BA961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v:fill type="gradient" color2="#8eaadb [1940]" focus="100%" rotate="t">
                      <o:fill v:ext="view" type="gradientUnscaled"/>
                    </v:fill>
                    <v:textbox inset="21.6pt,,21.6pt">
                      <w:txbxContent>
                        <w:p w:rsidR="007347C5" w:rsidRDefault="007347C5" w14:paraId="75446960" w14:textId="7777777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C0906C3" wp14:editId="0155553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347C5" w:rsidRDefault="00000000" w14:paraId="5C8B836E" w14:textId="3148E47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2A6A56">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25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spid="_x0000_s1028" fillcolor="#44546a [3215]" stroked="f" strokeweight="1pt" w14:anchorId="7C0906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v:textbox inset="14.4pt,14.4pt,14.4pt,28.8pt">
                      <w:txbxContent>
                        <w:p w:rsidR="007347C5" w:rsidRDefault="00000000" w14:paraId="5C8B836E" w14:textId="3148E47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2A6A56">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1B2C186" wp14:editId="01B70169">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261"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47070 [1614]" strokeweight="1.25pt" w14:anchorId="5A592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4BDBBE9" wp14:editId="5DDEBE4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263"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4472c4 [3204]" stroked="f" strokeweight="1pt" w14:anchorId="617D17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5367219" wp14:editId="54C40DC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hAnsiTheme="majorHAnsi" w:eastAsiaTheme="majorEastAsia"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7347C5" w:rsidRDefault="00B73264" w14:paraId="6F3E0107" w14:textId="66A21AE6">
                                    <w:pPr>
                                      <w:spacing w:line="240" w:lineRule="auto"/>
                                      <w:rPr>
                                        <w:rFonts w:asciiTheme="majorHAnsi" w:hAnsiTheme="majorHAnsi" w:eastAsiaTheme="majorEastAsia" w:cstheme="majorBidi"/>
                                        <w:noProof/>
                                        <w:color w:val="4472C4" w:themeColor="accent1"/>
                                        <w:sz w:val="72"/>
                                        <w:szCs w:val="144"/>
                                      </w:rPr>
                                    </w:pPr>
                                    <w:r>
                                      <w:rPr>
                                        <w:rFonts w:asciiTheme="majorHAnsi" w:hAnsiTheme="majorHAnsi" w:eastAsiaTheme="majorEastAsia" w:cstheme="majorBidi"/>
                                        <w:noProof/>
                                        <w:color w:val="4472C4" w:themeColor="accent1"/>
                                        <w:sz w:val="72"/>
                                        <w:szCs w:val="72"/>
                                      </w:rPr>
                                      <w:t>Data Security, Governance and Compliance</w:t>
                                    </w:r>
                                  </w:p>
                                </w:sdtContent>
                              </w:sdt>
                              <w:sdt>
                                <w:sdtPr>
                                  <w:rPr>
                                    <w:rFonts w:asciiTheme="majorHAnsi" w:hAnsiTheme="majorHAnsi" w:eastAsiaTheme="majorEastAsia"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7347C5" w:rsidRDefault="00B73264" w14:paraId="38BA633A" w14:textId="389892F8">
                                    <w:pPr>
                                      <w:rPr>
                                        <w:rFonts w:asciiTheme="majorHAnsi" w:hAnsiTheme="majorHAnsi" w:eastAsiaTheme="majorEastAsia" w:cstheme="majorBidi"/>
                                        <w:noProof/>
                                        <w:color w:val="44546A" w:themeColor="text2"/>
                                        <w:sz w:val="32"/>
                                        <w:szCs w:val="40"/>
                                      </w:rPr>
                                    </w:pPr>
                                    <w:r>
                                      <w:rPr>
                                        <w:rFonts w:asciiTheme="majorHAnsi" w:hAnsiTheme="majorHAnsi" w:eastAsiaTheme="majorEastAsia" w:cstheme="majorBidi"/>
                                        <w:noProof/>
                                        <w:color w:val="44546A" w:themeColor="text2"/>
                                        <w:sz w:val="32"/>
                                        <w:szCs w:val="32"/>
                                      </w:rPr>
                                      <w:t>An Applied Framework Analysis and Governance Model for NatureGreen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w14:anchorId="45367219">
                    <v:stroke joinstyle="miter"/>
                    <v:path gradientshapeok="t" o:connecttype="rect"/>
                  </v:shapetype>
                  <v:shape id="Text Box 265"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v:textbox style="mso-fit-shape-to-text:t">
                      <w:txbxContent>
                        <w:sdt>
                          <w:sdtPr>
                            <w:rPr>
                              <w:rFonts w:asciiTheme="majorHAnsi" w:hAnsiTheme="majorHAnsi" w:eastAsiaTheme="majorEastAsia"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7347C5" w:rsidRDefault="00B73264" w14:paraId="6F3E0107" w14:textId="66A21AE6">
                              <w:pPr>
                                <w:spacing w:line="240" w:lineRule="auto"/>
                                <w:rPr>
                                  <w:rFonts w:asciiTheme="majorHAnsi" w:hAnsiTheme="majorHAnsi" w:eastAsiaTheme="majorEastAsia" w:cstheme="majorBidi"/>
                                  <w:noProof/>
                                  <w:color w:val="4472C4" w:themeColor="accent1"/>
                                  <w:sz w:val="72"/>
                                  <w:szCs w:val="144"/>
                                </w:rPr>
                              </w:pPr>
                              <w:r>
                                <w:rPr>
                                  <w:rFonts w:asciiTheme="majorHAnsi" w:hAnsiTheme="majorHAnsi" w:eastAsiaTheme="majorEastAsia" w:cstheme="majorBidi"/>
                                  <w:noProof/>
                                  <w:color w:val="4472C4" w:themeColor="accent1"/>
                                  <w:sz w:val="72"/>
                                  <w:szCs w:val="72"/>
                                </w:rPr>
                                <w:t>Data Security, Governance and Compliance</w:t>
                              </w:r>
                            </w:p>
                          </w:sdtContent>
                        </w:sdt>
                        <w:sdt>
                          <w:sdtPr>
                            <w:rPr>
                              <w:rFonts w:asciiTheme="majorHAnsi" w:hAnsiTheme="majorHAnsi" w:eastAsiaTheme="majorEastAsia"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7347C5" w:rsidRDefault="00B73264" w14:paraId="38BA633A" w14:textId="389892F8">
                              <w:pPr>
                                <w:rPr>
                                  <w:rFonts w:asciiTheme="majorHAnsi" w:hAnsiTheme="majorHAnsi" w:eastAsiaTheme="majorEastAsia" w:cstheme="majorBidi"/>
                                  <w:noProof/>
                                  <w:color w:val="44546A" w:themeColor="text2"/>
                                  <w:sz w:val="32"/>
                                  <w:szCs w:val="40"/>
                                </w:rPr>
                              </w:pPr>
                              <w:r>
                                <w:rPr>
                                  <w:rFonts w:asciiTheme="majorHAnsi" w:hAnsiTheme="majorHAnsi" w:eastAsiaTheme="majorEastAsia" w:cstheme="majorBidi"/>
                                  <w:noProof/>
                                  <w:color w:val="44546A" w:themeColor="text2"/>
                                  <w:sz w:val="32"/>
                                  <w:szCs w:val="32"/>
                                </w:rPr>
                                <w:t>An Applied Framework Analysis and Governance Model for NatureGreen</w:t>
                              </w:r>
                            </w:p>
                          </w:sdtContent>
                        </w:sdt>
                      </w:txbxContent>
                    </v:textbox>
                    <w10:wrap type="square" anchorx="page" anchory="page"/>
                  </v:shape>
                </w:pict>
              </mc:Fallback>
            </mc:AlternateContent>
          </w:r>
        </w:p>
        <w:p w:rsidR="007347C5" w:rsidRDefault="007347C5" w14:paraId="0587EF73" w14:textId="0051B6A8">
          <w:pPr>
            <w:rPr>
              <w:rFonts w:ascii="Calibri" w:hAnsi="Calibri" w:eastAsia="Calibri" w:cs="Calibri"/>
              <w:b/>
              <w:bCs/>
              <w:color w:val="000000" w:themeColor="text1"/>
              <w:sz w:val="30"/>
              <w:szCs w:val="30"/>
            </w:rPr>
          </w:pPr>
          <w:r>
            <w:rPr>
              <w:rFonts w:ascii="Calibri" w:hAnsi="Calibri" w:eastAsia="Calibri" w:cs="Calibri"/>
            </w:rPr>
            <w:br w:type="page"/>
          </w:r>
        </w:p>
      </w:sdtContent>
    </w:sdt>
    <w:p w:rsidR="00116349" w:rsidP="454DA209" w:rsidRDefault="00116349" w14:paraId="036A88EE" w14:textId="77777777">
      <w:pPr>
        <w:pStyle w:val="Ttulo3"/>
        <w:rPr>
          <w:rFonts w:ascii="Calibri" w:hAnsi="Calibri" w:eastAsia="Calibri" w:cs="Calibri"/>
        </w:rPr>
      </w:pPr>
    </w:p>
    <w:p w:rsidR="00116349" w:rsidP="454DA209" w:rsidRDefault="00116349" w14:paraId="6D4D0A60" w14:textId="77777777">
      <w:pPr>
        <w:pStyle w:val="Ttulo3"/>
        <w:rPr>
          <w:rFonts w:ascii="Calibri" w:hAnsi="Calibri" w:eastAsia="Calibri" w:cs="Calibri"/>
        </w:rPr>
      </w:pPr>
    </w:p>
    <w:p w:rsidR="00116349" w:rsidP="454DA209" w:rsidRDefault="00116349" w14:paraId="28A2AF55" w14:textId="77777777">
      <w:pPr>
        <w:pStyle w:val="Ttulo3"/>
        <w:rPr>
          <w:rFonts w:ascii="Calibri" w:hAnsi="Calibri" w:eastAsia="Calibri" w:cs="Calibri"/>
        </w:rPr>
      </w:pPr>
    </w:p>
    <w:p w:rsidR="00116349" w:rsidP="454DA209" w:rsidRDefault="00116349" w14:paraId="51E2FDD2" w14:textId="77777777">
      <w:pPr>
        <w:pStyle w:val="Ttulo3"/>
        <w:rPr>
          <w:rFonts w:ascii="Calibri" w:hAnsi="Calibri" w:eastAsia="Calibri" w:cs="Calibri"/>
        </w:rPr>
      </w:pPr>
    </w:p>
    <w:p w:rsidR="00116349" w:rsidP="454DA209" w:rsidRDefault="00116349" w14:paraId="30819C5C" w14:textId="77777777">
      <w:pPr>
        <w:pStyle w:val="Ttulo3"/>
        <w:rPr>
          <w:rFonts w:ascii="Calibri" w:hAnsi="Calibri" w:eastAsia="Calibri" w:cs="Calibri"/>
        </w:rPr>
      </w:pPr>
    </w:p>
    <w:p w:rsidR="00116349" w:rsidP="454DA209" w:rsidRDefault="00116349" w14:paraId="1227AC0A" w14:textId="77777777">
      <w:pPr>
        <w:pStyle w:val="Ttulo3"/>
        <w:rPr>
          <w:rFonts w:ascii="Calibri" w:hAnsi="Calibri" w:eastAsia="Calibri" w:cs="Calibri"/>
        </w:rPr>
      </w:pPr>
    </w:p>
    <w:p w:rsidR="00116349" w:rsidP="454DA209" w:rsidRDefault="00116349" w14:paraId="6CEA3471" w14:textId="77777777">
      <w:pPr>
        <w:pStyle w:val="Ttulo3"/>
        <w:rPr>
          <w:rFonts w:ascii="Calibri" w:hAnsi="Calibri" w:eastAsia="Calibri" w:cs="Calibri"/>
        </w:rPr>
      </w:pPr>
    </w:p>
    <w:p w:rsidR="00116349" w:rsidP="454DA209" w:rsidRDefault="00116349" w14:paraId="1B58DD29" w14:textId="77777777">
      <w:pPr>
        <w:pStyle w:val="Ttulo3"/>
        <w:rPr>
          <w:rFonts w:ascii="Calibri" w:hAnsi="Calibri" w:eastAsia="Calibri" w:cs="Calibri"/>
        </w:rPr>
      </w:pPr>
    </w:p>
    <w:p w:rsidR="00116349" w:rsidP="454DA209" w:rsidRDefault="00116349" w14:paraId="363C70CD" w14:textId="77777777">
      <w:pPr>
        <w:pStyle w:val="Ttulo3"/>
        <w:rPr>
          <w:rFonts w:ascii="Calibri" w:hAnsi="Calibri" w:eastAsia="Calibri" w:cs="Calibri"/>
        </w:rPr>
      </w:pPr>
    </w:p>
    <w:p w:rsidR="00116349" w:rsidP="454DA209" w:rsidRDefault="00116349" w14:paraId="362A03D2" w14:textId="77777777">
      <w:pPr>
        <w:pStyle w:val="Ttulo3"/>
        <w:rPr>
          <w:rFonts w:ascii="Calibri" w:hAnsi="Calibri" w:eastAsia="Calibri" w:cs="Calibri"/>
        </w:rPr>
      </w:pPr>
    </w:p>
    <w:p w:rsidR="00116349" w:rsidP="454DA209" w:rsidRDefault="00116349" w14:paraId="5600EEDE" w14:textId="77777777">
      <w:pPr>
        <w:pStyle w:val="Ttulo3"/>
        <w:rPr>
          <w:rFonts w:ascii="Calibri" w:hAnsi="Calibri" w:eastAsia="Calibri" w:cs="Calibri"/>
        </w:rPr>
      </w:pPr>
    </w:p>
    <w:p w:rsidR="00116349" w:rsidP="454DA209" w:rsidRDefault="00116349" w14:paraId="1C9A0784" w14:textId="77777777">
      <w:pPr>
        <w:pStyle w:val="Ttulo3"/>
        <w:rPr>
          <w:rFonts w:ascii="Calibri" w:hAnsi="Calibri" w:eastAsia="Calibri" w:cs="Calibri"/>
        </w:rPr>
      </w:pPr>
    </w:p>
    <w:p w:rsidR="00116349" w:rsidP="454DA209" w:rsidRDefault="00116349" w14:paraId="2D7FF90C" w14:textId="77777777">
      <w:pPr>
        <w:pStyle w:val="Ttulo3"/>
        <w:rPr>
          <w:rFonts w:ascii="Calibri" w:hAnsi="Calibri" w:eastAsia="Calibri" w:cs="Calibri"/>
        </w:rPr>
      </w:pPr>
    </w:p>
    <w:p w:rsidR="00116349" w:rsidP="454DA209" w:rsidRDefault="00116349" w14:paraId="166E8FCF" w14:textId="77777777">
      <w:pPr>
        <w:pStyle w:val="Ttulo3"/>
        <w:rPr>
          <w:rFonts w:ascii="Calibri" w:hAnsi="Calibri" w:eastAsia="Calibri" w:cs="Calibri"/>
        </w:rPr>
      </w:pPr>
    </w:p>
    <w:p w:rsidR="00116349" w:rsidP="454DA209" w:rsidRDefault="00116349" w14:paraId="638EEAF8" w14:textId="77777777">
      <w:pPr>
        <w:pStyle w:val="Ttulo3"/>
        <w:rPr>
          <w:rFonts w:ascii="Calibri" w:hAnsi="Calibri" w:eastAsia="Calibri" w:cs="Calibri"/>
        </w:rPr>
      </w:pPr>
    </w:p>
    <w:p w:rsidR="00116349" w:rsidP="454DA209" w:rsidRDefault="00116349" w14:paraId="2DB128E5" w14:textId="77777777">
      <w:pPr>
        <w:pStyle w:val="Ttulo3"/>
        <w:rPr>
          <w:rFonts w:ascii="Calibri" w:hAnsi="Calibri" w:eastAsia="Calibri" w:cs="Calibri"/>
        </w:rPr>
      </w:pPr>
    </w:p>
    <w:p w:rsidR="00116349" w:rsidP="454DA209" w:rsidRDefault="00116349" w14:paraId="797BC1E4" w14:textId="77777777">
      <w:pPr>
        <w:pStyle w:val="Ttulo3"/>
        <w:rPr>
          <w:rFonts w:ascii="Calibri" w:hAnsi="Calibri" w:eastAsia="Calibri" w:cs="Calibri"/>
        </w:rPr>
      </w:pPr>
    </w:p>
    <w:p w:rsidR="00116349" w:rsidP="454DA209" w:rsidRDefault="00116349" w14:paraId="3AD57136" w14:textId="77777777">
      <w:pPr>
        <w:pStyle w:val="Ttulo3"/>
        <w:rPr>
          <w:rFonts w:ascii="Calibri" w:hAnsi="Calibri" w:eastAsia="Calibri" w:cs="Calibri"/>
        </w:rPr>
      </w:pPr>
    </w:p>
    <w:p w:rsidR="00116349" w:rsidP="454DA209" w:rsidRDefault="00116349" w14:paraId="1EB9EBC3" w14:textId="77777777">
      <w:pPr>
        <w:pStyle w:val="Ttulo3"/>
        <w:rPr>
          <w:rFonts w:ascii="Calibri" w:hAnsi="Calibri" w:eastAsia="Calibri" w:cs="Calibri"/>
        </w:rPr>
      </w:pPr>
    </w:p>
    <w:p w:rsidR="668EA57D" w:rsidP="454DA209" w:rsidRDefault="668EA57D" w14:paraId="41D8C104" w14:textId="2964E535">
      <w:pPr>
        <w:pStyle w:val="Ttulo3"/>
        <w:rPr>
          <w:rFonts w:ascii="Calibri" w:hAnsi="Calibri" w:eastAsia="Calibri" w:cs="Calibri"/>
        </w:rPr>
      </w:pPr>
      <w:r w:rsidRPr="454DA209">
        <w:rPr>
          <w:rFonts w:ascii="Calibri" w:hAnsi="Calibri" w:eastAsia="Calibri" w:cs="Calibri"/>
        </w:rPr>
        <w:t>ABSTRACT</w:t>
      </w:r>
    </w:p>
    <w:p w:rsidR="668EA57D" w:rsidP="454DA209" w:rsidRDefault="668EA57D" w14:paraId="69968F5B" w14:textId="6FE89CBA">
      <w:pPr>
        <w:spacing w:before="240" w:after="240"/>
        <w:rPr>
          <w:color w:val="000000" w:themeColor="text1"/>
        </w:rPr>
      </w:pPr>
      <w:r w:rsidRPr="454DA209">
        <w:rPr>
          <w:color w:val="000000" w:themeColor="text1"/>
        </w:rPr>
        <w:t>This report ai</w:t>
      </w:r>
      <w:r w:rsidRPr="454DA209" w:rsidR="17B94CFB">
        <w:rPr>
          <w:color w:val="000000" w:themeColor="text1"/>
        </w:rPr>
        <w:t xml:space="preserve">ms </w:t>
      </w:r>
      <w:r w:rsidRPr="454DA209">
        <w:rPr>
          <w:color w:val="000000" w:themeColor="text1"/>
        </w:rPr>
        <w:t>to discuss how NatureGreen, a global health and wellness organisation with a substantial use of cloud services and wireless connectivity, can stren</w:t>
      </w:r>
      <w:r w:rsidRPr="454DA209" w:rsidR="4C9A4A9C">
        <w:rPr>
          <w:color w:val="000000" w:themeColor="text1"/>
        </w:rPr>
        <w:t xml:space="preserve">gthen its information security, governance, and compliance practices. The focus of the study is </w:t>
      </w:r>
      <w:r w:rsidRPr="454DA209" w:rsidR="5EAE13D5">
        <w:rPr>
          <w:color w:val="000000" w:themeColor="text1"/>
        </w:rPr>
        <w:t xml:space="preserve">mainly </w:t>
      </w:r>
      <w:r w:rsidRPr="454DA209" w:rsidR="4C9A4A9C">
        <w:rPr>
          <w:color w:val="000000" w:themeColor="text1"/>
        </w:rPr>
        <w:t>on ISO/IEC 27001 and the SOC 2 Trust Services Criteria, since both offer different but complementary approaches to managing security</w:t>
      </w:r>
      <w:r w:rsidRPr="454DA209" w:rsidR="66AC2135">
        <w:rPr>
          <w:color w:val="000000" w:themeColor="text1"/>
        </w:rPr>
        <w:t>, especially on a cloud environment focused company</w:t>
      </w:r>
      <w:r w:rsidRPr="454DA209" w:rsidR="4C9A4A9C">
        <w:rPr>
          <w:color w:val="000000" w:themeColor="text1"/>
        </w:rPr>
        <w:t>. ISO 27001 provides a structured base for governance and risk management, while SOC 2 takes a more practical, operations-focused approach that is especially relevant for cloud-based environments.</w:t>
      </w:r>
    </w:p>
    <w:p w:rsidR="4C9A4A9C" w:rsidP="454DA209" w:rsidRDefault="4C9A4A9C" w14:paraId="64C68FFD" w14:textId="442D5D50">
      <w:pPr>
        <w:spacing w:before="240" w:after="240"/>
        <w:rPr>
          <w:color w:val="000000" w:themeColor="text1"/>
        </w:rPr>
      </w:pPr>
      <w:r w:rsidRPr="454DA209">
        <w:rPr>
          <w:color w:val="000000" w:themeColor="text1"/>
        </w:rPr>
        <w:t xml:space="preserve">The report </w:t>
      </w:r>
      <w:r w:rsidRPr="454DA209" w:rsidR="781575AC">
        <w:rPr>
          <w:color w:val="000000" w:themeColor="text1"/>
        </w:rPr>
        <w:t xml:space="preserve">uses </w:t>
      </w:r>
      <w:r w:rsidRPr="454DA209">
        <w:rPr>
          <w:color w:val="000000" w:themeColor="text1"/>
        </w:rPr>
        <w:t xml:space="preserve">these frameworks to </w:t>
      </w:r>
      <w:r w:rsidRPr="454DA209" w:rsidR="00665D29">
        <w:rPr>
          <w:color w:val="000000" w:themeColor="text1"/>
        </w:rPr>
        <w:t xml:space="preserve">appeal to </w:t>
      </w:r>
      <w:r w:rsidRPr="454DA209">
        <w:rPr>
          <w:color w:val="000000" w:themeColor="text1"/>
        </w:rPr>
        <w:t>NatureGreen’s current challenges, such as the use of personal devices, protecting intellectual property, relying on third-party cloud providers, and being prepared for security incidents. It includes key elements like Zero Trust architecture, a practical model for classifying data, and a risk register suitable for a global business. It also highlights the need for security standards to keep evolving in response to new technologies, emerging threats, and growing regulatory demands. In conclusion, combining ISO 27001 and SOC 2 is presented as a realistic and long-term solution for improving NatureGreen’s overall security resilience.</w:t>
      </w:r>
    </w:p>
    <w:p w:rsidR="454DA209" w:rsidP="454DA209" w:rsidRDefault="454DA209" w14:paraId="0C5F23C3" w14:textId="70B544D5">
      <w:pPr>
        <w:spacing w:before="240" w:after="240" w:line="240" w:lineRule="auto"/>
        <w:rPr>
          <w:color w:val="000000" w:themeColor="text1"/>
        </w:rPr>
      </w:pPr>
    </w:p>
    <w:p w:rsidR="454DA209" w:rsidP="454DA209" w:rsidRDefault="454DA209" w14:paraId="7E5E7E50" w14:textId="4720BE53">
      <w:pPr>
        <w:spacing w:after="0" w:line="240" w:lineRule="auto"/>
        <w:rPr>
          <w:color w:val="000000" w:themeColor="text1"/>
        </w:rPr>
      </w:pPr>
    </w:p>
    <w:p w:rsidR="668EA57D" w:rsidP="454DA209" w:rsidRDefault="668EA57D" w14:paraId="503443C0" w14:textId="6EA767BF">
      <w:pPr>
        <w:pStyle w:val="Ttulo3"/>
        <w:rPr>
          <w:rFonts w:ascii="Calibri" w:hAnsi="Calibri" w:eastAsia="Calibri" w:cs="Calibri"/>
        </w:rPr>
      </w:pPr>
      <w:r w:rsidRPr="454DA209">
        <w:rPr>
          <w:rFonts w:ascii="Calibri" w:hAnsi="Calibri" w:eastAsia="Calibri" w:cs="Calibri"/>
        </w:rPr>
        <w:t>INTRODUCTION</w:t>
      </w:r>
    </w:p>
    <w:p w:rsidR="668EA57D" w:rsidP="454DA209" w:rsidRDefault="668EA57D" w14:paraId="08BB3360" w14:textId="682AB2AD">
      <w:pPr>
        <w:spacing w:before="240" w:after="240"/>
        <w:rPr>
          <w:color w:val="000000" w:themeColor="text1"/>
        </w:rPr>
      </w:pPr>
      <w:r w:rsidRPr="454DA209">
        <w:rPr>
          <w:color w:val="000000" w:themeColor="text1"/>
        </w:rPr>
        <w:t>NatureGreen (NG) is a large international organisation in the health and wellbeing sector whose operations depend heavily on cloud services, wireless connectivity, and online platforms. This technology model creates significant exposure to information security and privacy risks that can affect internal functions, third-party relationships, and a global customer base. These risks have increased further following pressure to allow staff and customers to access corporate resources using personal devices, which introduces inconsistent security posture, weaker visibility, and greater risk of unauthorised access.</w:t>
      </w:r>
    </w:p>
    <w:p w:rsidR="668EA57D" w:rsidP="454DA209" w:rsidRDefault="668EA57D" w14:paraId="16ABD81D" w14:textId="5C10542A">
      <w:pPr>
        <w:spacing w:before="240" w:after="240"/>
        <w:rPr>
          <w:color w:val="000000" w:themeColor="text1"/>
        </w:rPr>
      </w:pPr>
      <w:r w:rsidRPr="454DA209">
        <w:rPr>
          <w:color w:val="000000" w:themeColor="text1"/>
        </w:rPr>
        <w:t xml:space="preserve"> </w:t>
      </w:r>
    </w:p>
    <w:p w:rsidR="668EA57D" w:rsidP="454DA209" w:rsidRDefault="668EA57D" w14:paraId="489A1E67" w14:textId="20F9030A">
      <w:pPr>
        <w:spacing w:before="240" w:after="240"/>
        <w:rPr>
          <w:color w:val="000000" w:themeColor="text1"/>
        </w:rPr>
      </w:pPr>
      <w:r w:rsidRPr="454DA209">
        <w:rPr>
          <w:color w:val="000000" w:themeColor="text1"/>
        </w:rPr>
        <w:t>At present, NG lacks a clearly defined security policy framework and a formal governance and compliance structure. Without documented responsibilities, standardised controls, and repeatable processes, security implementation becomes inconsistent and difficult to measure. In organisations of NG’s scale, these weaknesses are rarely caused only by technical gaps. They usually reflect wider shortcomings in accountability, decision-making, and oversight, which can leave the organisation vulnerable to data breaches, intellectual property misuse, and disruption to critical business services.</w:t>
      </w:r>
    </w:p>
    <w:p w:rsidR="668EA57D" w:rsidP="454DA209" w:rsidRDefault="668EA57D" w14:paraId="4A71AE43" w14:textId="4A846A78">
      <w:pPr>
        <w:spacing w:before="240" w:after="240"/>
        <w:rPr>
          <w:color w:val="000000" w:themeColor="text1"/>
        </w:rPr>
      </w:pPr>
      <w:r w:rsidRPr="454DA209">
        <w:rPr>
          <w:color w:val="000000" w:themeColor="text1"/>
        </w:rPr>
        <w:t xml:space="preserve"> </w:t>
      </w:r>
    </w:p>
    <w:p w:rsidR="668EA57D" w:rsidP="678A2080" w:rsidRDefault="0F7B6D56" w14:paraId="5A1C95F5" w14:textId="40C53B90">
      <w:pPr>
        <w:spacing w:before="240" w:after="240"/>
        <w:rPr>
          <w:color w:val="000000" w:themeColor="text1"/>
        </w:rPr>
      </w:pPr>
      <w:r w:rsidRPr="678A2080">
        <w:rPr>
          <w:color w:val="000000" w:themeColor="text1"/>
        </w:rPr>
        <w:t xml:space="preserve">Modern organisations are also expected to demonstrate that security controls are designed, implemented, and continuously maintained, particularly when cloud services and external providers form part of delivery. ISO/IEC 27001 provides a governance-led structure for building an Information Security Management System (ISMS) and managing risk through defined policies, roles, and continual improvement </w:t>
      </w:r>
      <w:sdt>
        <w:sdtPr>
          <w:alias w:val="Citation"/>
          <w:tag w:val="{&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25009689,&quot;citationText&quot;:&quot;&lt;span style=\&quot;font-family:Times New Roman;font-size:16px;color:#000000\&quot;&gt;[1]&lt;/span&gt;&quot;}"/>
          <w:id w:val="425009689"/>
          <w:placeholder>
            <w:docPart w:val="DefaultPlaceholder_-1854013440"/>
          </w:placeholder>
        </w:sdtPr>
        <w:sdtContent>
          <w:r w:rsidRPr="678A2080" w:rsidR="0802DD5B">
            <w:rPr>
              <w:color w:val="000000" w:themeColor="text1"/>
            </w:rPr>
            <w:t>[1]</w:t>
          </w:r>
        </w:sdtContent>
      </w:sdt>
      <w:r>
        <w:t xml:space="preserve">. In comparison, SOC 2 provides a controls-based assurance model that is commonly used in cloud and SaaS environments, where organisations must </w:t>
      </w:r>
      <w:r w:rsidRPr="678A2080">
        <w:rPr>
          <w:color w:val="000000" w:themeColor="text1"/>
        </w:rPr>
        <w:t>demonstrate operational effectiveness through evidence such as logs, reviews, approvals, and monitoring outputs [6] (</w:t>
      </w:r>
      <w:hyperlink r:id="rId5">
        <w:r w:rsidRPr="678A2080">
          <w:rPr>
            <w:rStyle w:val="Hyperlink"/>
            <w:color w:val="000000" w:themeColor="text1"/>
            <w:u w:val="none"/>
          </w:rPr>
          <w:t>https://www.aicpa-cima.com/resources/download/trust-services-criteria</w:t>
        </w:r>
      </w:hyperlink>
      <w:r w:rsidRPr="678A2080">
        <w:rPr>
          <w:color w:val="000000" w:themeColor="text1"/>
        </w:rPr>
        <w:t>).</w:t>
      </w:r>
    </w:p>
    <w:p w:rsidR="668EA57D" w:rsidP="454DA209" w:rsidRDefault="668EA57D" w14:paraId="2C3E281A" w14:textId="077CF2DB">
      <w:pPr>
        <w:spacing w:before="240" w:after="240"/>
        <w:rPr>
          <w:color w:val="000000" w:themeColor="text1"/>
        </w:rPr>
      </w:pPr>
      <w:r w:rsidRPr="454DA209">
        <w:rPr>
          <w:color w:val="000000" w:themeColor="text1"/>
        </w:rPr>
        <w:t xml:space="preserve"> </w:t>
      </w:r>
    </w:p>
    <w:p w:rsidR="668EA57D" w:rsidP="454DA209" w:rsidRDefault="668EA57D" w14:paraId="4B8F546F" w14:textId="15122A64">
      <w:pPr>
        <w:spacing w:before="240" w:after="240"/>
        <w:rPr>
          <w:color w:val="000000" w:themeColor="text1"/>
        </w:rPr>
      </w:pPr>
      <w:r w:rsidRPr="454DA209">
        <w:rPr>
          <w:color w:val="000000" w:themeColor="text1"/>
        </w:rPr>
        <w:t>This report reviews the principles of these frameworks and applies them to design a practical governance and compliance approach for NG. The model is shaped around NG’s operational realities, including heavy cloud reliance, extensive wireless access, BYOD use, supplier dependency, and the need to protect high-value intellectual property.</w:t>
      </w:r>
    </w:p>
    <w:p w:rsidR="454DA209" w:rsidP="454DA209" w:rsidRDefault="454DA209" w14:paraId="79711B09" w14:textId="397AE22F">
      <w:pPr>
        <w:spacing w:before="240" w:after="240" w:line="240" w:lineRule="auto"/>
        <w:rPr>
          <w:color w:val="000000" w:themeColor="text1"/>
        </w:rPr>
      </w:pPr>
    </w:p>
    <w:p w:rsidR="668EA57D" w:rsidP="454DA209" w:rsidRDefault="668EA57D" w14:paraId="7EAAEBE7" w14:textId="7F8EEA3C">
      <w:pPr>
        <w:pStyle w:val="Ttulo3"/>
        <w:rPr>
          <w:rFonts w:ascii="Calibri" w:hAnsi="Calibri" w:eastAsia="Calibri" w:cs="Calibri"/>
        </w:rPr>
      </w:pPr>
      <w:r w:rsidRPr="454DA209">
        <w:rPr>
          <w:rFonts w:ascii="Calibri" w:hAnsi="Calibri" w:eastAsia="Calibri" w:cs="Calibri"/>
        </w:rPr>
        <w:t>LITERATURE REVIEW</w:t>
      </w:r>
    </w:p>
    <w:p w:rsidR="668EA57D" w:rsidP="454DA209" w:rsidRDefault="668EA57D" w14:paraId="775737F9" w14:textId="66F05D76">
      <w:pPr>
        <w:spacing w:before="240" w:after="240" w:line="240" w:lineRule="auto"/>
        <w:rPr>
          <w:color w:val="000000" w:themeColor="text1"/>
        </w:rPr>
      </w:pPr>
      <w:r w:rsidRPr="454DA209">
        <w:rPr>
          <w:color w:val="000000" w:themeColor="text1"/>
        </w:rPr>
        <w:t xml:space="preserve">This section </w:t>
      </w:r>
      <w:r w:rsidRPr="454DA209" w:rsidR="23835B50">
        <w:rPr>
          <w:color w:val="000000" w:themeColor="text1"/>
        </w:rPr>
        <w:t xml:space="preserve">will be reviewing </w:t>
      </w:r>
      <w:r w:rsidRPr="454DA209">
        <w:rPr>
          <w:color w:val="000000" w:themeColor="text1"/>
        </w:rPr>
        <w:t xml:space="preserve">the security and governance frameworks most relevant to NatureGreen’s environment. Rather than providing a purely descriptive overview, the focus will be on evaluating how the strengths and limitations of each </w:t>
      </w:r>
      <w:r w:rsidRPr="454DA209" w:rsidR="0337FBB7">
        <w:rPr>
          <w:color w:val="000000" w:themeColor="text1"/>
        </w:rPr>
        <w:t xml:space="preserve">of the most widely used </w:t>
      </w:r>
      <w:r w:rsidRPr="454DA209">
        <w:rPr>
          <w:color w:val="000000" w:themeColor="text1"/>
        </w:rPr>
        <w:t>framework</w:t>
      </w:r>
      <w:r w:rsidRPr="454DA209" w:rsidR="0884BEED">
        <w:rPr>
          <w:color w:val="000000" w:themeColor="text1"/>
        </w:rPr>
        <w:t xml:space="preserve">s </w:t>
      </w:r>
      <w:r w:rsidRPr="454DA209">
        <w:rPr>
          <w:color w:val="000000" w:themeColor="text1"/>
        </w:rPr>
        <w:t xml:space="preserve">inform the design of a practical governance and compliance model for a globally distributed, cloud-based organisation. </w:t>
      </w:r>
      <w:proofErr w:type="gramStart"/>
      <w:r w:rsidRPr="454DA209">
        <w:rPr>
          <w:color w:val="000000" w:themeColor="text1"/>
        </w:rPr>
        <w:t>Particular attention</w:t>
      </w:r>
      <w:proofErr w:type="gramEnd"/>
      <w:r w:rsidRPr="454DA209">
        <w:rPr>
          <w:color w:val="000000" w:themeColor="text1"/>
        </w:rPr>
        <w:t xml:space="preserve"> is given to ISO/IEC 27001 and the SOC 2 Trust Services Criteria, supported by contextual reference to ITIL, COBIT and Zero Trust architecture.</w:t>
      </w:r>
    </w:p>
    <w:p w:rsidR="668EA57D" w:rsidP="454DA209" w:rsidRDefault="668EA57D" w14:paraId="2F16A360" w14:textId="01F2E43D">
      <w:pPr>
        <w:pStyle w:val="Ttulo3"/>
        <w:rPr>
          <w:rFonts w:ascii="Calibri" w:hAnsi="Calibri" w:eastAsia="Calibri" w:cs="Calibri"/>
        </w:rPr>
      </w:pPr>
      <w:r w:rsidRPr="454DA209">
        <w:rPr>
          <w:rFonts w:ascii="Calibri" w:hAnsi="Calibri" w:eastAsia="Calibri" w:cs="Calibri"/>
        </w:rPr>
        <w:t>ISO/IEC 27001</w:t>
      </w:r>
    </w:p>
    <w:p w:rsidR="668EA57D" w:rsidP="454DA209" w:rsidRDefault="668EA57D" w14:paraId="4ABA3979" w14:textId="3B341093">
      <w:pPr>
        <w:rPr>
          <w:color w:val="000000" w:themeColor="text1"/>
        </w:rPr>
      </w:pPr>
      <w:r w:rsidRPr="454DA209">
        <w:rPr>
          <w:color w:val="000000" w:themeColor="text1"/>
        </w:rPr>
        <w:t xml:space="preserve"> </w:t>
      </w:r>
    </w:p>
    <w:p w:rsidR="668EA57D" w:rsidP="678A2080" w:rsidRDefault="0F7B6D56" w14:paraId="188D26EC" w14:textId="0C1545BB">
      <w:pPr>
        <w:rPr>
          <w:color w:val="000000" w:themeColor="text1"/>
        </w:rPr>
      </w:pPr>
      <w:r w:rsidRPr="678A2080">
        <w:rPr>
          <w:color w:val="000000" w:themeColor="text1"/>
        </w:rPr>
        <w:t>ISO/IEC 27001 is one of the most widely recognised international standards for information security management and is commonly adopted by organisations seeking a</w:t>
      </w:r>
      <w:r w:rsidRPr="678A2080" w:rsidR="155ED163">
        <w:rPr>
          <w:color w:val="000000" w:themeColor="text1"/>
        </w:rPr>
        <w:t xml:space="preserve"> more</w:t>
      </w:r>
      <w:r w:rsidRPr="678A2080">
        <w:rPr>
          <w:color w:val="000000" w:themeColor="text1"/>
        </w:rPr>
        <w:t xml:space="preserve"> formal,</w:t>
      </w:r>
      <w:r w:rsidRPr="678A2080" w:rsidR="6C04BF15">
        <w:rPr>
          <w:color w:val="000000" w:themeColor="text1"/>
        </w:rPr>
        <w:t xml:space="preserve"> classic and </w:t>
      </w:r>
      <w:r w:rsidRPr="678A2080">
        <w:rPr>
          <w:color w:val="000000" w:themeColor="text1"/>
        </w:rPr>
        <w:t xml:space="preserve">auditable approach to protecting information assets. The standard defines the requirements for establishing, implementing, maintaining, and continually improving an Information Security Management System (ISMS), enabling organisations to manage information security risks in a structured and repeatable way </w:t>
      </w:r>
      <w:sdt>
        <w:sdtPr>
          <w:alias w:val="Citation"/>
          <w:tag w:val="{&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22218656,&quot;citationText&quot;:&quot;&lt;span style=\&quot;font-family:Times New Roman;font-size:16px;color:#000000\&quot;&gt;[1]&lt;/span&gt;&quot;}"/>
          <w:id w:val="2122218656"/>
          <w:placeholder>
            <w:docPart w:val="DefaultPlaceholder_-1854013440"/>
          </w:placeholder>
        </w:sdtPr>
        <w:sdtContent>
          <w:r w:rsidRPr="678A2080" w:rsidR="0802DD5B">
            <w:rPr>
              <w:color w:val="000000" w:themeColor="text1"/>
            </w:rPr>
            <w:t>[1]</w:t>
          </w:r>
        </w:sdtContent>
      </w:sdt>
      <w:r>
        <w:t>.</w:t>
      </w:r>
    </w:p>
    <w:p w:rsidR="668EA57D" w:rsidP="454DA209" w:rsidRDefault="668EA57D" w14:paraId="04E2C1D1" w14:textId="18AD9D86">
      <w:pPr>
        <w:rPr>
          <w:color w:val="000000" w:themeColor="text1"/>
        </w:rPr>
      </w:pPr>
      <w:r w:rsidRPr="454DA209">
        <w:rPr>
          <w:color w:val="000000" w:themeColor="text1"/>
        </w:rPr>
        <w:t xml:space="preserve"> </w:t>
      </w:r>
    </w:p>
    <w:p w:rsidR="5533B8A7" w:rsidP="678A2080" w:rsidRDefault="719323F7" w14:paraId="329DB272" w14:textId="25956539">
      <w:pPr>
        <w:rPr>
          <w:color w:val="000000" w:themeColor="text1"/>
        </w:rPr>
      </w:pPr>
      <w:r w:rsidRPr="678A2080">
        <w:rPr>
          <w:color w:val="000000" w:themeColor="text1"/>
        </w:rPr>
        <w:t>One of the main strength points of</w:t>
      </w:r>
      <w:r w:rsidRPr="678A2080" w:rsidR="0F7B6D56">
        <w:rPr>
          <w:color w:val="000000" w:themeColor="text1"/>
        </w:rPr>
        <w:t xml:space="preserve"> ISO/IEC 27001 is its risk-based approach. Rather than prescribing a fixed set of controls, the standard requires organisations to identify their own risks, assess their potential impact, and select appropriate controls based on business context, regulatory obligations, and risk appetite </w:t>
      </w:r>
      <w:sdt>
        <w:sdtPr>
          <w:alias w:val="Citation"/>
          <w:tag w:val="{&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45946015,&quot;citationText&quot;:&quot;&lt;span style=\&quot;font-family:Times New Roman;font-size:16px;color:#000000\&quot;&gt;[1]&lt;/span&gt;&quot;}"/>
          <w:id w:val="1245946015"/>
          <w:placeholder>
            <w:docPart w:val="DefaultPlaceholder_-1854013440"/>
          </w:placeholder>
        </w:sdtPr>
        <w:sdtContent>
          <w:r w:rsidRPr="678A2080" w:rsidR="0802DD5B">
            <w:rPr>
              <w:color w:val="000000" w:themeColor="text1"/>
            </w:rPr>
            <w:t>[1]</w:t>
          </w:r>
        </w:sdtContent>
      </w:sdt>
      <w:r w:rsidR="0F7B6D56">
        <w:t xml:space="preserve">. </w:t>
      </w:r>
      <w:r w:rsidRPr="678A2080" w:rsidR="0F7B6D56">
        <w:rPr>
          <w:color w:val="000000" w:themeColor="text1"/>
        </w:rPr>
        <w:t>This flexibility makes th</w:t>
      </w:r>
      <w:r w:rsidRPr="678A2080" w:rsidR="5359B788">
        <w:rPr>
          <w:color w:val="000000" w:themeColor="text1"/>
        </w:rPr>
        <w:t>is type of</w:t>
      </w:r>
      <w:r w:rsidRPr="678A2080" w:rsidR="0F7B6D56">
        <w:rPr>
          <w:color w:val="000000" w:themeColor="text1"/>
        </w:rPr>
        <w:t xml:space="preserve"> framework suitable for complex environments, including cloud-based and globally distributed organisations such as NatureGreen. It allows security measures to be proportionate and aligned with operational priorities rather than implemented as generic compliance requirements.</w:t>
      </w:r>
    </w:p>
    <w:p w:rsidR="668EA57D" w:rsidP="454DA209" w:rsidRDefault="668EA57D" w14:paraId="792CD57C" w14:textId="4904D76A">
      <w:pPr>
        <w:rPr>
          <w:color w:val="000000" w:themeColor="text1"/>
        </w:rPr>
      </w:pPr>
      <w:r w:rsidRPr="454DA209">
        <w:rPr>
          <w:color w:val="000000" w:themeColor="text1"/>
        </w:rPr>
        <w:t xml:space="preserve"> </w:t>
      </w:r>
    </w:p>
    <w:p w:rsidR="668EA57D" w:rsidP="678A2080" w:rsidRDefault="0F7B6D56" w14:paraId="19C0CCCE" w14:textId="4F5CCB10">
      <w:pPr>
        <w:rPr>
          <w:color w:val="000000" w:themeColor="text1"/>
        </w:rPr>
      </w:pPr>
      <w:r w:rsidRPr="678A2080">
        <w:rPr>
          <w:color w:val="000000" w:themeColor="text1"/>
        </w:rPr>
        <w:t xml:space="preserve">The 2022 revision introduced a significant reorganisation of security controls into four high-level themes: organisational, people, physical, and technological </w:t>
      </w:r>
      <w:sdt>
        <w:sdtPr>
          <w:alias w:val="Citation"/>
          <w:tag w:val="{&quot;referencesIds&quot;:[&quot;doc:695c0a73a6457b6d8636c150&quot;],&quot;referencesOptions&quot;:{&quot;doc:695c0a73a6457b6d8636c15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38959615,&quot;citationText&quot;:&quot;&lt;span style=\&quot;font-family:Times New Roman;font-size:16px;color:#000000\&quot;&gt;[2]&lt;/span&gt;&quot;}"/>
          <w:id w:val="1838959615"/>
          <w:placeholder>
            <w:docPart w:val="DefaultPlaceholder_-1854013440"/>
          </w:placeholder>
        </w:sdtPr>
        <w:sdtContent>
          <w:r w:rsidRPr="678A2080" w:rsidR="0802DD5B">
            <w:rPr>
              <w:color w:val="000000" w:themeColor="text1"/>
            </w:rPr>
            <w:t>[2]</w:t>
          </w:r>
        </w:sdtContent>
      </w:sdt>
      <w:r>
        <w:t xml:space="preserve">. This restructuring </w:t>
      </w:r>
      <w:r w:rsidRPr="678A2080" w:rsidR="7C4C676E">
        <w:rPr>
          <w:color w:val="000000" w:themeColor="text1"/>
        </w:rPr>
        <w:t xml:space="preserve">takes into consideration </w:t>
      </w:r>
      <w:r w:rsidRPr="678A2080">
        <w:rPr>
          <w:color w:val="000000" w:themeColor="text1"/>
        </w:rPr>
        <w:t>modern security challenges more accurately, particularly those associated with cloud computing</w:t>
      </w:r>
      <w:r w:rsidRPr="678A2080" w:rsidR="176479CA">
        <w:rPr>
          <w:color w:val="000000" w:themeColor="text1"/>
        </w:rPr>
        <w:t xml:space="preserve"> as an expansion to the classic on-premises controls</w:t>
      </w:r>
      <w:r w:rsidRPr="678A2080">
        <w:rPr>
          <w:color w:val="000000" w:themeColor="text1"/>
        </w:rPr>
        <w:t>. For NatureGreen, these updates are especially relevant because they support clearer alignment between governance responsibilities, human factors such as staff awareness, and technical safeguards deployed across cloud platforms and personal devices.</w:t>
      </w:r>
    </w:p>
    <w:p w:rsidR="668EA57D" w:rsidP="454DA209" w:rsidRDefault="668EA57D" w14:paraId="0EE254C5" w14:textId="2503733E">
      <w:pPr>
        <w:rPr>
          <w:color w:val="000000" w:themeColor="text1"/>
        </w:rPr>
      </w:pPr>
      <w:r w:rsidRPr="454DA209">
        <w:rPr>
          <w:color w:val="000000" w:themeColor="text1"/>
        </w:rPr>
        <w:t xml:space="preserve"> </w:t>
      </w:r>
    </w:p>
    <w:p w:rsidR="0CEBA690" w:rsidP="678A2080" w:rsidRDefault="03176436" w14:paraId="145FDF84" w14:textId="19D232DC">
      <w:pPr>
        <w:rPr>
          <w:color w:val="000000" w:themeColor="text1"/>
        </w:rPr>
      </w:pPr>
      <w:r w:rsidRPr="61EF0C3C" w:rsidR="03176436">
        <w:rPr>
          <w:color w:val="000000" w:themeColor="text1" w:themeTint="FF" w:themeShade="FF"/>
        </w:rPr>
        <w:t xml:space="preserve">ISO/IEC 27001 also requires top management </w:t>
      </w:r>
      <w:r w:rsidRPr="61EF0C3C" w:rsidR="0F7B6D56">
        <w:rPr>
          <w:color w:val="000000" w:themeColor="text1" w:themeTint="FF" w:themeShade="FF"/>
        </w:rPr>
        <w:t xml:space="preserve">to demonstrate commitment to information security by approving policies, assigning roles, and ensuring that security objectives are integrated into broader organisational strategy </w:t>
      </w:r>
      <w:sdt>
        <w:sdtPr>
          <w:id w:val="1836284267"/>
          <w:alias w:val="Citation"/>
          <w:tag w:val="{&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36284267,&quot;citationText&quot;:&quot;&lt;span style=\&quot;font-family:Times New Roman;font-size:16px;color:#000000\&quot;&gt;[1]&lt;/span&gt;&quot;}"/>
          <w:placeholder>
            <w:docPart w:val="DefaultPlaceholder_-1854013440"/>
          </w:placeholder>
        </w:sdtPr>
        <w:sdtContent>
          <w:r w:rsidRPr="61EF0C3C" w:rsidR="0802DD5B">
            <w:rPr>
              <w:color w:val="000000" w:themeColor="text1" w:themeTint="FF" w:themeShade="FF"/>
            </w:rPr>
            <w:t>[1]</w:t>
          </w:r>
        </w:sdtContent>
      </w:sdt>
      <w:r w:rsidR="0F7B6D56">
        <w:rPr/>
        <w:t>. This reinforces the idea that effective security is not solely a technical concern but a governance issue that depends on management oversight, organisational culture, and clear decision-making structures.</w:t>
      </w:r>
    </w:p>
    <w:p w:rsidR="6C824AF8" w:rsidP="61EF0C3C" w:rsidRDefault="6C824AF8" w14:paraId="21EFB0BC" w14:textId="26103BCA">
      <w:pPr>
        <w:pStyle w:val="Normal"/>
      </w:pPr>
      <w:r w:rsidRPr="61EF0C3C" w:rsidR="6C824AF8">
        <w:rPr>
          <w:rFonts w:ascii="Times New Roman" w:hAnsi="Times New Roman" w:eastAsia="Times New Roman" w:cs="Times New Roman"/>
          <w:noProof w:val="0"/>
          <w:sz w:val="24"/>
          <w:szCs w:val="24"/>
          <w:lang w:val="en-GB"/>
        </w:rPr>
        <w:t>Despite its strengths, ISO/IEC 27001 has limitations when applied to highly dynamic, cloud-based environments. The standard’s emphasis on documentation, policy definition and formalised processes can result in a compliance-driven implementation that prioritises evidence production over operational effectiveness if not carefully managed. In fast-changing environments such as NatureGreen’s, where cloud configurations, access patterns and supplier dependencies evolve rapidly, a purely certification-focused adoption risks creating a disconnect between documented controls and actual security posture. This limitation highlights that ISO/IEC 27001 is most effective when treated as a governance framework rather than a static compliance exercise, requiring complementary mechanisms that validate real-world control performance.</w:t>
      </w:r>
    </w:p>
    <w:p w:rsidR="668EA57D" w:rsidP="454DA209" w:rsidRDefault="668EA57D" w14:paraId="3FAA2001" w14:textId="3B231DFD">
      <w:pPr>
        <w:pStyle w:val="Ttulo3"/>
        <w:spacing w:before="281" w:after="281"/>
        <w:rPr>
          <w:rFonts w:ascii="Times New Roman" w:hAnsi="Times New Roman" w:eastAsia="Times New Roman" w:cs="Times New Roman"/>
          <w:sz w:val="28"/>
          <w:szCs w:val="28"/>
        </w:rPr>
      </w:pPr>
      <w:r w:rsidRPr="454DA209">
        <w:rPr>
          <w:rFonts w:ascii="Times New Roman" w:hAnsi="Times New Roman" w:eastAsia="Times New Roman" w:cs="Times New Roman"/>
          <w:sz w:val="28"/>
          <w:szCs w:val="28"/>
        </w:rPr>
        <w:t>SOC 2 Trust Services Criteria</w:t>
      </w:r>
    </w:p>
    <w:p w:rsidR="668EA57D" w:rsidP="678A2080" w:rsidRDefault="0F7B6D56" w14:paraId="3C97F987" w14:textId="05BD1507">
      <w:pPr>
        <w:spacing w:before="240" w:after="240"/>
        <w:rPr>
          <w:color w:val="000000" w:themeColor="text1"/>
        </w:rPr>
      </w:pPr>
      <w:r w:rsidRPr="678A2080">
        <w:rPr>
          <w:color w:val="000000" w:themeColor="text1"/>
        </w:rPr>
        <w:t>The SOC 2 Trust Services Criteria</w:t>
      </w:r>
      <w:r w:rsidRPr="678A2080" w:rsidR="4A72E7EB">
        <w:rPr>
          <w:color w:val="000000" w:themeColor="text1"/>
        </w:rPr>
        <w:t xml:space="preserve">, </w:t>
      </w:r>
      <w:r w:rsidRPr="678A2080">
        <w:rPr>
          <w:color w:val="000000" w:themeColor="text1"/>
        </w:rPr>
        <w:t xml:space="preserve">developed by the American Institute of Certified Public Accountants (AICPA) </w:t>
      </w:r>
      <w:r w:rsidRPr="678A2080" w:rsidR="62113B72">
        <w:rPr>
          <w:color w:val="000000" w:themeColor="text1"/>
        </w:rPr>
        <w:t>is focused on</w:t>
      </w:r>
      <w:r w:rsidRPr="678A2080">
        <w:rPr>
          <w:color w:val="000000" w:themeColor="text1"/>
        </w:rPr>
        <w:t xml:space="preserve"> provid</w:t>
      </w:r>
      <w:r w:rsidRPr="678A2080" w:rsidR="52707517">
        <w:rPr>
          <w:color w:val="000000" w:themeColor="text1"/>
        </w:rPr>
        <w:t xml:space="preserve">ing </w:t>
      </w:r>
      <w:r w:rsidRPr="678A2080">
        <w:rPr>
          <w:color w:val="000000" w:themeColor="text1"/>
        </w:rPr>
        <w:t xml:space="preserve">assurance over the controls used by service organisations that store, process, or transmit customer data. SOC 2 is </w:t>
      </w:r>
      <w:r w:rsidRPr="678A2080" w:rsidR="5E0E469D">
        <w:rPr>
          <w:color w:val="000000" w:themeColor="text1"/>
        </w:rPr>
        <w:t xml:space="preserve">mainly focused on </w:t>
      </w:r>
      <w:r w:rsidRPr="678A2080">
        <w:rPr>
          <w:color w:val="000000" w:themeColor="text1"/>
        </w:rPr>
        <w:t xml:space="preserve">cloud-based and software-as-a-service </w:t>
      </w:r>
      <w:r w:rsidRPr="678A2080" w:rsidR="2419AE23">
        <w:rPr>
          <w:color w:val="000000" w:themeColor="text1"/>
        </w:rPr>
        <w:t xml:space="preserve">(SaaS) </w:t>
      </w:r>
      <w:r w:rsidRPr="678A2080">
        <w:rPr>
          <w:color w:val="000000" w:themeColor="text1"/>
        </w:rPr>
        <w:t xml:space="preserve">environments, where customers and partners </w:t>
      </w:r>
      <w:r w:rsidRPr="678A2080" w:rsidR="5556F4F9">
        <w:rPr>
          <w:color w:val="000000" w:themeColor="text1"/>
        </w:rPr>
        <w:t>can focus on the operational effectiveness rather than solely relying on architectural design and policies</w:t>
      </w:r>
      <w:r w:rsidRPr="678A2080">
        <w:rPr>
          <w:color w:val="000000" w:themeColor="text1"/>
        </w:rPr>
        <w:t xml:space="preserve"> </w:t>
      </w:r>
      <w:sdt>
        <w:sdtPr>
          <w:alias w:val="Citation"/>
          <w:tag w:val="{&quot;referencesIds&quot;:[&quot;doc:695c0b3dad4d4b6c15ca7037&quot;],&quot;referencesOptions&quot;:{&quot;doc:695c0b3dad4d4b6c15ca7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30850740,&quot;citationText&quot;:&quot;&lt;span style=\&quot;font-family:Times New Roman;font-size:16px;color:#000000\&quot;&gt;[3]&lt;/span&gt;&quot;}"/>
          <w:id w:val="2130850740"/>
          <w:placeholder>
            <w:docPart w:val="DefaultPlaceholder_-1854013440"/>
          </w:placeholder>
        </w:sdtPr>
        <w:sdtContent>
          <w:r w:rsidRPr="678A2080" w:rsidR="0802DD5B">
            <w:rPr>
              <w:color w:val="000000" w:themeColor="text1"/>
            </w:rPr>
            <w:t>[3]</w:t>
          </w:r>
        </w:sdtContent>
      </w:sdt>
      <w:r>
        <w:t>.</w:t>
      </w:r>
    </w:p>
    <w:p w:rsidR="668EA57D" w:rsidP="678A2080" w:rsidRDefault="0F7B6D56" w14:paraId="03BD7812" w14:textId="5FFD0B1C">
      <w:pPr>
        <w:spacing w:before="240" w:after="240"/>
        <w:rPr>
          <w:color w:val="000000" w:themeColor="text1"/>
        </w:rPr>
      </w:pPr>
      <w:r w:rsidRPr="678A2080">
        <w:rPr>
          <w:color w:val="000000" w:themeColor="text1"/>
        </w:rPr>
        <w:t xml:space="preserve">SOC 2 is structured around five Trust Services Criteria: Security, Availability, Processing Integrity, Confidentiality, and Privacy </w:t>
      </w:r>
      <w:sdt>
        <w:sdtPr>
          <w:alias w:val="Citation"/>
          <w:tag w:val="{&quot;referencesIds&quot;:[&quot;doc:695c0b3dad4d4b6c15ca7037&quot;],&quot;referencesOptions&quot;:{&quot;doc:695c0b3dad4d4b6c15ca7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47391443,&quot;citationText&quot;:&quot;&lt;span style=\&quot;font-family:Times New Roman;font-size:16px;color:#000000\&quot;&gt;[3]&lt;/span&gt;&quot;}"/>
          <w:id w:val="1547391443"/>
          <w:placeholder>
            <w:docPart w:val="DefaultPlaceholder_-1854013440"/>
          </w:placeholder>
        </w:sdtPr>
        <w:sdtContent>
          <w:r w:rsidRPr="678A2080" w:rsidR="0802DD5B">
            <w:rPr>
              <w:color w:val="000000" w:themeColor="text1"/>
            </w:rPr>
            <w:t>[3]</w:t>
          </w:r>
        </w:sdtContent>
      </w:sdt>
      <w:r>
        <w:t>. The</w:t>
      </w:r>
      <w:r w:rsidRPr="678A2080" w:rsidR="49E83ABF">
        <w:rPr>
          <w:color w:val="000000" w:themeColor="text1"/>
        </w:rPr>
        <w:t xml:space="preserve"> </w:t>
      </w:r>
      <w:r w:rsidRPr="678A2080">
        <w:rPr>
          <w:color w:val="000000" w:themeColor="text1"/>
        </w:rPr>
        <w:t xml:space="preserve">criteria </w:t>
      </w:r>
      <w:r w:rsidRPr="678A2080" w:rsidR="2FC1CD9F">
        <w:rPr>
          <w:color w:val="000000" w:themeColor="text1"/>
        </w:rPr>
        <w:t>were</w:t>
      </w:r>
      <w:r w:rsidRPr="678A2080" w:rsidR="1B97EC23">
        <w:rPr>
          <w:color w:val="000000" w:themeColor="text1"/>
        </w:rPr>
        <w:t xml:space="preserve"> made to </w:t>
      </w:r>
      <w:r w:rsidRPr="678A2080" w:rsidR="45699497">
        <w:rPr>
          <w:color w:val="000000" w:themeColor="text1"/>
        </w:rPr>
        <w:t xml:space="preserve">help </w:t>
      </w:r>
      <w:r w:rsidRPr="678A2080">
        <w:rPr>
          <w:color w:val="000000" w:themeColor="text1"/>
        </w:rPr>
        <w:t>protect</w:t>
      </w:r>
      <w:r w:rsidRPr="678A2080" w:rsidR="68BEECF8">
        <w:rPr>
          <w:color w:val="000000" w:themeColor="text1"/>
        </w:rPr>
        <w:t xml:space="preserve"> </w:t>
      </w:r>
      <w:r w:rsidRPr="678A2080">
        <w:rPr>
          <w:color w:val="000000" w:themeColor="text1"/>
        </w:rPr>
        <w:t>systems against unauthorised access, ensuring services remain available, maintaining accurate data processing, safeguarding sensitive information, and respecting personal data rights. This scope makes SOC 2 especially suitable for organisations that depend on continuous service delivery and cloud infrastructure, such as NatureGreen.</w:t>
      </w:r>
    </w:p>
    <w:p w:rsidR="668EA57D" w:rsidP="678A2080" w:rsidRDefault="0F7B6D56" w14:paraId="08EAA133" w14:textId="2D88242A">
      <w:pPr>
        <w:spacing w:before="240" w:after="240"/>
        <w:rPr>
          <w:color w:val="000000" w:themeColor="text1"/>
        </w:rPr>
      </w:pPr>
      <w:r w:rsidRPr="61EF0C3C" w:rsidR="0F7B6D56">
        <w:rPr>
          <w:color w:val="000000" w:themeColor="text1" w:themeTint="FF" w:themeShade="FF"/>
        </w:rPr>
        <w:t>One of the main strengths of SOC 2 is its emphasis on evidence-based assurance. Organisations must demonstrate that controls are supported by verifiable artefacts, such as access logs, monitoring records, incident reports, and change approvals. This operational focus aligns well with dynamic cloud environments, where continuous monitoring and logging are essential for detecting incidents and proving compliance</w:t>
      </w:r>
      <w:r w:rsidRPr="61EF0C3C" w:rsidR="6BC3C0A6">
        <w:rPr>
          <w:color w:val="000000" w:themeColor="text1" w:themeTint="FF" w:themeShade="FF"/>
        </w:rPr>
        <w:t xml:space="preserve"> </w:t>
      </w:r>
      <w:sdt>
        <w:sdtPr>
          <w:id w:val="1788754005"/>
          <w:alias w:val="Citation"/>
          <w:tag w:val="{&quot;referencesIds&quot;:[&quot;doc:695c0d1def4607236380d62c&quot;],&quot;referencesOptions&quot;:{&quot;doc:695c0d1def4607236380d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8754005,&quot;citationText&quot;:&quot;&lt;span style=\&quot;font-family:Times New Roman;font-size:16px;color:#000000\&quot;&gt;[4]&lt;/span&gt;&quot;}"/>
          <w:placeholder>
            <w:docPart w:val="DefaultPlaceholder_-1854013440"/>
          </w:placeholder>
        </w:sdtPr>
        <w:sdtContent>
          <w:r w:rsidRPr="61EF0C3C" w:rsidR="0802DD5B">
            <w:rPr>
              <w:color w:val="000000" w:themeColor="text1" w:themeTint="FF" w:themeShade="FF"/>
            </w:rPr>
            <w:t>[4]</w:t>
          </w:r>
        </w:sdtContent>
      </w:sdt>
      <w:r w:rsidR="0F7B6D56">
        <w:rPr/>
        <w:t xml:space="preserve">. The distinction between SOC 2 Type 1 and Type 2 reports further </w:t>
      </w:r>
      <w:r w:rsidRPr="61EF0C3C" w:rsidR="2B04ED23">
        <w:rPr>
          <w:color w:val="000000" w:themeColor="text1" w:themeTint="FF" w:themeShade="FF"/>
        </w:rPr>
        <w:t>reinforce</w:t>
      </w:r>
      <w:r w:rsidRPr="61EF0C3C" w:rsidR="0F7B6D56">
        <w:rPr>
          <w:color w:val="000000" w:themeColor="text1" w:themeTint="FF" w:themeShade="FF"/>
        </w:rPr>
        <w:t xml:space="preserve"> this approach. While Type 1 assessments evaluate whether controls are suitably designed at a specific point in time, Type 2 assessments assess whether those controls operate effectively over an extended period </w:t>
      </w:r>
      <w:sdt>
        <w:sdtPr>
          <w:id w:val="1134539044"/>
          <w:alias w:val="Citation"/>
          <w:tag w:val="{&quot;referencesIds&quot;:[&quot;doc:695c0b3dad4d4b6c15ca7037&quot;],&quot;referencesOptions&quot;:{&quot;doc:695c0b3dad4d4b6c15ca70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539044,&quot;citationText&quot;:&quot;&lt;span style=\&quot;font-family:Times New Roman;font-size:16px;color:#000000\&quot;&gt;[3]&lt;/span&gt;&quot;}"/>
          <w:placeholder>
            <w:docPart w:val="DefaultPlaceholder_-1854013440"/>
          </w:placeholder>
        </w:sdtPr>
        <w:sdtContent>
          <w:r w:rsidRPr="61EF0C3C" w:rsidR="0802DD5B">
            <w:rPr>
              <w:color w:val="000000" w:themeColor="text1" w:themeTint="FF" w:themeShade="FF"/>
            </w:rPr>
            <w:t>[3]</w:t>
          </w:r>
        </w:sdtContent>
      </w:sdt>
      <w:r w:rsidR="0F7B6D56">
        <w:rPr/>
        <w:t>.</w:t>
      </w:r>
    </w:p>
    <w:p w:rsidR="59E85879" w:rsidP="61EF0C3C" w:rsidRDefault="59E85879" w14:paraId="7CD7E635" w14:textId="54E7FD7B">
      <w:pPr>
        <w:pStyle w:val="Normal"/>
        <w:spacing w:before="240" w:after="240"/>
      </w:pPr>
      <w:r w:rsidRPr="61EF0C3C" w:rsidR="59E85879">
        <w:rPr>
          <w:rFonts w:ascii="Times New Roman" w:hAnsi="Times New Roman" w:eastAsia="Times New Roman" w:cs="Times New Roman"/>
          <w:noProof w:val="0"/>
          <w:sz w:val="24"/>
          <w:szCs w:val="24"/>
          <w:lang w:val="en-GB"/>
        </w:rPr>
        <w:t>While SOC 2 provides strong assurance regarding the operational effectiveness of controls, it is not designed to function as a comprehensive governance framework. The Trust Services Criteria assume the prior existence of defined policies, risk management processes and decision-making structures, offering limited guidance on how these should be established. As a result, organisations relying solely on SOC 2 may demonstrate control effectiveness without having a coherent, organisation-wide approach to risk ownership or strategic security planning. For NatureGreen, this limitation reinforces the need to position SOC 2 as a validation mechanism rather than a foundation, supporting but not replacing governance-led standards such as ISO/IEC 27001.</w:t>
      </w:r>
    </w:p>
    <w:p w:rsidR="668EA57D" w:rsidP="61EF0C3C" w:rsidRDefault="668EA57D" w14:paraId="7DE4F2FF" w14:textId="03E60AF8">
      <w:pPr>
        <w:pStyle w:val="Ttulo3"/>
        <w:rPr>
          <w:b w:val="1"/>
          <w:bCs w:val="1"/>
          <w:color w:val="000000" w:themeColor="text1" w:themeTint="FF" w:themeShade="FF"/>
          <w:sz w:val="28"/>
          <w:szCs w:val="28"/>
        </w:rPr>
      </w:pPr>
      <w:r w:rsidRPr="61EF0C3C" w:rsidR="668EA57D">
        <w:rPr>
          <w:lang w:val="en-US"/>
        </w:rPr>
        <w:t>ITIL and COBIT (Contextual Comparison)</w:t>
      </w:r>
    </w:p>
    <w:p w:rsidR="668EA57D" w:rsidP="454DA209" w:rsidRDefault="668EA57D" w14:paraId="6F3AEB46" w14:textId="63B76FA2">
      <w:pPr>
        <w:spacing w:before="240" w:after="240"/>
        <w:rPr>
          <w:color w:val="000000" w:themeColor="text1"/>
        </w:rPr>
      </w:pPr>
      <w:r w:rsidRPr="454DA209">
        <w:rPr>
          <w:color w:val="000000" w:themeColor="text1"/>
          <w:lang w:val="en-US"/>
        </w:rPr>
        <w:t>ITIL and COBIT are not primarily information security standards, both frameworks provide important structural and governance support that can strengthen a broader security programme. They are widely used to improve consistency, accountability, and alignment between technology operations and organisational objectives, making them relevant to NatureGreen’s environment when applied selectively.</w:t>
      </w:r>
    </w:p>
    <w:p w:rsidR="668EA57D" w:rsidP="678A2080" w:rsidRDefault="0F7B6D56" w14:paraId="611B5CBF" w14:textId="239D9841">
      <w:pPr>
        <w:spacing w:before="240" w:after="240"/>
        <w:rPr>
          <w:color w:val="000000" w:themeColor="text1"/>
        </w:rPr>
      </w:pPr>
      <w:r w:rsidRPr="678A2080">
        <w:rPr>
          <w:color w:val="000000" w:themeColor="text1"/>
          <w:lang w:val="en-US"/>
        </w:rPr>
        <w:t xml:space="preserve">ITIL focuses on IT service management and provides structured guidance for processes such as incident management, change control, problem management, and service continuity </w:t>
      </w:r>
      <w:sdt>
        <w:sdtPr>
          <w:alias w:val="Citation"/>
          <w:tag w:val="{&quot;referencesIds&quot;:[&quot;doc:695c0dca9e0ba469be0b3afb&quot;],&quot;referencesOptions&quot;:{&quot;doc:695c0dca9e0ba469be0b3af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809317679,&quot;citationText&quot;:&quot;&lt;span style=\&quot;font-family:Times New Roman;font-size:16px;color:#000000\&quot;&gt;[5]&lt;/span&gt;&quot;}"/>
          <w:id w:val="809317679"/>
          <w:placeholder>
            <w:docPart w:val="DefaultPlaceholder_-1854013440"/>
          </w:placeholder>
        </w:sdtPr>
        <w:sdtContent>
          <w:r w:rsidRPr="678A2080" w:rsidR="0802DD5B">
            <w:rPr>
              <w:color w:val="000000" w:themeColor="text1"/>
              <w:lang w:val="en-US"/>
            </w:rPr>
            <w:t>[5]</w:t>
          </w:r>
        </w:sdtContent>
      </w:sdt>
      <w:r>
        <w:t xml:space="preserve">. These processes align closely with operational security expectations found in frameworks such as SOC 2, particularly in areas related to incident handling, service availability, and controlled changes within production systems. For </w:t>
      </w:r>
      <w:r w:rsidRPr="678A2080">
        <w:rPr>
          <w:color w:val="000000" w:themeColor="text1"/>
          <w:lang w:val="en-US"/>
        </w:rPr>
        <w:t>NatureGreen, ITIL practices can support predictable and repeatable operational workflows, ensuring that security incidents are handled consistently and that changes to cloud services are assessed for risk before deployment.</w:t>
      </w:r>
    </w:p>
    <w:p w:rsidR="668EA57D" w:rsidP="678A2080" w:rsidRDefault="0F7B6D56" w14:paraId="6289BFC5" w14:textId="3E610708">
      <w:pPr>
        <w:spacing w:before="240" w:after="240"/>
        <w:rPr>
          <w:color w:val="000000" w:themeColor="text1"/>
        </w:rPr>
      </w:pPr>
      <w:r w:rsidRPr="678A2080">
        <w:rPr>
          <w:color w:val="000000" w:themeColor="text1"/>
          <w:lang w:val="en-US"/>
        </w:rPr>
        <w:t xml:space="preserve">COBIT, developed by ISACA, provides a governance-oriented framework for managing enterprise information and technology. It emphasises decision-making structures, accountability, performance measurement, and alignment between IT activities and business goals </w:t>
      </w:r>
      <w:sdt>
        <w:sdtPr>
          <w:alias w:val="Citation"/>
          <w:tag w:val="{&quot;referencesIds&quot;:[&quot;doc:695c0edc01559f087b3fa6ac&quot;],&quot;referencesOptions&quot;:{&quot;doc:695c0edc01559f087b3fa6a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06801019,&quot;citationText&quot;:&quot;&lt;span style=\&quot;font-family:Times New Roman;font-size:16px;color:#000000\&quot;&gt;[6]&lt;/span&gt;&quot;}"/>
          <w:id w:val="1006801019"/>
          <w:placeholder>
            <w:docPart w:val="DefaultPlaceholder_-1854013440"/>
          </w:placeholder>
        </w:sdtPr>
        <w:sdtContent>
          <w:r w:rsidRPr="678A2080" w:rsidR="0802DD5B">
            <w:rPr>
              <w:color w:val="000000" w:themeColor="text1"/>
              <w:lang w:val="en-US"/>
            </w:rPr>
            <w:t>[6]</w:t>
          </w:r>
        </w:sdtContent>
      </w:sdt>
      <w:r>
        <w:t xml:space="preserve">. COBIT’s strength lies in clarifying who </w:t>
      </w:r>
      <w:r w:rsidRPr="678A2080">
        <w:rPr>
          <w:color w:val="000000" w:themeColor="text1"/>
          <w:lang w:val="en-US"/>
        </w:rPr>
        <w:t>is responsible for what, how decisions are escalated, and how outcomes are measured. This governance perspective complements ISO/IEC 27001 by reinforcing executive oversight and helping ensure that information security objectives are embedded within organisational strategy rather than isolated within technical teams.</w:t>
      </w:r>
    </w:p>
    <w:p w:rsidR="668EA57D" w:rsidP="454DA209" w:rsidRDefault="668EA57D" w14:paraId="6AE38445" w14:textId="03FFDF01">
      <w:pPr>
        <w:spacing w:before="240" w:after="240"/>
        <w:rPr>
          <w:color w:val="000000" w:themeColor="text1"/>
        </w:rPr>
      </w:pPr>
      <w:r w:rsidRPr="454DA209">
        <w:rPr>
          <w:color w:val="000000" w:themeColor="text1"/>
          <w:lang w:val="en-US"/>
        </w:rPr>
        <w:t xml:space="preserve">Neither ITIL nor COBIT is sufficient as a standalone security framework for NatureGreen. ITIL lacks </w:t>
      </w:r>
      <w:proofErr w:type="gramStart"/>
      <w:r w:rsidRPr="454DA209">
        <w:rPr>
          <w:color w:val="000000" w:themeColor="text1"/>
          <w:lang w:val="en-US"/>
        </w:rPr>
        <w:t>a comprehensive</w:t>
      </w:r>
      <w:proofErr w:type="gramEnd"/>
      <w:r w:rsidRPr="454DA209">
        <w:rPr>
          <w:color w:val="000000" w:themeColor="text1"/>
          <w:lang w:val="en-US"/>
        </w:rPr>
        <w:t xml:space="preserve"> risk management and control selection </w:t>
      </w:r>
      <w:proofErr w:type="gramStart"/>
      <w:r w:rsidRPr="454DA209">
        <w:rPr>
          <w:color w:val="000000" w:themeColor="text1"/>
          <w:lang w:val="en-US"/>
        </w:rPr>
        <w:t>model</w:t>
      </w:r>
      <w:proofErr w:type="gramEnd"/>
      <w:r w:rsidRPr="454DA209">
        <w:rPr>
          <w:color w:val="000000" w:themeColor="text1"/>
          <w:lang w:val="en-US"/>
        </w:rPr>
        <w:t>, while COBIT provides limited technical security guidance. However, when used in conjunction with ISO/IEC 27001 and SOC 2, these frameworks can strengthen operational consistency and governance maturity. In practice, selective adoption of relevant processes and governance principles is more effective than full-scale implementation, particularly in complex, cloud-based environments.</w:t>
      </w:r>
    </w:p>
    <w:p w:rsidR="668EA57D" w:rsidP="454DA209" w:rsidRDefault="668EA57D" w14:paraId="3A105C53" w14:textId="0CBE5A0D">
      <w:pPr>
        <w:pStyle w:val="Ttulo3"/>
        <w:rPr>
          <w:rFonts w:ascii="Times New Roman" w:hAnsi="Times New Roman" w:eastAsia="Times New Roman" w:cs="Times New Roman"/>
          <w:sz w:val="28"/>
          <w:szCs w:val="28"/>
        </w:rPr>
      </w:pPr>
      <w:r w:rsidRPr="454DA209">
        <w:t>Zero Trust Architecture</w:t>
      </w:r>
    </w:p>
    <w:p w:rsidR="668EA57D" w:rsidP="678A2080" w:rsidRDefault="0F7B6D56" w14:paraId="260E5804" w14:textId="10110A75">
      <w:pPr>
        <w:spacing w:before="240" w:after="240"/>
        <w:rPr>
          <w:color w:val="000000" w:themeColor="text1"/>
        </w:rPr>
      </w:pPr>
      <w:r w:rsidRPr="678A2080">
        <w:rPr>
          <w:color w:val="000000" w:themeColor="text1"/>
        </w:rPr>
        <w:t>Zero Trust Architecture is increasingly relevant for organisations that rely on cloud services, wireless networks, and personal devices. Unlike traditional security models</w:t>
      </w:r>
      <w:r w:rsidRPr="678A2080" w:rsidR="30C62BA5">
        <w:rPr>
          <w:color w:val="000000" w:themeColor="text1"/>
        </w:rPr>
        <w:t xml:space="preserve"> where the environment is on premise and perimeter based</w:t>
      </w:r>
      <w:r w:rsidRPr="678A2080">
        <w:rPr>
          <w:color w:val="000000" w:themeColor="text1"/>
        </w:rPr>
        <w:t>, Zero Trust assumes that no user or device should be trusted by default, even when access requests originate from within the network</w:t>
      </w:r>
      <w:r w:rsidRPr="678A2080" w:rsidR="52DA602D">
        <w:rPr>
          <w:color w:val="000000" w:themeColor="text1"/>
        </w:rPr>
        <w:t xml:space="preserve"> or with the same device’s mac address</w:t>
      </w:r>
      <w:r w:rsidRPr="678A2080">
        <w:rPr>
          <w:color w:val="000000" w:themeColor="text1"/>
        </w:rPr>
        <w:t xml:space="preserve">. Instead, all access is subject to continuous verification based on identity, device posture, and context </w:t>
      </w:r>
      <w:sdt>
        <w:sdtPr>
          <w:alias w:val="Citation"/>
          <w:tag w:val="{&quot;referencesIds&quot;:[&quot;doc:695c1648ef4607236380d6f5&quot;],&quot;referencesOptions&quot;:{&quot;doc:695c1648ef4607236380d6f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379339711,&quot;citationText&quot;:&quot;&lt;span style=\&quot;font-family:Times New Roman;font-size:16px;color:#000000\&quot;&gt;[7]&lt;/span&gt;&quot;}"/>
          <w:id w:val="379339711"/>
          <w:placeholder>
            <w:docPart w:val="DefaultPlaceholder_-1854013440"/>
          </w:placeholder>
        </w:sdtPr>
        <w:sdtContent>
          <w:r w:rsidRPr="678A2080" w:rsidR="0802DD5B">
            <w:rPr>
              <w:color w:val="000000" w:themeColor="text1"/>
            </w:rPr>
            <w:t>[7]</w:t>
          </w:r>
        </w:sdtContent>
      </w:sdt>
      <w:r>
        <w:t>.</w:t>
      </w:r>
    </w:p>
    <w:p w:rsidR="668EA57D" w:rsidP="454DA209" w:rsidRDefault="668EA57D" w14:paraId="02984BD1" w14:textId="3688312F">
      <w:pPr>
        <w:spacing w:before="240" w:after="240"/>
        <w:rPr>
          <w:color w:val="000000" w:themeColor="text1"/>
        </w:rPr>
      </w:pPr>
      <w:r w:rsidRPr="454DA209">
        <w:rPr>
          <w:color w:val="000000" w:themeColor="text1"/>
        </w:rPr>
        <w:t>This approach places strong emphasis on least-privilege access, segmentation, and robust identity controls. For NatureGreen, where staff and customers frequently access systems using personal devices, Zero Trust offers a practical way to reduce the risk of credential compromise, unauthorised access, and lateral movement within cloud environments. When combined with the governance structure of ISO/IEC 27001 and the monitoring focus of SOC 2, Zero Trust supports a security posture that aligns more closely with modern threat landscapes.</w:t>
      </w:r>
    </w:p>
    <w:p w:rsidR="668EA57D" w:rsidP="454DA209" w:rsidRDefault="668EA57D" w14:paraId="4ABDD040" w14:textId="71A9BF66">
      <w:pPr>
        <w:spacing w:before="320" w:after="80" w:line="240" w:lineRule="auto"/>
        <w:rPr>
          <w:color w:val="000000" w:themeColor="text1"/>
          <w:sz w:val="28"/>
          <w:szCs w:val="28"/>
        </w:rPr>
      </w:pPr>
      <w:r w:rsidRPr="454DA209">
        <w:rPr>
          <w:color w:val="000000" w:themeColor="text1"/>
          <w:sz w:val="28"/>
          <w:szCs w:val="28"/>
        </w:rPr>
        <w:t>Comparative Summary</w:t>
      </w:r>
    </w:p>
    <w:p w:rsidR="668EA57D" w:rsidP="454DA209" w:rsidRDefault="668EA57D" w14:paraId="41407459" w14:textId="3C3F95BC">
      <w:pPr>
        <w:spacing w:before="240" w:after="240" w:line="240" w:lineRule="auto"/>
        <w:rPr>
          <w:color w:val="000000" w:themeColor="text1"/>
        </w:rPr>
      </w:pPr>
      <w:r w:rsidRPr="454DA209">
        <w:rPr>
          <w:color w:val="000000" w:themeColor="text1"/>
        </w:rPr>
        <w:t>The table below summarises the main contributions and limitations of each framework.</w:t>
      </w:r>
    </w:p>
    <w:p w:rsidR="668EA57D" w:rsidP="454DA209" w:rsidRDefault="668EA57D" w14:paraId="3B3E31D7" w14:textId="6949EBA2">
      <w:pPr>
        <w:spacing w:before="240" w:after="240" w:line="240" w:lineRule="auto"/>
        <w:rPr>
          <w:color w:val="000000" w:themeColor="text1"/>
        </w:rPr>
      </w:pPr>
      <w:r w:rsidRPr="454DA209">
        <w:rPr>
          <w:b/>
          <w:bCs/>
          <w:color w:val="000000" w:themeColor="text1"/>
        </w:rPr>
        <w:t>Table 1. Comparative Summary of Security Frameworks Relevant to NG</w:t>
      </w:r>
    </w:p>
    <w:tbl>
      <w:tblPr>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470"/>
        <w:gridCol w:w="2880"/>
        <w:gridCol w:w="2145"/>
        <w:gridCol w:w="2820"/>
      </w:tblGrid>
      <w:tr w:rsidR="454DA209" w:rsidTr="454DA209" w14:paraId="1B446CEF" w14:textId="77777777">
        <w:trPr>
          <w:trHeight w:val="495"/>
        </w:trPr>
        <w:tc>
          <w:tcPr>
            <w:tcW w:w="1470" w:type="dxa"/>
            <w:tcMar>
              <w:top w:w="90" w:type="dxa"/>
              <w:left w:w="90" w:type="dxa"/>
              <w:bottom w:w="90" w:type="dxa"/>
              <w:right w:w="90" w:type="dxa"/>
            </w:tcMar>
          </w:tcPr>
          <w:p w:rsidR="454DA209" w:rsidP="454DA209" w:rsidRDefault="454DA209" w14:paraId="4174B4AA" w14:textId="6939BA2E">
            <w:pPr>
              <w:spacing w:before="240" w:after="240" w:line="240" w:lineRule="auto"/>
              <w:jc w:val="center"/>
              <w:rPr>
                <w:color w:val="000000" w:themeColor="text1"/>
              </w:rPr>
            </w:pPr>
            <w:r w:rsidRPr="454DA209">
              <w:rPr>
                <w:b/>
                <w:bCs/>
                <w:color w:val="000000" w:themeColor="text1"/>
              </w:rPr>
              <w:t>Framework</w:t>
            </w:r>
          </w:p>
        </w:tc>
        <w:tc>
          <w:tcPr>
            <w:tcW w:w="2880" w:type="dxa"/>
            <w:tcMar>
              <w:top w:w="90" w:type="dxa"/>
              <w:left w:w="90" w:type="dxa"/>
              <w:bottom w:w="90" w:type="dxa"/>
              <w:right w:w="90" w:type="dxa"/>
            </w:tcMar>
          </w:tcPr>
          <w:p w:rsidR="454DA209" w:rsidP="454DA209" w:rsidRDefault="454DA209" w14:paraId="60502EB0" w14:textId="2E8BC993">
            <w:pPr>
              <w:spacing w:before="240" w:after="240" w:line="240" w:lineRule="auto"/>
              <w:jc w:val="center"/>
              <w:rPr>
                <w:color w:val="000000" w:themeColor="text1"/>
              </w:rPr>
            </w:pPr>
            <w:r w:rsidRPr="454DA209">
              <w:rPr>
                <w:b/>
                <w:bCs/>
                <w:color w:val="000000" w:themeColor="text1"/>
              </w:rPr>
              <w:t>Strengths</w:t>
            </w:r>
          </w:p>
        </w:tc>
        <w:tc>
          <w:tcPr>
            <w:tcW w:w="2145" w:type="dxa"/>
            <w:tcMar>
              <w:top w:w="90" w:type="dxa"/>
              <w:left w:w="90" w:type="dxa"/>
              <w:bottom w:w="90" w:type="dxa"/>
              <w:right w:w="90" w:type="dxa"/>
            </w:tcMar>
          </w:tcPr>
          <w:p w:rsidR="454DA209" w:rsidP="454DA209" w:rsidRDefault="454DA209" w14:paraId="5053B65B" w14:textId="53709F0D">
            <w:pPr>
              <w:spacing w:before="240" w:after="240" w:line="240" w:lineRule="auto"/>
              <w:jc w:val="center"/>
              <w:rPr>
                <w:color w:val="000000" w:themeColor="text1"/>
              </w:rPr>
            </w:pPr>
            <w:r w:rsidRPr="454DA209">
              <w:rPr>
                <w:b/>
                <w:bCs/>
                <w:color w:val="000000" w:themeColor="text1"/>
              </w:rPr>
              <w:t>Limitations</w:t>
            </w:r>
          </w:p>
        </w:tc>
        <w:tc>
          <w:tcPr>
            <w:tcW w:w="2820" w:type="dxa"/>
            <w:tcMar>
              <w:top w:w="90" w:type="dxa"/>
              <w:left w:w="90" w:type="dxa"/>
              <w:bottom w:w="90" w:type="dxa"/>
              <w:right w:w="90" w:type="dxa"/>
            </w:tcMar>
          </w:tcPr>
          <w:p w:rsidR="454DA209" w:rsidP="454DA209" w:rsidRDefault="454DA209" w14:paraId="4892699D" w14:textId="24A45FE1">
            <w:pPr>
              <w:spacing w:before="240" w:after="240" w:line="240" w:lineRule="auto"/>
              <w:jc w:val="center"/>
              <w:rPr>
                <w:color w:val="000000" w:themeColor="text1"/>
              </w:rPr>
            </w:pPr>
            <w:r w:rsidRPr="454DA209">
              <w:rPr>
                <w:b/>
                <w:bCs/>
                <w:color w:val="000000" w:themeColor="text1"/>
              </w:rPr>
              <w:t>Relevance to NG</w:t>
            </w:r>
          </w:p>
        </w:tc>
      </w:tr>
      <w:tr w:rsidR="454DA209" w:rsidTr="454DA209" w14:paraId="32F8D782" w14:textId="77777777">
        <w:trPr>
          <w:trHeight w:val="1035"/>
        </w:trPr>
        <w:tc>
          <w:tcPr>
            <w:tcW w:w="1470" w:type="dxa"/>
            <w:tcMar>
              <w:top w:w="90" w:type="dxa"/>
              <w:left w:w="90" w:type="dxa"/>
              <w:bottom w:w="90" w:type="dxa"/>
              <w:right w:w="90" w:type="dxa"/>
            </w:tcMar>
          </w:tcPr>
          <w:p w:rsidR="454DA209" w:rsidP="454DA209" w:rsidRDefault="454DA209" w14:paraId="5FE30DE9" w14:textId="33477107">
            <w:pPr>
              <w:spacing w:before="240" w:after="240" w:line="240" w:lineRule="auto"/>
              <w:rPr>
                <w:color w:val="000000" w:themeColor="text1"/>
              </w:rPr>
            </w:pPr>
            <w:r w:rsidRPr="454DA209">
              <w:rPr>
                <w:color w:val="000000" w:themeColor="text1"/>
              </w:rPr>
              <w:t>ISO/IEC 27001</w:t>
            </w:r>
          </w:p>
        </w:tc>
        <w:tc>
          <w:tcPr>
            <w:tcW w:w="2880" w:type="dxa"/>
            <w:tcMar>
              <w:top w:w="90" w:type="dxa"/>
              <w:left w:w="90" w:type="dxa"/>
              <w:bottom w:w="90" w:type="dxa"/>
              <w:right w:w="90" w:type="dxa"/>
            </w:tcMar>
          </w:tcPr>
          <w:p w:rsidR="454DA209" w:rsidP="454DA209" w:rsidRDefault="454DA209" w14:paraId="68CF84EA" w14:textId="305821C7">
            <w:pPr>
              <w:spacing w:before="240" w:after="240" w:line="240" w:lineRule="auto"/>
              <w:rPr>
                <w:color w:val="000000" w:themeColor="text1"/>
              </w:rPr>
            </w:pPr>
            <w:r w:rsidRPr="454DA209">
              <w:rPr>
                <w:color w:val="000000" w:themeColor="text1"/>
              </w:rPr>
              <w:t>Strong governance, risk management, policy structure, global acceptance</w:t>
            </w:r>
          </w:p>
        </w:tc>
        <w:tc>
          <w:tcPr>
            <w:tcW w:w="2145" w:type="dxa"/>
            <w:tcMar>
              <w:top w:w="90" w:type="dxa"/>
              <w:left w:w="90" w:type="dxa"/>
              <w:bottom w:w="90" w:type="dxa"/>
              <w:right w:w="90" w:type="dxa"/>
            </w:tcMar>
          </w:tcPr>
          <w:p w:rsidR="454DA209" w:rsidP="454DA209" w:rsidRDefault="454DA209" w14:paraId="12F40872" w14:textId="2A26D199">
            <w:pPr>
              <w:spacing w:before="240" w:after="240" w:line="240" w:lineRule="auto"/>
              <w:rPr>
                <w:color w:val="000000" w:themeColor="text1"/>
              </w:rPr>
            </w:pPr>
            <w:r w:rsidRPr="454DA209">
              <w:rPr>
                <w:color w:val="000000" w:themeColor="text1"/>
              </w:rPr>
              <w:t>Can become procedural if not well integrated</w:t>
            </w:r>
          </w:p>
        </w:tc>
        <w:tc>
          <w:tcPr>
            <w:tcW w:w="2820" w:type="dxa"/>
            <w:tcMar>
              <w:top w:w="90" w:type="dxa"/>
              <w:left w:w="90" w:type="dxa"/>
              <w:bottom w:w="90" w:type="dxa"/>
              <w:right w:w="90" w:type="dxa"/>
            </w:tcMar>
          </w:tcPr>
          <w:p w:rsidR="454DA209" w:rsidP="454DA209" w:rsidRDefault="454DA209" w14:paraId="7C017D27" w14:textId="2E609C84">
            <w:pPr>
              <w:spacing w:before="240" w:after="240" w:line="240" w:lineRule="auto"/>
              <w:rPr>
                <w:color w:val="000000" w:themeColor="text1"/>
              </w:rPr>
            </w:pPr>
            <w:r w:rsidRPr="454DA209">
              <w:rPr>
                <w:color w:val="000000" w:themeColor="text1"/>
              </w:rPr>
              <w:t>Very high. Forms the foundation of NG’s ISMS</w:t>
            </w:r>
          </w:p>
        </w:tc>
      </w:tr>
      <w:tr w:rsidR="454DA209" w:rsidTr="454DA209" w14:paraId="1C78246C" w14:textId="77777777">
        <w:trPr>
          <w:trHeight w:val="1035"/>
        </w:trPr>
        <w:tc>
          <w:tcPr>
            <w:tcW w:w="1470" w:type="dxa"/>
            <w:tcMar>
              <w:top w:w="90" w:type="dxa"/>
              <w:left w:w="90" w:type="dxa"/>
              <w:bottom w:w="90" w:type="dxa"/>
              <w:right w:w="90" w:type="dxa"/>
            </w:tcMar>
          </w:tcPr>
          <w:p w:rsidR="454DA209" w:rsidP="454DA209" w:rsidRDefault="454DA209" w14:paraId="740E2638" w14:textId="332333D7">
            <w:pPr>
              <w:spacing w:before="240" w:after="240" w:line="240" w:lineRule="auto"/>
              <w:rPr>
                <w:color w:val="000000" w:themeColor="text1"/>
              </w:rPr>
            </w:pPr>
            <w:r w:rsidRPr="454DA209">
              <w:rPr>
                <w:color w:val="000000" w:themeColor="text1"/>
              </w:rPr>
              <w:t>SOC 2</w:t>
            </w:r>
          </w:p>
        </w:tc>
        <w:tc>
          <w:tcPr>
            <w:tcW w:w="2880" w:type="dxa"/>
            <w:tcMar>
              <w:top w:w="90" w:type="dxa"/>
              <w:left w:w="90" w:type="dxa"/>
              <w:bottom w:w="90" w:type="dxa"/>
              <w:right w:w="90" w:type="dxa"/>
            </w:tcMar>
          </w:tcPr>
          <w:p w:rsidR="454DA209" w:rsidP="454DA209" w:rsidRDefault="454DA209" w14:paraId="2DB2DFF2" w14:textId="74266475">
            <w:pPr>
              <w:spacing w:before="240" w:after="240" w:line="240" w:lineRule="auto"/>
              <w:rPr>
                <w:color w:val="000000" w:themeColor="text1"/>
              </w:rPr>
            </w:pPr>
            <w:r w:rsidRPr="454DA209">
              <w:rPr>
                <w:color w:val="000000" w:themeColor="text1"/>
              </w:rPr>
              <w:t>Evidence based, cloud friendly, operationally focused</w:t>
            </w:r>
          </w:p>
        </w:tc>
        <w:tc>
          <w:tcPr>
            <w:tcW w:w="2145" w:type="dxa"/>
            <w:tcMar>
              <w:top w:w="90" w:type="dxa"/>
              <w:left w:w="90" w:type="dxa"/>
              <w:bottom w:w="90" w:type="dxa"/>
              <w:right w:w="90" w:type="dxa"/>
            </w:tcMar>
          </w:tcPr>
          <w:p w:rsidR="454DA209" w:rsidP="454DA209" w:rsidRDefault="454DA209" w14:paraId="25FEBDFD" w14:textId="2CDFA827">
            <w:pPr>
              <w:spacing w:before="240" w:after="240" w:line="240" w:lineRule="auto"/>
              <w:rPr>
                <w:color w:val="000000" w:themeColor="text1"/>
              </w:rPr>
            </w:pPr>
            <w:r w:rsidRPr="454DA209">
              <w:rPr>
                <w:color w:val="000000" w:themeColor="text1"/>
              </w:rPr>
              <w:t>Less focus on governance structure</w:t>
            </w:r>
          </w:p>
        </w:tc>
        <w:tc>
          <w:tcPr>
            <w:tcW w:w="2820" w:type="dxa"/>
            <w:tcMar>
              <w:top w:w="90" w:type="dxa"/>
              <w:left w:w="90" w:type="dxa"/>
              <w:bottom w:w="90" w:type="dxa"/>
              <w:right w:w="90" w:type="dxa"/>
            </w:tcMar>
          </w:tcPr>
          <w:p w:rsidR="454DA209" w:rsidP="454DA209" w:rsidRDefault="454DA209" w14:paraId="2667DDC9" w14:textId="71679AF0">
            <w:pPr>
              <w:spacing w:before="240" w:after="240" w:line="240" w:lineRule="auto"/>
              <w:rPr>
                <w:color w:val="000000" w:themeColor="text1"/>
              </w:rPr>
            </w:pPr>
            <w:r w:rsidRPr="454DA209">
              <w:rPr>
                <w:color w:val="000000" w:themeColor="text1"/>
              </w:rPr>
              <w:t>Very high. Strengthens monitoring, logging and operational maturity</w:t>
            </w:r>
          </w:p>
        </w:tc>
      </w:tr>
      <w:tr w:rsidR="454DA209" w:rsidTr="454DA209" w14:paraId="1308497B" w14:textId="77777777">
        <w:trPr>
          <w:trHeight w:val="765"/>
        </w:trPr>
        <w:tc>
          <w:tcPr>
            <w:tcW w:w="1470" w:type="dxa"/>
            <w:tcMar>
              <w:top w:w="90" w:type="dxa"/>
              <w:left w:w="90" w:type="dxa"/>
              <w:bottom w:w="90" w:type="dxa"/>
              <w:right w:w="90" w:type="dxa"/>
            </w:tcMar>
          </w:tcPr>
          <w:p w:rsidR="454DA209" w:rsidP="454DA209" w:rsidRDefault="454DA209" w14:paraId="0ED26727" w14:textId="5D4FA0C9">
            <w:pPr>
              <w:spacing w:before="240" w:after="240" w:line="240" w:lineRule="auto"/>
              <w:rPr>
                <w:color w:val="000000" w:themeColor="text1"/>
              </w:rPr>
            </w:pPr>
            <w:r w:rsidRPr="454DA209">
              <w:rPr>
                <w:color w:val="000000" w:themeColor="text1"/>
              </w:rPr>
              <w:t>ITIL</w:t>
            </w:r>
          </w:p>
        </w:tc>
        <w:tc>
          <w:tcPr>
            <w:tcW w:w="2880" w:type="dxa"/>
            <w:tcMar>
              <w:top w:w="90" w:type="dxa"/>
              <w:left w:w="90" w:type="dxa"/>
              <w:bottom w:w="90" w:type="dxa"/>
              <w:right w:w="90" w:type="dxa"/>
            </w:tcMar>
          </w:tcPr>
          <w:p w:rsidR="454DA209" w:rsidP="454DA209" w:rsidRDefault="454DA209" w14:paraId="20078E92" w14:textId="3C8D4AEB">
            <w:pPr>
              <w:spacing w:before="240" w:after="240" w:line="240" w:lineRule="auto"/>
              <w:rPr>
                <w:color w:val="000000" w:themeColor="text1"/>
              </w:rPr>
            </w:pPr>
            <w:r w:rsidRPr="454DA209">
              <w:rPr>
                <w:color w:val="000000" w:themeColor="text1"/>
              </w:rPr>
              <w:t>Clear incident and service processes</w:t>
            </w:r>
          </w:p>
        </w:tc>
        <w:tc>
          <w:tcPr>
            <w:tcW w:w="2145" w:type="dxa"/>
            <w:tcMar>
              <w:top w:w="90" w:type="dxa"/>
              <w:left w:w="90" w:type="dxa"/>
              <w:bottom w:w="90" w:type="dxa"/>
              <w:right w:w="90" w:type="dxa"/>
            </w:tcMar>
          </w:tcPr>
          <w:p w:rsidR="454DA209" w:rsidP="454DA209" w:rsidRDefault="454DA209" w14:paraId="5F8B980F" w14:textId="6A0FCD2E">
            <w:pPr>
              <w:spacing w:before="240" w:after="240" w:line="240" w:lineRule="auto"/>
              <w:rPr>
                <w:color w:val="000000" w:themeColor="text1"/>
              </w:rPr>
            </w:pPr>
            <w:r w:rsidRPr="454DA209">
              <w:rPr>
                <w:color w:val="000000" w:themeColor="text1"/>
              </w:rPr>
              <w:t>Not a dedicated security model</w:t>
            </w:r>
          </w:p>
        </w:tc>
        <w:tc>
          <w:tcPr>
            <w:tcW w:w="2820" w:type="dxa"/>
            <w:tcMar>
              <w:top w:w="90" w:type="dxa"/>
              <w:left w:w="90" w:type="dxa"/>
              <w:bottom w:w="90" w:type="dxa"/>
              <w:right w:w="90" w:type="dxa"/>
            </w:tcMar>
          </w:tcPr>
          <w:p w:rsidR="454DA209" w:rsidP="454DA209" w:rsidRDefault="454DA209" w14:paraId="23BA9D7D" w14:textId="0778F709">
            <w:pPr>
              <w:spacing w:before="240" w:after="240" w:line="240" w:lineRule="auto"/>
              <w:rPr>
                <w:color w:val="000000" w:themeColor="text1"/>
              </w:rPr>
            </w:pPr>
            <w:r w:rsidRPr="454DA209">
              <w:rPr>
                <w:color w:val="000000" w:themeColor="text1"/>
              </w:rPr>
              <w:t>Moderate. Useful for workflows and consistency</w:t>
            </w:r>
          </w:p>
        </w:tc>
      </w:tr>
      <w:tr w:rsidR="454DA209" w:rsidTr="454DA209" w14:paraId="4312CE99" w14:textId="77777777">
        <w:trPr>
          <w:trHeight w:val="765"/>
        </w:trPr>
        <w:tc>
          <w:tcPr>
            <w:tcW w:w="1470" w:type="dxa"/>
            <w:tcMar>
              <w:top w:w="90" w:type="dxa"/>
              <w:left w:w="90" w:type="dxa"/>
              <w:bottom w:w="90" w:type="dxa"/>
              <w:right w:w="90" w:type="dxa"/>
            </w:tcMar>
          </w:tcPr>
          <w:p w:rsidR="454DA209" w:rsidP="454DA209" w:rsidRDefault="454DA209" w14:paraId="7D3F2FA0" w14:textId="27E2F315">
            <w:pPr>
              <w:spacing w:before="240" w:after="240" w:line="240" w:lineRule="auto"/>
              <w:rPr>
                <w:color w:val="000000" w:themeColor="text1"/>
              </w:rPr>
            </w:pPr>
            <w:r w:rsidRPr="454DA209">
              <w:rPr>
                <w:color w:val="000000" w:themeColor="text1"/>
              </w:rPr>
              <w:t>COBIT</w:t>
            </w:r>
          </w:p>
        </w:tc>
        <w:tc>
          <w:tcPr>
            <w:tcW w:w="2880" w:type="dxa"/>
            <w:tcMar>
              <w:top w:w="90" w:type="dxa"/>
              <w:left w:w="90" w:type="dxa"/>
              <w:bottom w:w="90" w:type="dxa"/>
              <w:right w:w="90" w:type="dxa"/>
            </w:tcMar>
          </w:tcPr>
          <w:p w:rsidR="454DA209" w:rsidP="454DA209" w:rsidRDefault="454DA209" w14:paraId="4E082F67" w14:textId="2989589F">
            <w:pPr>
              <w:spacing w:before="240" w:after="240" w:line="240" w:lineRule="auto"/>
              <w:rPr>
                <w:color w:val="000000" w:themeColor="text1"/>
              </w:rPr>
            </w:pPr>
            <w:r w:rsidRPr="454DA209">
              <w:rPr>
                <w:color w:val="000000" w:themeColor="text1"/>
              </w:rPr>
              <w:t>Strong governance principles</w:t>
            </w:r>
          </w:p>
        </w:tc>
        <w:tc>
          <w:tcPr>
            <w:tcW w:w="2145" w:type="dxa"/>
            <w:tcMar>
              <w:top w:w="90" w:type="dxa"/>
              <w:left w:w="90" w:type="dxa"/>
              <w:bottom w:w="90" w:type="dxa"/>
              <w:right w:w="90" w:type="dxa"/>
            </w:tcMar>
          </w:tcPr>
          <w:p w:rsidR="454DA209" w:rsidP="454DA209" w:rsidRDefault="454DA209" w14:paraId="655193F1" w14:textId="68A2F504">
            <w:pPr>
              <w:spacing w:before="240" w:after="240" w:line="240" w:lineRule="auto"/>
              <w:rPr>
                <w:color w:val="000000" w:themeColor="text1"/>
              </w:rPr>
            </w:pPr>
            <w:r w:rsidRPr="454DA209">
              <w:rPr>
                <w:color w:val="000000" w:themeColor="text1"/>
              </w:rPr>
              <w:t>Limited technical controls</w:t>
            </w:r>
          </w:p>
        </w:tc>
        <w:tc>
          <w:tcPr>
            <w:tcW w:w="2820" w:type="dxa"/>
            <w:tcMar>
              <w:top w:w="90" w:type="dxa"/>
              <w:left w:w="90" w:type="dxa"/>
              <w:bottom w:w="90" w:type="dxa"/>
              <w:right w:w="90" w:type="dxa"/>
            </w:tcMar>
          </w:tcPr>
          <w:p w:rsidR="454DA209" w:rsidP="454DA209" w:rsidRDefault="454DA209" w14:paraId="118D4851" w14:textId="168ED468">
            <w:pPr>
              <w:spacing w:before="240" w:after="240" w:line="240" w:lineRule="auto"/>
              <w:rPr>
                <w:color w:val="000000" w:themeColor="text1"/>
              </w:rPr>
            </w:pPr>
            <w:r w:rsidRPr="454DA209">
              <w:rPr>
                <w:color w:val="000000" w:themeColor="text1"/>
              </w:rPr>
              <w:t>Moderate. Supports accountability and structure</w:t>
            </w:r>
          </w:p>
        </w:tc>
      </w:tr>
      <w:tr w:rsidR="454DA209" w:rsidTr="454DA209" w14:paraId="7F04E05E" w14:textId="77777777">
        <w:trPr>
          <w:trHeight w:val="1035"/>
        </w:trPr>
        <w:tc>
          <w:tcPr>
            <w:tcW w:w="1470" w:type="dxa"/>
            <w:tcMar>
              <w:top w:w="90" w:type="dxa"/>
              <w:left w:w="90" w:type="dxa"/>
              <w:bottom w:w="90" w:type="dxa"/>
              <w:right w:w="90" w:type="dxa"/>
            </w:tcMar>
          </w:tcPr>
          <w:p w:rsidR="454DA209" w:rsidP="454DA209" w:rsidRDefault="454DA209" w14:paraId="3CECDD5C" w14:textId="5ACFCC7E">
            <w:pPr>
              <w:spacing w:before="240" w:after="240" w:line="240" w:lineRule="auto"/>
              <w:rPr>
                <w:color w:val="000000" w:themeColor="text1"/>
              </w:rPr>
            </w:pPr>
            <w:r w:rsidRPr="454DA209">
              <w:rPr>
                <w:color w:val="000000" w:themeColor="text1"/>
              </w:rPr>
              <w:t>Zero Trust</w:t>
            </w:r>
          </w:p>
        </w:tc>
        <w:tc>
          <w:tcPr>
            <w:tcW w:w="2880" w:type="dxa"/>
            <w:tcMar>
              <w:top w:w="90" w:type="dxa"/>
              <w:left w:w="90" w:type="dxa"/>
              <w:bottom w:w="90" w:type="dxa"/>
              <w:right w:w="90" w:type="dxa"/>
            </w:tcMar>
          </w:tcPr>
          <w:p w:rsidR="454DA209" w:rsidP="454DA209" w:rsidRDefault="454DA209" w14:paraId="4269CBFE" w14:textId="11FC86EB">
            <w:pPr>
              <w:spacing w:before="240" w:after="240" w:line="240" w:lineRule="auto"/>
              <w:rPr>
                <w:color w:val="000000" w:themeColor="text1"/>
              </w:rPr>
            </w:pPr>
            <w:r w:rsidRPr="454DA209">
              <w:rPr>
                <w:color w:val="000000" w:themeColor="text1"/>
              </w:rPr>
              <w:t>Ideal for BYOD and cloud environments</w:t>
            </w:r>
          </w:p>
        </w:tc>
        <w:tc>
          <w:tcPr>
            <w:tcW w:w="2145" w:type="dxa"/>
            <w:tcMar>
              <w:top w:w="90" w:type="dxa"/>
              <w:left w:w="90" w:type="dxa"/>
              <w:bottom w:w="90" w:type="dxa"/>
              <w:right w:w="90" w:type="dxa"/>
            </w:tcMar>
          </w:tcPr>
          <w:p w:rsidR="454DA209" w:rsidP="454DA209" w:rsidRDefault="454DA209" w14:paraId="0154A2B2" w14:textId="6DF9A927">
            <w:pPr>
              <w:spacing w:before="240" w:after="240" w:line="240" w:lineRule="auto"/>
              <w:rPr>
                <w:color w:val="000000" w:themeColor="text1"/>
              </w:rPr>
            </w:pPr>
            <w:r w:rsidRPr="454DA209">
              <w:rPr>
                <w:color w:val="000000" w:themeColor="text1"/>
              </w:rPr>
              <w:t>Not a full governance framework</w:t>
            </w:r>
          </w:p>
        </w:tc>
        <w:tc>
          <w:tcPr>
            <w:tcW w:w="2820" w:type="dxa"/>
            <w:tcMar>
              <w:top w:w="90" w:type="dxa"/>
              <w:left w:w="90" w:type="dxa"/>
              <w:bottom w:w="90" w:type="dxa"/>
              <w:right w:w="90" w:type="dxa"/>
            </w:tcMar>
          </w:tcPr>
          <w:p w:rsidR="454DA209" w:rsidP="454DA209" w:rsidRDefault="454DA209" w14:paraId="62492008" w14:textId="16DFEA74">
            <w:pPr>
              <w:spacing w:before="240" w:after="240" w:line="240" w:lineRule="auto"/>
              <w:rPr>
                <w:color w:val="000000" w:themeColor="text1"/>
              </w:rPr>
            </w:pPr>
            <w:r w:rsidRPr="454DA209">
              <w:rPr>
                <w:color w:val="000000" w:themeColor="text1"/>
              </w:rPr>
              <w:t>High. Enhances access control and segmentation</w:t>
            </w:r>
          </w:p>
        </w:tc>
      </w:tr>
    </w:tbl>
    <w:p w:rsidR="668EA57D" w:rsidP="454DA209" w:rsidRDefault="668EA57D" w14:paraId="14F5F8AA" w14:textId="3166D915">
      <w:pPr>
        <w:spacing w:after="0" w:line="240" w:lineRule="auto"/>
        <w:rPr>
          <w:color w:val="000000" w:themeColor="text1"/>
        </w:rPr>
      </w:pPr>
      <w:r>
        <w:rPr>
          <w:noProof/>
        </w:rPr>
        <w:drawing>
          <wp:inline distT="0" distB="0" distL="0" distR="0" wp14:anchorId="5F6B6FC8" wp14:editId="706625E2">
            <wp:extent cx="5953125" cy="9525"/>
            <wp:effectExtent l="0" t="0" r="0" b="0"/>
            <wp:docPr id="1495354099" name="drawing"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354099" name="Picture 1495354099"/>
                    <pic:cNvPicPr/>
                  </pic:nvPicPr>
                  <pic:blipFill>
                    <a:blip r:embed="rId6">
                      <a:extLst>
                        <a:ext uri="{28A0092B-C50C-407E-A947-70E740481C1C}">
                          <a14:useLocalDpi xmlns:a14="http://schemas.microsoft.com/office/drawing/2010/main"/>
                        </a:ext>
                      </a:extLst>
                    </a:blip>
                    <a:stretch>
                      <a:fillRect/>
                    </a:stretch>
                  </pic:blipFill>
                  <pic:spPr>
                    <a:xfrm>
                      <a:off x="0" y="0"/>
                      <a:ext cx="5953125" cy="9525"/>
                    </a:xfrm>
                    <a:prstGeom prst="rect">
                      <a:avLst/>
                    </a:prstGeom>
                  </pic:spPr>
                </pic:pic>
              </a:graphicData>
            </a:graphic>
          </wp:inline>
        </w:drawing>
      </w:r>
    </w:p>
    <w:p w:rsidR="668EA57D" w:rsidP="454DA209" w:rsidRDefault="668EA57D" w14:paraId="2AE42AFE" w14:textId="5060C42E">
      <w:pPr>
        <w:spacing w:before="320" w:after="80" w:line="240" w:lineRule="auto"/>
        <w:rPr>
          <w:color w:val="000000" w:themeColor="text1"/>
          <w:sz w:val="28"/>
          <w:szCs w:val="28"/>
        </w:rPr>
      </w:pPr>
      <w:r w:rsidRPr="454DA209">
        <w:rPr>
          <w:color w:val="000000" w:themeColor="text1"/>
          <w:sz w:val="28"/>
          <w:szCs w:val="28"/>
        </w:rPr>
        <w:t>Synthesis of Key Insights</w:t>
      </w:r>
    </w:p>
    <w:p w:rsidR="597D053F" w:rsidP="454DA209" w:rsidRDefault="597D053F" w14:paraId="5FF79E4F" w14:textId="6E22DBA5">
      <w:pPr>
        <w:spacing w:before="240" w:after="240" w:line="240" w:lineRule="auto"/>
        <w:rPr>
          <w:color w:val="000000" w:themeColor="text1"/>
        </w:rPr>
      </w:pPr>
      <w:r w:rsidRPr="454DA209">
        <w:rPr>
          <w:color w:val="000000" w:themeColor="text1"/>
        </w:rPr>
        <w:t xml:space="preserve">It’s </w:t>
      </w:r>
      <w:r w:rsidRPr="454DA209" w:rsidR="668EA57D">
        <w:rPr>
          <w:color w:val="000000" w:themeColor="text1"/>
        </w:rPr>
        <w:t>show</w:t>
      </w:r>
      <w:r w:rsidRPr="454DA209" w:rsidR="30C55D88">
        <w:rPr>
          <w:color w:val="000000" w:themeColor="text1"/>
        </w:rPr>
        <w:t xml:space="preserve">n </w:t>
      </w:r>
      <w:r w:rsidRPr="454DA209" w:rsidR="668EA57D">
        <w:rPr>
          <w:color w:val="000000" w:themeColor="text1"/>
        </w:rPr>
        <w:t>that no single framework fully meets NG’s needs</w:t>
      </w:r>
      <w:r w:rsidRPr="454DA209" w:rsidR="782F1382">
        <w:rPr>
          <w:color w:val="000000" w:themeColor="text1"/>
        </w:rPr>
        <w:t xml:space="preserve"> by itself</w:t>
      </w:r>
      <w:r w:rsidRPr="454DA209" w:rsidR="668EA57D">
        <w:rPr>
          <w:color w:val="000000" w:themeColor="text1"/>
        </w:rPr>
        <w:t>. ISO 27001 provides governance and risk methodology, SOC 2 strengthens operational assurance</w:t>
      </w:r>
      <w:r w:rsidRPr="454DA209" w:rsidR="3626AB76">
        <w:rPr>
          <w:color w:val="000000" w:themeColor="text1"/>
        </w:rPr>
        <w:t xml:space="preserve"> with the evidence submission system </w:t>
      </w:r>
      <w:proofErr w:type="gramStart"/>
      <w:r w:rsidRPr="454DA209" w:rsidR="3626AB76">
        <w:rPr>
          <w:color w:val="000000" w:themeColor="text1"/>
        </w:rPr>
        <w:t>as a way to</w:t>
      </w:r>
      <w:proofErr w:type="gramEnd"/>
      <w:r w:rsidRPr="454DA209" w:rsidR="3626AB76">
        <w:rPr>
          <w:color w:val="000000" w:themeColor="text1"/>
        </w:rPr>
        <w:t xml:space="preserve"> enforce the operational effectiveness</w:t>
      </w:r>
      <w:r w:rsidRPr="454DA209" w:rsidR="668EA57D">
        <w:rPr>
          <w:color w:val="000000" w:themeColor="text1"/>
        </w:rPr>
        <w:t>, and Zero Trust addresses modern access and device risks</w:t>
      </w:r>
      <w:r w:rsidRPr="454DA209" w:rsidR="569DBE97">
        <w:rPr>
          <w:color w:val="000000" w:themeColor="text1"/>
        </w:rPr>
        <w:t xml:space="preserve"> in a </w:t>
      </w:r>
      <w:proofErr w:type="gramStart"/>
      <w:r w:rsidRPr="454DA209" w:rsidR="569DBE97">
        <w:rPr>
          <w:color w:val="000000" w:themeColor="text1"/>
        </w:rPr>
        <w:t>cloud based</w:t>
      </w:r>
      <w:proofErr w:type="gramEnd"/>
      <w:r w:rsidRPr="454DA209" w:rsidR="569DBE97">
        <w:rPr>
          <w:color w:val="000000" w:themeColor="text1"/>
        </w:rPr>
        <w:t xml:space="preserve"> environment</w:t>
      </w:r>
      <w:r w:rsidRPr="454DA209" w:rsidR="668EA57D">
        <w:rPr>
          <w:color w:val="000000" w:themeColor="text1"/>
        </w:rPr>
        <w:t>. ITIL and COBIT support the creation of structured processes and clear accountability. When combined, these frameworks provide NG with a realistic and contemporary approach to building a secure environment.</w:t>
      </w:r>
    </w:p>
    <w:p w:rsidR="668EA57D" w:rsidP="454DA209" w:rsidRDefault="668EA57D" w14:paraId="4D0CFF77" w14:textId="4F4C32D2">
      <w:pPr>
        <w:spacing w:before="240" w:after="240" w:line="240" w:lineRule="auto"/>
        <w:rPr>
          <w:color w:val="000000" w:themeColor="text1"/>
        </w:rPr>
      </w:pPr>
      <w:r w:rsidRPr="454DA209">
        <w:rPr>
          <w:color w:val="000000" w:themeColor="text1"/>
        </w:rPr>
        <w:t>These insights form the basis for the comprehensive security and governance model developed in the next section.</w:t>
      </w:r>
    </w:p>
    <w:p w:rsidR="015284A1" w:rsidP="454DA209" w:rsidRDefault="015284A1" w14:paraId="193448DE" w14:textId="09509824">
      <w:pPr>
        <w:pStyle w:val="Ttulo3"/>
      </w:pPr>
      <w:r w:rsidRPr="454DA209">
        <w:t xml:space="preserve">Security, Governance and Compliance Approach for NatureGreen </w:t>
      </w:r>
    </w:p>
    <w:p w:rsidR="015284A1" w:rsidP="454DA209" w:rsidRDefault="015284A1" w14:paraId="14599218" w14:textId="28DE9E77">
      <w:pPr>
        <w:spacing w:before="240" w:after="240"/>
      </w:pPr>
      <w:r w:rsidRPr="454DA209">
        <w:t>This section applies the frameworks discussed in the literature review to the NatureGreen</w:t>
      </w:r>
      <w:r w:rsidRPr="454DA209" w:rsidR="528D96B8">
        <w:t xml:space="preserve"> (NG)</w:t>
      </w:r>
      <w:r w:rsidRPr="454DA209">
        <w:t xml:space="preserve"> scenario. Drawing primarily on ISO/IEC 27001 and the SOC 2 Trust Services Criteria,</w:t>
      </w:r>
      <w:r w:rsidRPr="454DA209" w:rsidR="36153D5E">
        <w:t xml:space="preserve"> seen that </w:t>
      </w:r>
      <w:proofErr w:type="gramStart"/>
      <w:r w:rsidRPr="454DA209" w:rsidR="36153D5E">
        <w:t>these 2 cover</w:t>
      </w:r>
      <w:proofErr w:type="gramEnd"/>
      <w:r w:rsidRPr="454DA209" w:rsidR="36153D5E">
        <w:t xml:space="preserve"> most of the critical points where N</w:t>
      </w:r>
      <w:r w:rsidRPr="454DA209" w:rsidR="70850AF2">
        <w:t xml:space="preserve">G could improve, </w:t>
      </w:r>
      <w:r w:rsidRPr="454DA209">
        <w:t>it proposes a practical and governance-led approach to information security that reflects NG’s reliance on cloud services, wireless connectivity and personal devices, while protecting sensitive customer data and intellectual property.</w:t>
      </w:r>
    </w:p>
    <w:p w:rsidR="454DA209" w:rsidRDefault="454DA209" w14:paraId="565004AB" w14:textId="003EADB6"/>
    <w:p w:rsidR="015284A1" w:rsidP="454DA209" w:rsidRDefault="015284A1" w14:paraId="60E340F6" w14:textId="701FCD51">
      <w:pPr>
        <w:pStyle w:val="Ttulo3"/>
      </w:pPr>
      <w:r w:rsidRPr="454DA209">
        <w:t>Governance Structure</w:t>
      </w:r>
    </w:p>
    <w:p w:rsidR="015284A1" w:rsidP="678A2080" w:rsidRDefault="4CD46886" w14:paraId="1D0540D0" w14:textId="2662DE61">
      <w:pPr>
        <w:spacing w:before="240" w:after="240"/>
      </w:pPr>
      <w:r w:rsidRPr="678A2080">
        <w:t xml:space="preserve">Effective security governance depends on clear accountability and leadership involvement. ISO/IEC 27001 requires senior management to approve policies, assign responsibilities and integrate information security into organisational strategy </w:t>
      </w:r>
      <w:sdt>
        <w:sdtPr>
          <w:alias w:val="Citation"/>
          <w:tag w:val="{&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80555411,&quot;citationText&quot;:&quot;&lt;span style=\&quot;font-family:Times New Roman;font-size:16px;color:#000000\&quot;&gt;[1]&lt;/span&gt;&quot;}"/>
          <w:id w:val="580555411"/>
          <w:placeholder>
            <w:docPart w:val="DefaultPlaceholder_-1854013440"/>
          </w:placeholder>
        </w:sdtPr>
        <w:sdtContent>
          <w:r w:rsidRPr="678A2080" w:rsidR="0802DD5B">
            <w:rPr>
              <w:color w:val="000000" w:themeColor="text1"/>
            </w:rPr>
            <w:t>[1]</w:t>
          </w:r>
        </w:sdtContent>
      </w:sdt>
      <w:r>
        <w:t xml:space="preserve">. Without this structure, security controls are often implemented inconsistently and lack long-term </w:t>
      </w:r>
      <w:r w:rsidRPr="678A2080" w:rsidR="0E78022F">
        <w:t>maintenance</w:t>
      </w:r>
      <w:r w:rsidRPr="678A2080">
        <w:t>.</w:t>
      </w:r>
    </w:p>
    <w:p w:rsidR="015284A1" w:rsidP="454DA209" w:rsidRDefault="015284A1" w14:paraId="3E3E85D6" w14:textId="2890F30F">
      <w:pPr>
        <w:spacing w:before="240" w:after="240"/>
      </w:pPr>
      <w:r w:rsidRPr="454DA209">
        <w:t xml:space="preserve">NatureGreen should establish an Information Security Management System (ISMS) under executive oversight, led by a senior security role such as a Chief Information Security </w:t>
      </w:r>
      <w:proofErr w:type="gramStart"/>
      <w:r w:rsidRPr="454DA209">
        <w:t>Officer</w:t>
      </w:r>
      <w:r w:rsidRPr="454DA209" w:rsidR="050FEBEE">
        <w:t xml:space="preserve">  (</w:t>
      </w:r>
      <w:proofErr w:type="gramEnd"/>
      <w:r w:rsidRPr="454DA209" w:rsidR="050FEBEE">
        <w:t>CISO) or a Data Protection Officer (DPO)</w:t>
      </w:r>
      <w:r w:rsidRPr="454DA209">
        <w:t>. This role should report directly to executive leadership to ensure that security risks are considered at a strategic level rather than treated solely as technical concerns.</w:t>
      </w:r>
    </w:p>
    <w:p w:rsidR="015284A1" w:rsidP="678A2080" w:rsidRDefault="4CD46886" w14:paraId="7EC12031" w14:textId="352D682A">
      <w:pPr>
        <w:spacing w:before="240" w:after="240"/>
      </w:pPr>
      <w:r w:rsidRPr="678A2080">
        <w:t xml:space="preserve">To support governance, NG should create a cross-functional security committee including representatives from IT, legal, human resources and key business areas. This committee would oversee policy approval, risk review and audit outcomes, aligning with ISO 27001 governance principles and SOC 2 expectations for management oversight </w:t>
      </w:r>
      <w:sdt>
        <w:sdtPr>
          <w:alias w:val="Citation"/>
          <w:tag w:val="{&quot;referencesIds&quot;:[&quot;doc:695c0b3dad4d4b6c15ca7037&quot;],&quot;referencesOptions&quot;:{&quot;doc:695c0b3dad4d4b6c15ca7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962814361,&quot;citationText&quot;:&quot;&lt;span style=\&quot;font-family:Times New Roman;font-size:16px;color:#000000\&quot;&gt;[3]&lt;/span&gt;&quot;}"/>
          <w:id w:val="962814361"/>
          <w:placeholder>
            <w:docPart w:val="DefaultPlaceholder_-1854013440"/>
          </w:placeholder>
        </w:sdtPr>
        <w:sdtContent>
          <w:r w:rsidRPr="678A2080" w:rsidR="0802DD5B">
            <w:rPr>
              <w:color w:val="000000" w:themeColor="text1"/>
            </w:rPr>
            <w:t>[3]</w:t>
          </w:r>
        </w:sdtContent>
      </w:sdt>
      <w:r>
        <w:t>. Clear ownership of activities such as risk assessment, access control reviews and incident response is essential to ensure consistent global implementation.</w:t>
      </w:r>
    </w:p>
    <w:p w:rsidR="454DA209" w:rsidRDefault="454DA209" w14:paraId="064B96E6" w14:textId="24978B65"/>
    <w:p w:rsidR="015284A1" w:rsidP="454DA209" w:rsidRDefault="015284A1" w14:paraId="4FC91A8A" w14:textId="60FB448C">
      <w:pPr>
        <w:pStyle w:val="Ttulo3"/>
      </w:pPr>
      <w:r w:rsidRPr="454DA209">
        <w:t>Risk Management Model</w:t>
      </w:r>
    </w:p>
    <w:p w:rsidR="015284A1" w:rsidP="678A2080" w:rsidRDefault="4CD46886" w14:paraId="23C6EABA" w14:textId="54B71CAD">
      <w:pPr>
        <w:spacing w:before="240" w:after="240"/>
      </w:pPr>
      <w:r w:rsidRPr="678A2080">
        <w:t>Risk management should include both ISO/IEC 27001 and SOC 2. NatureGreen</w:t>
      </w:r>
      <w:r w:rsidRPr="678A2080" w:rsidR="70F0F2E3">
        <w:t xml:space="preserve"> (NG) </w:t>
      </w:r>
      <w:r w:rsidRPr="678A2080">
        <w:t xml:space="preserve">would need to adopt a structured, easily repeatable cycle that supports consistent identification, prioritisation and treatment of risks. A suitable model is outlined by Lucidchart, which defines risk management as establishing context, identifying risks, analysing and evaluating them, treating risks and continuously monitoring outcomes </w:t>
      </w:r>
      <w:sdt>
        <w:sdtPr>
          <w:alias w:val="Citation"/>
          <w:tag w:val="{&quot;referencesIds&quot;:[&quot;doc:695c0849736c59525822c1c0&quot;],&quot;referencesOptions&quot;:{&quot;doc:695c0849736c59525822c1c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17414592,&quot;citationText&quot;:&quot;&lt;span style=\&quot;font-family:Times New Roman;font-size:16px;color:#000000\&quot;&gt;[8]&lt;/span&gt;&quot;}"/>
          <w:id w:val="517414592"/>
          <w:placeholder>
            <w:docPart w:val="DefaultPlaceholder_-1854013440"/>
          </w:placeholder>
        </w:sdtPr>
        <w:sdtContent>
          <w:r w:rsidRPr="678A2080" w:rsidR="0802DD5B">
            <w:rPr>
              <w:color w:val="000000" w:themeColor="text1"/>
            </w:rPr>
            <w:t>[8]</w:t>
          </w:r>
        </w:sdtContent>
      </w:sdt>
      <w:r>
        <w:t>.</w:t>
      </w:r>
    </w:p>
    <w:p w:rsidR="015284A1" w:rsidP="454DA209" w:rsidRDefault="015284A1" w14:paraId="0CDA63E0" w14:textId="43B85440">
      <w:pPr>
        <w:spacing w:before="240" w:after="240"/>
      </w:pPr>
      <w:r w:rsidRPr="454DA209">
        <w:t>Establishing context requires NG to define the scope of its ISMS, identify critical assets and consider regulatory obligations. Risk identification should focus on cloud misconfiguration, insecure wireless access, compromised personal devices and unauthorised access to proprietary data. ISO/IEC 27001 requires organisations to maintain accurate asset inventories to support this process (ISO/IEC 27001:2022).</w:t>
      </w:r>
    </w:p>
    <w:p w:rsidR="015284A1" w:rsidP="678A2080" w:rsidRDefault="4CD46886" w14:paraId="736088B9" w14:textId="6B6CFC6C">
      <w:pPr>
        <w:spacing w:before="240" w:after="240"/>
      </w:pPr>
      <w:r w:rsidRPr="678A2080">
        <w:t xml:space="preserve">Risk analysis evaluates likelihood and impact, while evaluation compares risks against NG’s acceptance criteria to ensure consistent prioritisation. Risks exceeding acceptable thresholds must be formally treated. Treatment options include implementing controls, avoiding high-risk activities, transferring risk through contracts or accepting residual risk where appropriate. SOC 2 Type 2 reporting reinforces the need to demonstrate that these controls operate effectively over time </w:t>
      </w:r>
      <w:sdt>
        <w:sdtPr>
          <w:alias w:val="Citation"/>
          <w:tag w:val="{&quot;referencesIds&quot;:[&quot;doc:695c0b3dad4d4b6c15ca7037&quot;],&quot;referencesOptions&quot;:{&quot;doc:695c0b3dad4d4b6c15ca70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920440"/>
          <w:placeholder>
            <w:docPart w:val="DefaultPlaceholder_-1854013440"/>
          </w:placeholder>
        </w:sdtPr>
        <w:sdtContent>
          <w:r w:rsidRPr="678A2080" w:rsidR="0802DD5B">
            <w:rPr>
              <w:color w:val="000000" w:themeColor="text1"/>
            </w:rPr>
            <w:t>[3]</w:t>
          </w:r>
        </w:sdtContent>
      </w:sdt>
      <w:r>
        <w:t>.</w:t>
      </w:r>
    </w:p>
    <w:p w:rsidR="015284A1" w:rsidP="454DA209" w:rsidRDefault="015284A1" w14:paraId="1B83E49A" w14:textId="0C07F792">
      <w:pPr>
        <w:spacing w:before="240" w:after="240"/>
      </w:pPr>
      <w:r w:rsidRPr="454DA209">
        <w:t>Continuous monitoring ensures that risks remain visible and controls remain effective. NG should update risk registers based on incidents, audits and changes to its cloud environment, supporting ISO 27001’s emphasis on continual improvement.</w:t>
      </w:r>
    </w:p>
    <w:p w:rsidR="454DA209" w:rsidRDefault="454DA209" w14:paraId="60FF326E" w14:textId="28456A8A"/>
    <w:p w:rsidR="015284A1" w:rsidP="454DA209" w:rsidRDefault="015284A1" w14:paraId="6DB6FA41" w14:textId="61C06A56">
      <w:pPr>
        <w:pStyle w:val="Ttulo3"/>
      </w:pPr>
      <w:r w:rsidRPr="454DA209">
        <w:t>Security Policies and BYOD Strategy</w:t>
      </w:r>
    </w:p>
    <w:p w:rsidR="015284A1" w:rsidP="454DA209" w:rsidRDefault="015284A1" w14:paraId="23D20635" w14:textId="496E7F10">
      <w:pPr>
        <w:spacing w:before="240" w:after="240"/>
      </w:pPr>
      <w:r w:rsidRPr="454DA209">
        <w:t>Security policies translate governance decisions into enforceable organisational behaviour. ISO/IEC 27001 requires organisations to define and maintain policies aligned with risk and business objectives (ISO/IEC 27001:2022). NG should adopt a layered policy structure, consisting of an overarching Information Security Policy supported by topic-specific policies covering access control, acceptable use, data classification, incident response and supplier security.</w:t>
      </w:r>
    </w:p>
    <w:p w:rsidR="015284A1" w:rsidP="454DA209" w:rsidRDefault="015284A1" w14:paraId="5B087AA6" w14:textId="70FD0DC6">
      <w:pPr>
        <w:spacing w:before="240" w:after="240"/>
      </w:pPr>
      <w:r w:rsidRPr="454DA209">
        <w:t>BYOD introduces additional risk due to inconsistent device security. ISO/IEC 27001 requires organisations to define acceptable use conditions, while SOC 2 expects consistent access controls regardless of device ownership (AICPA SOC 2 Trust Services Criteria). NG’s BYOD policy should therefore be risk-based, allowing access only from devices that meet defined security requirements such as encryption, updated software and strong authentication.</w:t>
      </w:r>
    </w:p>
    <w:p w:rsidR="015284A1" w:rsidP="678A2080" w:rsidRDefault="4CD46886" w14:paraId="76C0DA4D" w14:textId="5161411B">
      <w:pPr>
        <w:spacing w:before="240" w:after="240"/>
      </w:pPr>
      <w:r w:rsidRPr="678A2080">
        <w:t xml:space="preserve">Zero Trust principles provide effective support for this approach by enforcing continuous verification of users and devices rather than relying on network location </w:t>
      </w:r>
      <w:sdt>
        <w:sdtPr>
          <w:alias w:val="Citation"/>
          <w:tag w:val="{&quot;referencesIds&quot;:[&quot;doc:695c1648ef4607236380d6f5&quot;],&quot;referencesOptions&quot;:{&quot;doc:695c1648ef4607236380d6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6902596"/>
          <w:placeholder>
            <w:docPart w:val="DefaultPlaceholder_-1854013440"/>
          </w:placeholder>
        </w:sdtPr>
        <w:sdtContent>
          <w:r w:rsidRPr="678A2080" w:rsidR="0802DD5B">
            <w:rPr>
              <w:color w:val="000000" w:themeColor="text1"/>
            </w:rPr>
            <w:t>[7]</w:t>
          </w:r>
        </w:sdtContent>
      </w:sdt>
      <w:r>
        <w:t>. To address privacy concerns, NG should ensure corporate data on personal devices is logically separated from personal information.</w:t>
      </w:r>
    </w:p>
    <w:p w:rsidR="454DA209" w:rsidRDefault="454DA209" w14:paraId="2C91FDFB" w14:textId="4E004DE8"/>
    <w:p w:rsidR="015284A1" w:rsidP="454DA209" w:rsidRDefault="015284A1" w14:paraId="60B827E4" w14:textId="4F9B1820">
      <w:pPr>
        <w:pStyle w:val="Ttulo3"/>
      </w:pPr>
      <w:r w:rsidRPr="454DA209">
        <w:t>Cloud Security and Protection Mechanisms</w:t>
      </w:r>
    </w:p>
    <w:p w:rsidR="015284A1" w:rsidP="454DA209" w:rsidRDefault="015284A1" w14:paraId="271D2F04" w14:textId="3E8658F1">
      <w:pPr>
        <w:spacing w:before="240" w:after="240"/>
      </w:pPr>
      <w:r w:rsidRPr="454DA209">
        <w:t>Cloud security is critical to NG’s operational model. ISO/IEC 27001 requires organisations to manage risks associated with externally hosted services and supplier relationships (ISO/IEC 27001:2022). NG should adopt a defence-in-depth approach, including secure configuration baselines, encryption of data at rest and in transit, and restrictions on public exposure of cloud services.</w:t>
      </w:r>
    </w:p>
    <w:p w:rsidR="015284A1" w:rsidP="454DA209" w:rsidRDefault="015284A1" w14:paraId="34C1DEC7" w14:textId="467B827D">
      <w:pPr>
        <w:spacing w:before="240" w:after="240"/>
      </w:pPr>
      <w:r w:rsidRPr="454DA209">
        <w:t xml:space="preserve">Identity-based access controls and least-privilege permissions should replace network-based trust assumptions. This limits the impact of compromised credentials and supports SOC 2 auditability requirements (AICPA SOC 2 Trust Services Criteria). Centralised logging and monitoring of cloud activity are also essential for incident detection, investigation and compliance evidence. ENISA highlights that strong visibility into cloud operations is a key factor in maintaining regulatory compliance and trust (ENISA Cloud Security, </w:t>
      </w:r>
      <w:r w:rsidRPr="454DA209" w:rsidR="28599CFF">
        <w:t>https://www.enisa.europa.eu/publications/cloud-computing-risk-assessment</w:t>
      </w:r>
      <w:r w:rsidRPr="454DA209">
        <w:t>).</w:t>
      </w:r>
    </w:p>
    <w:p w:rsidR="454DA209" w:rsidRDefault="454DA209" w14:paraId="5EBEFBC7" w14:textId="5B93C658"/>
    <w:p w:rsidR="015284A1" w:rsidP="454DA209" w:rsidRDefault="015284A1" w14:paraId="5FEA84A3" w14:textId="23C36DFC">
      <w:pPr>
        <w:pStyle w:val="Ttulo3"/>
      </w:pPr>
      <w:r w:rsidRPr="454DA209">
        <w:t>Conclusion</w:t>
      </w:r>
    </w:p>
    <w:p w:rsidR="015284A1" w:rsidP="454DA209" w:rsidRDefault="015284A1" w14:paraId="0D232954" w14:textId="72CB137F">
      <w:pPr>
        <w:spacing w:before="240" w:after="240"/>
      </w:pPr>
      <w:r w:rsidRPr="454DA209">
        <w:t>This report has demonstrated how NatureGreen can strengthen its information security posture through an integrated governance, risk management and compliance approach. The analysis shows that ISO/IEC 27001 and the SOC 2 Trust Services Criteria address different but complementary aspects of security management. ISO 27001 provides a governance-led, risk-based structure, while SOC 2 reinforces operational discipline through evidence-driven assurance.</w:t>
      </w:r>
    </w:p>
    <w:p w:rsidR="015284A1" w:rsidP="454DA209" w:rsidRDefault="015284A1" w14:paraId="0C6D86EF" w14:textId="051C1190">
      <w:pPr>
        <w:spacing w:before="240" w:after="240"/>
      </w:pPr>
      <w:r w:rsidRPr="454DA209">
        <w:t>Applying these frameworks to NG’s cloud-centric and wireless environment highlights the importance of executive oversight, formalised policies and continuous risk management, particularly in relation to BYOD usage and third-party dependencies. The integration of Zero Trust principles and cloud-specific controls reflects modern threat conditions and evolving regulatory expectations.</w:t>
      </w:r>
    </w:p>
    <w:p w:rsidR="454DA209" w:rsidP="678A2080" w:rsidRDefault="4CD46886" w14:paraId="0E2C765B" w14:textId="62B4D974">
      <w:pPr>
        <w:spacing w:before="240" w:after="240" w:line="240" w:lineRule="auto"/>
      </w:pPr>
      <w:r w:rsidRPr="678A2080">
        <w:t>Security governance should be treated as an ongoing process rather than a static objective. As technologies and risks continue to evolve, NG must regularly reassess its controls and risk posture. A combined ISO 27001 and SOC 2 approach offers a demanding but realistic foundation for long-term resilience, regulatory compliance and sustained customer trust.</w:t>
      </w:r>
    </w:p>
    <w:p w:rsidR="454DA209" w:rsidP="454DA209" w:rsidRDefault="454DA209" w14:paraId="608F3CA9" w14:textId="5219A790">
      <w:pPr>
        <w:spacing w:before="240" w:after="240"/>
        <w:ind w:left="450" w:hanging="450"/>
      </w:pPr>
      <w:r>
        <w:br/>
      </w:r>
    </w:p>
    <w:sdt>
      <w:sdtPr>
        <w:tag w:val="rw.bWnCOutputStyleIdiblio"/>
        <w:id w:val="323591700"/>
        <w:placeholder>
          <w:docPart w:val="DefaultPlaceholder_-1854013440"/>
        </w:placeholder>
      </w:sdtPr>
      <w:sdtContent>
        <w:p w:rsidR="47E7F86B" w:rsidP="678A2080" w:rsidRDefault="47E7F86B" w14:paraId="387E98D6" w14:textId="51BBA424">
          <w:pPr>
            <w:spacing w:before="240" w:after="240"/>
            <w:jc w:val="center"/>
          </w:pPr>
          <w:r w:rsidRPr="678A2080">
            <w:rPr>
              <w:color w:val="000000" w:themeColor="text1"/>
            </w:rPr>
            <w:t>References</w:t>
          </w:r>
        </w:p>
        <w:p w:rsidR="47E7F86B" w:rsidP="678A2080" w:rsidRDefault="47E7F86B" w14:paraId="49150FAB" w14:textId="762C0510">
          <w:pPr>
            <w:spacing w:before="240" w:after="240"/>
            <w:ind w:left="450" w:hanging="450"/>
          </w:pPr>
          <w:r w:rsidRPr="678A2080">
            <w:rPr>
              <w:color w:val="000000" w:themeColor="text1"/>
            </w:rPr>
            <w:t>[1] "ISO/IEC 27001:2022." Accessed: Dec 10</w:t>
          </w:r>
          <w:proofErr w:type="gramStart"/>
          <w:r w:rsidRPr="678A2080">
            <w:rPr>
              <w:color w:val="000000" w:themeColor="text1"/>
            </w:rPr>
            <w:t xml:space="preserve"> 2025</w:t>
          </w:r>
          <w:proofErr w:type="gramEnd"/>
          <w:r w:rsidRPr="678A2080">
            <w:rPr>
              <w:color w:val="000000" w:themeColor="text1"/>
            </w:rPr>
            <w:t xml:space="preserve">. [Online]. Available: </w:t>
          </w:r>
          <w:hyperlink r:id="rId7">
            <w:r w:rsidRPr="678A2080">
              <w:rPr>
                <w:rStyle w:val="Hyperlink"/>
                <w:color w:val="000000" w:themeColor="text1"/>
              </w:rPr>
              <w:t>https://www.iso.org/standard/27001</w:t>
            </w:r>
          </w:hyperlink>
        </w:p>
        <w:p w:rsidR="47E7F86B" w:rsidP="678A2080" w:rsidRDefault="47E7F86B" w14:paraId="331DA445" w14:textId="5D6FE46D">
          <w:pPr>
            <w:spacing w:before="240" w:after="240"/>
            <w:ind w:left="450" w:hanging="450"/>
          </w:pPr>
          <w:r w:rsidRPr="678A2080">
            <w:rPr>
              <w:color w:val="000000" w:themeColor="text1"/>
            </w:rPr>
            <w:t xml:space="preserve">[2] E. Koza, "Semantic analysis of ISO/IEC 27000 standard series and NIST cybersecurity framework to outline differences and consistencies in the context of operational and strategic information security," vol. 2, pp.26–39, 2022, </w:t>
          </w:r>
        </w:p>
        <w:p w:rsidR="47E7F86B" w:rsidP="678A2080" w:rsidRDefault="47E7F86B" w14:paraId="3FAA0276" w14:textId="3E590BA4">
          <w:pPr>
            <w:spacing w:before="240" w:after="240"/>
            <w:ind w:left="450" w:hanging="450"/>
          </w:pPr>
          <w:r w:rsidRPr="678A2080">
            <w:rPr>
              <w:color w:val="000000" w:themeColor="text1"/>
            </w:rPr>
            <w:t xml:space="preserve">[3] AICPA, </w:t>
          </w:r>
          <w:r w:rsidRPr="678A2080">
            <w:rPr>
              <w:i/>
              <w:iCs/>
              <w:color w:val="000000" w:themeColor="text1"/>
            </w:rPr>
            <w:t xml:space="preserve">Guide: SOC 2 Reporting on an Examination of Controls at a Service Organization Relevant to Security, Availability, Processing Integrity, Confidentiality, or Privacy, </w:t>
          </w:r>
          <w:r w:rsidRPr="678A2080">
            <w:rPr>
              <w:color w:val="000000" w:themeColor="text1"/>
            </w:rPr>
            <w:t xml:space="preserve">John Wiley &amp; Sons, 2018. </w:t>
          </w:r>
        </w:p>
        <w:p w:rsidR="47E7F86B" w:rsidP="678A2080" w:rsidRDefault="47E7F86B" w14:paraId="5A160DE3" w14:textId="5C83B216">
          <w:pPr>
            <w:spacing w:before="240" w:after="240"/>
            <w:ind w:left="450" w:hanging="450"/>
          </w:pPr>
          <w:r w:rsidRPr="678A2080">
            <w:rPr>
              <w:color w:val="000000" w:themeColor="text1"/>
            </w:rPr>
            <w:t xml:space="preserve">[4] M. J. Coe, "Trust services: a better way to evaluate IT controls," vol. 199, no. 3, pp.69, 2005, </w:t>
          </w:r>
        </w:p>
        <w:p w:rsidR="47E7F86B" w:rsidP="678A2080" w:rsidRDefault="47E7F86B" w14:paraId="4E15AB59" w14:textId="57D5AB38">
          <w:pPr>
            <w:spacing w:before="240" w:after="240"/>
            <w:ind w:left="450" w:hanging="450"/>
          </w:pPr>
          <w:r w:rsidRPr="678A2080">
            <w:rPr>
              <w:color w:val="000000" w:themeColor="text1"/>
            </w:rPr>
            <w:t xml:space="preserve">[5] T. D. Dabade, "Information technology infrastructure library (ITIL)", </w:t>
          </w:r>
          <w:r w:rsidRPr="678A2080">
            <w:rPr>
              <w:i/>
              <w:iCs/>
              <w:color w:val="000000" w:themeColor="text1"/>
            </w:rPr>
            <w:t xml:space="preserve">Proceedings of the 4th National Conference, </w:t>
          </w:r>
          <w:r w:rsidRPr="678A2080">
            <w:rPr>
              <w:color w:val="000000" w:themeColor="text1"/>
            </w:rPr>
            <w:t xml:space="preserve">pp. 25–26. </w:t>
          </w:r>
        </w:p>
        <w:p w:rsidR="47E7F86B" w:rsidP="678A2080" w:rsidRDefault="47E7F86B" w14:paraId="4AC319CA" w14:textId="6B3A8103">
          <w:pPr>
            <w:spacing w:before="240" w:after="240"/>
            <w:ind w:left="450" w:hanging="450"/>
          </w:pPr>
          <w:r w:rsidRPr="678A2080">
            <w:rPr>
              <w:color w:val="000000" w:themeColor="text1"/>
            </w:rPr>
            <w:t xml:space="preserve">[6] B. Tuttle and S. D. Vandervelde, "An empirical examination of CobiT as an internal control framework for information technology," vol. 8, no. 4, pp.240–263, 2007, </w:t>
          </w:r>
        </w:p>
        <w:p w:rsidR="47E7F86B" w:rsidP="678A2080" w:rsidRDefault="47E7F86B" w14:paraId="32137BC9" w14:textId="31F559FC">
          <w:pPr>
            <w:spacing w:before="240" w:after="240"/>
            <w:ind w:left="450" w:hanging="450"/>
          </w:pPr>
          <w:r w:rsidRPr="678A2080">
            <w:rPr>
              <w:color w:val="000000" w:themeColor="text1"/>
            </w:rPr>
            <w:t xml:space="preserve">[7] M. J. Khan, "Zero trust architecture: Redefining network security paradigms in the digital age," vol. 19, no. 3, pp.105–116, 2023, </w:t>
          </w:r>
        </w:p>
        <w:p w:rsidR="47E7F86B" w:rsidP="678A2080" w:rsidRDefault="47E7F86B" w14:paraId="705D86B0" w14:textId="10A6D197">
          <w:pPr>
            <w:spacing w:before="240" w:after="240"/>
            <w:ind w:left="450" w:hanging="450"/>
            <w:rPr>
              <w:color w:val="000000" w:themeColor="text1"/>
            </w:rPr>
          </w:pPr>
          <w:r w:rsidRPr="678A2080">
            <w:rPr>
              <w:color w:val="000000" w:themeColor="text1"/>
            </w:rPr>
            <w:t xml:space="preserve">[8] J. Brenner, "ISO 27001 risk management and compliance." vol. 54, no. 1, pp.24–29, 2007, </w:t>
          </w:r>
        </w:p>
      </w:sdtContent>
    </w:sdt>
    <w:sectPr w:rsidR="47E7F86B" w:rsidSect="007347C5">
      <w:pgSz w:w="12240" w:h="15840" w:orient="portrait"/>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dirty"/>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D6"/>
    <w:rsid w:val="00116349"/>
    <w:rsid w:val="0023708F"/>
    <w:rsid w:val="002A6A56"/>
    <w:rsid w:val="00665D29"/>
    <w:rsid w:val="007347C5"/>
    <w:rsid w:val="00955DF4"/>
    <w:rsid w:val="009A63D6"/>
    <w:rsid w:val="00B73264"/>
    <w:rsid w:val="00BE2FA2"/>
    <w:rsid w:val="01519A2A"/>
    <w:rsid w:val="015284A1"/>
    <w:rsid w:val="02677E71"/>
    <w:rsid w:val="02ED9886"/>
    <w:rsid w:val="03176436"/>
    <w:rsid w:val="0337FBB7"/>
    <w:rsid w:val="039A2ECA"/>
    <w:rsid w:val="050FEBEE"/>
    <w:rsid w:val="05395B61"/>
    <w:rsid w:val="05AFD888"/>
    <w:rsid w:val="06CE7C6C"/>
    <w:rsid w:val="0802DD5B"/>
    <w:rsid w:val="0815AA21"/>
    <w:rsid w:val="086A6143"/>
    <w:rsid w:val="0884BEED"/>
    <w:rsid w:val="08AEED72"/>
    <w:rsid w:val="08EF1634"/>
    <w:rsid w:val="09707CB0"/>
    <w:rsid w:val="0AC4B90D"/>
    <w:rsid w:val="0BC74D00"/>
    <w:rsid w:val="0BEF1AA3"/>
    <w:rsid w:val="0C46B96A"/>
    <w:rsid w:val="0CEBA690"/>
    <w:rsid w:val="0E78022F"/>
    <w:rsid w:val="0E7E58A6"/>
    <w:rsid w:val="0F022C47"/>
    <w:rsid w:val="0F7B6D56"/>
    <w:rsid w:val="1111F3BB"/>
    <w:rsid w:val="122832A2"/>
    <w:rsid w:val="13842A0F"/>
    <w:rsid w:val="13C8948E"/>
    <w:rsid w:val="146A2F32"/>
    <w:rsid w:val="155ED163"/>
    <w:rsid w:val="170421E3"/>
    <w:rsid w:val="173CA0BF"/>
    <w:rsid w:val="176479CA"/>
    <w:rsid w:val="17B94CFB"/>
    <w:rsid w:val="182CB189"/>
    <w:rsid w:val="185D4A6F"/>
    <w:rsid w:val="198494C2"/>
    <w:rsid w:val="198BC821"/>
    <w:rsid w:val="1A0AB68B"/>
    <w:rsid w:val="1A9E27F1"/>
    <w:rsid w:val="1AD9EB5B"/>
    <w:rsid w:val="1B97EC23"/>
    <w:rsid w:val="1B9B5C64"/>
    <w:rsid w:val="1BB0BAEE"/>
    <w:rsid w:val="1C733D59"/>
    <w:rsid w:val="1E63C38A"/>
    <w:rsid w:val="1F72CB59"/>
    <w:rsid w:val="1FA52D58"/>
    <w:rsid w:val="20A3B7DD"/>
    <w:rsid w:val="23835B50"/>
    <w:rsid w:val="23E43888"/>
    <w:rsid w:val="23FA0866"/>
    <w:rsid w:val="2419AE23"/>
    <w:rsid w:val="24FABCD8"/>
    <w:rsid w:val="25B43474"/>
    <w:rsid w:val="264D848F"/>
    <w:rsid w:val="271950E8"/>
    <w:rsid w:val="2757901D"/>
    <w:rsid w:val="27A20B76"/>
    <w:rsid w:val="27BFE37C"/>
    <w:rsid w:val="28599CFF"/>
    <w:rsid w:val="289A3817"/>
    <w:rsid w:val="2B04ED23"/>
    <w:rsid w:val="2B5BD34C"/>
    <w:rsid w:val="2C2C5B52"/>
    <w:rsid w:val="2CEE775D"/>
    <w:rsid w:val="2E1B5CFE"/>
    <w:rsid w:val="2EFBF9C7"/>
    <w:rsid w:val="2FC1CD9F"/>
    <w:rsid w:val="2FFBE482"/>
    <w:rsid w:val="30C55D88"/>
    <w:rsid w:val="30C62BA5"/>
    <w:rsid w:val="30D34186"/>
    <w:rsid w:val="3135B19C"/>
    <w:rsid w:val="3193E2A7"/>
    <w:rsid w:val="31F35386"/>
    <w:rsid w:val="32450948"/>
    <w:rsid w:val="326309C1"/>
    <w:rsid w:val="32ED895E"/>
    <w:rsid w:val="330F74A9"/>
    <w:rsid w:val="34C46C57"/>
    <w:rsid w:val="36153D5E"/>
    <w:rsid w:val="3626AB76"/>
    <w:rsid w:val="36D97642"/>
    <w:rsid w:val="38A58F48"/>
    <w:rsid w:val="38D1FF49"/>
    <w:rsid w:val="39F77E95"/>
    <w:rsid w:val="3A5B5BDC"/>
    <w:rsid w:val="3AE527E8"/>
    <w:rsid w:val="3AFC10EF"/>
    <w:rsid w:val="3B7D7106"/>
    <w:rsid w:val="3E069E0D"/>
    <w:rsid w:val="3E8F9BD2"/>
    <w:rsid w:val="3FD3E743"/>
    <w:rsid w:val="4135D753"/>
    <w:rsid w:val="41959347"/>
    <w:rsid w:val="41AD8395"/>
    <w:rsid w:val="41AFB67E"/>
    <w:rsid w:val="420D38FF"/>
    <w:rsid w:val="4239701A"/>
    <w:rsid w:val="42E46966"/>
    <w:rsid w:val="43C97658"/>
    <w:rsid w:val="43EA7A46"/>
    <w:rsid w:val="454DA209"/>
    <w:rsid w:val="45699497"/>
    <w:rsid w:val="45EA5BF5"/>
    <w:rsid w:val="46D4E80E"/>
    <w:rsid w:val="46F94417"/>
    <w:rsid w:val="47E7F86B"/>
    <w:rsid w:val="48D66D3B"/>
    <w:rsid w:val="491BA611"/>
    <w:rsid w:val="49E83ABF"/>
    <w:rsid w:val="49FD7A89"/>
    <w:rsid w:val="4A72E7EB"/>
    <w:rsid w:val="4B996A5C"/>
    <w:rsid w:val="4C0A106C"/>
    <w:rsid w:val="4C1950B3"/>
    <w:rsid w:val="4C7F49C8"/>
    <w:rsid w:val="4C91F1E7"/>
    <w:rsid w:val="4C9A4A9C"/>
    <w:rsid w:val="4CD2C2D7"/>
    <w:rsid w:val="4CD46886"/>
    <w:rsid w:val="4D49C9C6"/>
    <w:rsid w:val="4E3F5E5D"/>
    <w:rsid w:val="4E94DC3B"/>
    <w:rsid w:val="503DD535"/>
    <w:rsid w:val="508E1FF2"/>
    <w:rsid w:val="510FF6FF"/>
    <w:rsid w:val="51179711"/>
    <w:rsid w:val="51419D2C"/>
    <w:rsid w:val="51456014"/>
    <w:rsid w:val="52285ECD"/>
    <w:rsid w:val="52707517"/>
    <w:rsid w:val="528D96B8"/>
    <w:rsid w:val="52DA602D"/>
    <w:rsid w:val="5359B788"/>
    <w:rsid w:val="55116376"/>
    <w:rsid w:val="5533B8A7"/>
    <w:rsid w:val="5556F4F9"/>
    <w:rsid w:val="55CFD3CB"/>
    <w:rsid w:val="569DBE97"/>
    <w:rsid w:val="56F80D70"/>
    <w:rsid w:val="585FE603"/>
    <w:rsid w:val="58C7031B"/>
    <w:rsid w:val="597D053F"/>
    <w:rsid w:val="59E85879"/>
    <w:rsid w:val="5A38768B"/>
    <w:rsid w:val="5A3B4990"/>
    <w:rsid w:val="5B6DBD1E"/>
    <w:rsid w:val="5D87A160"/>
    <w:rsid w:val="5E0E469D"/>
    <w:rsid w:val="5E4A6249"/>
    <w:rsid w:val="5EAE13D5"/>
    <w:rsid w:val="5F1E84B1"/>
    <w:rsid w:val="61B16C48"/>
    <w:rsid w:val="61EF0C3C"/>
    <w:rsid w:val="62113B72"/>
    <w:rsid w:val="62EC654F"/>
    <w:rsid w:val="6429E9A4"/>
    <w:rsid w:val="64487863"/>
    <w:rsid w:val="652006E3"/>
    <w:rsid w:val="668EA57D"/>
    <w:rsid w:val="66AC2135"/>
    <w:rsid w:val="66AE0B9C"/>
    <w:rsid w:val="676E4B37"/>
    <w:rsid w:val="678A2080"/>
    <w:rsid w:val="680927C3"/>
    <w:rsid w:val="68488749"/>
    <w:rsid w:val="68BEECF8"/>
    <w:rsid w:val="68C5894C"/>
    <w:rsid w:val="6A35740A"/>
    <w:rsid w:val="6B9CA798"/>
    <w:rsid w:val="6BBCB5AB"/>
    <w:rsid w:val="6BC3C0A6"/>
    <w:rsid w:val="6BD2E040"/>
    <w:rsid w:val="6C04BF15"/>
    <w:rsid w:val="6C24A8B3"/>
    <w:rsid w:val="6C62B75C"/>
    <w:rsid w:val="6C7205BE"/>
    <w:rsid w:val="6C824AF8"/>
    <w:rsid w:val="6DF1AF42"/>
    <w:rsid w:val="6E944706"/>
    <w:rsid w:val="6F0A8EB3"/>
    <w:rsid w:val="6F26150E"/>
    <w:rsid w:val="70850AF2"/>
    <w:rsid w:val="70F0F2E3"/>
    <w:rsid w:val="719323F7"/>
    <w:rsid w:val="71A6F517"/>
    <w:rsid w:val="72076B02"/>
    <w:rsid w:val="74056DDA"/>
    <w:rsid w:val="7423C83B"/>
    <w:rsid w:val="74CCF533"/>
    <w:rsid w:val="74CFE728"/>
    <w:rsid w:val="75145FA2"/>
    <w:rsid w:val="7631AB77"/>
    <w:rsid w:val="7676FF10"/>
    <w:rsid w:val="77EE838F"/>
    <w:rsid w:val="7804A195"/>
    <w:rsid w:val="781575AC"/>
    <w:rsid w:val="782F1382"/>
    <w:rsid w:val="783F4C23"/>
    <w:rsid w:val="78BCDA74"/>
    <w:rsid w:val="799D5230"/>
    <w:rsid w:val="7C4C676E"/>
    <w:rsid w:val="7C822E32"/>
    <w:rsid w:val="7DD996AF"/>
    <w:rsid w:val="7DF72CDE"/>
    <w:rsid w:val="7EA4678B"/>
    <w:rsid w:val="7F564948"/>
    <w:rsid w:val="7F8B7C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3B2B"/>
  <w15:chartTrackingRefBased/>
  <w15:docId w15:val="{2C6B13B4-919D-AF4E-AFF9-1C2308F4A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C24A8B3"/>
    <w:rPr>
      <w:rFonts w:ascii="Times New Roman" w:hAnsi="Times New Roman" w:eastAsia="Times New Roman" w:cs="Times New Roman"/>
      <w:lang w:val="en-GB"/>
    </w:rPr>
  </w:style>
  <w:style w:type="paragraph" w:styleId="Ttulo1">
    <w:name w:val="heading 1"/>
    <w:basedOn w:val="Normal"/>
    <w:next w:val="Normal"/>
    <w:link w:val="Ttulo1Char"/>
    <w:uiPriority w:val="9"/>
    <w:qFormat/>
    <w:rsid w:val="6C24A8B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6C24A8B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Ttulo3">
    <w:name w:val="heading 3"/>
    <w:basedOn w:val="Normal"/>
    <w:next w:val="Normal"/>
    <w:link w:val="Ttulo3Char"/>
    <w:uiPriority w:val="9"/>
    <w:unhideWhenUsed/>
    <w:qFormat/>
    <w:rsid w:val="6C24A8B3"/>
    <w:pPr>
      <w:spacing w:after="320" w:line="240" w:lineRule="auto"/>
      <w:jc w:val="center"/>
      <w:outlineLvl w:val="2"/>
    </w:pPr>
    <w:rPr>
      <w:rFonts w:asciiTheme="minorHAnsi" w:hAnsiTheme="minorHAnsi" w:eastAsiaTheme="minorEastAsia" w:cstheme="minorBidi"/>
      <w:b/>
      <w:bCs/>
      <w:color w:val="000000" w:themeColor="text1"/>
      <w:sz w:val="30"/>
      <w:szCs w:val="30"/>
    </w:rPr>
  </w:style>
  <w:style w:type="paragraph" w:styleId="Ttulo4">
    <w:name w:val="heading 4"/>
    <w:basedOn w:val="Normal"/>
    <w:next w:val="Normal"/>
    <w:link w:val="Ttulo4Char"/>
    <w:uiPriority w:val="9"/>
    <w:semiHidden/>
    <w:unhideWhenUsed/>
    <w:qFormat/>
    <w:rsid w:val="6C24A8B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6C24A8B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6C24A8B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6C24A8B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6C24A8B3"/>
    <w:pPr>
      <w:keepNext/>
      <w:keepLines/>
      <w:spacing w:after="0"/>
      <w:outlineLvl w:val="7"/>
    </w:pPr>
    <w:rPr>
      <w:rFonts w:eastAsiaTheme="majorEastAsia" w:cstheme="majorBidi"/>
      <w:i/>
      <w:iCs/>
      <w:color w:val="272727"/>
    </w:rPr>
  </w:style>
  <w:style w:type="paragraph" w:styleId="Ttulo9">
    <w:name w:val="heading 9"/>
    <w:basedOn w:val="Normal"/>
    <w:next w:val="Normal"/>
    <w:link w:val="Ttulo9Char"/>
    <w:uiPriority w:val="9"/>
    <w:semiHidden/>
    <w:unhideWhenUsed/>
    <w:qFormat/>
    <w:rsid w:val="6C24A8B3"/>
    <w:pPr>
      <w:keepNext/>
      <w:keepLines/>
      <w:spacing w:after="0"/>
      <w:outlineLvl w:val="8"/>
    </w:pPr>
    <w:rPr>
      <w:rFonts w:eastAsiaTheme="majorEastAsia" w:cstheme="majorBidi"/>
      <w:color w:val="272727"/>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uiPriority w:val="9"/>
    <w:rsid w:val="009A63D6"/>
    <w:rPr>
      <w:rFonts w:asciiTheme="majorHAnsi" w:hAnsiTheme="majorHAnsi" w:eastAsiaTheme="majorEastAsia" w:cstheme="majorBidi"/>
      <w:color w:val="2F5496" w:themeColor="accent1" w:themeShade="BF"/>
      <w:sz w:val="40"/>
      <w:szCs w:val="40"/>
    </w:rPr>
  </w:style>
  <w:style w:type="character" w:styleId="Ttulo2Char" w:customStyle="1">
    <w:name w:val="Título 2 Char"/>
    <w:basedOn w:val="Fontepargpadro"/>
    <w:link w:val="Ttulo2"/>
    <w:uiPriority w:val="9"/>
    <w:semiHidden/>
    <w:rsid w:val="009A63D6"/>
    <w:rPr>
      <w:rFonts w:asciiTheme="majorHAnsi" w:hAnsiTheme="majorHAnsi" w:eastAsiaTheme="majorEastAsia" w:cstheme="majorBidi"/>
      <w:color w:val="2F5496" w:themeColor="accent1" w:themeShade="BF"/>
      <w:sz w:val="32"/>
      <w:szCs w:val="32"/>
    </w:rPr>
  </w:style>
  <w:style w:type="character" w:styleId="Ttulo3Char" w:customStyle="1">
    <w:name w:val="Título 3 Char"/>
    <w:link w:val="Ttulo3"/>
    <w:uiPriority w:val="9"/>
    <w:rsid w:val="6C24A8B3"/>
    <w:rPr>
      <w:rFonts w:asciiTheme="minorHAnsi" w:hAnsiTheme="minorHAnsi" w:eastAsiaTheme="minorEastAsia" w:cstheme="minorBidi"/>
      <w:b/>
      <w:bCs/>
      <w:color w:val="000000" w:themeColor="text1"/>
      <w:sz w:val="30"/>
      <w:szCs w:val="30"/>
    </w:rPr>
  </w:style>
  <w:style w:type="character" w:styleId="Ttulo4Char" w:customStyle="1">
    <w:name w:val="Título 4 Char"/>
    <w:basedOn w:val="Fontepargpadro"/>
    <w:link w:val="Ttulo4"/>
    <w:uiPriority w:val="9"/>
    <w:semiHidden/>
    <w:rsid w:val="009A63D6"/>
    <w:rPr>
      <w:rFonts w:eastAsiaTheme="majorEastAsia" w:cstheme="majorBidi"/>
      <w:i/>
      <w:iCs/>
      <w:color w:val="2F5496" w:themeColor="accent1" w:themeShade="BF"/>
    </w:rPr>
  </w:style>
  <w:style w:type="character" w:styleId="Ttulo5Char" w:customStyle="1">
    <w:name w:val="Título 5 Char"/>
    <w:basedOn w:val="Fontepargpadro"/>
    <w:link w:val="Ttulo5"/>
    <w:uiPriority w:val="9"/>
    <w:semiHidden/>
    <w:rsid w:val="009A63D6"/>
    <w:rPr>
      <w:rFonts w:eastAsiaTheme="majorEastAsia" w:cstheme="majorBidi"/>
      <w:color w:val="2F5496" w:themeColor="accent1" w:themeShade="BF"/>
    </w:rPr>
  </w:style>
  <w:style w:type="character" w:styleId="Ttulo6Char" w:customStyle="1">
    <w:name w:val="Título 6 Char"/>
    <w:basedOn w:val="Fontepargpadro"/>
    <w:link w:val="Ttulo6"/>
    <w:uiPriority w:val="9"/>
    <w:semiHidden/>
    <w:rsid w:val="009A63D6"/>
    <w:rPr>
      <w:rFonts w:eastAsiaTheme="majorEastAsia" w:cstheme="majorBidi"/>
      <w:i/>
      <w:iCs/>
      <w:color w:val="595959" w:themeColor="text1" w:themeTint="A6"/>
    </w:rPr>
  </w:style>
  <w:style w:type="character" w:styleId="Ttulo7Char" w:customStyle="1">
    <w:name w:val="Título 7 Char"/>
    <w:basedOn w:val="Fontepargpadro"/>
    <w:link w:val="Ttulo7"/>
    <w:uiPriority w:val="9"/>
    <w:semiHidden/>
    <w:rsid w:val="009A63D6"/>
    <w:rPr>
      <w:rFonts w:eastAsiaTheme="majorEastAsia" w:cstheme="majorBidi"/>
      <w:color w:val="595959" w:themeColor="text1" w:themeTint="A6"/>
    </w:rPr>
  </w:style>
  <w:style w:type="character" w:styleId="Ttulo8Char" w:customStyle="1">
    <w:name w:val="Título 8 Char"/>
    <w:basedOn w:val="Fontepargpadro"/>
    <w:link w:val="Ttulo8"/>
    <w:uiPriority w:val="9"/>
    <w:semiHidden/>
    <w:rsid w:val="009A63D6"/>
    <w:rPr>
      <w:rFonts w:eastAsiaTheme="majorEastAsia" w:cstheme="majorBidi"/>
      <w:i/>
      <w:iCs/>
      <w:color w:val="272727" w:themeColor="text1" w:themeTint="D8"/>
    </w:rPr>
  </w:style>
  <w:style w:type="character" w:styleId="Ttulo9Char" w:customStyle="1">
    <w:name w:val="Título 9 Char"/>
    <w:basedOn w:val="Fontepargpadro"/>
    <w:link w:val="Ttulo9"/>
    <w:uiPriority w:val="9"/>
    <w:semiHidden/>
    <w:rsid w:val="009A63D6"/>
    <w:rPr>
      <w:rFonts w:eastAsiaTheme="majorEastAsia" w:cstheme="majorBidi"/>
      <w:color w:val="272727" w:themeColor="text1" w:themeTint="D8"/>
    </w:rPr>
  </w:style>
  <w:style w:type="paragraph" w:styleId="Ttulo">
    <w:name w:val="Title"/>
    <w:basedOn w:val="Normal"/>
    <w:next w:val="Normal"/>
    <w:link w:val="TtuloChar"/>
    <w:uiPriority w:val="10"/>
    <w:qFormat/>
    <w:rsid w:val="6C24A8B3"/>
    <w:pPr>
      <w:spacing w:after="80" w:line="240" w:lineRule="auto"/>
      <w:contextualSpacing/>
    </w:pPr>
    <w:rPr>
      <w:rFonts w:asciiTheme="majorHAnsi" w:hAnsiTheme="majorHAnsi" w:eastAsiaTheme="majorEastAsia" w:cstheme="majorBidi"/>
      <w:sz w:val="56"/>
      <w:szCs w:val="56"/>
    </w:rPr>
  </w:style>
  <w:style w:type="character" w:styleId="TtuloChar" w:customStyle="1">
    <w:name w:val="Título Char"/>
    <w:basedOn w:val="Fontepargpadro"/>
    <w:link w:val="Ttulo"/>
    <w:uiPriority w:val="10"/>
    <w:rsid w:val="009A63D6"/>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har"/>
    <w:uiPriority w:val="11"/>
    <w:qFormat/>
    <w:rsid w:val="6C24A8B3"/>
    <w:rPr>
      <w:rFonts w:eastAsiaTheme="majorEastAsia" w:cstheme="majorBidi"/>
      <w:color w:val="595959" w:themeColor="text1" w:themeTint="A6"/>
      <w:sz w:val="28"/>
      <w:szCs w:val="28"/>
    </w:rPr>
  </w:style>
  <w:style w:type="character" w:styleId="SubttuloChar" w:customStyle="1">
    <w:name w:val="Subtítulo Char"/>
    <w:basedOn w:val="Fontepargpadro"/>
    <w:link w:val="Subttulo"/>
    <w:uiPriority w:val="11"/>
    <w:rsid w:val="009A63D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6C24A8B3"/>
    <w:pPr>
      <w:spacing w:before="160"/>
      <w:jc w:val="center"/>
    </w:pPr>
    <w:rPr>
      <w:i/>
      <w:iCs/>
      <w:color w:val="404040" w:themeColor="text1" w:themeTint="BF"/>
    </w:rPr>
  </w:style>
  <w:style w:type="character" w:styleId="CitaoChar" w:customStyle="1">
    <w:name w:val="Citação Char"/>
    <w:basedOn w:val="Fontepargpadro"/>
    <w:link w:val="Citao"/>
    <w:uiPriority w:val="29"/>
    <w:rsid w:val="009A63D6"/>
    <w:rPr>
      <w:i/>
      <w:iCs/>
      <w:color w:val="404040" w:themeColor="text1" w:themeTint="BF"/>
    </w:rPr>
  </w:style>
  <w:style w:type="paragraph" w:styleId="PargrafodaLista">
    <w:name w:val="List Paragraph"/>
    <w:basedOn w:val="Normal"/>
    <w:uiPriority w:val="34"/>
    <w:qFormat/>
    <w:rsid w:val="6C24A8B3"/>
    <w:pPr>
      <w:ind w:left="720"/>
      <w:contextualSpacing/>
    </w:pPr>
  </w:style>
  <w:style w:type="character" w:styleId="nfaseIntensa">
    <w:name w:val="Intense Emphasis"/>
    <w:basedOn w:val="Fontepargpadro"/>
    <w:uiPriority w:val="21"/>
    <w:qFormat/>
    <w:rsid w:val="009A63D6"/>
    <w:rPr>
      <w:i/>
      <w:iCs/>
      <w:color w:val="2F5496" w:themeColor="accent1" w:themeShade="BF"/>
    </w:rPr>
  </w:style>
  <w:style w:type="paragraph" w:styleId="CitaoIntensa">
    <w:name w:val="Intense Quote"/>
    <w:basedOn w:val="Normal"/>
    <w:next w:val="Normal"/>
    <w:link w:val="CitaoIntensaChar"/>
    <w:uiPriority w:val="30"/>
    <w:qFormat/>
    <w:rsid w:val="6C24A8B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itaoIntensaChar" w:customStyle="1">
    <w:name w:val="Citação Intensa Char"/>
    <w:basedOn w:val="Fontepargpadro"/>
    <w:link w:val="CitaoIntensa"/>
    <w:uiPriority w:val="30"/>
    <w:rsid w:val="009A63D6"/>
    <w:rPr>
      <w:i/>
      <w:iCs/>
      <w:color w:val="2F5496" w:themeColor="accent1" w:themeShade="BF"/>
    </w:rPr>
  </w:style>
  <w:style w:type="character" w:styleId="RefernciaIntensa">
    <w:name w:val="Intense Reference"/>
    <w:basedOn w:val="Fontepargpadro"/>
    <w:uiPriority w:val="32"/>
    <w:qFormat/>
    <w:rsid w:val="009A63D6"/>
    <w:rPr>
      <w:b/>
      <w:bCs/>
      <w:smallCaps/>
      <w:color w:val="2F5496" w:themeColor="accent1" w:themeShade="BF"/>
      <w:spacing w:val="5"/>
    </w:rPr>
  </w:style>
  <w:style w:type="paragraph" w:styleId="NormalWeb">
    <w:name w:val="Normal (Web)"/>
    <w:basedOn w:val="Normal"/>
    <w:uiPriority w:val="99"/>
    <w:semiHidden/>
    <w:unhideWhenUsed/>
    <w:rsid w:val="6C24A8B3"/>
    <w:pPr>
      <w:spacing w:beforeAutospacing="1" w:afterAutospacing="1" w:line="240" w:lineRule="auto"/>
    </w:pPr>
  </w:style>
  <w:style w:type="character" w:styleId="TextodoEspaoReservado">
    <w:name w:val="Placeholder Text"/>
    <w:basedOn w:val="Fontepargpadro"/>
    <w:uiPriority w:val="99"/>
    <w:semiHidden/>
    <w:rsid w:val="7C822E32"/>
    <w:rPr>
      <w:color w:val="808080" w:themeColor="background1" w:themeShade="80"/>
    </w:rPr>
  </w:style>
  <w:style w:type="character" w:styleId="Hyperlink">
    <w:name w:val="Hyperlink"/>
    <w:basedOn w:val="Fontepargpadro"/>
    <w:uiPriority w:val="99"/>
    <w:unhideWhenUsed/>
    <w:rsid w:val="7C822E32"/>
    <w:rPr>
      <w:color w:val="0563C1"/>
      <w:u w:val="single"/>
    </w:rPr>
  </w:style>
  <w:style w:type="table" w:styleId="Tabelacomgrade">
    <w:name w:val="Table Grid"/>
    <w:basedOn w:val="Tabe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SemEspaamento">
    <w:name w:val="No Spacing"/>
    <w:link w:val="SemEspaamentoChar"/>
    <w:uiPriority w:val="1"/>
    <w:qFormat/>
    <w:rsid w:val="00116349"/>
    <w:pPr>
      <w:spacing w:after="0" w:line="240" w:lineRule="auto"/>
    </w:pPr>
    <w:rPr>
      <w:rFonts w:eastAsiaTheme="minorEastAsia"/>
      <w:kern w:val="0"/>
      <w:sz w:val="22"/>
      <w:szCs w:val="22"/>
      <w:lang w:val="en-US"/>
      <w14:ligatures w14:val="none"/>
    </w:rPr>
  </w:style>
  <w:style w:type="character" w:styleId="SemEspaamentoChar" w:customStyle="1">
    <w:name w:val="Sem Espaçamento Char"/>
    <w:basedOn w:val="Fontepargpadro"/>
    <w:link w:val="SemEspaamento"/>
    <w:uiPriority w:val="1"/>
    <w:rsid w:val="0011634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www.iso.org/standard/27001"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www.aicpa-cima.com/resources/download/trust-services-criteria" TargetMode="Externa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glossaryDocument" Target="glossary/document.xml" Id="rId9"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BDF7B02-6B0A-49AB-9E1D-114076202C9A}"/>
      </w:docPartPr>
      <w:docPartBody>
        <w:p w:rsidR="00AE0486" w:rsidRDefault="00000000">
          <w:r w:rsidRPr="678A2080">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45349"/>
    <w:rsid w:val="0023708F"/>
    <w:rsid w:val="00645349"/>
    <w:rsid w:val="00AE0486"/>
    <w:rsid w:val="00BE2FA2"/>
    <w:rsid w:val="00D15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8813197-b605-4e27-81eb-9580992df16b">
  <we:reference id="wa104382081" version="1.55.1.0" store="en-US" storeType="omex"/>
  <we:alternateReferences>
    <we:reference id="wa104382081" version="1.55.1.0" store="omex"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4b78530-1d96-48a8-a2bc-751a63881325">
  <we:reference id="8c1c3d44-57e9-40d7-86e4-4adf88fea1dd" version="3.0.0.0" store="excatalog" storeType="excatalog"/>
  <we:alternateReferences>
    <we:reference id="WA200007520" version="3.0.0.0" store="en-gb" storeType="omex"/>
  </we:alternateReferences>
  <we:properties>
    <we:property name="rcm.version" value="2"/>
    <we:property name="currentFolder" value="{&quot;depth&quot;:0,&quot;id&quot;:&quot;all&quot;,&quot;name&quot;:&quot;All references&quot;,&quot;parentId&quot;:null,&quot;position&quot;:-2,&quot;isShared&quot;:false}"/>
    <we:property name="formatForFootnotesEnabled" value="&quot;formatForFootnotesDisabled&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w.userId" value="&quot;user:69395a59470e8b6ab52fd897&quot;"/>
    <we:property name="rw.subscriberId" value="&quot;0&quot;"/>
    <we:property name="bibliographyEnabled" value="&quot;bibliographyEnabled&quot;"/>
    <we:property name="citations" value="{&quot;80920440&quot;:{&quot;referencesIds&quot;:[&quot;doc:695c0b3dad4d4b6c15ca7037&quot;],&quot;referencesOptions&quot;:{&quot;doc:695c0b3dad4d4b6c15ca70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920440,&quot;citationText&quot;:&quot;&lt;span style=\&quot;font-family:Times New Roman;font-size:16px;color:#000000\&quot;&gt;[3]&lt;/span&gt;&quot;},&quot;379339711&quot;:{&quot;referencesIds&quot;:[&quot;doc:695c1648ef4607236380d6f5&quot;],&quot;referencesOptions&quot;:{&quot;doc:695c1648ef4607236380d6f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379339711,&quot;citationText&quot;:&quot;&lt;span style=\&quot;font-family:Times New Roman;font-size:16px;color:#000000\&quot;&gt;[7]&lt;/span&gt;&quot;},&quot;425009689&quot;:{&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25009689,&quot;citationText&quot;:&quot;&lt;span style=\&quot;font-family:Times New Roman;font-size:16px;color:#000000\&quot;&gt;[1]&lt;/span&gt;&quot;},&quot;476902596&quot;:{&quot;referencesIds&quot;:[&quot;doc:695c1648ef4607236380d6f5&quot;],&quot;referencesOptions&quot;:{&quot;doc:695c1648ef4607236380d6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6902596,&quot;citationText&quot;:&quot;&lt;span style=\&quot;font-family:Times New Roman;font-size:16px;color:#000000\&quot;&gt;[7]&lt;/span&gt;&quot;},&quot;517414592&quot;:{&quot;referencesIds&quot;:[&quot;doc:695c0849736c59525822c1c0&quot;],&quot;referencesOptions&quot;:{&quot;doc:695c0849736c59525822c1c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17414592,&quot;citationText&quot;:&quot;&lt;span style=\&quot;font-family:Times New Roman;font-size:16px;color:#000000\&quot;&gt;[8]&lt;/span&gt;&quot;},&quot;580555411&quot;:{&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80555411,&quot;citationText&quot;:&quot;&lt;span style=\&quot;font-family:Times New Roman;font-size:16px;color:#000000\&quot;&gt;[1]&lt;/span&gt;&quot;},&quot;809317679&quot;:{&quot;referencesIds&quot;:[&quot;doc:695c0dca9e0ba469be0b3afb&quot;],&quot;referencesOptions&quot;:{&quot;doc:695c0dca9e0ba469be0b3af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809317679,&quot;citationText&quot;:&quot;&lt;span style=\&quot;font-family:Times New Roman;font-size:16px;color:#000000\&quot;&gt;[5]&lt;/span&gt;&quot;},&quot;962814361&quot;:{&quot;referencesIds&quot;:[&quot;doc:695c0b3dad4d4b6c15ca7037&quot;],&quot;referencesOptions&quot;:{&quot;doc:695c0b3dad4d4b6c15ca7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962814361,&quot;citationText&quot;:&quot;&lt;span style=\&quot;font-family:Times New Roman;font-size:16px;color:#000000\&quot;&gt;[3]&lt;/span&gt;&quot;},&quot;1006801019&quot;:{&quot;referencesIds&quot;:[&quot;doc:695c0edc01559f087b3fa6ac&quot;],&quot;referencesOptions&quot;:{&quot;doc:695c0edc01559f087b3fa6a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06801019,&quot;citationText&quot;:&quot;&lt;span style=\&quot;font-family:Times New Roman;font-size:16px;color:#000000\&quot;&gt;[6]&lt;/span&gt;&quot;},&quot;1134539044&quot;:{&quot;referencesIds&quot;:[&quot;doc:695c0b3dad4d4b6c15ca7037&quot;],&quot;referencesOptions&quot;:{&quot;doc:695c0b3dad4d4b6c15ca70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539044,&quot;citationText&quot;:&quot;&lt;span style=\&quot;font-family:Times New Roman;font-size:16px;color:#000000\&quot;&gt;[3]&lt;/span&gt;&quot;},&quot;1245946015&quot;:{&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45946015,&quot;citationText&quot;:&quot;&lt;span style=\&quot;font-family:Times New Roman;font-size:16px;color:#000000\&quot;&gt;[1]&lt;/span&gt;&quot;},&quot;1547391443&quot;:{&quot;referencesIds&quot;:[&quot;doc:695c0b3dad4d4b6c15ca7037&quot;],&quot;referencesOptions&quot;:{&quot;doc:695c0b3dad4d4b6c15ca7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47391443,&quot;citationText&quot;:&quot;&lt;span style=\&quot;font-family:Times New Roman;font-size:16px;color:#000000\&quot;&gt;[3]&lt;/span&gt;&quot;},&quot;1788754005&quot;:{&quot;referencesIds&quot;:[&quot;doc:695c0d1def4607236380d62c&quot;],&quot;referencesOptions&quot;:{&quot;doc:695c0d1def4607236380d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8754005,&quot;citationText&quot;:&quot;&lt;span style=\&quot;font-family:Times New Roman;font-size:16px;color:#000000\&quot;&gt;[4]&lt;/span&gt;&quot;},&quot;1836284267&quot;:{&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36284267,&quot;citationText&quot;:&quot;&lt;span style=\&quot;font-family:Times New Roman;font-size:16px;color:#000000\&quot;&gt;[1]&lt;/span&gt;&quot;},&quot;1838959615&quot;:{&quot;referencesIds&quot;:[&quot;doc:695c0a73a6457b6d8636c150&quot;],&quot;referencesOptions&quot;:{&quot;doc:695c0a73a6457b6d8636c15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38959615,&quot;citationText&quot;:&quot;&lt;span style=\&quot;font-family:Times New Roman;font-size:16px;color:#000000\&quot;&gt;[2]&lt;/span&gt;&quot;},&quot;2122218656&quot;:{&quot;referencesIds&quot;:[&quot;doc:693960ac8175d01de6bedecd&quot;],&quot;referencesOptions&quot;:{&quot;doc:693960ac8175d01de6bedec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22218656,&quot;citationText&quot;:&quot;&lt;span style=\&quot;font-family:Times New Roman;font-size:16px;color:#000000\&quot;&gt;[1]&lt;/span&gt;&quot;},&quot;2130850740&quot;:{&quot;referencesIds&quot;:[&quot;doc:695c0b3dad4d4b6c15ca7037&quot;],&quot;referencesOptions&quot;:{&quot;doc:695c0b3dad4d4b6c15ca7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30850740,&quot;citationText&quot;:&quot;&lt;span style=\&quot;font-family:Times New Roman;font-size:16px;color:#000000\&quot;&gt;[3]&lt;/span&gt;&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FEE7B-CA75-DC4A-8B37-4F6AF9C27E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Data Security, Governance and Compliance</dc:title>
  <dc:subject>An Applied Framework Analysis and Governance Model for NatureGreen</dc:subject>
  <dc:creator>Gabriel Aragão (2405655)</dc:creator>
  <keywords/>
  <dc:description/>
  <lastModifiedBy>Gabriel Aragão (2405655)</lastModifiedBy>
  <revision>10</revision>
  <dcterms:created xsi:type="dcterms:W3CDTF">2025-12-03T11:01:00.0000000Z</dcterms:created>
  <dcterms:modified xsi:type="dcterms:W3CDTF">2026-01-06T17:42:47.8313049Z</dcterms:modified>
</coreProperties>
</file>