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6E5215" w14:textId="77777777" w:rsidR="006250AD" w:rsidRDefault="006250AD" w:rsidP="006250AD">
      <w:pPr>
        <w:spacing w:line="240" w:lineRule="auto"/>
        <w:rPr>
          <w:rFonts w:ascii="Segoe UI" w:hAnsi="Segoe UI" w:cs="Segoe UI"/>
          <w:color w:val="373A3C"/>
          <w:sz w:val="22"/>
          <w:shd w:val="clear" w:color="auto" w:fill="FFFFFF"/>
        </w:rPr>
      </w:pPr>
    </w:p>
    <w:p w14:paraId="224FA14F" w14:textId="77777777" w:rsidR="006250AD" w:rsidRDefault="006250AD" w:rsidP="006250AD">
      <w:pPr>
        <w:spacing w:line="240" w:lineRule="auto"/>
        <w:rPr>
          <w:rFonts w:ascii="Segoe UI" w:hAnsi="Segoe UI" w:cs="Segoe UI"/>
          <w:color w:val="373A3C"/>
          <w:sz w:val="22"/>
          <w:shd w:val="clear" w:color="auto" w:fill="FFFFFF"/>
        </w:rPr>
      </w:pPr>
    </w:p>
    <w:p w14:paraId="63EC1795" w14:textId="77777777" w:rsidR="006250AD" w:rsidRDefault="006250AD" w:rsidP="006250AD">
      <w:pPr>
        <w:spacing w:line="240" w:lineRule="auto"/>
        <w:rPr>
          <w:rFonts w:ascii="Segoe UI" w:hAnsi="Segoe UI" w:cs="Segoe UI"/>
          <w:color w:val="373A3C"/>
          <w:sz w:val="22"/>
          <w:shd w:val="clear" w:color="auto" w:fill="FFFFFF"/>
        </w:rPr>
      </w:pPr>
    </w:p>
    <w:p w14:paraId="73519EB2" w14:textId="77777777" w:rsidR="006250AD" w:rsidRDefault="006250AD" w:rsidP="006250AD">
      <w:pPr>
        <w:spacing w:line="240" w:lineRule="auto"/>
        <w:rPr>
          <w:rFonts w:ascii="Segoe UI" w:hAnsi="Segoe UI" w:cs="Segoe UI"/>
          <w:color w:val="373A3C"/>
          <w:sz w:val="22"/>
          <w:shd w:val="clear" w:color="auto" w:fill="FFFFFF"/>
        </w:rPr>
      </w:pPr>
    </w:p>
    <w:p w14:paraId="1D41FE43" w14:textId="77777777" w:rsidR="006250AD" w:rsidRDefault="006250AD" w:rsidP="006250AD">
      <w:pPr>
        <w:spacing w:line="240" w:lineRule="auto"/>
        <w:rPr>
          <w:rFonts w:ascii="Segoe UI" w:hAnsi="Segoe UI" w:cs="Segoe UI"/>
          <w:color w:val="373A3C"/>
          <w:sz w:val="22"/>
          <w:shd w:val="clear" w:color="auto" w:fill="FFFFFF"/>
        </w:rPr>
      </w:pPr>
    </w:p>
    <w:p w14:paraId="07C423E3" w14:textId="77777777" w:rsidR="006250AD" w:rsidRDefault="006250AD" w:rsidP="006250AD">
      <w:pPr>
        <w:spacing w:line="240" w:lineRule="auto"/>
        <w:rPr>
          <w:rFonts w:ascii="Segoe UI" w:hAnsi="Segoe UI" w:cs="Segoe UI"/>
          <w:color w:val="373A3C"/>
          <w:sz w:val="22"/>
          <w:shd w:val="clear" w:color="auto" w:fill="FFFFFF"/>
        </w:rPr>
      </w:pPr>
    </w:p>
    <w:p w14:paraId="0AA18340" w14:textId="77777777" w:rsidR="006250AD" w:rsidRDefault="006250AD" w:rsidP="006250AD">
      <w:pPr>
        <w:spacing w:line="240" w:lineRule="auto"/>
        <w:rPr>
          <w:rFonts w:ascii="Segoe UI" w:hAnsi="Segoe UI" w:cs="Segoe UI"/>
          <w:color w:val="373A3C"/>
          <w:sz w:val="22"/>
          <w:shd w:val="clear" w:color="auto" w:fill="FFFFFF"/>
        </w:rPr>
      </w:pPr>
    </w:p>
    <w:p w14:paraId="7134E22C" w14:textId="77777777" w:rsidR="006250AD" w:rsidRDefault="006250AD" w:rsidP="006250AD">
      <w:pPr>
        <w:spacing w:line="240" w:lineRule="auto"/>
        <w:rPr>
          <w:rFonts w:ascii="Segoe UI" w:hAnsi="Segoe UI" w:cs="Segoe UI"/>
          <w:color w:val="373A3C"/>
          <w:sz w:val="22"/>
          <w:shd w:val="clear" w:color="auto" w:fill="FFFFFF"/>
        </w:rPr>
      </w:pPr>
    </w:p>
    <w:p w14:paraId="14D5AD78" w14:textId="77777777" w:rsidR="006250AD" w:rsidRDefault="006250AD" w:rsidP="006250AD">
      <w:pPr>
        <w:spacing w:line="240" w:lineRule="auto"/>
        <w:rPr>
          <w:rFonts w:ascii="Segoe UI" w:hAnsi="Segoe UI" w:cs="Segoe UI"/>
          <w:color w:val="373A3C"/>
          <w:sz w:val="22"/>
          <w:shd w:val="clear" w:color="auto" w:fill="FFFFFF"/>
        </w:rPr>
      </w:pPr>
    </w:p>
    <w:p w14:paraId="646C9541" w14:textId="77777777" w:rsidR="006250AD" w:rsidRDefault="006250AD" w:rsidP="006250AD">
      <w:pPr>
        <w:spacing w:line="240" w:lineRule="auto"/>
        <w:rPr>
          <w:rFonts w:ascii="Segoe UI" w:hAnsi="Segoe UI" w:cs="Segoe UI"/>
          <w:color w:val="373A3C"/>
          <w:sz w:val="22"/>
          <w:shd w:val="clear" w:color="auto" w:fill="FFFFFF"/>
        </w:rPr>
      </w:pPr>
    </w:p>
    <w:p w14:paraId="34A6D573" w14:textId="77777777" w:rsidR="006250AD" w:rsidRDefault="006250AD" w:rsidP="006250AD">
      <w:pPr>
        <w:spacing w:line="240" w:lineRule="auto"/>
        <w:rPr>
          <w:rFonts w:ascii="Segoe UI" w:hAnsi="Segoe UI" w:cs="Segoe UI"/>
          <w:color w:val="373A3C"/>
          <w:sz w:val="22"/>
          <w:shd w:val="clear" w:color="auto" w:fill="FFFFFF"/>
        </w:rPr>
      </w:pPr>
    </w:p>
    <w:p w14:paraId="7F5779C3" w14:textId="6BBD8324" w:rsidR="006250AD" w:rsidRDefault="006250AD" w:rsidP="006250AD">
      <w:pPr>
        <w:spacing w:line="240" w:lineRule="auto"/>
        <w:jc w:val="center"/>
        <w:rPr>
          <w:rFonts w:cs="Times New Roman"/>
          <w:color w:val="373A3C"/>
          <w:szCs w:val="24"/>
          <w:shd w:val="clear" w:color="auto" w:fill="FFFFFF"/>
        </w:rPr>
      </w:pPr>
      <w:r w:rsidRPr="006250AD">
        <w:rPr>
          <w:rFonts w:cs="Times New Roman"/>
          <w:i/>
          <w:color w:val="373A3C"/>
          <w:szCs w:val="24"/>
          <w:shd w:val="clear" w:color="auto" w:fill="FFFFFF"/>
        </w:rPr>
        <w:t>Beowulf</w:t>
      </w:r>
      <w:r>
        <w:rPr>
          <w:rFonts w:cs="Times New Roman"/>
          <w:color w:val="373A3C"/>
          <w:szCs w:val="24"/>
          <w:shd w:val="clear" w:color="auto" w:fill="FFFFFF"/>
        </w:rPr>
        <w:t>: A Christian Heroic</w:t>
      </w:r>
    </w:p>
    <w:p w14:paraId="59E717A3" w14:textId="77777777" w:rsidR="006250AD" w:rsidRDefault="006250AD" w:rsidP="006250AD">
      <w:pPr>
        <w:spacing w:line="240" w:lineRule="auto"/>
        <w:jc w:val="center"/>
        <w:rPr>
          <w:rFonts w:cs="Times New Roman"/>
          <w:color w:val="373A3C"/>
          <w:szCs w:val="24"/>
          <w:shd w:val="clear" w:color="auto" w:fill="FFFFFF"/>
        </w:rPr>
      </w:pPr>
    </w:p>
    <w:p w14:paraId="1182B457" w14:textId="77777777" w:rsidR="006250AD" w:rsidRDefault="006250AD" w:rsidP="006250AD">
      <w:pPr>
        <w:spacing w:line="240" w:lineRule="auto"/>
        <w:jc w:val="center"/>
        <w:rPr>
          <w:rFonts w:cs="Times New Roman"/>
          <w:color w:val="373A3C"/>
          <w:szCs w:val="24"/>
          <w:shd w:val="clear" w:color="auto" w:fill="FFFFFF"/>
        </w:rPr>
      </w:pPr>
      <w:r>
        <w:rPr>
          <w:rFonts w:cs="Times New Roman"/>
          <w:color w:val="373A3C"/>
          <w:szCs w:val="24"/>
          <w:shd w:val="clear" w:color="auto" w:fill="FFFFFF"/>
        </w:rPr>
        <w:t>Marah Hager</w:t>
      </w:r>
    </w:p>
    <w:p w14:paraId="5E4D2533" w14:textId="77777777" w:rsidR="006250AD" w:rsidRDefault="006250AD" w:rsidP="006250AD">
      <w:pPr>
        <w:spacing w:line="240" w:lineRule="auto"/>
        <w:jc w:val="center"/>
        <w:rPr>
          <w:rFonts w:cs="Times New Roman"/>
          <w:color w:val="373A3C"/>
          <w:szCs w:val="24"/>
          <w:shd w:val="clear" w:color="auto" w:fill="FFFFFF"/>
        </w:rPr>
      </w:pPr>
    </w:p>
    <w:p w14:paraId="50990D30" w14:textId="77777777" w:rsidR="006250AD" w:rsidRDefault="006250AD" w:rsidP="006250AD">
      <w:pPr>
        <w:spacing w:line="240" w:lineRule="auto"/>
        <w:jc w:val="center"/>
        <w:rPr>
          <w:rFonts w:cs="Times New Roman"/>
          <w:color w:val="373A3C"/>
          <w:szCs w:val="24"/>
          <w:shd w:val="clear" w:color="auto" w:fill="FFFFFF"/>
        </w:rPr>
      </w:pPr>
    </w:p>
    <w:p w14:paraId="1A9BC75A" w14:textId="77777777" w:rsidR="006250AD" w:rsidRDefault="006250AD" w:rsidP="006250AD">
      <w:pPr>
        <w:spacing w:line="240" w:lineRule="auto"/>
        <w:jc w:val="center"/>
        <w:rPr>
          <w:rFonts w:cs="Times New Roman"/>
          <w:color w:val="373A3C"/>
          <w:szCs w:val="24"/>
          <w:shd w:val="clear" w:color="auto" w:fill="FFFFFF"/>
        </w:rPr>
      </w:pPr>
    </w:p>
    <w:p w14:paraId="653B8429" w14:textId="77777777" w:rsidR="006250AD" w:rsidRDefault="006250AD" w:rsidP="006250AD">
      <w:pPr>
        <w:spacing w:line="240" w:lineRule="auto"/>
        <w:jc w:val="center"/>
        <w:rPr>
          <w:rFonts w:cs="Times New Roman"/>
          <w:color w:val="373A3C"/>
          <w:szCs w:val="24"/>
          <w:shd w:val="clear" w:color="auto" w:fill="FFFFFF"/>
        </w:rPr>
      </w:pPr>
    </w:p>
    <w:p w14:paraId="374A0923" w14:textId="77777777" w:rsidR="006250AD" w:rsidRDefault="006250AD" w:rsidP="006250AD">
      <w:pPr>
        <w:spacing w:line="240" w:lineRule="auto"/>
        <w:jc w:val="center"/>
        <w:rPr>
          <w:rFonts w:cs="Times New Roman"/>
          <w:color w:val="373A3C"/>
          <w:szCs w:val="24"/>
          <w:shd w:val="clear" w:color="auto" w:fill="FFFFFF"/>
        </w:rPr>
      </w:pPr>
    </w:p>
    <w:p w14:paraId="2E4D614D" w14:textId="77777777" w:rsidR="006250AD" w:rsidRDefault="006250AD" w:rsidP="006250AD">
      <w:pPr>
        <w:spacing w:line="240" w:lineRule="auto"/>
        <w:jc w:val="center"/>
        <w:rPr>
          <w:rFonts w:cs="Times New Roman"/>
          <w:color w:val="373A3C"/>
          <w:szCs w:val="24"/>
          <w:shd w:val="clear" w:color="auto" w:fill="FFFFFF"/>
        </w:rPr>
      </w:pPr>
    </w:p>
    <w:p w14:paraId="699A9BCA" w14:textId="77777777" w:rsidR="006250AD" w:rsidRDefault="006250AD" w:rsidP="006250AD">
      <w:pPr>
        <w:spacing w:line="240" w:lineRule="auto"/>
        <w:jc w:val="center"/>
        <w:rPr>
          <w:rFonts w:cs="Times New Roman"/>
          <w:color w:val="373A3C"/>
          <w:szCs w:val="24"/>
          <w:shd w:val="clear" w:color="auto" w:fill="FFFFFF"/>
        </w:rPr>
      </w:pPr>
    </w:p>
    <w:p w14:paraId="6B5785E6" w14:textId="77777777" w:rsidR="006250AD" w:rsidRDefault="006250AD" w:rsidP="006250AD">
      <w:pPr>
        <w:spacing w:line="240" w:lineRule="auto"/>
        <w:jc w:val="center"/>
        <w:rPr>
          <w:rFonts w:cs="Times New Roman"/>
          <w:color w:val="373A3C"/>
          <w:szCs w:val="24"/>
          <w:shd w:val="clear" w:color="auto" w:fill="FFFFFF"/>
        </w:rPr>
      </w:pPr>
    </w:p>
    <w:p w14:paraId="66FA0DEC" w14:textId="77777777" w:rsidR="006250AD" w:rsidRDefault="006250AD" w:rsidP="006250AD">
      <w:pPr>
        <w:spacing w:line="240" w:lineRule="auto"/>
        <w:jc w:val="center"/>
        <w:rPr>
          <w:rFonts w:cs="Times New Roman"/>
          <w:color w:val="373A3C"/>
          <w:szCs w:val="24"/>
          <w:shd w:val="clear" w:color="auto" w:fill="FFFFFF"/>
        </w:rPr>
      </w:pPr>
    </w:p>
    <w:p w14:paraId="5110B748" w14:textId="77777777" w:rsidR="006250AD" w:rsidRDefault="006250AD" w:rsidP="006250AD">
      <w:pPr>
        <w:spacing w:line="240" w:lineRule="auto"/>
        <w:jc w:val="center"/>
        <w:rPr>
          <w:rFonts w:cs="Times New Roman"/>
          <w:color w:val="373A3C"/>
          <w:szCs w:val="24"/>
          <w:shd w:val="clear" w:color="auto" w:fill="FFFFFF"/>
        </w:rPr>
      </w:pPr>
    </w:p>
    <w:p w14:paraId="7ED66488" w14:textId="77777777" w:rsidR="006250AD" w:rsidRDefault="006250AD" w:rsidP="006250AD">
      <w:pPr>
        <w:spacing w:line="240" w:lineRule="auto"/>
        <w:jc w:val="center"/>
        <w:rPr>
          <w:rFonts w:cs="Times New Roman"/>
          <w:color w:val="373A3C"/>
          <w:szCs w:val="24"/>
          <w:shd w:val="clear" w:color="auto" w:fill="FFFFFF"/>
        </w:rPr>
      </w:pPr>
    </w:p>
    <w:p w14:paraId="667F4012" w14:textId="77777777" w:rsidR="006250AD" w:rsidRDefault="006250AD" w:rsidP="006250AD">
      <w:pPr>
        <w:spacing w:line="240" w:lineRule="auto"/>
        <w:jc w:val="center"/>
        <w:rPr>
          <w:rFonts w:cs="Times New Roman"/>
          <w:color w:val="373A3C"/>
          <w:szCs w:val="24"/>
          <w:shd w:val="clear" w:color="auto" w:fill="FFFFFF"/>
        </w:rPr>
      </w:pPr>
    </w:p>
    <w:p w14:paraId="70586CDC" w14:textId="77777777" w:rsidR="006250AD" w:rsidRDefault="006250AD" w:rsidP="006250AD">
      <w:pPr>
        <w:spacing w:line="240" w:lineRule="auto"/>
        <w:jc w:val="center"/>
        <w:rPr>
          <w:rFonts w:cs="Times New Roman"/>
          <w:color w:val="373A3C"/>
          <w:szCs w:val="24"/>
          <w:shd w:val="clear" w:color="auto" w:fill="FFFFFF"/>
        </w:rPr>
      </w:pPr>
    </w:p>
    <w:p w14:paraId="5D1F93FE" w14:textId="77777777" w:rsidR="006250AD" w:rsidRDefault="006250AD" w:rsidP="006250AD">
      <w:pPr>
        <w:spacing w:line="240" w:lineRule="auto"/>
        <w:jc w:val="center"/>
        <w:rPr>
          <w:rFonts w:cs="Times New Roman"/>
          <w:color w:val="373A3C"/>
          <w:szCs w:val="24"/>
          <w:shd w:val="clear" w:color="auto" w:fill="FFFFFF"/>
        </w:rPr>
      </w:pPr>
    </w:p>
    <w:p w14:paraId="17B8A984" w14:textId="0B552957" w:rsidR="006250AD" w:rsidRDefault="006250AD" w:rsidP="006250AD">
      <w:pPr>
        <w:spacing w:line="240" w:lineRule="auto"/>
        <w:jc w:val="center"/>
        <w:rPr>
          <w:rFonts w:cs="Times New Roman"/>
          <w:color w:val="373A3C"/>
          <w:szCs w:val="24"/>
          <w:shd w:val="clear" w:color="auto" w:fill="FFFFFF"/>
        </w:rPr>
      </w:pPr>
      <w:r>
        <w:rPr>
          <w:rFonts w:cs="Times New Roman"/>
          <w:color w:val="373A3C"/>
          <w:szCs w:val="24"/>
          <w:shd w:val="clear" w:color="auto" w:fill="FFFFFF"/>
        </w:rPr>
        <w:t>University of Wales Trinity Saint David</w:t>
      </w:r>
    </w:p>
    <w:p w14:paraId="224BE23B" w14:textId="77777777" w:rsidR="006250AD" w:rsidRDefault="006250AD" w:rsidP="006250AD">
      <w:pPr>
        <w:spacing w:line="240" w:lineRule="auto"/>
        <w:jc w:val="center"/>
        <w:rPr>
          <w:rFonts w:cs="Times New Roman"/>
          <w:color w:val="373A3C"/>
          <w:szCs w:val="24"/>
          <w:shd w:val="clear" w:color="auto" w:fill="FFFFFF"/>
        </w:rPr>
      </w:pPr>
    </w:p>
    <w:p w14:paraId="5432AA87" w14:textId="0C939CC7" w:rsidR="006250AD" w:rsidRDefault="006250AD" w:rsidP="006250AD">
      <w:pPr>
        <w:spacing w:line="240" w:lineRule="auto"/>
        <w:jc w:val="center"/>
        <w:rPr>
          <w:rFonts w:cs="Times New Roman"/>
          <w:color w:val="373A3C"/>
          <w:szCs w:val="24"/>
          <w:shd w:val="clear" w:color="auto" w:fill="FFFFFF"/>
        </w:rPr>
      </w:pPr>
      <w:r>
        <w:rPr>
          <w:rFonts w:cs="Times New Roman"/>
          <w:color w:val="373A3C"/>
          <w:szCs w:val="24"/>
          <w:shd w:val="clear" w:color="auto" w:fill="FFFFFF"/>
        </w:rPr>
        <w:t xml:space="preserve">Professor </w:t>
      </w:r>
      <w:r w:rsidR="00DF5146">
        <w:rPr>
          <w:rFonts w:cs="Times New Roman"/>
          <w:color w:val="373A3C"/>
          <w:szCs w:val="24"/>
          <w:shd w:val="clear" w:color="auto" w:fill="FFFFFF"/>
        </w:rPr>
        <w:t>William Marx</w:t>
      </w:r>
      <w:bookmarkStart w:id="0" w:name="_GoBack"/>
      <w:bookmarkEnd w:id="0"/>
    </w:p>
    <w:p w14:paraId="36C4E69E" w14:textId="77777777" w:rsidR="006250AD" w:rsidRDefault="006250AD" w:rsidP="006250AD">
      <w:pPr>
        <w:spacing w:line="240" w:lineRule="auto"/>
        <w:jc w:val="center"/>
        <w:rPr>
          <w:rFonts w:cs="Times New Roman"/>
          <w:color w:val="373A3C"/>
          <w:szCs w:val="24"/>
          <w:shd w:val="clear" w:color="auto" w:fill="FFFFFF"/>
        </w:rPr>
      </w:pPr>
    </w:p>
    <w:p w14:paraId="3AD0129E" w14:textId="5B9B96C1" w:rsidR="006250AD" w:rsidRDefault="006250AD" w:rsidP="006250AD">
      <w:pPr>
        <w:spacing w:line="240" w:lineRule="auto"/>
        <w:jc w:val="center"/>
        <w:rPr>
          <w:rFonts w:cs="Times New Roman"/>
          <w:color w:val="373A3C"/>
          <w:szCs w:val="24"/>
          <w:shd w:val="clear" w:color="auto" w:fill="FFFFFF"/>
        </w:rPr>
      </w:pPr>
      <w:r>
        <w:rPr>
          <w:rFonts w:cs="Times New Roman"/>
          <w:color w:val="373A3C"/>
          <w:szCs w:val="24"/>
          <w:shd w:val="clear" w:color="auto" w:fill="FFFFFF"/>
        </w:rPr>
        <w:t>24 January 2020</w:t>
      </w:r>
    </w:p>
    <w:p w14:paraId="5B66FB5B" w14:textId="77777777" w:rsidR="006250AD" w:rsidRPr="00612726" w:rsidRDefault="006250AD" w:rsidP="006250AD">
      <w:pPr>
        <w:spacing w:line="240" w:lineRule="auto"/>
        <w:rPr>
          <w:rFonts w:cs="Times New Roman"/>
          <w:color w:val="373A3C"/>
          <w:szCs w:val="24"/>
          <w:shd w:val="clear" w:color="auto" w:fill="FFFFFF"/>
        </w:rPr>
      </w:pPr>
    </w:p>
    <w:p w14:paraId="18C5C899" w14:textId="77777777" w:rsidR="006250AD" w:rsidRDefault="006250AD" w:rsidP="006250AD">
      <w:pPr>
        <w:spacing w:after="160" w:line="259" w:lineRule="auto"/>
        <w:rPr>
          <w:rFonts w:ascii="Segoe UI" w:hAnsi="Segoe UI" w:cs="Segoe UI"/>
          <w:color w:val="373A3C"/>
          <w:sz w:val="22"/>
          <w:shd w:val="clear" w:color="auto" w:fill="FFFFFF"/>
        </w:rPr>
      </w:pPr>
      <w:r>
        <w:rPr>
          <w:rFonts w:ascii="Segoe UI" w:hAnsi="Segoe UI" w:cs="Segoe UI"/>
          <w:color w:val="373A3C"/>
          <w:sz w:val="22"/>
          <w:shd w:val="clear" w:color="auto" w:fill="FFFFFF"/>
        </w:rPr>
        <w:br w:type="page"/>
      </w:r>
    </w:p>
    <w:p w14:paraId="56997348" w14:textId="77777777" w:rsidR="006F03ED" w:rsidRDefault="006F03ED" w:rsidP="006F03ED">
      <w:pPr>
        <w:jc w:val="center"/>
      </w:pPr>
      <w:r>
        <w:rPr>
          <w:i/>
        </w:rPr>
        <w:lastRenderedPageBreak/>
        <w:t>Beowulf</w:t>
      </w:r>
      <w:r>
        <w:t>: A Christian Heroic</w:t>
      </w:r>
    </w:p>
    <w:p w14:paraId="57E86BAB" w14:textId="409D0B46" w:rsidR="006F03ED" w:rsidRDefault="006F03ED" w:rsidP="006F03ED">
      <w:pPr>
        <w:ind w:firstLine="720"/>
      </w:pPr>
      <w:r>
        <w:rPr>
          <w:i/>
        </w:rPr>
        <w:t>Beowulf</w:t>
      </w:r>
      <w:r>
        <w:t>, a poem written down sometime between 975 and 1025,</w:t>
      </w:r>
      <w:r>
        <w:rPr>
          <w:i/>
        </w:rPr>
        <w:t xml:space="preserve"> </w:t>
      </w:r>
      <w:r>
        <w:t xml:space="preserve">is a piece of literature caught in-between the genre of Anglo-Saxon heroic, full of heavy-handed deeds and lurking Pagan beliefs, and a Christian allegorical narrative, meant to highlight the faults of heathen peoples. The poem follows the warrior, and later king, Beowulf as he achieves great heroic accomplishments, protects his kingdom from multiple invaders, and ultimately falls victim to the inclinations of his own pride. </w:t>
      </w:r>
      <w:r w:rsidRPr="00D956A2">
        <w:rPr>
          <w:i/>
        </w:rPr>
        <w:t xml:space="preserve">Beowulf </w:t>
      </w:r>
      <w:r>
        <w:t xml:space="preserve">is a tale with complex layers of composition which reflects the uncertain nature of its origins and the multiple ways in which to interpret the narrative’s main purpose. </w:t>
      </w:r>
      <w:r>
        <w:rPr>
          <w:i/>
        </w:rPr>
        <w:t>Beowulf</w:t>
      </w:r>
      <w:r>
        <w:t xml:space="preserve"> was most likely originally composed to be a narrative passed on through oral storytelling, like many similarly dated texts. Features of </w:t>
      </w:r>
      <w:r>
        <w:rPr>
          <w:i/>
        </w:rPr>
        <w:t>Beowulf</w:t>
      </w:r>
      <w:r>
        <w:t xml:space="preserve"> include the Pagan religious and cultural aspects of the society in which the tale would have been birthed, but it is layered with Christian overtones, reflecting how the text was adapted to fit an evolving Pagan-to-Christian society. The society that adapted </w:t>
      </w:r>
      <w:r>
        <w:rPr>
          <w:i/>
        </w:rPr>
        <w:t xml:space="preserve">Beowulf </w:t>
      </w:r>
      <w:r>
        <w:t xml:space="preserve">to its current form was extremely religious by nature, especially as the Christian religion was being pushed further and further into the mainstream—influencing all aspects of society, including working environments, arrangement of marriages, and the birthing of the next generation. It may be unlikely that the original tale of </w:t>
      </w:r>
      <w:r>
        <w:rPr>
          <w:i/>
        </w:rPr>
        <w:t>Beowulf</w:t>
      </w:r>
      <w:r>
        <w:t xml:space="preserve"> was meant to be written as a Christian text and instead it was merely modified by Christian scholars as it was compiled into a manuscript to reflect Christian ideals and practices. After all,</w:t>
      </w:r>
      <w:r w:rsidR="00065435">
        <w:t xml:space="preserve"> in the article ‘Blurred Lines: Does Religious Polarity Create Problematic Heroes in the Poem, </w:t>
      </w:r>
      <w:r w:rsidR="00065435">
        <w:rPr>
          <w:i/>
        </w:rPr>
        <w:t>Beowulf</w:t>
      </w:r>
      <w:r w:rsidR="00065435">
        <w:t xml:space="preserve">?’ </w:t>
      </w:r>
      <w:r w:rsidR="00C629DC">
        <w:t xml:space="preserve">Elizabeth </w:t>
      </w:r>
      <w:r>
        <w:t>Canon writes, ‘</w:t>
      </w:r>
      <w:r w:rsidRPr="00215EB2">
        <w:t>In the tradition of fables used to teach morals, the medieval Christian Church encouraged the use of pagan literature for the teaching of Christian morality.</w:t>
      </w:r>
      <w:r>
        <w:t>’</w:t>
      </w:r>
      <w:r w:rsidR="00065435">
        <w:rPr>
          <w:vertAlign w:val="superscript"/>
        </w:rPr>
        <w:t>1</w:t>
      </w:r>
      <w:r>
        <w:t xml:space="preserve"> It was easier to reinterpret a genre of literature and adapt it as a means of emphasizing the Christian teachings than endeavoring to destroy all documentation of Pagan </w:t>
      </w:r>
      <w:r>
        <w:lastRenderedPageBreak/>
        <w:t>literature and erase it from the minds that had already consumed it.</w:t>
      </w:r>
      <w:r w:rsidR="00065435">
        <w:rPr>
          <w:vertAlign w:val="superscript"/>
        </w:rPr>
        <w:t>2</w:t>
      </w:r>
      <w:r>
        <w:t xml:space="preserve"> Thus, the purpose of </w:t>
      </w:r>
      <w:r>
        <w:rPr>
          <w:i/>
        </w:rPr>
        <w:t xml:space="preserve">Beowulf </w:t>
      </w:r>
      <w:r>
        <w:t xml:space="preserve">may be viewed as aiming to emphasize aspects of Pagan beliefs in order to highlight the ‘higher’ Christian version of morality and salvation. </w:t>
      </w:r>
      <w:r w:rsidRPr="00BA12A1">
        <w:t>Beowulf</w:t>
      </w:r>
      <w:r>
        <w:t xml:space="preserve">, himself, is not a reflection of a devout Christian, but the text </w:t>
      </w:r>
      <w:r>
        <w:rPr>
          <w:i/>
        </w:rPr>
        <w:t xml:space="preserve">Beowulf </w:t>
      </w:r>
      <w:r>
        <w:t xml:space="preserve">may be defined as a heroic Christian narrative. </w:t>
      </w:r>
    </w:p>
    <w:p w14:paraId="0A776926" w14:textId="08232AE3" w:rsidR="006F03ED" w:rsidRDefault="006F03ED" w:rsidP="006F03ED">
      <w:r>
        <w:tab/>
        <w:t xml:space="preserve">Critics of </w:t>
      </w:r>
      <w:r>
        <w:rPr>
          <w:i/>
        </w:rPr>
        <w:t>Beowulf</w:t>
      </w:r>
      <w:r>
        <w:t xml:space="preserve"> initially judged the work as an ‘especially heathen poem</w:t>
      </w:r>
      <w:r w:rsidR="00536AD4">
        <w:t>,</w:t>
      </w:r>
      <w:r>
        <w:t>’</w:t>
      </w:r>
      <w:r w:rsidR="00065435">
        <w:rPr>
          <w:vertAlign w:val="superscript"/>
        </w:rPr>
        <w:t>3</w:t>
      </w:r>
      <w:r>
        <w:t xml:space="preserve"> aiming to analyze the Germanic components of the work rather than recognizing the Christian overtones that may exist within the poem. After all, </w:t>
      </w:r>
      <w:r>
        <w:rPr>
          <w:i/>
        </w:rPr>
        <w:t xml:space="preserve">Beowulf </w:t>
      </w:r>
      <w:r>
        <w:t>is incredibly centered on the themes of heroism, vengeance, and loyalty that drove the Germanic societies and are strong elements of the Pagan practices. The text itself states of the Geats, ‘At times they took vows of idol-worship at heathen shrines, prayed aloud that the slayer of souls would render aid against the nations calamities.’</w:t>
      </w:r>
      <w:r w:rsidR="00065435">
        <w:rPr>
          <w:vertAlign w:val="superscript"/>
        </w:rPr>
        <w:t>4</w:t>
      </w:r>
      <w:r>
        <w:t xml:space="preserve"> However, scholars have since gained more interest in the apparatuses of Christianity that may be seen in certain aspects of the poem. </w:t>
      </w:r>
      <w:r w:rsidR="00065435">
        <w:t xml:space="preserve">In the article ‘Beowulf, the Old Testament, and the Regula Fidei.’ </w:t>
      </w:r>
      <w:r w:rsidR="00C629DC">
        <w:t xml:space="preserve">Christopher </w:t>
      </w:r>
      <w:r>
        <w:t>Cain writes, ‘T</w:t>
      </w:r>
      <w:r w:rsidRPr="0080042B">
        <w:t>he task of the critic o</w:t>
      </w:r>
      <w:r>
        <w:t>f</w:t>
      </w:r>
      <w:r w:rsidRPr="00292A02">
        <w:rPr>
          <w:i/>
        </w:rPr>
        <w:t xml:space="preserve"> Beowulf</w:t>
      </w:r>
      <w:r>
        <w:t xml:space="preserve"> has</w:t>
      </w:r>
      <w:r w:rsidRPr="0080042B">
        <w:t xml:space="preserve"> been, predominantly, to ascertain just what type of Christian tone and viewpoint the poem promulgates. But this has proven to be a difficult undertaking. The ambiguity and vagueness of the Christian references in the poem merely contribute to the general feeling that the poem is</w:t>
      </w:r>
      <w:r>
        <w:t xml:space="preserve"> </w:t>
      </w:r>
      <w:r w:rsidRPr="00292A02">
        <w:rPr>
          <w:i/>
        </w:rPr>
        <w:t>in some way</w:t>
      </w:r>
      <w:r w:rsidRPr="0080042B">
        <w:t xml:space="preserve"> Christian without any explicit mention of t</w:t>
      </w:r>
      <w:r>
        <w:t>he</w:t>
      </w:r>
      <w:r w:rsidRPr="0080042B">
        <w:t xml:space="preserve"> tenets of the faith.</w:t>
      </w:r>
      <w:r>
        <w:t>’</w:t>
      </w:r>
      <w:r w:rsidR="00C629DC">
        <w:rPr>
          <w:vertAlign w:val="superscript"/>
        </w:rPr>
        <w:t>5</w:t>
      </w:r>
      <w:r>
        <w:t xml:space="preserve"> The poem in its entirety may be defined as a ‘heathen’ poem as critics suggest, but rather than looking at the poem as a whole for evidence of the Christian purposes, it is more profitable to uncover the segments of the poem which are strongly influenced by the Christian teachings. For the intended audience of the poem, the Christian concepts may have been much clearer than it would be to a modern audience. Religious study was much more interested in the </w:t>
      </w:r>
      <w:r w:rsidRPr="00EE551A">
        <w:rPr>
          <w:i/>
        </w:rPr>
        <w:t xml:space="preserve">uncovering </w:t>
      </w:r>
      <w:r>
        <w:t>of divine truths, rather than the</w:t>
      </w:r>
      <w:r w:rsidRPr="00DB445F">
        <w:rPr>
          <w:i/>
        </w:rPr>
        <w:t xml:space="preserve"> explanation</w:t>
      </w:r>
      <w:r>
        <w:t xml:space="preserve"> of them. Augustine, a religious philosopher, suggested that religious </w:t>
      </w:r>
      <w:r>
        <w:lastRenderedPageBreak/>
        <w:t>archetypes are latent in the mind merely waiting to be discovered. One simply must ‘see’ the truth within one’s own mind, something Augustine refers to as the ‘</w:t>
      </w:r>
      <w:r w:rsidRPr="00B25D87">
        <w:rPr>
          <w:i/>
        </w:rPr>
        <w:t>priori</w:t>
      </w:r>
      <w:r>
        <w:t xml:space="preserve"> content of minds.’</w:t>
      </w:r>
      <w:r w:rsidR="00780581">
        <w:rPr>
          <w:vertAlign w:val="superscript"/>
        </w:rPr>
        <w:t>6</w:t>
      </w:r>
      <w:r>
        <w:t xml:space="preserve"> A true scholar of God need not have a text that is undoubtedly preaching Christian values, but merely the tools within his own mind to uncover the subtleties which suggest the elements of Christianity and what those elements are striving to teach. If </w:t>
      </w:r>
      <w:r>
        <w:rPr>
          <w:i/>
        </w:rPr>
        <w:t>Beowulf</w:t>
      </w:r>
      <w:r>
        <w:t xml:space="preserve"> is studied within the lens of Augustine’s philosophy, the Christian connections become much clearer in a way the original audience would have viewed as divine illumination. Instead of God continuously being referenced through the poem, it is the absence of God in crucial positions, the faults of Beowulf, and the end results which present necessary correlations to the Christian doctrine. Perhaps it was the intent of </w:t>
      </w:r>
      <w:r>
        <w:rPr>
          <w:i/>
        </w:rPr>
        <w:t>Beowulf,</w:t>
      </w:r>
      <w:r>
        <w:t xml:space="preserve"> or at least the written version which exists, for the religious elements to be hidden, for perhaps the true study of Christianity is recognizing God when he is obscured. </w:t>
      </w:r>
    </w:p>
    <w:p w14:paraId="22098B1B" w14:textId="3C74552D" w:rsidR="006F03ED" w:rsidRPr="00783270" w:rsidRDefault="006F03ED" w:rsidP="006F03ED">
      <w:pPr>
        <w:ind w:firstLine="720"/>
      </w:pPr>
      <w:r>
        <w:t xml:space="preserve">However, </w:t>
      </w:r>
      <w:r w:rsidRPr="00EB7CCB">
        <w:rPr>
          <w:i/>
        </w:rPr>
        <w:t>Beowulf</w:t>
      </w:r>
      <w:r>
        <w:t xml:space="preserve"> is also extraordinarily focused on the interpretation of signs and the meanings of language. This obsession with interpreting the truths in communication is common within Medieval Literature, a theme that Augustine terms as ‘functions of the Fall.’</w:t>
      </w:r>
      <w:r w:rsidR="00780581">
        <w:rPr>
          <w:vertAlign w:val="superscript"/>
        </w:rPr>
        <w:t>7</w:t>
      </w:r>
      <w:r>
        <w:t xml:space="preserve"> Augustine suggested that Adam and Eve lost the ability to connect with spiritual communication when the first sin was committed, obscuring God and all divine assistance in understanding. After all, Adam and Eve were able to understand and communicate with the animals in the garden of Eden, but after the Fall all ability to understand others was lost to only themselves. Thus, ‘</w:t>
      </w:r>
      <w:r w:rsidRPr="003426C7">
        <w:t>the Fall meant that Adam and Eve had to approach the signs that God had already created, only now they were on their own, bereft of divine assistance and susceptible to misinterpreting the signs.</w:t>
      </w:r>
      <w:r>
        <w:t>’</w:t>
      </w:r>
      <w:r w:rsidR="00780581">
        <w:rPr>
          <w:vertAlign w:val="superscript"/>
        </w:rPr>
        <w:t>8</w:t>
      </w:r>
      <w:r>
        <w:t xml:space="preserve"> Communication was a fundamental necessity for navigating the world, but communication also became one of the hardest problems that needed to be solved. The problem with communication was not merely the understanding of words, but also the signs of communication and the intent </w:t>
      </w:r>
      <w:r>
        <w:lastRenderedPageBreak/>
        <w:t xml:space="preserve">of these signs. The purpose of others was no longer clearly provided through God’s Will, but had to be uncovered through the sinful and graceless hands of humanity. One of the main points of interpretation within the poem is an individual’s attempts to understand the larger picture of the world, such as Hrothgar aiming to understand why Grendel was sent bearing the wrath of God or why Beowulf was charred and conquered by a dragon when no previous foes overcame him. </w:t>
      </w:r>
      <w:r w:rsidR="00780581">
        <w:t>In the article</w:t>
      </w:r>
      <w:r w:rsidR="00780581">
        <w:rPr>
          <w:rFonts w:cs="Times New Roman"/>
          <w:color w:val="333333"/>
          <w:szCs w:val="24"/>
          <w:shd w:val="clear" w:color="auto" w:fill="FFFFFF"/>
        </w:rPr>
        <w:t xml:space="preserve"> ‘Signs, Interpretation, and Exclusion in </w:t>
      </w:r>
      <w:r w:rsidR="00780581">
        <w:rPr>
          <w:rFonts w:cs="Times New Roman"/>
          <w:i/>
          <w:color w:val="333333"/>
          <w:szCs w:val="24"/>
          <w:shd w:val="clear" w:color="auto" w:fill="FFFFFF"/>
        </w:rPr>
        <w:t>Beowulf</w:t>
      </w:r>
      <w:r w:rsidR="00780581">
        <w:rPr>
          <w:rFonts w:cs="Times New Roman"/>
          <w:color w:val="333333"/>
          <w:szCs w:val="24"/>
          <w:shd w:val="clear" w:color="auto" w:fill="FFFFFF"/>
        </w:rPr>
        <w:t xml:space="preserve">’ Michael </w:t>
      </w:r>
      <w:r>
        <w:t>Scribner writes, ‘</w:t>
      </w:r>
      <w:r w:rsidRPr="003426C7">
        <w:t>Signs in Beowulf do not illuminate, they obfuscate, and serve as obstacles to the characters in the poem, excluding them from groups and calling attention to their exclusion from divine grace brought about by the Fall.</w:t>
      </w:r>
      <w:r>
        <w:t>’</w:t>
      </w:r>
      <w:r w:rsidR="00780581">
        <w:rPr>
          <w:vertAlign w:val="superscript"/>
        </w:rPr>
        <w:t>9</w:t>
      </w:r>
      <w:r>
        <w:t xml:space="preserve"> Whether the poet of </w:t>
      </w:r>
      <w:r>
        <w:rPr>
          <w:i/>
        </w:rPr>
        <w:t xml:space="preserve">Beowulf </w:t>
      </w:r>
      <w:r>
        <w:t xml:space="preserve">was intending to implement Augustinian theories into the poem is unclear. However, obscurity and interpretation are two main facets to the analyzation of </w:t>
      </w:r>
      <w:r>
        <w:rPr>
          <w:i/>
        </w:rPr>
        <w:t>Beowulf</w:t>
      </w:r>
      <w:r>
        <w:t xml:space="preserve"> in terms of a Christian heroic. </w:t>
      </w:r>
    </w:p>
    <w:p w14:paraId="632A5C67" w14:textId="02C321CD" w:rsidR="006F03ED" w:rsidRDefault="006F03ED" w:rsidP="006F03ED">
      <w:r>
        <w:tab/>
        <w:t xml:space="preserve">The majority of the scripture references in </w:t>
      </w:r>
      <w:r>
        <w:rPr>
          <w:i/>
        </w:rPr>
        <w:t>Beowulf</w:t>
      </w:r>
      <w:r>
        <w:t xml:space="preserve"> are attributed to the Old Testament of the Bible, suggesting that the ‘poet </w:t>
      </w:r>
      <w:r w:rsidRPr="00670442">
        <w:t>deliberately parallels the pagan Germanic past with the pre-Christian world of the Old Testament with the aim of demonstrating the prefiguration of the Christian world in his native heritage just as it was demonstrated in the world of the old dispensation of the Hebrews</w:t>
      </w:r>
      <w:r>
        <w:t>.’</w:t>
      </w:r>
      <w:r w:rsidR="00465E57">
        <w:rPr>
          <w:vertAlign w:val="superscript"/>
        </w:rPr>
        <w:t>10</w:t>
      </w:r>
      <w:r>
        <w:t xml:space="preserve"> The content of the Old Testament is something in which the Germanic people would have related more fluidly than just merely a reference towards the connections between God and damnation. The Old Testament is ripe with violence, vengeance, and unrefined characters which represent the repression of a world without the sacrifice of Jesus and the ability to hope for salvation. The heroes of the Old Testament endeavor to follow the word of God but are ultimately sinners at death. Grendel is one of the most prominent references to the Old Testament in that he is a descendant of Cain, a son of Adam and Eve who murdered his brother, Abel. In Germanic culture, kinship and loyalty to kin was one of the most important </w:t>
      </w:r>
      <w:r>
        <w:lastRenderedPageBreak/>
        <w:t xml:space="preserve">aspects of life. Not only did Cain commit a ‘sin’ in the eyes of God, he did an unforgivable wrong to his brother which, in Germanic culture, requires a retribution of some sort. Such retribution for the loss of a family member was typically an act of vengeance carried out by someone closely related to that member of the family. It was a great dishonor not to enact vengeance, although in Christian practices any form of violence against another person is viewed as a sin. However, this idea of necessary retribution for wrongdoings within </w:t>
      </w:r>
      <w:r>
        <w:rPr>
          <w:i/>
        </w:rPr>
        <w:t>Beowulf</w:t>
      </w:r>
      <w:r>
        <w:t xml:space="preserve"> seems to be caught in a never-ending sphere of rearticulating, as Grendel is hunting Hrothgar for vengeance, then Grendel’s Mother is hunting Beowulf to deliver retaliation for killing her son, and Beowulf ultimately succumbs to death by the retaliation of the Dragon for trespassing—and his whole kingdom is lost in what may be viewed as retribution for Beowulf’s mistakes. The idea of punishment for the Geats—and Germanic culture—was not a divine act of God delivered through inhumane providence, but a necessary battle for one to take into his own hands. However, this endless cycle of trying to obtain ultimate retaliation for the wrongs which may have been done ends nowhere but on a smoky battlefield and what may be considered eternal damnation within death. Perhaps the Christian moral of ‘turning the other cheek’ is supposed to be highlighted within </w:t>
      </w:r>
      <w:r>
        <w:rPr>
          <w:i/>
        </w:rPr>
        <w:t xml:space="preserve">Beowulf </w:t>
      </w:r>
      <w:r>
        <w:t>due to the circumstance which occur when a culture hits back.</w:t>
      </w:r>
    </w:p>
    <w:p w14:paraId="6B27D433" w14:textId="77777777" w:rsidR="006F03ED" w:rsidRDefault="006F03ED" w:rsidP="006F03ED">
      <w:pPr>
        <w:ind w:firstLine="720"/>
      </w:pPr>
      <w:r>
        <w:t xml:space="preserve">Hrothgar is the character within </w:t>
      </w:r>
      <w:r>
        <w:rPr>
          <w:i/>
        </w:rPr>
        <w:t xml:space="preserve">Beowulf </w:t>
      </w:r>
      <w:r>
        <w:t xml:space="preserve">who most openly reflects Christian values, although he exhibits a sinful fault of pride in the eyes of Christianity and receives, as may be interpreted, divine punishment for it through the attack of Grendel. Although Grendel was ultimately Beowulf’s battle, he was a sword aiming to sink into Hrothgar. It is not openly suggested at the beginning of Grendel’s attack that he was there purposefully to fault Hrothgar’s pride, but merely the merrymaking that Hrothgar and his people were creating. Grendel is described as ‘living in darkness’ and being content in his silence and solitude. With the building </w:t>
      </w:r>
      <w:r>
        <w:lastRenderedPageBreak/>
        <w:t>of Heorot, and the happiness of its people, Grendel is removed from his silence and solitude, instigating his continuous attacks. Canon writes,</w:t>
      </w:r>
    </w:p>
    <w:p w14:paraId="7204A13C" w14:textId="1C4B4F9F" w:rsidR="006F03ED" w:rsidRDefault="006F03ED" w:rsidP="006F03ED">
      <w:pPr>
        <w:ind w:left="720"/>
      </w:pPr>
      <w:r w:rsidRPr="00215EB2">
        <w:t xml:space="preserve">When Heorot was built, Grendel was sent “bearing God’s anger.” Since </w:t>
      </w:r>
      <w:r>
        <w:t>Hrothgar</w:t>
      </w:r>
      <w:r w:rsidRPr="00215EB2">
        <w:t xml:space="preserve">’s pride is responsible for the building of the hall, and the hall is responsible for the coming of the monster, Grendel, it must follow that righting the imbalance made the brutal attacks on Heorot necessary. These attacks, that seem to be sanctioned by God himself since the attacker is a vehicle for God’s anger, have struck not only the men in the hall, but in a way, the otherwise uninjured </w:t>
      </w:r>
      <w:r>
        <w:t>Hrothgar</w:t>
      </w:r>
      <w:r w:rsidRPr="00215EB2">
        <w:t xml:space="preserve"> himself. </w:t>
      </w:r>
      <w:r>
        <w:t>Hrothgar</w:t>
      </w:r>
      <w:r w:rsidRPr="00215EB2">
        <w:t xml:space="preserve"> does not lose his life in the attacks on his great hall, but loses something that may mean more to him, namely his pride.</w:t>
      </w:r>
      <w:r w:rsidR="00465E57">
        <w:rPr>
          <w:vertAlign w:val="superscript"/>
        </w:rPr>
        <w:t>11</w:t>
      </w:r>
    </w:p>
    <w:p w14:paraId="36AA6C9D" w14:textId="2472D37E" w:rsidR="006F03ED" w:rsidRDefault="006F03ED" w:rsidP="006F03ED">
      <w:r>
        <w:t>Hrothgar’s greatest sin is his excessive pride, yet the idea of pride being a sin is debatable in the eyes of various religions. Canon writes, “E</w:t>
      </w:r>
      <w:r w:rsidRPr="00277DA9">
        <w:t>xcessive pride, desire for wealth, avenging a death. These are Christian sins, but pagan Germanic virtues.</w:t>
      </w:r>
      <w:r>
        <w:t>’</w:t>
      </w:r>
      <w:r w:rsidR="00465E57">
        <w:rPr>
          <w:vertAlign w:val="superscript"/>
        </w:rPr>
        <w:t>12</w:t>
      </w:r>
      <w:r>
        <w:t xml:space="preserve"> Hrothgar did not recognize his pride to be a fault of his soul, merely a necessary exhibition of his circumstances—his wealth, power, the prosperity of his kingdom. To lack the appearance of pride in his status would be a dishonor in the eyes of his community. Canon </w:t>
      </w:r>
      <w:r w:rsidR="00B80CFB">
        <w:t>writes</w:t>
      </w:r>
      <w:r>
        <w:t>, ‘T</w:t>
      </w:r>
      <w:r w:rsidRPr="0016199D">
        <w:t>here would not have even been a word in their vocabulary for the opposite of pride.</w:t>
      </w:r>
      <w:r>
        <w:t>’</w:t>
      </w:r>
      <w:r w:rsidR="00B80CFB">
        <w:rPr>
          <w:vertAlign w:val="superscript"/>
        </w:rPr>
        <w:t>13</w:t>
      </w:r>
      <w:r>
        <w:t xml:space="preserve"> However, in a Christian reading of </w:t>
      </w:r>
      <w:r>
        <w:rPr>
          <w:i/>
        </w:rPr>
        <w:t>Beowulf,</w:t>
      </w:r>
      <w:r>
        <w:t xml:space="preserve"> it is possible to view Grendel as the instigator of divine retribution for Hrothgar’s pride—a direct visualization of God’s wrath at the heathen nature of Hrothgar’s soul. The fact that Grendel is a descendant of Cain, the son of the first vehicle of sin and the father of murder, only supports the idea that he was the weapon bearing God’s punishment. Yet, in this interpretation of Grendel’s attack there is the assumption that simply pride is enough to warrant the direct wrath of God. Hrothgar is not an exceptionally unchristian character, merely prideful. Hrothgar behaves in a decidedly Pagan </w:t>
      </w:r>
      <w:r>
        <w:lastRenderedPageBreak/>
        <w:t xml:space="preserve">manner and ‘God’s anger’ is sent to punish him. As the poem progresses, Hrothgar wonders at the events of Grendel’s attack, questioning what the intent of it was. He comes to his own conclusion that punishing his pride may have been a purpose of the attack, although this is decidedly out of character for a Pagan man of his status in Germanic society. Hrothgar acknowledging his excess of pride is done without a self-realization, merely like an insertion of text meant to register the ‘sinful’ nature of pride. Hrothgar, however, does not forget the divine correction and moves on to correct Beowulf just as he believes Grendel was meant to correct him. </w:t>
      </w:r>
      <w:r w:rsidR="00A36B92">
        <w:t xml:space="preserve">Scribner writes, </w:t>
      </w:r>
      <w:r>
        <w:t>‘</w:t>
      </w:r>
      <w:r w:rsidRPr="00E24D62">
        <w:t>When he admonishes Beowulf about pride and uses his own humiliation by Gren</w:t>
      </w:r>
      <w:r>
        <w:t>d</w:t>
      </w:r>
      <w:r w:rsidRPr="00E24D62">
        <w:t>el as an example, he creates a connection to the image of God deflating the pride of the giants.</w:t>
      </w:r>
      <w:r>
        <w:t>’</w:t>
      </w:r>
      <w:r w:rsidR="00A36B92">
        <w:rPr>
          <w:vertAlign w:val="superscript"/>
        </w:rPr>
        <w:t>14</w:t>
      </w:r>
      <w:r>
        <w:t xml:space="preserve"> The poet, by making Grendel the wielder of God’s wrath is drawing the conclusion that any practice of Pagan values, however small, will call upon divine intervention. By Hrothgar interpreting the events of the attack as an attempt for divine punishment suggests that he is supporting the idea that Christian virtues are held above Pagan virtues. Hrothgar is creating a new environment for himself through the realization that his pride is ‘sinful’ and is trying to implement this realization upon Beowulf just as Christians attempted to convert the Pagans. If Grendel is the personification of God’s retribution, then Hrothgar is the newly converted Christian, and Beowulf is the sympathetic Pagan.</w:t>
      </w:r>
    </w:p>
    <w:p w14:paraId="43159994" w14:textId="6F994541" w:rsidR="006F03ED" w:rsidRDefault="006F03ED" w:rsidP="006F03ED">
      <w:r>
        <w:tab/>
        <w:t xml:space="preserve">There are certain parallels to be made between Beowulf and the Christian God that may be uncovered through analyzing the aftereffects of Beowulf’s fight with Grendel. Throughout </w:t>
      </w:r>
      <w:r>
        <w:rPr>
          <w:i/>
        </w:rPr>
        <w:t xml:space="preserve">Beowulf, </w:t>
      </w:r>
      <w:r>
        <w:t xml:space="preserve">the Old Testament is the main source of comparison to be considered when analyzing the Christian aspects of the poem, but one must also consider God himself as a character within the scripture rather than above it. Beowulf is attuned to Christian morals, but as a whole is mainly composed of Pagan values. Beowulf is expressively proud of his accomplishments, often </w:t>
      </w:r>
      <w:r>
        <w:lastRenderedPageBreak/>
        <w:t xml:space="preserve">boasting of his victories in battle to those he meets. Beowulf exhibits greed, especially towards the end of the poem when encountering the Dragon. Moreover, Beowulf is also highly concerned with making a heroic name of himself—and by association, being remembered into life beyond death. Yet, Beowulf is also a devoted king and protector of his people, as is easily seen in the fight between Beowulf and Grendel. As violent as his ancestor in the Old Testament, Grendel enters into a fight to the death with Beowulf, who becomes the ‘savior’ of the people by single-handedly beating the personification of God’s wrath. The fact that Beowulf is the ‘savior’ and able to beat Grendel at all—believed to be divine punishment for Hrothgar—presents inconsistency in the suggestion of God’s all-powerful nature. Perhaps the circumstance is not merely meant to be a punishment for Hrothgar’s exhibition of pride—not even considered by his people to be a fault—but rather meant to draw a parallel between God and Beowulf. God is the savior of the people, just as Beowulf becomes by ridding the kingdom of a monstrous evil. The Geats hold Beowulf in a high heroic regard, attributing the safety of the kingdom to his well-resounded reputation. Just as the Christians place faith in God for protection, the Geats place faith in Beowulf to protect the kingdom from enemies. Louis Rodrigues writes in </w:t>
      </w:r>
      <w:r>
        <w:rPr>
          <w:i/>
        </w:rPr>
        <w:t>Anglo-Saxon Verse Charms, Maxims &amp; Heroic Legends</w:t>
      </w:r>
      <w:r>
        <w:t xml:space="preserve"> that the Germanic peoples had a ‘a deep devotion of a type of naturalistic religion whose heroic leaders were derived from the gods through carefully remembered genealogies.’</w:t>
      </w:r>
      <w:r w:rsidR="00A36B92">
        <w:rPr>
          <w:vertAlign w:val="superscript"/>
        </w:rPr>
        <w:t>15</w:t>
      </w:r>
      <w:r>
        <w:t xml:space="preserve"> The fight with Grendel draws the parallel that Beowulf becomes, for his people, a personification of the protective force that Christians attribute to God. In the Old Testament God is not a nonviolent deity, but often interfered in the events of man to contribute vicious punishments to those refusing to follow his commands. Beowulf, although lacking the all-powerful nature of a deity, fights violently against those who defy his leadership and put his </w:t>
      </w:r>
      <w:r>
        <w:lastRenderedPageBreak/>
        <w:t>kingdom at risk. Although ‘polluted’ by Pagan ideals, Beowulf ultimately strives to be a force against evil—although his fight may be more for self-interest than the good of the community.</w:t>
      </w:r>
    </w:p>
    <w:p w14:paraId="2EB194BD" w14:textId="1DBE28D6" w:rsidR="006F03ED" w:rsidRDefault="006F03ED" w:rsidP="006F03ED">
      <w:r>
        <w:tab/>
        <w:t xml:space="preserve">Grendel’s Mother represents a different aspect of the Christian purpose and culture and the accomplishment of her defeat suggests a different facet to Beowulf’s spiritual psyche. Grendel’s mother is an intangible concept to the Germanic heroic that was understood at the time of </w:t>
      </w:r>
      <w:r>
        <w:rPr>
          <w:i/>
        </w:rPr>
        <w:t xml:space="preserve">Beowulf. </w:t>
      </w:r>
      <w:r>
        <w:t xml:space="preserve">The very notion of a strong female presence within a heroic narrative was nonexistent in other literature of its age. The figure Grendel’s Mother reflects the most would be the biblical Eve, who represents the original sin and is the direct instigator of Grendel’s Mother’s ability to enact revenge and exhibit hatred. Eve, although her action of eating the forbidden fruit impacted the entire fate of humanity, had an essentially small role within the narrative of the Old Testament. Female figures were in large part removed from the Christian narrative, leaving only facets of considered feminine characteristics. Such feminine characteristics either mirrored the Virgin Mary, such as purity and motherhood, or Eve, such as sinfulness and seduction. Although Grendel’s Mother is most closely connected to Eve, she still does not fully fulfill the female archetype that was acceptable in heroic literature—such as a willing wife or an attractive seductress. </w:t>
      </w:r>
      <w:r w:rsidR="00A36B92">
        <w:t xml:space="preserve">Renee </w:t>
      </w:r>
      <w:r>
        <w:t>Trilling writes</w:t>
      </w:r>
      <w:r w:rsidR="00A36B92">
        <w:t xml:space="preserve"> in the article </w:t>
      </w:r>
      <w:r w:rsidR="00A36B92">
        <w:rPr>
          <w:rFonts w:cs="Times New Roman"/>
          <w:color w:val="333333"/>
          <w:szCs w:val="24"/>
          <w:shd w:val="clear" w:color="auto" w:fill="FFFFFF"/>
        </w:rPr>
        <w:t>‘Beyond Abjection: The Problem with Grendel’s Mother Again’</w:t>
      </w:r>
      <w:r>
        <w:t xml:space="preserve"> that Grendel’s Mother’s ‘</w:t>
      </w:r>
      <w:r w:rsidRPr="00E07BF9">
        <w:t xml:space="preserve">alienation is clear enough; as both monster and woman, she occupies a subjective space that </w:t>
      </w:r>
      <w:r>
        <w:t>i</w:t>
      </w:r>
      <w:r w:rsidRPr="00E07BF9">
        <w:t>s doubly removed from the meaning-making structures of heroic poetry</w:t>
      </w:r>
      <w:r>
        <w:t>…</w:t>
      </w:r>
      <w:r w:rsidRPr="00532CCD">
        <w:t xml:space="preserve"> </w:t>
      </w:r>
      <w:r w:rsidRPr="00E07BF9">
        <w:t>The appearance of Grendel’s mother disrupts the strictly ordered heroic world of the text, and the narrative engages in a mad scramble to conceal the disruption behind a mask of masculine reassertion</w:t>
      </w:r>
      <w:r w:rsidR="00A36B92">
        <w:t>.</w:t>
      </w:r>
      <w:r>
        <w:t>’</w:t>
      </w:r>
      <w:r w:rsidR="00A36B92">
        <w:rPr>
          <w:vertAlign w:val="superscript"/>
        </w:rPr>
        <w:t>16</w:t>
      </w:r>
      <w:r>
        <w:t xml:space="preserve"> The poet is able to insert Grendel’s Mother so fluidly into the text by making her otherworldly and masculine enough to not be defined as ‘female,’ merely making her an abstract representation of the Germanic custom of vengeance. However, she is still </w:t>
      </w:r>
      <w:r>
        <w:lastRenderedPageBreak/>
        <w:t>acknowledged to be weaker simply due to her gender; the poem states, ‘The terror was the less dreadful by just so much as the power of women…”</w:t>
      </w:r>
      <w:r w:rsidR="00A36B92">
        <w:rPr>
          <w:vertAlign w:val="superscript"/>
        </w:rPr>
        <w:t>17</w:t>
      </w:r>
      <w:r>
        <w:t xml:space="preserve"> By making Grendel’s Mother an ‘other’ as opposed to merely a woman allows Beowulf the choice of killing her without damaging his reputation. However, it is important to note that the poet chose to make Grendel’s Mother the solo seeker of revenge rather than the unmentioned figure of Grendel’s Father, who would have withstood any questions of femininity by merely being a man. The </w:t>
      </w:r>
      <w:r>
        <w:rPr>
          <w:i/>
        </w:rPr>
        <w:t>Beowulf</w:t>
      </w:r>
      <w:r>
        <w:t xml:space="preserve"> poet chose to insert a female into the text, however disguised she became, perhaps to enhance the Christian uncertainty in female spirituality at the time of its composition or merely to create a tactful variation of the classic heroic tale. Grendel’s Mother may provide uncertain services to the narrative, but in the act of defeating her, Beowulf gains a new understanding of himself. Grendel’s Mother is the monster in which Beowulf must fight in order to maintain his own pride. Grendel, certainly, was a battle for Beowulf, but one in which provided for Beowulf only in the public forum. Defeating Grendel’s Mother is a different sort of accomplishment for Beowulf, providing him a private sort of pride that is otherwise lacking within other battles. However, Beowulf’s pride, in whatever sense, is only viewed as faulty in the eyes of the Christian doctrine.</w:t>
      </w:r>
      <w:r>
        <w:tab/>
      </w:r>
    </w:p>
    <w:p w14:paraId="6DA3E58F" w14:textId="57699D3A" w:rsidR="006F03ED" w:rsidRDefault="006F03ED" w:rsidP="006F03ED">
      <w:pPr>
        <w:ind w:firstLine="720"/>
      </w:pPr>
      <w:r>
        <w:t xml:space="preserve">Just as Grendel is considered to be Hrothgar’s divine retribution for excessive pride, the Dragon is often considered to be Beowulf’s divine retribution for excessive greed. Beowulf did not become such a notable warrior and king by lacking ambition, but is only fueled by his desire for objects which would not just make him wealthy, but swell his reputation. Beowulf’s fundamental flaw may be greed, but Beowulf is described not merely as a </w:t>
      </w:r>
      <w:r>
        <w:rPr>
          <w:i/>
        </w:rPr>
        <w:t>good</w:t>
      </w:r>
      <w:r>
        <w:t xml:space="preserve"> king, but also a king who shares the wealth of his status to the health and happiness of his kingdom. It must be noted, too, that Beowulf’s journey to defeat the Dragon was to reclaim protection over his people which were being harmed by its presence. Yet, it takes the physical destruction of Beowulf’s </w:t>
      </w:r>
      <w:r>
        <w:lastRenderedPageBreak/>
        <w:t xml:space="preserve">property to instigate the journey. Perhaps the Dragon may be viewed as a divine combatant against Beowulf’s greed, but it seems more possible it is </w:t>
      </w:r>
      <w:r>
        <w:rPr>
          <w:i/>
        </w:rPr>
        <w:t>pride</w:t>
      </w:r>
      <w:r>
        <w:t xml:space="preserve"> which ultimately fails him. Beowulf, an old man by the end of the poem, is attempting to defeat the Dragon not for its treasure or for the praise of the accomplishment of doing what no man has successfully achieved, but for the protection of his kingdom, his treasure, his livelihood, and his </w:t>
      </w:r>
      <w:r>
        <w:rPr>
          <w:i/>
        </w:rPr>
        <w:t>pride</w:t>
      </w:r>
      <w:r>
        <w:t>. Beowulf remembers heroic moments of his past as he journeys to defeat the Dragon and does not fear facing the deathly creature that has already slain so many. Hrothgar’s warning of pride, thus, makes more sense. Beowulf does not pick up the morals of a Christian as Hrothgar attempts after the attack of Grendel, but merely acknowledges wisdom within Hrothgar’s words. Hrothgar’s warning of pride becomes a foreshadowing for the pride that ultimately brings about Beowulf’s death. Hrothgar is spared from death, but repents for his ‘sins.’ Beowulf is warned, but does not listen. Beowulf takes on the Dragon, a figure that John Tanke in the article ‘Beowulf, Gold-Luck, and God’s Will’ suggests is a personification of God’s will, guarding the treasure and allowing only those worthy to be in possession of it—proving that Beowulf, despite all his greatness, is not worthy.</w:t>
      </w:r>
      <w:r w:rsidR="00A36B92">
        <w:rPr>
          <w:vertAlign w:val="superscript"/>
        </w:rPr>
        <w:t>18</w:t>
      </w:r>
      <w:r>
        <w:t xml:space="preserve"> The treasure referenced may not simply be the </w:t>
      </w:r>
      <w:r>
        <w:rPr>
          <w:i/>
        </w:rPr>
        <w:t xml:space="preserve">Dragon’s </w:t>
      </w:r>
      <w:r>
        <w:t>treasure, but the treasure accumulated in his past that fed the growth of his pride. Beowulf’s collection of treasure and claiming it as his own is thus attempting to steal from God himself. Tanke writes,</w:t>
      </w:r>
    </w:p>
    <w:p w14:paraId="43AA830E" w14:textId="407B2FB1" w:rsidR="006F03ED" w:rsidRDefault="006F03ED" w:rsidP="006F03ED">
      <w:pPr>
        <w:ind w:left="720"/>
      </w:pPr>
      <w:r>
        <w:t xml:space="preserve">Dragons </w:t>
      </w:r>
      <w:r w:rsidRPr="00C17CA7">
        <w:t xml:space="preserve">never grant anyone their favor where gold is concerned, and Beowulf would scarcely have expected otherwise. But ‘‘the owner’s favor’’ can also, and most aptly of all, be applied to God. Since </w:t>
      </w:r>
      <w:proofErr w:type="spellStart"/>
      <w:r w:rsidRPr="00BF429D">
        <w:rPr>
          <w:i/>
        </w:rPr>
        <w:t>agend</w:t>
      </w:r>
      <w:proofErr w:type="spellEnd"/>
      <w:r w:rsidRPr="00C17CA7">
        <w:t xml:space="preserve"> occurs elsewhere as a word for God,</w:t>
      </w:r>
      <w:r>
        <w:t xml:space="preserve"> </w:t>
      </w:r>
      <w:r w:rsidRPr="00C17CA7">
        <w:t xml:space="preserve">and </w:t>
      </w:r>
      <w:proofErr w:type="spellStart"/>
      <w:r w:rsidRPr="00BF429D">
        <w:rPr>
          <w:i/>
        </w:rPr>
        <w:t>godes</w:t>
      </w:r>
      <w:proofErr w:type="spellEnd"/>
      <w:r w:rsidRPr="00BF429D">
        <w:rPr>
          <w:i/>
        </w:rPr>
        <w:t>/</w:t>
      </w:r>
      <w:proofErr w:type="spellStart"/>
      <w:r w:rsidRPr="00BF429D">
        <w:rPr>
          <w:i/>
        </w:rPr>
        <w:t>metodes</w:t>
      </w:r>
      <w:proofErr w:type="spellEnd"/>
      <w:r w:rsidRPr="00BF429D">
        <w:rPr>
          <w:i/>
        </w:rPr>
        <w:t xml:space="preserve"> </w:t>
      </w:r>
      <w:proofErr w:type="spellStart"/>
      <w:r w:rsidRPr="00BF429D">
        <w:rPr>
          <w:i/>
        </w:rPr>
        <w:t>est</w:t>
      </w:r>
      <w:proofErr w:type="spellEnd"/>
      <w:r w:rsidRPr="00C17CA7">
        <w:t xml:space="preserve"> is a common poetic expression for ‘‘God’s will,’’ this must also be one of the meanings of</w:t>
      </w:r>
      <w:r>
        <w:t xml:space="preserve"> </w:t>
      </w:r>
      <w:proofErr w:type="spellStart"/>
      <w:r w:rsidRPr="00BF429D">
        <w:rPr>
          <w:i/>
        </w:rPr>
        <w:t>agendes</w:t>
      </w:r>
      <w:proofErr w:type="spellEnd"/>
      <w:r w:rsidRPr="00BF429D">
        <w:rPr>
          <w:i/>
        </w:rPr>
        <w:t xml:space="preserve"> est</w:t>
      </w:r>
      <w:r w:rsidRPr="00C17CA7">
        <w:t>.</w:t>
      </w:r>
      <w:r>
        <w:t xml:space="preserve"> </w:t>
      </w:r>
      <w:r w:rsidRPr="00C17CA7">
        <w:t>Accordingly,</w:t>
      </w:r>
      <w:r>
        <w:t xml:space="preserve"> </w:t>
      </w:r>
      <w:r w:rsidRPr="00C17CA7">
        <w:t>two</w:t>
      </w:r>
      <w:r>
        <w:t xml:space="preserve"> </w:t>
      </w:r>
      <w:r w:rsidRPr="00C17CA7">
        <w:t>interpretations</w:t>
      </w:r>
      <w:r>
        <w:t xml:space="preserve"> </w:t>
      </w:r>
      <w:r w:rsidRPr="00C17CA7">
        <w:t>of</w:t>
      </w:r>
      <w:r>
        <w:t xml:space="preserve"> </w:t>
      </w:r>
      <w:r w:rsidRPr="00C17CA7">
        <w:t>the</w:t>
      </w:r>
      <w:r>
        <w:t xml:space="preserve"> </w:t>
      </w:r>
      <w:r w:rsidRPr="00C17CA7">
        <w:t>phrase</w:t>
      </w:r>
      <w:r>
        <w:t xml:space="preserve"> </w:t>
      </w:r>
      <w:r w:rsidRPr="00C17CA7">
        <w:t>are</w:t>
      </w:r>
      <w:r>
        <w:t xml:space="preserve"> </w:t>
      </w:r>
      <w:r w:rsidRPr="00C17CA7">
        <w:t>relevant. For Beowulf it means the favor of God in general, but for the reader it recalls</w:t>
      </w:r>
      <w:r>
        <w:t xml:space="preserve"> </w:t>
      </w:r>
      <w:r w:rsidRPr="00C17CA7">
        <w:lastRenderedPageBreak/>
        <w:t>the</w:t>
      </w:r>
      <w:r>
        <w:t xml:space="preserve"> </w:t>
      </w:r>
      <w:r w:rsidRPr="00C17CA7">
        <w:t>exemption</w:t>
      </w:r>
      <w:r>
        <w:t xml:space="preserve"> </w:t>
      </w:r>
      <w:r w:rsidRPr="00C17CA7">
        <w:t>from</w:t>
      </w:r>
      <w:r>
        <w:t xml:space="preserve"> </w:t>
      </w:r>
      <w:r w:rsidRPr="00C17CA7">
        <w:t>the</w:t>
      </w:r>
      <w:r>
        <w:t xml:space="preserve"> </w:t>
      </w:r>
      <w:r w:rsidRPr="00C17CA7">
        <w:t>curse</w:t>
      </w:r>
      <w:r>
        <w:t xml:space="preserve"> </w:t>
      </w:r>
      <w:r w:rsidRPr="00C17CA7">
        <w:t>mentioned</w:t>
      </w:r>
      <w:r>
        <w:t xml:space="preserve"> </w:t>
      </w:r>
      <w:r w:rsidRPr="00C17CA7">
        <w:t>in</w:t>
      </w:r>
      <w:r>
        <w:t xml:space="preserve"> </w:t>
      </w:r>
      <w:r w:rsidRPr="00C17CA7">
        <w:t>lines</w:t>
      </w:r>
      <w:r>
        <w:t xml:space="preserve"> 3054</w:t>
      </w:r>
      <w:r w:rsidRPr="00C17CA7">
        <w:t>b–</w:t>
      </w:r>
      <w:r>
        <w:t>57</w:t>
      </w:r>
      <w:r w:rsidRPr="00C17CA7">
        <w:t>:</w:t>
      </w:r>
      <w:r>
        <w:t xml:space="preserve"> </w:t>
      </w:r>
      <w:r w:rsidRPr="00C17CA7">
        <w:t>‘‘no man might touch the ring-hall unless God himself...should grant to the</w:t>
      </w:r>
      <w:r>
        <w:t xml:space="preserve"> </w:t>
      </w:r>
      <w:r w:rsidRPr="00C17CA7">
        <w:t>one</w:t>
      </w:r>
      <w:r>
        <w:t xml:space="preserve"> </w:t>
      </w:r>
      <w:r w:rsidRPr="00C17CA7">
        <w:t>he</w:t>
      </w:r>
      <w:r>
        <w:t xml:space="preserve"> </w:t>
      </w:r>
      <w:r w:rsidRPr="00C17CA7">
        <w:t>wished...to</w:t>
      </w:r>
      <w:r>
        <w:t xml:space="preserve"> </w:t>
      </w:r>
      <w:r w:rsidRPr="00C17CA7">
        <w:t>open</w:t>
      </w:r>
      <w:r>
        <w:t xml:space="preserve"> </w:t>
      </w:r>
      <w:r w:rsidRPr="00C17CA7">
        <w:t>the</w:t>
      </w:r>
      <w:r>
        <w:t xml:space="preserve"> </w:t>
      </w:r>
      <w:r w:rsidRPr="00C17CA7">
        <w:t>hoard.’’</w:t>
      </w:r>
      <w:r>
        <w:t xml:space="preserve"> </w:t>
      </w:r>
      <w:r w:rsidRPr="00C17CA7">
        <w:t>God</w:t>
      </w:r>
      <w:r>
        <w:t xml:space="preserve"> </w:t>
      </w:r>
      <w:r w:rsidRPr="00C17CA7">
        <w:t>is</w:t>
      </w:r>
      <w:r>
        <w:t xml:space="preserve"> </w:t>
      </w:r>
      <w:r w:rsidRPr="00C17CA7">
        <w:t>the</w:t>
      </w:r>
      <w:r>
        <w:t xml:space="preserve"> </w:t>
      </w:r>
      <w:r w:rsidRPr="00C17CA7">
        <w:t>ultimate</w:t>
      </w:r>
      <w:r>
        <w:t xml:space="preserve"> </w:t>
      </w:r>
      <w:r w:rsidRPr="00C17CA7">
        <w:t>owner</w:t>
      </w:r>
      <w:r>
        <w:t xml:space="preserve"> </w:t>
      </w:r>
      <w:r w:rsidRPr="00C17CA7">
        <w:t>of the</w:t>
      </w:r>
      <w:r>
        <w:t xml:space="preserve"> </w:t>
      </w:r>
      <w:r w:rsidRPr="00C17CA7">
        <w:t>treasure,</w:t>
      </w:r>
      <w:r>
        <w:t xml:space="preserve"> </w:t>
      </w:r>
      <w:r w:rsidRPr="00C17CA7">
        <w:t>and</w:t>
      </w:r>
      <w:r>
        <w:t xml:space="preserve"> </w:t>
      </w:r>
      <w:r w:rsidRPr="00C17CA7">
        <w:t>he</w:t>
      </w:r>
      <w:r>
        <w:t xml:space="preserve"> </w:t>
      </w:r>
      <w:r w:rsidRPr="00C17CA7">
        <w:t>controls</w:t>
      </w:r>
      <w:r>
        <w:t xml:space="preserve"> </w:t>
      </w:r>
      <w:r w:rsidRPr="00C17CA7">
        <w:t>the</w:t>
      </w:r>
      <w:r>
        <w:t xml:space="preserve"> </w:t>
      </w:r>
      <w:r w:rsidRPr="00C17CA7">
        <w:t>fate</w:t>
      </w:r>
      <w:r>
        <w:t xml:space="preserve"> </w:t>
      </w:r>
      <w:r w:rsidRPr="00C17CA7">
        <w:t>of</w:t>
      </w:r>
      <w:r>
        <w:t xml:space="preserve"> </w:t>
      </w:r>
      <w:r w:rsidRPr="00C17CA7">
        <w:t>all</w:t>
      </w:r>
      <w:r>
        <w:t xml:space="preserve"> </w:t>
      </w:r>
      <w:r w:rsidRPr="00C17CA7">
        <w:t>who</w:t>
      </w:r>
      <w:r>
        <w:t xml:space="preserve"> </w:t>
      </w:r>
      <w:r w:rsidRPr="00C17CA7">
        <w:t>would</w:t>
      </w:r>
      <w:r>
        <w:t xml:space="preserve"> </w:t>
      </w:r>
      <w:r w:rsidRPr="00C17CA7">
        <w:t>make</w:t>
      </w:r>
      <w:r>
        <w:t xml:space="preserve"> </w:t>
      </w:r>
      <w:r w:rsidRPr="00C17CA7">
        <w:t>it</w:t>
      </w:r>
      <w:r>
        <w:t xml:space="preserve"> </w:t>
      </w:r>
      <w:r w:rsidRPr="00C17CA7">
        <w:t>their</w:t>
      </w:r>
      <w:r>
        <w:t xml:space="preserve"> </w:t>
      </w:r>
      <w:r w:rsidRPr="00C17CA7">
        <w:t>own.</w:t>
      </w:r>
      <w:r w:rsidR="00A36B92">
        <w:rPr>
          <w:vertAlign w:val="superscript"/>
        </w:rPr>
        <w:t>19</w:t>
      </w:r>
      <w:r>
        <w:t xml:space="preserve"> </w:t>
      </w:r>
    </w:p>
    <w:p w14:paraId="7F727D55" w14:textId="7CE0517F" w:rsidR="006F03ED" w:rsidRDefault="006F03ED" w:rsidP="006F03ED">
      <w:r>
        <w:t xml:space="preserve">The text of </w:t>
      </w:r>
      <w:r>
        <w:rPr>
          <w:i/>
        </w:rPr>
        <w:t>Beowulf</w:t>
      </w:r>
      <w:r>
        <w:t xml:space="preserve"> and the use of certain words that may be associated with God support the theory that the Dragon is a figurative representation of God, bearing down upon Beowulf and forcing him to submit in a manner never before required of him in battle. It is a valiant effort on behalf of the hero, but the divine powers ultimately control the fate of any battle. Beowulf is killed not by the mouth of the dragon, but by the very pride in which lead him to the battle. However, at the end of his life, Beowulf is regretful. Scribner writes, ‘</w:t>
      </w:r>
      <w:r w:rsidRPr="0029493B">
        <w:t>Beowulf initially interprets his harsh fate as a divine exclusion, and wonders how he has placed himself outside of God’s legal order. The only difficulty with this interpretation is that Beowulf does not know why he is experiencing divine punishment.</w:t>
      </w:r>
      <w:r>
        <w:t>’</w:t>
      </w:r>
      <w:r w:rsidR="00645D8A">
        <w:rPr>
          <w:vertAlign w:val="superscript"/>
        </w:rPr>
        <w:t>20</w:t>
      </w:r>
      <w:r>
        <w:t xml:space="preserve"> Even at the end of his life, Beowulf does not understand what has led him to his position and what is suggestive of his eternal damnation. Beowulf is the naive Pagan who truly does not have a word in his vocabulary for the opposite of pride.</w:t>
      </w:r>
      <w:r w:rsidR="00645D8A">
        <w:rPr>
          <w:vertAlign w:val="superscript"/>
        </w:rPr>
        <w:t>21</w:t>
      </w:r>
      <w:r w:rsidR="009C41F6">
        <w:t xml:space="preserve"> </w:t>
      </w:r>
      <w:r>
        <w:t>Beowulf may be the instigator of his own death, but ultimately chooses to die proudly in the face of his enemy. Whatever fantastical regard the Geats have for Beowulf, their faith is undone by the power of God’s Will, leaving them without a leader and protector. Beowulf is a representation of the true Pagan, just as Hrothgar is meant to be the representation of the Pagan-to-Christian conversion, and the representation of the true Christian is only suggested. The Christian lesson is, then, that God is stronger than any Pagan notions of holiness as God is in control of everything, even dragons.</w:t>
      </w:r>
    </w:p>
    <w:p w14:paraId="663F307F" w14:textId="133E7C3B" w:rsidR="006F03ED" w:rsidRDefault="006F03ED" w:rsidP="006F03ED">
      <w:pPr>
        <w:ind w:firstLine="720"/>
      </w:pPr>
      <w:r>
        <w:lastRenderedPageBreak/>
        <w:t xml:space="preserve">Death is a defining theme of the poem; the reoccurring conflict with and the recognition of death. Death is never far from Beowulf’s mind, understandably with the amount of near-death experiences a well-worked warrior such as Beowulf encounters. Death, in Anglo-Saxon heroics, may be outlived only if one’s heroic deeds are admired and remembered by future generations. A hero may only live beyond death as long as he is remembered. Beowulf, striving to be a great warrior and protect his kingdom, in a large sense fulfills this idea of life beyond death by his well-known reputation and the amount of faith that is put in him by his people. However, in Christian terms, Beowulf is ultimately fated for death—and subsequently, damnation. Beowulf, in the same sense as Moses from the Old Testament, is a man ultimately striving for good, but is still unable to achieve salvation no matter the circumstances of his life for he does not have the </w:t>
      </w:r>
      <w:r>
        <w:rPr>
          <w:i/>
        </w:rPr>
        <w:t>option</w:t>
      </w:r>
      <w:r>
        <w:t xml:space="preserve"> of salvation. Beowulf is fated to his end; the Dragon is his justice. He accomplishes many great deeds, but it is not great deeds that provide one with eternal life. Canon writes, ‘</w:t>
      </w:r>
      <w:r w:rsidRPr="002873E5">
        <w:t>He is a pagan hero with Christian morality but lacking salvation.</w:t>
      </w:r>
      <w:r>
        <w:t>’</w:t>
      </w:r>
      <w:r w:rsidR="00645D8A">
        <w:rPr>
          <w:vertAlign w:val="superscript"/>
        </w:rPr>
        <w:t>22</w:t>
      </w:r>
      <w:r>
        <w:t xml:space="preserve"> Beowulf is incredibly self-centered throughout the poem and there is no epiphany of awareness that would promote the idea of Beowulf’s understanding of value beyond the physical world and its treasures. With all the whispers of death throughout the poem, Beowulf never prepares for the reality of his physical death and how it will impact his kingdom. Merely, Beowulf prepares his heroic reputation to succeed him, not a literal successor to take his place as protector of the Geats. </w:t>
      </w:r>
      <w:r w:rsidR="00645D8A">
        <w:t xml:space="preserve">In the article ‘Heroism in </w:t>
      </w:r>
      <w:r w:rsidR="00645D8A">
        <w:rPr>
          <w:i/>
        </w:rPr>
        <w:t>Beowulf</w:t>
      </w:r>
      <w:r w:rsidR="00645D8A">
        <w:t xml:space="preserve">: A Christian Perspective’ William </w:t>
      </w:r>
      <w:r>
        <w:t>Reynolds writes, ‘Key incidents like Beowulf's death pass by without the slightest suggestion that either the hero or the poet anticipates an eternity with the Christian God or recognizes any need to prepare for judgment.’</w:t>
      </w:r>
      <w:r w:rsidR="00645D8A">
        <w:rPr>
          <w:vertAlign w:val="superscript"/>
        </w:rPr>
        <w:t>23</w:t>
      </w:r>
      <w:r>
        <w:t xml:space="preserve"> Yet, Cain suggests that it is the ‘Germanic heroic ethos’</w:t>
      </w:r>
      <w:r w:rsidR="00645D8A">
        <w:rPr>
          <w:vertAlign w:val="superscript"/>
        </w:rPr>
        <w:t>24</w:t>
      </w:r>
      <w:r>
        <w:t xml:space="preserve"> that fails Beowulf, not his beliefs or actions. Like Moses before the championing of Christ, Beowulf is ultimately doomed not by the </w:t>
      </w:r>
      <w:r>
        <w:lastRenderedPageBreak/>
        <w:t>judgement of himself, but simply the nature of his society. Beowulf, like Moses, is not meant to be a Christian but a ‘typo of Christ</w:t>
      </w:r>
      <w:r w:rsidR="009C41F6">
        <w:t>,</w:t>
      </w:r>
      <w:r>
        <w:t>’</w:t>
      </w:r>
      <w:r w:rsidR="00645D8A">
        <w:rPr>
          <w:vertAlign w:val="superscript"/>
        </w:rPr>
        <w:t>25</w:t>
      </w:r>
      <w:r>
        <w:t xml:space="preserve"> suggesting that although the events of the physical plain extinguish any chance of seeking salvation, the hero himself would be equipped for achieving it given the opportunity. Cain writes, ‘</w:t>
      </w:r>
      <w:r w:rsidRPr="0070498D">
        <w:t>These figures and their actions reveal the seeds of Christian doctrine—indeed, they (and their actions) were allegorized to provide proof of the Christian God's control of and guiding hand in the history of pre-Christian paganism</w:t>
      </w:r>
      <w:r>
        <w:t>.’</w:t>
      </w:r>
      <w:r w:rsidR="00645D8A">
        <w:rPr>
          <w:vertAlign w:val="superscript"/>
        </w:rPr>
        <w:t>26</w:t>
      </w:r>
      <w:r>
        <w:t xml:space="preserve"> Thus, Beowulf may be the Pagan equivalent of God to his people—a strong defender and punisher—but he is merely a fabrication of truth within the complexity of eternal life verses damnation. Beowulf has the fullest life experiences without the knowledge that his faults are indeed faults or that his death should be pondered as anything other than the loss of life. Just as the Old Testament unfairly allows the virtuous to be doomed, merely the lack of understanding of the Christian practices allow Beowulf to be doomed as well.</w:t>
      </w:r>
    </w:p>
    <w:p w14:paraId="2134537A" w14:textId="22FE1FFB" w:rsidR="006F03ED" w:rsidRDefault="006F03ED" w:rsidP="006F03ED">
      <w:pPr>
        <w:ind w:firstLine="720"/>
      </w:pPr>
      <w:r>
        <w:t xml:space="preserve">Perhaps a conclusion to consider to the debate of the religious ideology ascribed to Beowulf should be a mixture of Pagan and Christian values, a representation of a heroic and the evolving allegorical narrative. Like Augustine suggests with the ‘functions of the Fall’ and the lack of clarity ascribed to any interpretation of any given sign, Beowulf is often two-faced in his appearance within the text, moving from prideful hero to generous king without much thought in between. </w:t>
      </w:r>
      <w:r>
        <w:rPr>
          <w:rFonts w:cs="Times New Roman"/>
          <w:color w:val="333333"/>
          <w:szCs w:val="24"/>
          <w:shd w:val="clear" w:color="auto" w:fill="FFFFFF"/>
        </w:rPr>
        <w:t xml:space="preserve">Scott Gwara suggests in </w:t>
      </w:r>
      <w:r>
        <w:rPr>
          <w:rFonts w:cs="Times New Roman"/>
          <w:i/>
          <w:color w:val="333333"/>
          <w:szCs w:val="24"/>
          <w:shd w:val="clear" w:color="auto" w:fill="FFFFFF"/>
        </w:rPr>
        <w:t xml:space="preserve">Heroic Identity in the World of Beowulf </w:t>
      </w:r>
      <w:r>
        <w:rPr>
          <w:rFonts w:cs="Times New Roman"/>
          <w:color w:val="333333"/>
          <w:szCs w:val="24"/>
          <w:shd w:val="clear" w:color="auto" w:fill="FFFFFF"/>
        </w:rPr>
        <w:t>that ‘</w:t>
      </w:r>
      <w:r>
        <w:t>Both as a hero and a king, the potentially reckless Beowulf coexists in the same text, and often in the same verses, as the potentially generous and wise Beowulf.’</w:t>
      </w:r>
      <w:r w:rsidR="00645D8A">
        <w:rPr>
          <w:vertAlign w:val="superscript"/>
        </w:rPr>
        <w:t>27</w:t>
      </w:r>
      <w:r>
        <w:t xml:space="preserve"> Whether </w:t>
      </w:r>
      <w:r>
        <w:rPr>
          <w:i/>
        </w:rPr>
        <w:t xml:space="preserve">Beowulf </w:t>
      </w:r>
      <w:r>
        <w:t xml:space="preserve">is analyzed for its connections to Christian doctrine or its references to the Pagan spirit, it may simply be the representation of the medium between and the coexistence of two religions. </w:t>
      </w:r>
      <w:r>
        <w:rPr>
          <w:i/>
        </w:rPr>
        <w:t xml:space="preserve">Beowulf </w:t>
      </w:r>
      <w:r>
        <w:t xml:space="preserve">is a fundamental piece of heroic literature that provided a starting point for many great works of </w:t>
      </w:r>
      <w:r>
        <w:lastRenderedPageBreak/>
        <w:t>literature. A hero to the Germanic society is strong, vengeful, and carries pride in his accomplishments and abilities. A hero in the Christine doctrine is loyal, purposeful, and ultimately humble. Beowulf may be ascribed to both of these archetypes in one way or another, but does not fit either perfectly. Canon writes, ‘</w:t>
      </w:r>
      <w:r w:rsidRPr="00215EB2">
        <w:t xml:space="preserve">Although the poem’s heroes fall short of the ideal Christian hero, they do act in the noblest way known to them. The audience can plainly see that </w:t>
      </w:r>
      <w:r>
        <w:t>Hrothgar</w:t>
      </w:r>
      <w:r w:rsidRPr="00215EB2">
        <w:t xml:space="preserve"> and Beowulf were betrayed and failed by tire pagan notions of revenge, pride in self, and glory, and if Beowulf was used as a Christ</w:t>
      </w:r>
      <w:r>
        <w:t>i</w:t>
      </w:r>
      <w:r w:rsidRPr="00215EB2">
        <w:t>an teaching tool for an audience in religious transition, then that is exactly what should have happened</w:t>
      </w:r>
      <w:r>
        <w:t>.’</w:t>
      </w:r>
      <w:r w:rsidR="00645D8A">
        <w:rPr>
          <w:vertAlign w:val="superscript"/>
        </w:rPr>
        <w:t xml:space="preserve">28 </w:t>
      </w:r>
      <w:r>
        <w:t xml:space="preserve">The poem emphasizes the limits of Pagan society and the Germanic hero, giving suggestive biblical lessons throughout the narrative allowing scholars to draw various conclusions on the true parallels originally intended to be accentuated. The true intent of the poet will forever be muddled within the pages of history, leaving scholars unable to correctly interpret or understand the aspects in which the poet considered to be the poem’s greatest asset. </w:t>
      </w:r>
      <w:proofErr w:type="gramStart"/>
      <w:r>
        <w:t>However</w:t>
      </w:r>
      <w:proofErr w:type="gramEnd"/>
      <w:r>
        <w:t xml:space="preserve"> ‘heathen’ the characters may be within the poem, </w:t>
      </w:r>
      <w:r>
        <w:rPr>
          <w:i/>
        </w:rPr>
        <w:t xml:space="preserve">Beowulf </w:t>
      </w:r>
      <w:r>
        <w:t xml:space="preserve">without a doubt acknowledges the existence of the Christian God and his values. </w:t>
      </w:r>
      <w:r w:rsidRPr="00DF7ED2">
        <w:t>As</w:t>
      </w:r>
      <w:r>
        <w:t xml:space="preserve"> Augustine suggested, Christian worship was meant to be an experience in uncovering the components within alterative elements striving to lead one astray and </w:t>
      </w:r>
      <w:r>
        <w:rPr>
          <w:i/>
        </w:rPr>
        <w:t xml:space="preserve">Beowulf </w:t>
      </w:r>
      <w:r>
        <w:t xml:space="preserve">certainly needs uncovering. </w:t>
      </w:r>
    </w:p>
    <w:p w14:paraId="59A9473B" w14:textId="7D6F1305" w:rsidR="00024728" w:rsidRDefault="00024728">
      <w:pPr>
        <w:spacing w:after="160" w:line="259" w:lineRule="auto"/>
      </w:pPr>
    </w:p>
    <w:p w14:paraId="05C2A587" w14:textId="77777777" w:rsidR="00F52239" w:rsidRDefault="00F52239">
      <w:pPr>
        <w:spacing w:after="160" w:line="259" w:lineRule="auto"/>
      </w:pPr>
    </w:p>
    <w:p w14:paraId="6A5C9939" w14:textId="77777777" w:rsidR="00204E31" w:rsidRDefault="00204E31">
      <w:pPr>
        <w:spacing w:after="160" w:line="259" w:lineRule="auto"/>
      </w:pPr>
      <w:r>
        <w:br w:type="page"/>
      </w:r>
    </w:p>
    <w:p w14:paraId="66D4C054" w14:textId="05F16405" w:rsidR="006E79E9" w:rsidRDefault="006E79E9" w:rsidP="007918F0">
      <w:pPr>
        <w:jc w:val="center"/>
      </w:pPr>
      <w:r>
        <w:lastRenderedPageBreak/>
        <w:t>Endnotes</w:t>
      </w:r>
    </w:p>
    <w:p w14:paraId="1896B9A8" w14:textId="40F6B0E1" w:rsidR="006E79E9" w:rsidRDefault="006E79E9" w:rsidP="007918F0">
      <w:pPr>
        <w:rPr>
          <w:vertAlign w:val="superscript"/>
        </w:rPr>
      </w:pPr>
      <w:r>
        <w:rPr>
          <w:vertAlign w:val="superscript"/>
        </w:rPr>
        <w:t>1</w:t>
      </w:r>
      <w:r w:rsidR="006009B1">
        <w:t xml:space="preserve">Elizabeth B. Canon, ‘Blurred Lines: Does Religious Polarity Create Problematic Heroes in the Poem, </w:t>
      </w:r>
      <w:r w:rsidR="006009B1">
        <w:rPr>
          <w:i/>
        </w:rPr>
        <w:t>Beowulf</w:t>
      </w:r>
      <w:r w:rsidR="006009B1">
        <w:t xml:space="preserve">?’ </w:t>
      </w:r>
      <w:r w:rsidR="006009B1">
        <w:rPr>
          <w:i/>
        </w:rPr>
        <w:t>Interdisciplinary Humanities</w:t>
      </w:r>
      <w:r w:rsidR="006009B1">
        <w:t>, 1 (2017), p.</w:t>
      </w:r>
      <w:r w:rsidR="005B43A3">
        <w:t xml:space="preserve"> 67</w:t>
      </w:r>
      <w:r w:rsidR="006009B1">
        <w:t>. [Online] &amp; &lt;01 January 2020&gt;</w:t>
      </w:r>
    </w:p>
    <w:p w14:paraId="0B61B32A" w14:textId="52EC907D" w:rsidR="006E79E9" w:rsidRDefault="006E79E9" w:rsidP="007918F0">
      <w:pPr>
        <w:rPr>
          <w:vertAlign w:val="superscript"/>
        </w:rPr>
      </w:pPr>
      <w:r>
        <w:rPr>
          <w:vertAlign w:val="superscript"/>
        </w:rPr>
        <w:t>2</w:t>
      </w:r>
      <w:r w:rsidR="003F34D0">
        <w:t xml:space="preserve">Christopher M. Cain, ‘Beowulf, the Old Testament, and the Regula Fidei.’ </w:t>
      </w:r>
      <w:r w:rsidR="003F34D0">
        <w:rPr>
          <w:i/>
        </w:rPr>
        <w:t>Renascence: Essays on Values in Literature</w:t>
      </w:r>
      <w:r w:rsidR="003F34D0">
        <w:t xml:space="preserve">, 4: (1997), p. 230. [Online: </w:t>
      </w:r>
      <w:proofErr w:type="spellStart"/>
      <w:r w:rsidR="003F34D0">
        <w:t>doi</w:t>
      </w:r>
      <w:proofErr w:type="spellEnd"/>
      <w:r w:rsidR="003F34D0">
        <w:t>: 10.5840/renascence19974941] &amp; &lt;29 November 2019&gt;</w:t>
      </w:r>
    </w:p>
    <w:p w14:paraId="61AFD275" w14:textId="3FEECD24" w:rsidR="006E79E9" w:rsidRPr="003F34D0" w:rsidRDefault="006E79E9" w:rsidP="007918F0">
      <w:r>
        <w:rPr>
          <w:vertAlign w:val="superscript"/>
        </w:rPr>
        <w:t>3</w:t>
      </w:r>
      <w:r w:rsidR="003F34D0">
        <w:t>Cain, p. 227.</w:t>
      </w:r>
    </w:p>
    <w:p w14:paraId="7347CDC5" w14:textId="33AE4E18" w:rsidR="006E79E9" w:rsidRPr="003F34D0" w:rsidRDefault="006E79E9" w:rsidP="007918F0">
      <w:pPr>
        <w:rPr>
          <w:rFonts w:cs="Times New Roman"/>
          <w:color w:val="333333"/>
          <w:szCs w:val="24"/>
          <w:shd w:val="clear" w:color="auto" w:fill="FFFFFF"/>
        </w:rPr>
      </w:pPr>
      <w:r>
        <w:rPr>
          <w:vertAlign w:val="superscript"/>
        </w:rPr>
        <w:t>4</w:t>
      </w:r>
      <w:r w:rsidR="003F34D0">
        <w:rPr>
          <w:rFonts w:cs="Times New Roman"/>
          <w:i/>
          <w:color w:val="333333"/>
          <w:szCs w:val="24"/>
          <w:shd w:val="clear" w:color="auto" w:fill="FFFFFF"/>
        </w:rPr>
        <w:t>Beowulf</w:t>
      </w:r>
      <w:r w:rsidR="003F34D0">
        <w:rPr>
          <w:rFonts w:cs="Times New Roman"/>
          <w:color w:val="333333"/>
          <w:szCs w:val="24"/>
          <w:shd w:val="clear" w:color="auto" w:fill="FFFFFF"/>
        </w:rPr>
        <w:t xml:space="preserve"> ed. Michael Swanton (Manchester University Press: Manchester, 1997), p. 43.</w:t>
      </w:r>
    </w:p>
    <w:p w14:paraId="606B105A" w14:textId="37B51257" w:rsidR="006E79E9" w:rsidRPr="003F34D0" w:rsidRDefault="006E79E9" w:rsidP="007918F0">
      <w:r>
        <w:rPr>
          <w:vertAlign w:val="superscript"/>
        </w:rPr>
        <w:t>5</w:t>
      </w:r>
      <w:r w:rsidR="003F34D0">
        <w:t>Cain, p. 227.</w:t>
      </w:r>
    </w:p>
    <w:p w14:paraId="6D8D7818" w14:textId="7EC3AC1A" w:rsidR="006E79E9" w:rsidRDefault="006E79E9" w:rsidP="007918F0">
      <w:pPr>
        <w:rPr>
          <w:vertAlign w:val="superscript"/>
        </w:rPr>
      </w:pPr>
      <w:r>
        <w:rPr>
          <w:vertAlign w:val="superscript"/>
        </w:rPr>
        <w:t>6</w:t>
      </w:r>
      <w:r w:rsidR="003F34D0">
        <w:rPr>
          <w:rFonts w:cs="Times New Roman"/>
          <w:color w:val="333333"/>
          <w:szCs w:val="24"/>
          <w:shd w:val="clear" w:color="auto" w:fill="FFFFFF"/>
        </w:rPr>
        <w:t xml:space="preserve">John Shand, </w:t>
      </w:r>
      <w:r w:rsidR="003F34D0">
        <w:rPr>
          <w:rFonts w:cs="Times New Roman"/>
          <w:i/>
          <w:color w:val="333333"/>
          <w:szCs w:val="24"/>
          <w:shd w:val="clear" w:color="auto" w:fill="FFFFFF"/>
        </w:rPr>
        <w:t>Philosophy and Philosophers: An Introduction to Western Philosophy</w:t>
      </w:r>
      <w:r w:rsidR="003F34D0">
        <w:rPr>
          <w:rFonts w:cs="Times New Roman"/>
          <w:color w:val="333333"/>
          <w:szCs w:val="24"/>
          <w:shd w:val="clear" w:color="auto" w:fill="FFFFFF"/>
        </w:rPr>
        <w:t xml:space="preserve"> (UCLA Press: London, 1993</w:t>
      </w:r>
    </w:p>
    <w:p w14:paraId="6B7D6C23" w14:textId="3A58E12F" w:rsidR="006E79E9" w:rsidRPr="006F6203" w:rsidRDefault="006E79E9" w:rsidP="007918F0">
      <w:pPr>
        <w:rPr>
          <w:rFonts w:cs="Times New Roman"/>
          <w:color w:val="333333"/>
          <w:szCs w:val="24"/>
          <w:shd w:val="clear" w:color="auto" w:fill="FFFFFF"/>
        </w:rPr>
      </w:pPr>
      <w:r>
        <w:rPr>
          <w:vertAlign w:val="superscript"/>
        </w:rPr>
        <w:t>7</w:t>
      </w:r>
      <w:r w:rsidR="006F6203">
        <w:rPr>
          <w:rFonts w:cs="Times New Roman"/>
          <w:color w:val="333333"/>
          <w:szCs w:val="24"/>
          <w:shd w:val="clear" w:color="auto" w:fill="FFFFFF"/>
        </w:rPr>
        <w:t xml:space="preserve">Scribner, Michael. ‘Signs, Interpretation, and Exclusion in </w:t>
      </w:r>
      <w:r w:rsidR="006F6203">
        <w:rPr>
          <w:rFonts w:cs="Times New Roman"/>
          <w:i/>
          <w:color w:val="333333"/>
          <w:szCs w:val="24"/>
          <w:shd w:val="clear" w:color="auto" w:fill="FFFFFF"/>
        </w:rPr>
        <w:t>Beowulf</w:t>
      </w:r>
      <w:r w:rsidR="006F6203">
        <w:rPr>
          <w:rFonts w:cs="Times New Roman"/>
          <w:color w:val="333333"/>
          <w:szCs w:val="24"/>
          <w:shd w:val="clear" w:color="auto" w:fill="FFFFFF"/>
        </w:rPr>
        <w:t xml:space="preserve">’, in Ruth Wehlau ed., </w:t>
      </w:r>
      <w:r w:rsidR="006F6203">
        <w:rPr>
          <w:rFonts w:cs="Times New Roman"/>
          <w:i/>
          <w:color w:val="333333"/>
          <w:szCs w:val="24"/>
          <w:shd w:val="clear" w:color="auto" w:fill="FFFFFF"/>
        </w:rPr>
        <w:t>Darkness, Depression, and Descent in Anglo-Saxon England</w:t>
      </w:r>
      <w:r w:rsidR="006F6203">
        <w:rPr>
          <w:rFonts w:cs="Times New Roman"/>
          <w:color w:val="333333"/>
          <w:szCs w:val="24"/>
          <w:shd w:val="clear" w:color="auto" w:fill="FFFFFF"/>
        </w:rPr>
        <w:t xml:space="preserve"> (Medieval Institute Publications: Michigan, 2019), p. 117.</w:t>
      </w:r>
    </w:p>
    <w:p w14:paraId="301DC468" w14:textId="708354FB" w:rsidR="006E79E9" w:rsidRPr="006F6203" w:rsidRDefault="006E79E9" w:rsidP="007918F0">
      <w:r>
        <w:rPr>
          <w:vertAlign w:val="superscript"/>
        </w:rPr>
        <w:t>8</w:t>
      </w:r>
      <w:r w:rsidR="006F6203">
        <w:t>Scribner, p. 117.</w:t>
      </w:r>
    </w:p>
    <w:p w14:paraId="597FC977" w14:textId="3E6FF18E" w:rsidR="006E79E9" w:rsidRPr="006F6203" w:rsidRDefault="006E79E9" w:rsidP="007918F0">
      <w:r>
        <w:rPr>
          <w:vertAlign w:val="superscript"/>
        </w:rPr>
        <w:t>9</w:t>
      </w:r>
      <w:r w:rsidR="006F6203">
        <w:t>Scrib</w:t>
      </w:r>
      <w:r w:rsidR="00504195">
        <w:t>n</w:t>
      </w:r>
      <w:r w:rsidR="006F6203">
        <w:t>er, p. 117.</w:t>
      </w:r>
    </w:p>
    <w:p w14:paraId="64B512FB" w14:textId="52E939DD" w:rsidR="006E79E9" w:rsidRPr="006F6203" w:rsidRDefault="006E79E9" w:rsidP="007918F0">
      <w:r>
        <w:rPr>
          <w:vertAlign w:val="superscript"/>
        </w:rPr>
        <w:t>10</w:t>
      </w:r>
      <w:r w:rsidR="006F6203">
        <w:t>Cain, p. 228.</w:t>
      </w:r>
    </w:p>
    <w:p w14:paraId="619B3D5F" w14:textId="1B8E5A7A" w:rsidR="00112290" w:rsidRPr="006F6203" w:rsidRDefault="006E79E9" w:rsidP="007918F0">
      <w:r>
        <w:rPr>
          <w:vertAlign w:val="superscript"/>
        </w:rPr>
        <w:t>11</w:t>
      </w:r>
      <w:r w:rsidR="006F6203">
        <w:t>Canon, p. 64.</w:t>
      </w:r>
    </w:p>
    <w:p w14:paraId="42B63A13" w14:textId="0EEF21F0" w:rsidR="006E79E9" w:rsidRPr="00112290" w:rsidRDefault="006E79E9" w:rsidP="007918F0">
      <w:r>
        <w:rPr>
          <w:vertAlign w:val="superscript"/>
        </w:rPr>
        <w:t>12</w:t>
      </w:r>
      <w:r w:rsidR="00112290">
        <w:t>Canon, p. 59.</w:t>
      </w:r>
    </w:p>
    <w:p w14:paraId="6475BB38" w14:textId="1EC0A3E1" w:rsidR="006E79E9" w:rsidRPr="00504195" w:rsidRDefault="006E79E9" w:rsidP="007918F0">
      <w:r>
        <w:rPr>
          <w:vertAlign w:val="superscript"/>
        </w:rPr>
        <w:t>13</w:t>
      </w:r>
      <w:r w:rsidR="00504195">
        <w:t>Canon, p. 62.</w:t>
      </w:r>
    </w:p>
    <w:p w14:paraId="06504AFF" w14:textId="5781A41E" w:rsidR="006E79E9" w:rsidRPr="00504195" w:rsidRDefault="006E79E9" w:rsidP="007918F0">
      <w:r>
        <w:rPr>
          <w:vertAlign w:val="superscript"/>
        </w:rPr>
        <w:t>14</w:t>
      </w:r>
      <w:r w:rsidR="00504195">
        <w:t>Scribner, p. 121.</w:t>
      </w:r>
    </w:p>
    <w:p w14:paraId="1AF812F6" w14:textId="77777777" w:rsidR="00504195" w:rsidRDefault="006E79E9" w:rsidP="007918F0">
      <w:pPr>
        <w:rPr>
          <w:rFonts w:cs="Times New Roman"/>
          <w:color w:val="333333"/>
          <w:szCs w:val="24"/>
          <w:shd w:val="clear" w:color="auto" w:fill="FFFFFF"/>
        </w:rPr>
      </w:pPr>
      <w:r>
        <w:rPr>
          <w:vertAlign w:val="superscript"/>
        </w:rPr>
        <w:t>15</w:t>
      </w:r>
      <w:r w:rsidR="00504195" w:rsidRPr="00504195">
        <w:rPr>
          <w:rFonts w:cs="Times New Roman"/>
          <w:color w:val="333333"/>
          <w:szCs w:val="24"/>
          <w:shd w:val="clear" w:color="auto" w:fill="FFFFFF"/>
        </w:rPr>
        <w:t xml:space="preserve"> </w:t>
      </w:r>
      <w:r w:rsidR="00504195">
        <w:rPr>
          <w:rFonts w:cs="Times New Roman"/>
          <w:color w:val="333333"/>
          <w:szCs w:val="24"/>
          <w:shd w:val="clear" w:color="auto" w:fill="FFFFFF"/>
        </w:rPr>
        <w:t xml:space="preserve">Louis J. Rodrigues, </w:t>
      </w:r>
      <w:r w:rsidR="00504195">
        <w:rPr>
          <w:rFonts w:cs="Times New Roman"/>
          <w:i/>
          <w:color w:val="333333"/>
          <w:szCs w:val="24"/>
          <w:shd w:val="clear" w:color="auto" w:fill="FFFFFF"/>
        </w:rPr>
        <w:t>Anglo Saxon Verse Charms, Maxims, &amp; Heroic Legends</w:t>
      </w:r>
      <w:r w:rsidR="00504195">
        <w:rPr>
          <w:rFonts w:cs="Times New Roman"/>
          <w:color w:val="333333"/>
          <w:szCs w:val="24"/>
          <w:shd w:val="clear" w:color="auto" w:fill="FFFFFF"/>
        </w:rPr>
        <w:t xml:space="preserve"> (Anglo-Saxon Books: England, 1993), p. 8.</w:t>
      </w:r>
    </w:p>
    <w:p w14:paraId="38353E8C" w14:textId="64D673AF" w:rsidR="006E79E9" w:rsidRDefault="006E79E9" w:rsidP="007918F0">
      <w:pPr>
        <w:rPr>
          <w:vertAlign w:val="superscript"/>
        </w:rPr>
      </w:pPr>
      <w:r>
        <w:rPr>
          <w:vertAlign w:val="superscript"/>
        </w:rPr>
        <w:lastRenderedPageBreak/>
        <w:t>16</w:t>
      </w:r>
      <w:r w:rsidR="00504195" w:rsidRPr="00504195">
        <w:rPr>
          <w:rFonts w:cs="Times New Roman"/>
          <w:color w:val="333333"/>
          <w:szCs w:val="24"/>
          <w:shd w:val="clear" w:color="auto" w:fill="FFFFFF"/>
        </w:rPr>
        <w:t xml:space="preserve"> </w:t>
      </w:r>
      <w:r w:rsidR="00504195">
        <w:rPr>
          <w:rFonts w:cs="Times New Roman"/>
          <w:color w:val="333333"/>
          <w:szCs w:val="24"/>
          <w:shd w:val="clear" w:color="auto" w:fill="FFFFFF"/>
        </w:rPr>
        <w:t xml:space="preserve">Trilling, Renee R. ‘Beyond Abjection: The Problem with Grendel’s Mother Again.’ </w:t>
      </w:r>
      <w:r w:rsidR="00504195">
        <w:rPr>
          <w:rFonts w:cs="Times New Roman"/>
          <w:i/>
          <w:color w:val="333333"/>
          <w:szCs w:val="24"/>
          <w:shd w:val="clear" w:color="auto" w:fill="FFFFFF"/>
        </w:rPr>
        <w:t>Parergon: Journal of the Australian and New Zealand Association for Medieval and Early Modern Studies</w:t>
      </w:r>
      <w:r w:rsidR="00504195">
        <w:rPr>
          <w:rFonts w:cs="Times New Roman"/>
          <w:color w:val="333333"/>
          <w:szCs w:val="24"/>
          <w:shd w:val="clear" w:color="auto" w:fill="FFFFFF"/>
        </w:rPr>
        <w:t>, 1 (2007), p. 1. [Online} &amp; &lt;29 November 2019&gt;</w:t>
      </w:r>
    </w:p>
    <w:p w14:paraId="409BA4AC" w14:textId="1839F6B1" w:rsidR="006E79E9" w:rsidRPr="00504195" w:rsidRDefault="006E79E9" w:rsidP="007918F0">
      <w:r>
        <w:rPr>
          <w:vertAlign w:val="superscript"/>
        </w:rPr>
        <w:t>17</w:t>
      </w:r>
      <w:r w:rsidR="00504195">
        <w:rPr>
          <w:i/>
        </w:rPr>
        <w:t>Beowulf</w:t>
      </w:r>
      <w:r w:rsidR="00504195">
        <w:t>, p. 95.</w:t>
      </w:r>
    </w:p>
    <w:p w14:paraId="611B3A91" w14:textId="399593EE" w:rsidR="00C31B8E" w:rsidRDefault="006E79E9" w:rsidP="007918F0">
      <w:pPr>
        <w:rPr>
          <w:rFonts w:cs="Times New Roman"/>
          <w:color w:val="333333"/>
          <w:szCs w:val="24"/>
          <w:shd w:val="clear" w:color="auto" w:fill="FFFFFF"/>
        </w:rPr>
      </w:pPr>
      <w:r>
        <w:rPr>
          <w:vertAlign w:val="superscript"/>
        </w:rPr>
        <w:t>18</w:t>
      </w:r>
      <w:r w:rsidR="00C31B8E" w:rsidRPr="00C31B8E">
        <w:rPr>
          <w:rFonts w:cs="Times New Roman"/>
          <w:color w:val="333333"/>
          <w:szCs w:val="24"/>
          <w:shd w:val="clear" w:color="auto" w:fill="FFFFFF"/>
        </w:rPr>
        <w:t xml:space="preserve"> </w:t>
      </w:r>
      <w:r w:rsidR="00C31B8E">
        <w:rPr>
          <w:rFonts w:cs="Times New Roman"/>
          <w:color w:val="333333"/>
          <w:szCs w:val="24"/>
          <w:shd w:val="clear" w:color="auto" w:fill="FFFFFF"/>
        </w:rPr>
        <w:t xml:space="preserve">John Tanke, ‘Beowulf, Gold-Luck, and God’s Will.’ </w:t>
      </w:r>
      <w:r w:rsidR="00C31B8E">
        <w:rPr>
          <w:rFonts w:cs="Times New Roman"/>
          <w:i/>
          <w:color w:val="333333"/>
          <w:szCs w:val="24"/>
          <w:shd w:val="clear" w:color="auto" w:fill="FFFFFF"/>
        </w:rPr>
        <w:t>Studies in Philology</w:t>
      </w:r>
      <w:r w:rsidR="00C31B8E">
        <w:rPr>
          <w:rFonts w:cs="Times New Roman"/>
          <w:color w:val="333333"/>
          <w:szCs w:val="24"/>
          <w:shd w:val="clear" w:color="auto" w:fill="FFFFFF"/>
        </w:rPr>
        <w:t>, 4: (2002), 356-79. [Online] &amp; &lt;01 December 2019&gt;</w:t>
      </w:r>
    </w:p>
    <w:p w14:paraId="0F1D92C1" w14:textId="3A549273" w:rsidR="006E79E9" w:rsidRPr="00C31B8E" w:rsidRDefault="006E79E9" w:rsidP="007918F0">
      <w:r>
        <w:rPr>
          <w:vertAlign w:val="superscript"/>
        </w:rPr>
        <w:t>19</w:t>
      </w:r>
      <w:r w:rsidR="00C31B8E">
        <w:t>Tanke, p. 364.</w:t>
      </w:r>
    </w:p>
    <w:p w14:paraId="74D8C1BD" w14:textId="23767651" w:rsidR="006E79E9" w:rsidRPr="00C31B8E" w:rsidRDefault="006E79E9" w:rsidP="007918F0">
      <w:r>
        <w:rPr>
          <w:vertAlign w:val="superscript"/>
        </w:rPr>
        <w:t>20</w:t>
      </w:r>
      <w:r w:rsidR="00C31B8E">
        <w:t>Scribner, p. 26.</w:t>
      </w:r>
    </w:p>
    <w:p w14:paraId="6BD1ABCF" w14:textId="12586487" w:rsidR="006E79E9" w:rsidRPr="00C31B8E" w:rsidRDefault="006E79E9" w:rsidP="007918F0">
      <w:r>
        <w:rPr>
          <w:vertAlign w:val="superscript"/>
        </w:rPr>
        <w:t>21</w:t>
      </w:r>
      <w:r w:rsidR="00C31B8E">
        <w:t>Canon, p. 62.</w:t>
      </w:r>
    </w:p>
    <w:p w14:paraId="2AB91DC8" w14:textId="3DC23E95" w:rsidR="006E79E9" w:rsidRPr="00C31B8E" w:rsidRDefault="006E79E9" w:rsidP="007918F0">
      <w:r>
        <w:rPr>
          <w:vertAlign w:val="superscript"/>
        </w:rPr>
        <w:t>22</w:t>
      </w:r>
      <w:r w:rsidR="00C31B8E">
        <w:t>Canon, p. 62.</w:t>
      </w:r>
    </w:p>
    <w:p w14:paraId="56C204D5" w14:textId="1C877C17" w:rsidR="00C31B8E" w:rsidRDefault="006E79E9" w:rsidP="007918F0">
      <w:r>
        <w:rPr>
          <w:vertAlign w:val="superscript"/>
        </w:rPr>
        <w:t>23</w:t>
      </w:r>
      <w:r w:rsidR="00C31B8E">
        <w:t xml:space="preserve">William Reynolds, ‘Heroism in </w:t>
      </w:r>
      <w:r w:rsidR="00C31B8E">
        <w:rPr>
          <w:i/>
        </w:rPr>
        <w:t>Beowulf</w:t>
      </w:r>
      <w:r w:rsidR="00C31B8E">
        <w:t xml:space="preserve">: A Christian Perspective.’ </w:t>
      </w:r>
      <w:r w:rsidR="00C31B8E">
        <w:rPr>
          <w:i/>
        </w:rPr>
        <w:t>Christianity and Literature</w:t>
      </w:r>
      <w:r w:rsidR="00C31B8E">
        <w:t>, 4 (1978), p. 27. [Online] &amp; &lt;30 October 2019&gt;</w:t>
      </w:r>
    </w:p>
    <w:p w14:paraId="180A535D" w14:textId="1DF0889C" w:rsidR="006E79E9" w:rsidRPr="00C31B8E" w:rsidRDefault="006E79E9" w:rsidP="007918F0">
      <w:r>
        <w:rPr>
          <w:vertAlign w:val="superscript"/>
        </w:rPr>
        <w:t>24</w:t>
      </w:r>
      <w:r w:rsidR="00C31B8E">
        <w:t>Cain, p. 235.</w:t>
      </w:r>
    </w:p>
    <w:p w14:paraId="5A7DEC29" w14:textId="2CEE6750" w:rsidR="006E79E9" w:rsidRPr="00C31B8E" w:rsidRDefault="006E79E9" w:rsidP="007918F0">
      <w:r>
        <w:rPr>
          <w:vertAlign w:val="superscript"/>
        </w:rPr>
        <w:t>25</w:t>
      </w:r>
      <w:r w:rsidR="00C31B8E">
        <w:t>Cain, p. 234.</w:t>
      </w:r>
    </w:p>
    <w:p w14:paraId="4D48A4FA" w14:textId="4F454BFF" w:rsidR="006E79E9" w:rsidRPr="00C31B8E" w:rsidRDefault="006E79E9" w:rsidP="007918F0">
      <w:r>
        <w:rPr>
          <w:vertAlign w:val="superscript"/>
        </w:rPr>
        <w:t>26</w:t>
      </w:r>
      <w:r w:rsidR="00C31B8E">
        <w:t>Cain, p. 236.</w:t>
      </w:r>
    </w:p>
    <w:p w14:paraId="620CA217" w14:textId="3B13C22E" w:rsidR="006E79E9" w:rsidRDefault="006E79E9" w:rsidP="007918F0">
      <w:pPr>
        <w:rPr>
          <w:vertAlign w:val="superscript"/>
        </w:rPr>
      </w:pPr>
      <w:r>
        <w:rPr>
          <w:vertAlign w:val="superscript"/>
        </w:rPr>
        <w:t>27</w:t>
      </w:r>
      <w:r w:rsidR="00C31B8E" w:rsidRPr="00C31B8E">
        <w:rPr>
          <w:rFonts w:cs="Times New Roman"/>
          <w:color w:val="333333"/>
          <w:szCs w:val="24"/>
          <w:shd w:val="clear" w:color="auto" w:fill="FFFFFF"/>
        </w:rPr>
        <w:t xml:space="preserve"> </w:t>
      </w:r>
      <w:r w:rsidR="00C31B8E">
        <w:rPr>
          <w:rFonts w:cs="Times New Roman"/>
          <w:color w:val="333333"/>
          <w:szCs w:val="24"/>
          <w:shd w:val="clear" w:color="auto" w:fill="FFFFFF"/>
        </w:rPr>
        <w:t xml:space="preserve">Scott Gwara, </w:t>
      </w:r>
      <w:r w:rsidR="00C31B8E">
        <w:rPr>
          <w:rFonts w:cs="Times New Roman"/>
          <w:i/>
          <w:color w:val="333333"/>
          <w:szCs w:val="24"/>
          <w:shd w:val="clear" w:color="auto" w:fill="FFFFFF"/>
        </w:rPr>
        <w:t>Heroic Identity in the World of Beowulf</w:t>
      </w:r>
      <w:r w:rsidR="00C31B8E">
        <w:rPr>
          <w:rFonts w:cs="Times New Roman"/>
          <w:color w:val="333333"/>
          <w:szCs w:val="24"/>
          <w:shd w:val="clear" w:color="auto" w:fill="FFFFFF"/>
        </w:rPr>
        <w:t xml:space="preserve"> (Leiden: Boston, 2008), p. 2. </w:t>
      </w:r>
    </w:p>
    <w:p w14:paraId="16B758A2" w14:textId="24A46C1D" w:rsidR="006E79E9" w:rsidRPr="006E79E9" w:rsidRDefault="006E79E9" w:rsidP="007918F0">
      <w:pPr>
        <w:rPr>
          <w:vertAlign w:val="superscript"/>
        </w:rPr>
      </w:pPr>
      <w:r>
        <w:rPr>
          <w:vertAlign w:val="superscript"/>
        </w:rPr>
        <w:t>28</w:t>
      </w:r>
      <w:r w:rsidR="00C31B8E">
        <w:t>Canon, p. 67.</w:t>
      </w:r>
    </w:p>
    <w:p w14:paraId="74D9396E" w14:textId="4C7D1F8E" w:rsidR="006E79E9" w:rsidRDefault="006E79E9" w:rsidP="006E79E9">
      <w:pPr>
        <w:spacing w:after="160" w:line="259" w:lineRule="auto"/>
        <w:jc w:val="center"/>
      </w:pPr>
    </w:p>
    <w:p w14:paraId="77306851" w14:textId="77777777" w:rsidR="006E79E9" w:rsidRDefault="006E79E9" w:rsidP="006E79E9">
      <w:pPr>
        <w:spacing w:after="160" w:line="259" w:lineRule="auto"/>
        <w:jc w:val="center"/>
      </w:pPr>
    </w:p>
    <w:p w14:paraId="199861EC" w14:textId="77777777" w:rsidR="006E79E9" w:rsidRDefault="006E79E9">
      <w:pPr>
        <w:spacing w:after="160" w:line="259" w:lineRule="auto"/>
      </w:pPr>
      <w:r>
        <w:br w:type="page"/>
      </w:r>
    </w:p>
    <w:p w14:paraId="5F8CB12E" w14:textId="171EF48C" w:rsidR="00AE5670" w:rsidRDefault="00C513A6" w:rsidP="00C513A6">
      <w:pPr>
        <w:jc w:val="center"/>
      </w:pPr>
      <w:r>
        <w:lastRenderedPageBreak/>
        <w:t>Bibliography</w:t>
      </w:r>
    </w:p>
    <w:p w14:paraId="13D652AD" w14:textId="77777777" w:rsidR="002E3BBA" w:rsidRDefault="002E3BBA" w:rsidP="002E3BBA">
      <w:pPr>
        <w:ind w:left="720" w:hanging="720"/>
        <w:rPr>
          <w:rFonts w:cs="Times New Roman"/>
          <w:color w:val="333333"/>
          <w:szCs w:val="24"/>
          <w:shd w:val="clear" w:color="auto" w:fill="FFFFFF"/>
        </w:rPr>
      </w:pPr>
      <w:r>
        <w:rPr>
          <w:rFonts w:cs="Times New Roman"/>
          <w:i/>
          <w:color w:val="333333"/>
          <w:szCs w:val="24"/>
          <w:shd w:val="clear" w:color="auto" w:fill="FFFFFF"/>
        </w:rPr>
        <w:t>Beowulf</w:t>
      </w:r>
      <w:r>
        <w:rPr>
          <w:rFonts w:cs="Times New Roman"/>
          <w:color w:val="333333"/>
          <w:szCs w:val="24"/>
          <w:shd w:val="clear" w:color="auto" w:fill="FFFFFF"/>
        </w:rPr>
        <w:t xml:space="preserve"> ed. Michael Swanton (Manchester University Press: Manchester, 1997).</w:t>
      </w:r>
    </w:p>
    <w:p w14:paraId="7298C30C" w14:textId="68336B69" w:rsidR="000C212B" w:rsidRDefault="0091647F" w:rsidP="00E97BA5">
      <w:pPr>
        <w:ind w:left="720" w:hanging="720"/>
      </w:pPr>
      <w:r>
        <w:t>Cain, Christopher M. ‘Beowulf, the Old Testament, and the Regula Fidei</w:t>
      </w:r>
      <w:r w:rsidR="0053440A">
        <w:t xml:space="preserve">.’ </w:t>
      </w:r>
      <w:r w:rsidR="0053440A">
        <w:rPr>
          <w:i/>
        </w:rPr>
        <w:t>Renascen</w:t>
      </w:r>
      <w:r w:rsidR="00C41A7C">
        <w:rPr>
          <w:i/>
        </w:rPr>
        <w:t>c</w:t>
      </w:r>
      <w:r w:rsidR="0053440A">
        <w:rPr>
          <w:i/>
        </w:rPr>
        <w:t>e</w:t>
      </w:r>
      <w:r w:rsidR="00C41A7C">
        <w:rPr>
          <w:i/>
        </w:rPr>
        <w:t>: Essays on Values in Literature</w:t>
      </w:r>
      <w:r w:rsidR="00C41A7C">
        <w:t xml:space="preserve">, 4: (1997), 227-40. [Online: </w:t>
      </w:r>
      <w:proofErr w:type="spellStart"/>
      <w:r w:rsidR="00C41A7C">
        <w:t>doi</w:t>
      </w:r>
      <w:proofErr w:type="spellEnd"/>
      <w:r w:rsidR="00C41A7C">
        <w:t>: 10.5840/renascence19974941] &amp; &lt;29 November 2019&gt;</w:t>
      </w:r>
    </w:p>
    <w:p w14:paraId="17AC961B" w14:textId="6454BA4F" w:rsidR="00AC7501" w:rsidRDefault="00AC7501" w:rsidP="00E97BA5">
      <w:pPr>
        <w:ind w:left="720" w:hanging="720"/>
      </w:pPr>
      <w:r>
        <w:t xml:space="preserve">Canon, Elizabeth B. ‘Blurred Lines: Does Religious Polarity Create Problematic Heroes in the Poem, </w:t>
      </w:r>
      <w:r>
        <w:rPr>
          <w:i/>
        </w:rPr>
        <w:t>Beowulf</w:t>
      </w:r>
      <w:r>
        <w:t xml:space="preserve">?’ </w:t>
      </w:r>
      <w:r>
        <w:rPr>
          <w:i/>
        </w:rPr>
        <w:t>Interdisciplinary Humanities</w:t>
      </w:r>
      <w:r>
        <w:t>, 1 (2017), 55-68. [Online] &amp; &lt;01 January 2020&gt;</w:t>
      </w:r>
    </w:p>
    <w:p w14:paraId="057DFC62" w14:textId="77777777" w:rsidR="002E3BBA" w:rsidRDefault="002E3BBA" w:rsidP="002E3BBA">
      <w:pPr>
        <w:ind w:left="720" w:hanging="720"/>
        <w:rPr>
          <w:rFonts w:cs="Times New Roman"/>
          <w:color w:val="333333"/>
          <w:szCs w:val="24"/>
          <w:shd w:val="clear" w:color="auto" w:fill="FFFFFF"/>
        </w:rPr>
      </w:pPr>
      <w:r>
        <w:rPr>
          <w:rFonts w:cs="Times New Roman"/>
          <w:color w:val="333333"/>
          <w:szCs w:val="24"/>
          <w:shd w:val="clear" w:color="auto" w:fill="FFFFFF"/>
        </w:rPr>
        <w:t xml:space="preserve">Gwara, Scott. </w:t>
      </w:r>
      <w:r>
        <w:rPr>
          <w:rFonts w:cs="Times New Roman"/>
          <w:i/>
          <w:color w:val="333333"/>
          <w:szCs w:val="24"/>
          <w:shd w:val="clear" w:color="auto" w:fill="FFFFFF"/>
        </w:rPr>
        <w:t>Heroic Identity in the World of Beowulf</w:t>
      </w:r>
      <w:r>
        <w:rPr>
          <w:rFonts w:cs="Times New Roman"/>
          <w:color w:val="333333"/>
          <w:szCs w:val="24"/>
          <w:shd w:val="clear" w:color="auto" w:fill="FFFFFF"/>
        </w:rPr>
        <w:t xml:space="preserve"> (Leiden: Boston, 2008).</w:t>
      </w:r>
    </w:p>
    <w:p w14:paraId="45DF7B8A" w14:textId="77777777" w:rsidR="00E97BA5" w:rsidRDefault="002D64EC" w:rsidP="00E97BA5">
      <w:pPr>
        <w:ind w:left="720" w:hanging="720"/>
      </w:pPr>
      <w:r>
        <w:t xml:space="preserve">Reynolds, William. ‘Heroism in </w:t>
      </w:r>
      <w:r>
        <w:rPr>
          <w:i/>
        </w:rPr>
        <w:t>Beowulf</w:t>
      </w:r>
      <w:r>
        <w:t xml:space="preserve">: A Christian Perspective.’ </w:t>
      </w:r>
      <w:r>
        <w:rPr>
          <w:i/>
        </w:rPr>
        <w:t>Christianity and Literature</w:t>
      </w:r>
      <w:r>
        <w:t>, 4 (1978), 27-42. [Online] &amp; &lt;30 October 2019&gt;</w:t>
      </w:r>
    </w:p>
    <w:p w14:paraId="0321F0B4" w14:textId="77777777" w:rsidR="002E3BBA" w:rsidRDefault="002E3BBA" w:rsidP="002E3BBA">
      <w:pPr>
        <w:ind w:left="720" w:hanging="720"/>
        <w:rPr>
          <w:rFonts w:cs="Times New Roman"/>
          <w:color w:val="333333"/>
          <w:szCs w:val="24"/>
          <w:shd w:val="clear" w:color="auto" w:fill="FFFFFF"/>
        </w:rPr>
      </w:pPr>
      <w:r>
        <w:rPr>
          <w:rFonts w:cs="Times New Roman"/>
          <w:color w:val="333333"/>
          <w:szCs w:val="24"/>
          <w:shd w:val="clear" w:color="auto" w:fill="FFFFFF"/>
        </w:rPr>
        <w:t xml:space="preserve">Rodrigues, Louis J. </w:t>
      </w:r>
      <w:r>
        <w:rPr>
          <w:rFonts w:cs="Times New Roman"/>
          <w:i/>
          <w:color w:val="333333"/>
          <w:szCs w:val="24"/>
          <w:shd w:val="clear" w:color="auto" w:fill="FFFFFF"/>
        </w:rPr>
        <w:t>Anglo Saxon Verse Charms, Maxims, &amp; Heroic Legends</w:t>
      </w:r>
      <w:r>
        <w:rPr>
          <w:rFonts w:cs="Times New Roman"/>
          <w:color w:val="333333"/>
          <w:szCs w:val="24"/>
          <w:shd w:val="clear" w:color="auto" w:fill="FFFFFF"/>
        </w:rPr>
        <w:t xml:space="preserve"> (Anglo-Saxon Books: England, 1993).</w:t>
      </w:r>
    </w:p>
    <w:p w14:paraId="787D4F72" w14:textId="77777777" w:rsidR="00301861" w:rsidRDefault="00301861" w:rsidP="00301861">
      <w:pPr>
        <w:ind w:left="720" w:hanging="720"/>
        <w:rPr>
          <w:rFonts w:cs="Times New Roman"/>
          <w:color w:val="333333"/>
          <w:szCs w:val="24"/>
          <w:shd w:val="clear" w:color="auto" w:fill="FFFFFF"/>
        </w:rPr>
      </w:pPr>
      <w:r>
        <w:rPr>
          <w:rFonts w:cs="Times New Roman"/>
          <w:color w:val="333333"/>
          <w:szCs w:val="24"/>
          <w:shd w:val="clear" w:color="auto" w:fill="FFFFFF"/>
        </w:rPr>
        <w:t xml:space="preserve">Scribner, Michael. ‘Signs, Interpretation, and Exclusion in </w:t>
      </w:r>
      <w:r>
        <w:rPr>
          <w:rFonts w:cs="Times New Roman"/>
          <w:i/>
          <w:color w:val="333333"/>
          <w:szCs w:val="24"/>
          <w:shd w:val="clear" w:color="auto" w:fill="FFFFFF"/>
        </w:rPr>
        <w:t>Beowulf</w:t>
      </w:r>
      <w:r>
        <w:rPr>
          <w:rFonts w:cs="Times New Roman"/>
          <w:color w:val="333333"/>
          <w:szCs w:val="24"/>
          <w:shd w:val="clear" w:color="auto" w:fill="FFFFFF"/>
        </w:rPr>
        <w:t xml:space="preserve">’, in Ruth Wehlau ed., </w:t>
      </w:r>
      <w:r>
        <w:rPr>
          <w:rFonts w:cs="Times New Roman"/>
          <w:i/>
          <w:color w:val="333333"/>
          <w:szCs w:val="24"/>
          <w:shd w:val="clear" w:color="auto" w:fill="FFFFFF"/>
        </w:rPr>
        <w:t>Darkness, Depression, and Descent in Anglo-Saxon England</w:t>
      </w:r>
      <w:r>
        <w:rPr>
          <w:rFonts w:cs="Times New Roman"/>
          <w:color w:val="333333"/>
          <w:szCs w:val="24"/>
          <w:shd w:val="clear" w:color="auto" w:fill="FFFFFF"/>
        </w:rPr>
        <w:t xml:space="preserve"> (Medieval Institute Publications: Michigan, 2019), pp. 117-132</w:t>
      </w:r>
    </w:p>
    <w:p w14:paraId="430E5DF0" w14:textId="23BD8D31" w:rsidR="00E97BA5" w:rsidRDefault="00E97BA5" w:rsidP="00E97BA5">
      <w:pPr>
        <w:ind w:left="720" w:hanging="720"/>
        <w:rPr>
          <w:rFonts w:cs="Times New Roman"/>
          <w:color w:val="333333"/>
          <w:szCs w:val="24"/>
          <w:shd w:val="clear" w:color="auto" w:fill="FFFFFF"/>
        </w:rPr>
      </w:pPr>
      <w:r>
        <w:rPr>
          <w:rFonts w:cs="Times New Roman"/>
          <w:color w:val="333333"/>
          <w:szCs w:val="24"/>
          <w:shd w:val="clear" w:color="auto" w:fill="FFFFFF"/>
        </w:rPr>
        <w:t xml:space="preserve">Shand, John. </w:t>
      </w:r>
      <w:r>
        <w:rPr>
          <w:rFonts w:cs="Times New Roman"/>
          <w:i/>
          <w:color w:val="333333"/>
          <w:szCs w:val="24"/>
          <w:shd w:val="clear" w:color="auto" w:fill="FFFFFF"/>
        </w:rPr>
        <w:t>Philosophy and Philosophers: An Introduction to Western Philosophy</w:t>
      </w:r>
      <w:r>
        <w:rPr>
          <w:rFonts w:cs="Times New Roman"/>
          <w:color w:val="333333"/>
          <w:szCs w:val="24"/>
          <w:shd w:val="clear" w:color="auto" w:fill="FFFFFF"/>
        </w:rPr>
        <w:t xml:space="preserve"> (UCLA Press: London, 1993).  </w:t>
      </w:r>
    </w:p>
    <w:p w14:paraId="634861E4" w14:textId="77777777" w:rsidR="002E3BBA" w:rsidRDefault="002E3BBA" w:rsidP="002E3BBA">
      <w:pPr>
        <w:ind w:left="720" w:hanging="720"/>
        <w:rPr>
          <w:rFonts w:cs="Times New Roman"/>
          <w:color w:val="333333"/>
          <w:szCs w:val="24"/>
          <w:shd w:val="clear" w:color="auto" w:fill="FFFFFF"/>
        </w:rPr>
      </w:pPr>
      <w:r>
        <w:rPr>
          <w:rFonts w:cs="Times New Roman"/>
          <w:color w:val="333333"/>
          <w:szCs w:val="24"/>
          <w:shd w:val="clear" w:color="auto" w:fill="FFFFFF"/>
        </w:rPr>
        <w:t xml:space="preserve">Tanke, John. ‘Beowulf, Gold-Luck, and God’s Will.’ </w:t>
      </w:r>
      <w:r>
        <w:rPr>
          <w:rFonts w:cs="Times New Roman"/>
          <w:i/>
          <w:color w:val="333333"/>
          <w:szCs w:val="24"/>
          <w:shd w:val="clear" w:color="auto" w:fill="FFFFFF"/>
        </w:rPr>
        <w:t>Studies in Philology</w:t>
      </w:r>
      <w:r>
        <w:rPr>
          <w:rFonts w:cs="Times New Roman"/>
          <w:color w:val="333333"/>
          <w:szCs w:val="24"/>
          <w:shd w:val="clear" w:color="auto" w:fill="FFFFFF"/>
        </w:rPr>
        <w:t>, 4: (2002), 356-79. [Online] &amp; &lt;01 December 2019&gt;</w:t>
      </w:r>
    </w:p>
    <w:p w14:paraId="7FB52569" w14:textId="77777777" w:rsidR="00301861" w:rsidRPr="00110415" w:rsidRDefault="00301861" w:rsidP="00301861">
      <w:pPr>
        <w:ind w:left="720" w:hanging="720"/>
        <w:rPr>
          <w:rFonts w:cs="Times New Roman"/>
          <w:color w:val="333333"/>
          <w:szCs w:val="24"/>
          <w:shd w:val="clear" w:color="auto" w:fill="FFFFFF"/>
        </w:rPr>
      </w:pPr>
      <w:r>
        <w:rPr>
          <w:rFonts w:cs="Times New Roman"/>
          <w:color w:val="333333"/>
          <w:szCs w:val="24"/>
          <w:shd w:val="clear" w:color="auto" w:fill="FFFFFF"/>
        </w:rPr>
        <w:t xml:space="preserve">Trilling, Renee R. ‘Beyond Abjection: The Problem with Grendel’s Mother Again.’ </w:t>
      </w:r>
      <w:r>
        <w:rPr>
          <w:rFonts w:cs="Times New Roman"/>
          <w:i/>
          <w:color w:val="333333"/>
          <w:szCs w:val="24"/>
          <w:shd w:val="clear" w:color="auto" w:fill="FFFFFF"/>
        </w:rPr>
        <w:t>Parergon: Journal of the Australian and New Zealand Association for Medieval and Early Modern Studies</w:t>
      </w:r>
      <w:r>
        <w:rPr>
          <w:rFonts w:cs="Times New Roman"/>
          <w:color w:val="333333"/>
          <w:szCs w:val="24"/>
          <w:shd w:val="clear" w:color="auto" w:fill="FFFFFF"/>
        </w:rPr>
        <w:t>, 1 (2007), 1-20. [Online} &amp; &lt;29 November 2019&gt;</w:t>
      </w:r>
    </w:p>
    <w:p w14:paraId="6DDB9DA0" w14:textId="2A23CE27" w:rsidR="00AD5CD3" w:rsidRDefault="00AD5CD3" w:rsidP="00E97BA5">
      <w:pPr>
        <w:ind w:left="720" w:hanging="720"/>
        <w:rPr>
          <w:rFonts w:cs="Times New Roman"/>
          <w:color w:val="333333"/>
          <w:szCs w:val="24"/>
          <w:shd w:val="clear" w:color="auto" w:fill="FFFFFF"/>
        </w:rPr>
      </w:pPr>
      <w:r>
        <w:rPr>
          <w:rFonts w:cs="Times New Roman"/>
          <w:color w:val="333333"/>
          <w:szCs w:val="24"/>
          <w:shd w:val="clear" w:color="auto" w:fill="FFFFFF"/>
        </w:rPr>
        <w:lastRenderedPageBreak/>
        <w:t>Wehlau, Ruth. ‘Beowulf’s Dark Thoughts: Heremod, Hrethel, and Exempla of the Mind</w:t>
      </w:r>
      <w:r w:rsidR="009B2C7B">
        <w:rPr>
          <w:rFonts w:cs="Times New Roman"/>
          <w:color w:val="333333"/>
          <w:szCs w:val="24"/>
          <w:shd w:val="clear" w:color="auto" w:fill="FFFFFF"/>
        </w:rPr>
        <w:t xml:space="preserve">’, in Ruth Wehlau ed., </w:t>
      </w:r>
      <w:r w:rsidR="009B2C7B">
        <w:rPr>
          <w:rFonts w:cs="Times New Roman"/>
          <w:i/>
          <w:color w:val="333333"/>
          <w:szCs w:val="24"/>
          <w:shd w:val="clear" w:color="auto" w:fill="FFFFFF"/>
        </w:rPr>
        <w:t>Darkness, Depression, and Descent in Anglo-Saxon England</w:t>
      </w:r>
      <w:r w:rsidR="009B2C7B">
        <w:rPr>
          <w:rFonts w:cs="Times New Roman"/>
          <w:color w:val="333333"/>
          <w:szCs w:val="24"/>
          <w:shd w:val="clear" w:color="auto" w:fill="FFFFFF"/>
        </w:rPr>
        <w:t xml:space="preserve"> (Medieval Institute Publications:</w:t>
      </w:r>
      <w:r w:rsidR="002F1DAB">
        <w:rPr>
          <w:rFonts w:cs="Times New Roman"/>
          <w:color w:val="333333"/>
          <w:szCs w:val="24"/>
          <w:shd w:val="clear" w:color="auto" w:fill="FFFFFF"/>
        </w:rPr>
        <w:t xml:space="preserve"> Michigan, 2019), </w:t>
      </w:r>
      <w:r w:rsidR="006D15BF">
        <w:rPr>
          <w:rFonts w:cs="Times New Roman"/>
          <w:color w:val="333333"/>
          <w:szCs w:val="24"/>
          <w:shd w:val="clear" w:color="auto" w:fill="FFFFFF"/>
        </w:rPr>
        <w:t xml:space="preserve">pp. </w:t>
      </w:r>
      <w:r>
        <w:rPr>
          <w:rFonts w:cs="Times New Roman"/>
          <w:color w:val="333333"/>
          <w:szCs w:val="24"/>
          <w:shd w:val="clear" w:color="auto" w:fill="FFFFFF"/>
        </w:rPr>
        <w:t>135-154</w:t>
      </w:r>
      <w:r w:rsidR="002F1DAB">
        <w:rPr>
          <w:rFonts w:cs="Times New Roman"/>
          <w:color w:val="333333"/>
          <w:szCs w:val="24"/>
          <w:shd w:val="clear" w:color="auto" w:fill="FFFFFF"/>
        </w:rPr>
        <w:t>.</w:t>
      </w:r>
    </w:p>
    <w:p w14:paraId="415000D7" w14:textId="77777777" w:rsidR="00346D20" w:rsidRPr="00346D20" w:rsidRDefault="00346D20" w:rsidP="00E97BA5">
      <w:pPr>
        <w:ind w:left="720" w:hanging="720"/>
      </w:pPr>
    </w:p>
    <w:p w14:paraId="7696C38E" w14:textId="069F240B" w:rsidR="00B25D87" w:rsidRDefault="00B25D87" w:rsidP="00C513A6">
      <w:pPr>
        <w:rPr>
          <w:rFonts w:ascii="Helvetica" w:hAnsi="Helvetica" w:cs="Helvetica"/>
          <w:color w:val="333333"/>
          <w:shd w:val="clear" w:color="auto" w:fill="F5F5F5"/>
        </w:rPr>
      </w:pPr>
    </w:p>
    <w:p w14:paraId="73F7E321" w14:textId="5C347B27" w:rsidR="00B25D87" w:rsidRDefault="00B25D87" w:rsidP="00C513A6">
      <w:pPr>
        <w:rPr>
          <w:rFonts w:ascii="Helvetica" w:hAnsi="Helvetica" w:cs="Helvetica"/>
          <w:color w:val="333333"/>
          <w:shd w:val="clear" w:color="auto" w:fill="F5F5F5"/>
        </w:rPr>
      </w:pPr>
    </w:p>
    <w:p w14:paraId="07F3EC2B" w14:textId="7444DECE" w:rsidR="00B25D87" w:rsidRPr="0034760F" w:rsidRDefault="00B25D87" w:rsidP="00C513A6"/>
    <w:sectPr w:rsidR="00B25D87" w:rsidRPr="0034760F" w:rsidSect="008E7E4B">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11AC8" w14:textId="77777777" w:rsidR="00941BA3" w:rsidRDefault="00941BA3" w:rsidP="008E7E4B">
      <w:pPr>
        <w:spacing w:line="240" w:lineRule="auto"/>
      </w:pPr>
      <w:r>
        <w:separator/>
      </w:r>
    </w:p>
  </w:endnote>
  <w:endnote w:type="continuationSeparator" w:id="0">
    <w:p w14:paraId="14E8A3B5" w14:textId="77777777" w:rsidR="00941BA3" w:rsidRDefault="00941BA3" w:rsidP="008E7E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749E38" w14:textId="77777777" w:rsidR="00941BA3" w:rsidRDefault="00941BA3" w:rsidP="008E7E4B">
      <w:pPr>
        <w:spacing w:line="240" w:lineRule="auto"/>
      </w:pPr>
      <w:r>
        <w:separator/>
      </w:r>
    </w:p>
  </w:footnote>
  <w:footnote w:type="continuationSeparator" w:id="0">
    <w:p w14:paraId="2C1B3AE4" w14:textId="77777777" w:rsidR="00941BA3" w:rsidRDefault="00941BA3" w:rsidP="008E7E4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cs="Times New Roman"/>
        <w:szCs w:val="24"/>
      </w:rPr>
      <w:id w:val="2020737543"/>
      <w:docPartObj>
        <w:docPartGallery w:val="Page Numbers (Top of Page)"/>
        <w:docPartUnique/>
      </w:docPartObj>
    </w:sdtPr>
    <w:sdtEndPr>
      <w:rPr>
        <w:noProof/>
      </w:rPr>
    </w:sdtEndPr>
    <w:sdtContent>
      <w:p w14:paraId="1A058709" w14:textId="41BA5B4D" w:rsidR="008E7E4B" w:rsidRPr="008E7E4B" w:rsidRDefault="008E7E4B">
        <w:pPr>
          <w:pStyle w:val="Header"/>
          <w:jc w:val="right"/>
          <w:rPr>
            <w:rFonts w:cs="Times New Roman"/>
            <w:szCs w:val="24"/>
          </w:rPr>
        </w:pPr>
        <w:r w:rsidRPr="008E7E4B">
          <w:rPr>
            <w:rFonts w:cs="Times New Roman"/>
            <w:szCs w:val="24"/>
          </w:rPr>
          <w:fldChar w:fldCharType="begin"/>
        </w:r>
        <w:r w:rsidRPr="008E7E4B">
          <w:rPr>
            <w:rFonts w:cs="Times New Roman"/>
            <w:szCs w:val="24"/>
          </w:rPr>
          <w:instrText xml:space="preserve"> PAGE   \* MERGEFORMAT </w:instrText>
        </w:r>
        <w:r w:rsidRPr="008E7E4B">
          <w:rPr>
            <w:rFonts w:cs="Times New Roman"/>
            <w:szCs w:val="24"/>
          </w:rPr>
          <w:fldChar w:fldCharType="separate"/>
        </w:r>
        <w:r w:rsidRPr="008E7E4B">
          <w:rPr>
            <w:rFonts w:cs="Times New Roman"/>
            <w:noProof/>
            <w:szCs w:val="24"/>
          </w:rPr>
          <w:t>2</w:t>
        </w:r>
        <w:r w:rsidRPr="008E7E4B">
          <w:rPr>
            <w:rFonts w:cs="Times New Roman"/>
            <w:noProof/>
            <w:szCs w:val="24"/>
          </w:rPr>
          <w:fldChar w:fldCharType="end"/>
        </w:r>
      </w:p>
    </w:sdtContent>
  </w:sdt>
  <w:p w14:paraId="2CEBF597" w14:textId="77777777" w:rsidR="008E7E4B" w:rsidRDefault="008E7E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3739CA"/>
    <w:multiLevelType w:val="hybridMultilevel"/>
    <w:tmpl w:val="EB2C95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A1679F7"/>
    <w:multiLevelType w:val="hybridMultilevel"/>
    <w:tmpl w:val="17E6366C"/>
    <w:lvl w:ilvl="0" w:tplc="03D0967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C286B74"/>
    <w:multiLevelType w:val="hybridMultilevel"/>
    <w:tmpl w:val="EB2C95D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7BEA1D04"/>
    <w:multiLevelType w:val="hybridMultilevel"/>
    <w:tmpl w:val="8FCAA98E"/>
    <w:lvl w:ilvl="0" w:tplc="B0AEBAC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670"/>
    <w:rsid w:val="00013EEB"/>
    <w:rsid w:val="00024728"/>
    <w:rsid w:val="00036990"/>
    <w:rsid w:val="00065435"/>
    <w:rsid w:val="00072388"/>
    <w:rsid w:val="00075083"/>
    <w:rsid w:val="00093BD4"/>
    <w:rsid w:val="000A5266"/>
    <w:rsid w:val="000B23FF"/>
    <w:rsid w:val="000C0A9C"/>
    <w:rsid w:val="000C212B"/>
    <w:rsid w:val="0011015E"/>
    <w:rsid w:val="00110415"/>
    <w:rsid w:val="00110936"/>
    <w:rsid w:val="00112290"/>
    <w:rsid w:val="001124B2"/>
    <w:rsid w:val="00130637"/>
    <w:rsid w:val="00136E01"/>
    <w:rsid w:val="001437D4"/>
    <w:rsid w:val="00147030"/>
    <w:rsid w:val="0016199D"/>
    <w:rsid w:val="001657F2"/>
    <w:rsid w:val="0017354C"/>
    <w:rsid w:val="00191113"/>
    <w:rsid w:val="001912DF"/>
    <w:rsid w:val="00191789"/>
    <w:rsid w:val="0019711F"/>
    <w:rsid w:val="001A124F"/>
    <w:rsid w:val="001B6E98"/>
    <w:rsid w:val="001C48C4"/>
    <w:rsid w:val="001D5062"/>
    <w:rsid w:val="001D73AB"/>
    <w:rsid w:val="001F2B93"/>
    <w:rsid w:val="00203FC4"/>
    <w:rsid w:val="00204E31"/>
    <w:rsid w:val="00215EB2"/>
    <w:rsid w:val="00221A36"/>
    <w:rsid w:val="0024346F"/>
    <w:rsid w:val="00247954"/>
    <w:rsid w:val="002620CA"/>
    <w:rsid w:val="002625C8"/>
    <w:rsid w:val="00270B0B"/>
    <w:rsid w:val="00277810"/>
    <w:rsid w:val="00277DA9"/>
    <w:rsid w:val="002873E5"/>
    <w:rsid w:val="00290EEA"/>
    <w:rsid w:val="002928DC"/>
    <w:rsid w:val="00292A02"/>
    <w:rsid w:val="0029493B"/>
    <w:rsid w:val="00296376"/>
    <w:rsid w:val="002B3B95"/>
    <w:rsid w:val="002B5112"/>
    <w:rsid w:val="002C518B"/>
    <w:rsid w:val="002C62C7"/>
    <w:rsid w:val="002C7A5B"/>
    <w:rsid w:val="002D1838"/>
    <w:rsid w:val="002D25A9"/>
    <w:rsid w:val="002D64EC"/>
    <w:rsid w:val="002E0E6C"/>
    <w:rsid w:val="002E2551"/>
    <w:rsid w:val="002E3BBA"/>
    <w:rsid w:val="002F1DAB"/>
    <w:rsid w:val="00301861"/>
    <w:rsid w:val="00327105"/>
    <w:rsid w:val="003426C7"/>
    <w:rsid w:val="00346D20"/>
    <w:rsid w:val="0034760F"/>
    <w:rsid w:val="003604D4"/>
    <w:rsid w:val="003655A3"/>
    <w:rsid w:val="00371346"/>
    <w:rsid w:val="003A34EF"/>
    <w:rsid w:val="003A46FA"/>
    <w:rsid w:val="003B5C29"/>
    <w:rsid w:val="003F34D0"/>
    <w:rsid w:val="00400C83"/>
    <w:rsid w:val="0041368A"/>
    <w:rsid w:val="004242DD"/>
    <w:rsid w:val="004366EF"/>
    <w:rsid w:val="004432FA"/>
    <w:rsid w:val="004453EA"/>
    <w:rsid w:val="00446793"/>
    <w:rsid w:val="004642A0"/>
    <w:rsid w:val="00465E57"/>
    <w:rsid w:val="004667D0"/>
    <w:rsid w:val="00485981"/>
    <w:rsid w:val="0049747F"/>
    <w:rsid w:val="004D4D1B"/>
    <w:rsid w:val="004D65F9"/>
    <w:rsid w:val="00504195"/>
    <w:rsid w:val="00506417"/>
    <w:rsid w:val="00512906"/>
    <w:rsid w:val="00515A93"/>
    <w:rsid w:val="00532CCD"/>
    <w:rsid w:val="0053440A"/>
    <w:rsid w:val="00536AD4"/>
    <w:rsid w:val="00574BE9"/>
    <w:rsid w:val="005815D2"/>
    <w:rsid w:val="00587B77"/>
    <w:rsid w:val="005A20D7"/>
    <w:rsid w:val="005B43A3"/>
    <w:rsid w:val="005B45E0"/>
    <w:rsid w:val="005B6487"/>
    <w:rsid w:val="005E2783"/>
    <w:rsid w:val="006009B1"/>
    <w:rsid w:val="00606A68"/>
    <w:rsid w:val="006250AD"/>
    <w:rsid w:val="00635295"/>
    <w:rsid w:val="006364D8"/>
    <w:rsid w:val="006433C7"/>
    <w:rsid w:val="00645D8A"/>
    <w:rsid w:val="00645FD2"/>
    <w:rsid w:val="006674F2"/>
    <w:rsid w:val="00670442"/>
    <w:rsid w:val="0067281E"/>
    <w:rsid w:val="0069789F"/>
    <w:rsid w:val="006D15BF"/>
    <w:rsid w:val="006D3759"/>
    <w:rsid w:val="006E26C3"/>
    <w:rsid w:val="006E7359"/>
    <w:rsid w:val="006E79E9"/>
    <w:rsid w:val="006F03ED"/>
    <w:rsid w:val="006F6203"/>
    <w:rsid w:val="0070498D"/>
    <w:rsid w:val="00722EC5"/>
    <w:rsid w:val="00727B13"/>
    <w:rsid w:val="0075241C"/>
    <w:rsid w:val="00754200"/>
    <w:rsid w:val="00765C99"/>
    <w:rsid w:val="00780581"/>
    <w:rsid w:val="00783270"/>
    <w:rsid w:val="00787635"/>
    <w:rsid w:val="007918F0"/>
    <w:rsid w:val="007A05B6"/>
    <w:rsid w:val="007C049E"/>
    <w:rsid w:val="007C4E7B"/>
    <w:rsid w:val="007C79DD"/>
    <w:rsid w:val="007E41CF"/>
    <w:rsid w:val="007F4786"/>
    <w:rsid w:val="0080042B"/>
    <w:rsid w:val="00803999"/>
    <w:rsid w:val="008326FA"/>
    <w:rsid w:val="008A1CF8"/>
    <w:rsid w:val="008B3657"/>
    <w:rsid w:val="008C6D2D"/>
    <w:rsid w:val="008D31CE"/>
    <w:rsid w:val="008D3E73"/>
    <w:rsid w:val="008E53CF"/>
    <w:rsid w:val="008E7E4B"/>
    <w:rsid w:val="008F7F73"/>
    <w:rsid w:val="00902FB1"/>
    <w:rsid w:val="009044A1"/>
    <w:rsid w:val="0091647F"/>
    <w:rsid w:val="00920944"/>
    <w:rsid w:val="009216A7"/>
    <w:rsid w:val="00922B28"/>
    <w:rsid w:val="00924B84"/>
    <w:rsid w:val="00930FA2"/>
    <w:rsid w:val="00931F6A"/>
    <w:rsid w:val="0093364E"/>
    <w:rsid w:val="009344A4"/>
    <w:rsid w:val="009415A5"/>
    <w:rsid w:val="00941BA3"/>
    <w:rsid w:val="00947C5B"/>
    <w:rsid w:val="00960C83"/>
    <w:rsid w:val="00962537"/>
    <w:rsid w:val="00984AE8"/>
    <w:rsid w:val="009A2AAD"/>
    <w:rsid w:val="009B2C7B"/>
    <w:rsid w:val="009B35C8"/>
    <w:rsid w:val="009B6C97"/>
    <w:rsid w:val="009C1C76"/>
    <w:rsid w:val="009C41F6"/>
    <w:rsid w:val="009D3439"/>
    <w:rsid w:val="009D3C14"/>
    <w:rsid w:val="009E5333"/>
    <w:rsid w:val="00A36B92"/>
    <w:rsid w:val="00A3738B"/>
    <w:rsid w:val="00A40951"/>
    <w:rsid w:val="00A47BFA"/>
    <w:rsid w:val="00A564B8"/>
    <w:rsid w:val="00AC4E16"/>
    <w:rsid w:val="00AC5844"/>
    <w:rsid w:val="00AC7501"/>
    <w:rsid w:val="00AD5CD3"/>
    <w:rsid w:val="00AE5670"/>
    <w:rsid w:val="00AE6440"/>
    <w:rsid w:val="00B146E3"/>
    <w:rsid w:val="00B25D87"/>
    <w:rsid w:val="00B30FEC"/>
    <w:rsid w:val="00B34632"/>
    <w:rsid w:val="00B413AC"/>
    <w:rsid w:val="00B80CFB"/>
    <w:rsid w:val="00B84AF7"/>
    <w:rsid w:val="00B92B6D"/>
    <w:rsid w:val="00BA12A1"/>
    <w:rsid w:val="00BA1A4D"/>
    <w:rsid w:val="00BA4BE1"/>
    <w:rsid w:val="00BA6348"/>
    <w:rsid w:val="00BB53BF"/>
    <w:rsid w:val="00BD323D"/>
    <w:rsid w:val="00BD597D"/>
    <w:rsid w:val="00BD7ADC"/>
    <w:rsid w:val="00BF429D"/>
    <w:rsid w:val="00C17CA7"/>
    <w:rsid w:val="00C20DE8"/>
    <w:rsid w:val="00C25D29"/>
    <w:rsid w:val="00C31B8E"/>
    <w:rsid w:val="00C41A7C"/>
    <w:rsid w:val="00C44BBE"/>
    <w:rsid w:val="00C4791D"/>
    <w:rsid w:val="00C513A6"/>
    <w:rsid w:val="00C52F9B"/>
    <w:rsid w:val="00C56D51"/>
    <w:rsid w:val="00C629DC"/>
    <w:rsid w:val="00C72F1B"/>
    <w:rsid w:val="00C81296"/>
    <w:rsid w:val="00C829D9"/>
    <w:rsid w:val="00C8376B"/>
    <w:rsid w:val="00C974CA"/>
    <w:rsid w:val="00CB47C0"/>
    <w:rsid w:val="00CB66B4"/>
    <w:rsid w:val="00CC5589"/>
    <w:rsid w:val="00CD5700"/>
    <w:rsid w:val="00CF157F"/>
    <w:rsid w:val="00CF6706"/>
    <w:rsid w:val="00D00E59"/>
    <w:rsid w:val="00D13212"/>
    <w:rsid w:val="00D16D16"/>
    <w:rsid w:val="00D27466"/>
    <w:rsid w:val="00D36C5B"/>
    <w:rsid w:val="00D36F02"/>
    <w:rsid w:val="00D46C97"/>
    <w:rsid w:val="00D534BE"/>
    <w:rsid w:val="00D70C0F"/>
    <w:rsid w:val="00D956A2"/>
    <w:rsid w:val="00DB445F"/>
    <w:rsid w:val="00DB6962"/>
    <w:rsid w:val="00DC7A3E"/>
    <w:rsid w:val="00DD2DAA"/>
    <w:rsid w:val="00DE2DC8"/>
    <w:rsid w:val="00DE5546"/>
    <w:rsid w:val="00DF5146"/>
    <w:rsid w:val="00DF7ED2"/>
    <w:rsid w:val="00E00CE1"/>
    <w:rsid w:val="00E00E3C"/>
    <w:rsid w:val="00E062B1"/>
    <w:rsid w:val="00E07BF9"/>
    <w:rsid w:val="00E138EA"/>
    <w:rsid w:val="00E24D62"/>
    <w:rsid w:val="00E258EE"/>
    <w:rsid w:val="00E36C00"/>
    <w:rsid w:val="00E44BB4"/>
    <w:rsid w:val="00E565F7"/>
    <w:rsid w:val="00E6115F"/>
    <w:rsid w:val="00E97829"/>
    <w:rsid w:val="00E97BA5"/>
    <w:rsid w:val="00EA4841"/>
    <w:rsid w:val="00EA614E"/>
    <w:rsid w:val="00EA6D2C"/>
    <w:rsid w:val="00EB7CCB"/>
    <w:rsid w:val="00EC0CE4"/>
    <w:rsid w:val="00ED3731"/>
    <w:rsid w:val="00EE551A"/>
    <w:rsid w:val="00F120FB"/>
    <w:rsid w:val="00F223B5"/>
    <w:rsid w:val="00F41A34"/>
    <w:rsid w:val="00F420F2"/>
    <w:rsid w:val="00F458FD"/>
    <w:rsid w:val="00F52239"/>
    <w:rsid w:val="00F5478A"/>
    <w:rsid w:val="00F63BFF"/>
    <w:rsid w:val="00F81C7C"/>
    <w:rsid w:val="00F84966"/>
    <w:rsid w:val="00F91B9B"/>
    <w:rsid w:val="00FB09E1"/>
    <w:rsid w:val="00FE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AF09"/>
  <w15:chartTrackingRefBased/>
  <w15:docId w15:val="{840B7E9A-32A9-4D87-8B4A-23EA31872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5670"/>
    <w:pPr>
      <w:spacing w:after="0" w:line="480"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E5670"/>
    <w:pPr>
      <w:spacing w:after="0" w:line="240" w:lineRule="auto"/>
    </w:pPr>
  </w:style>
  <w:style w:type="paragraph" w:styleId="ListParagraph">
    <w:name w:val="List Paragraph"/>
    <w:basedOn w:val="Normal"/>
    <w:uiPriority w:val="34"/>
    <w:qFormat/>
    <w:rsid w:val="00FE7D76"/>
    <w:pPr>
      <w:ind w:left="720"/>
      <w:contextualSpacing/>
    </w:pPr>
  </w:style>
  <w:style w:type="paragraph" w:styleId="Header">
    <w:name w:val="header"/>
    <w:basedOn w:val="Normal"/>
    <w:link w:val="HeaderChar"/>
    <w:uiPriority w:val="99"/>
    <w:unhideWhenUsed/>
    <w:rsid w:val="008E7E4B"/>
    <w:pPr>
      <w:tabs>
        <w:tab w:val="center" w:pos="4680"/>
        <w:tab w:val="right" w:pos="9360"/>
      </w:tabs>
      <w:spacing w:line="240" w:lineRule="auto"/>
    </w:pPr>
  </w:style>
  <w:style w:type="character" w:customStyle="1" w:styleId="HeaderChar">
    <w:name w:val="Header Char"/>
    <w:basedOn w:val="DefaultParagraphFont"/>
    <w:link w:val="Header"/>
    <w:uiPriority w:val="99"/>
    <w:rsid w:val="008E7E4B"/>
    <w:rPr>
      <w:rFonts w:ascii="Times New Roman" w:hAnsi="Times New Roman"/>
      <w:sz w:val="24"/>
    </w:rPr>
  </w:style>
  <w:style w:type="paragraph" w:styleId="Footer">
    <w:name w:val="footer"/>
    <w:basedOn w:val="Normal"/>
    <w:link w:val="FooterChar"/>
    <w:uiPriority w:val="99"/>
    <w:unhideWhenUsed/>
    <w:rsid w:val="008E7E4B"/>
    <w:pPr>
      <w:tabs>
        <w:tab w:val="center" w:pos="4680"/>
        <w:tab w:val="right" w:pos="9360"/>
      </w:tabs>
      <w:spacing w:line="240" w:lineRule="auto"/>
    </w:pPr>
  </w:style>
  <w:style w:type="character" w:customStyle="1" w:styleId="FooterChar">
    <w:name w:val="Footer Char"/>
    <w:basedOn w:val="DefaultParagraphFont"/>
    <w:link w:val="Footer"/>
    <w:uiPriority w:val="99"/>
    <w:rsid w:val="008E7E4B"/>
    <w:rPr>
      <w:rFonts w:ascii="Times New Roman" w:hAnsi="Times New Roman"/>
      <w:sz w:val="24"/>
    </w:rPr>
  </w:style>
  <w:style w:type="paragraph" w:styleId="EndnoteText">
    <w:name w:val="endnote text"/>
    <w:basedOn w:val="Normal"/>
    <w:link w:val="EndnoteTextChar"/>
    <w:uiPriority w:val="99"/>
    <w:semiHidden/>
    <w:unhideWhenUsed/>
    <w:rsid w:val="00065435"/>
    <w:pPr>
      <w:spacing w:line="240" w:lineRule="auto"/>
    </w:pPr>
    <w:rPr>
      <w:sz w:val="20"/>
      <w:szCs w:val="20"/>
    </w:rPr>
  </w:style>
  <w:style w:type="character" w:customStyle="1" w:styleId="EndnoteTextChar">
    <w:name w:val="Endnote Text Char"/>
    <w:basedOn w:val="DefaultParagraphFont"/>
    <w:link w:val="EndnoteText"/>
    <w:uiPriority w:val="99"/>
    <w:semiHidden/>
    <w:rsid w:val="00065435"/>
    <w:rPr>
      <w:rFonts w:ascii="Times New Roman" w:hAnsi="Times New Roman"/>
      <w:sz w:val="20"/>
      <w:szCs w:val="20"/>
    </w:rPr>
  </w:style>
  <w:style w:type="character" w:styleId="EndnoteReference">
    <w:name w:val="endnote reference"/>
    <w:basedOn w:val="DefaultParagraphFont"/>
    <w:uiPriority w:val="99"/>
    <w:semiHidden/>
    <w:unhideWhenUsed/>
    <w:rsid w:val="00065435"/>
    <w:rPr>
      <w:vertAlign w:val="superscript"/>
    </w:rPr>
  </w:style>
  <w:style w:type="paragraph" w:styleId="FootnoteText">
    <w:name w:val="footnote text"/>
    <w:basedOn w:val="Normal"/>
    <w:link w:val="FootnoteTextChar"/>
    <w:uiPriority w:val="99"/>
    <w:semiHidden/>
    <w:unhideWhenUsed/>
    <w:rsid w:val="00065435"/>
    <w:pPr>
      <w:spacing w:line="240" w:lineRule="auto"/>
    </w:pPr>
    <w:rPr>
      <w:sz w:val="20"/>
      <w:szCs w:val="20"/>
    </w:rPr>
  </w:style>
  <w:style w:type="character" w:customStyle="1" w:styleId="FootnoteTextChar">
    <w:name w:val="Footnote Text Char"/>
    <w:basedOn w:val="DefaultParagraphFont"/>
    <w:link w:val="FootnoteText"/>
    <w:uiPriority w:val="99"/>
    <w:semiHidden/>
    <w:rsid w:val="00065435"/>
    <w:rPr>
      <w:rFonts w:ascii="Times New Roman" w:hAnsi="Times New Roman"/>
      <w:sz w:val="20"/>
      <w:szCs w:val="20"/>
    </w:rPr>
  </w:style>
  <w:style w:type="character" w:styleId="FootnoteReference">
    <w:name w:val="footnote reference"/>
    <w:basedOn w:val="DefaultParagraphFont"/>
    <w:uiPriority w:val="99"/>
    <w:semiHidden/>
    <w:unhideWhenUsed/>
    <w:rsid w:val="0006543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8E2ED-F281-4A62-B365-CFFBE7255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20</Pages>
  <Words>5180</Words>
  <Characters>29527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Marah Hager</dc:creator>
  <cp:keywords/>
  <dc:description/>
  <cp:lastModifiedBy>Marah Hager</cp:lastModifiedBy>
  <cp:revision>246</cp:revision>
  <dcterms:created xsi:type="dcterms:W3CDTF">2019-12-16T02:14:00Z</dcterms:created>
  <dcterms:modified xsi:type="dcterms:W3CDTF">2020-01-24T15:57:00Z</dcterms:modified>
</cp:coreProperties>
</file>