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rPr>
          <w:rFonts w:hint="default" w:eastAsia="宋体"/>
          <w:b/>
          <w:bCs/>
          <w:sz w:val="22"/>
          <w:szCs w:val="22"/>
          <w:lang w:val="en-US" w:eastAsia="zh-CN"/>
        </w:rPr>
      </w:pPr>
      <w:bookmarkStart w:id="0" w:name="_GoBack"/>
      <w:r>
        <w:rPr>
          <w:rFonts w:hint="default" w:eastAsia="宋体"/>
          <w:b/>
          <w:bCs/>
          <w:sz w:val="22"/>
          <w:szCs w:val="22"/>
          <w:lang w:val="en-US" w:eastAsia="zh-CN"/>
        </w:rPr>
        <w:t>Factors that affect second language learning</w:t>
      </w:r>
    </w:p>
    <w:bookmarkEnd w:id="0"/>
    <w:p>
      <w:pPr>
        <w:numPr>
          <w:ilvl w:val="0"/>
          <w:numId w:val="0"/>
        </w:numPr>
        <w:jc w:val="both"/>
        <w:rPr>
          <w:rFonts w:hint="default" w:eastAsia="宋体"/>
          <w:b/>
          <w:bCs/>
          <w:sz w:val="22"/>
          <w:szCs w:val="22"/>
          <w:lang w:val="en-US" w:eastAsia="zh-CN"/>
        </w:rPr>
      </w:pPr>
    </w:p>
    <w:p>
      <w:pPr>
        <w:numPr>
          <w:ilvl w:val="0"/>
          <w:numId w:val="0"/>
        </w:numPr>
        <w:jc w:val="both"/>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 Introduction</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language is a language acquired by a person in addition to his or her first language, often used as an auxiliary language or a lingua franca. Second language learning, also called as second language acquisition, is the “process by which people develop proficiency in a second or foreign language”</w:t>
      </w:r>
      <w:r>
        <w:rPr>
          <w:rFonts w:hint="eastAsia" w:eastAsia="宋体" w:cs="Times New Roman"/>
          <w:sz w:val="24"/>
          <w:szCs w:val="24"/>
          <w:lang w:val="en-US" w:eastAsia="zh-CN"/>
        </w:rPr>
        <w:t>(</w:t>
      </w:r>
      <w:r>
        <w:rPr>
          <w:rFonts w:hint="eastAsia"/>
        </w:rPr>
        <w:t>Jack Richards, et al.</w:t>
      </w:r>
      <w:r>
        <w:rPr>
          <w:rFonts w:hint="eastAsia" w:eastAsia="宋体"/>
          <w:lang w:val="en-US" w:eastAsia="zh-CN"/>
        </w:rPr>
        <w:t xml:space="preserve">, </w:t>
      </w:r>
      <w:r>
        <w:rPr>
          <w:rFonts w:hint="eastAsia"/>
        </w:rPr>
        <w:t>1985, p.252)</w:t>
      </w:r>
      <w:r>
        <w:rPr>
          <w:rFonts w:hint="default" w:ascii="Times New Roman" w:hAnsi="Times New Roman" w:eastAsia="宋体" w:cs="Times New Roman"/>
          <w:sz w:val="24"/>
          <w:szCs w:val="24"/>
          <w:lang w:val="en-US" w:eastAsia="zh-CN"/>
        </w:rPr>
        <w:t xml:space="preserve"> </w:t>
      </w:r>
      <w:r>
        <w:rPr>
          <w:rStyle w:val="9"/>
          <w:rFonts w:hint="default" w:ascii="Times New Roman" w:hAnsi="Times New Roman" w:eastAsia="宋体" w:cs="Times New Roman"/>
          <w:sz w:val="24"/>
          <w:szCs w:val="24"/>
          <w:lang w:val="en-US" w:eastAsia="zh-CN"/>
        </w:rPr>
        <w:footnoteReference w:id="0"/>
      </w:r>
      <w:r>
        <w:rPr>
          <w:rFonts w:hint="default" w:ascii="Times New Roman" w:hAnsi="Times New Roman" w:eastAsia="宋体" w:cs="Times New Roman"/>
          <w:sz w:val="24"/>
          <w:szCs w:val="24"/>
          <w:lang w:val="en-US" w:eastAsia="zh-CN"/>
        </w:rPr>
        <w:t>, and is concerned with the process and study of how people acquire a second language</w:t>
      </w:r>
      <w:r>
        <w:rPr>
          <w:rFonts w:hint="eastAsia" w:eastAsia="宋体" w:cs="Times New Roman"/>
          <w:sz w:val="24"/>
          <w:szCs w:val="24"/>
          <w:lang w:val="en-US" w:eastAsia="zh-CN"/>
        </w:rPr>
        <w:t xml:space="preserve"> (</w:t>
      </w:r>
      <w:r>
        <w:rPr>
          <w:rFonts w:ascii="Georgia" w:hAnsi="Georgia" w:eastAsia="Georgia" w:cs="Georgia"/>
          <w:i w:val="0"/>
          <w:iCs w:val="0"/>
          <w:caps w:val="0"/>
          <w:color w:val="333333"/>
          <w:spacing w:val="1"/>
          <w:sz w:val="20"/>
          <w:szCs w:val="20"/>
          <w:shd w:val="clear" w:fill="FCFCFC"/>
        </w:rPr>
        <w:t>Mitchell, R., &amp; Myles, F.</w:t>
      </w:r>
      <w:r>
        <w:rPr>
          <w:rFonts w:hint="eastAsia" w:ascii="Georgia" w:hAnsi="Georgia" w:eastAsia="宋体" w:cs="Georgia"/>
          <w:i w:val="0"/>
          <w:iCs w:val="0"/>
          <w:caps w:val="0"/>
          <w:color w:val="333333"/>
          <w:spacing w:val="1"/>
          <w:sz w:val="20"/>
          <w:szCs w:val="20"/>
          <w:shd w:val="clear" w:fill="FCFCFC"/>
          <w:lang w:val="en-US" w:eastAsia="zh-CN"/>
        </w:rPr>
        <w:t xml:space="preserve">, </w:t>
      </w:r>
      <w:r>
        <w:rPr>
          <w:rFonts w:ascii="Georgia" w:hAnsi="Georgia" w:eastAsia="Georgia" w:cs="Georgia"/>
          <w:i w:val="0"/>
          <w:iCs w:val="0"/>
          <w:caps w:val="0"/>
          <w:color w:val="333333"/>
          <w:spacing w:val="1"/>
          <w:sz w:val="20"/>
          <w:szCs w:val="20"/>
          <w:shd w:val="clear" w:fill="FCFCFC"/>
        </w:rPr>
        <w:t>2004)</w:t>
      </w:r>
      <w:r>
        <w:rPr>
          <w:rStyle w:val="9"/>
          <w:rFonts w:hint="default" w:ascii="Times New Roman" w:hAnsi="Times New Roman" w:eastAsia="宋体" w:cs="Times New Roman"/>
          <w:sz w:val="24"/>
          <w:szCs w:val="24"/>
          <w:lang w:val="en-US" w:eastAsia="zh-CN"/>
        </w:rPr>
        <w:footnoteReference w:id="1"/>
      </w:r>
      <w:r>
        <w:rPr>
          <w:rFonts w:hint="default" w:ascii="Times New Roman" w:hAnsi="Times New Roman" w:eastAsia="宋体" w:cs="Times New Roman"/>
          <w:sz w:val="24"/>
          <w:szCs w:val="24"/>
          <w:lang w:val="en-US" w:eastAsia="zh-CN"/>
        </w:rPr>
        <w:t>. Although the concept is referred to as second language acquisition, it can also include third, fourth or subsequent language acquisition.</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language learning is a complex learning process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Unlike first language learning, the learning outcomes of second language learners often vary greatly depending on the characteristics and experiences of each individual. In the chapter 2 of “English Language Teaching in its Social Context”, </w:t>
      </w:r>
      <w:r>
        <w:rPr>
          <w:rFonts w:hint="default" w:ascii="Times New Roman" w:hAnsi="Times New Roman" w:cs="Times New Roman"/>
          <w:sz w:val="24"/>
          <w:szCs w:val="24"/>
        </w:rPr>
        <w:t>Patsy M. Lightbrown and Nina Spada</w:t>
      </w:r>
      <w:r>
        <w:rPr>
          <w:rFonts w:hint="default" w:ascii="Times New Roman" w:hAnsi="Times New Roman" w:eastAsia="宋体" w:cs="Times New Roman"/>
          <w:sz w:val="24"/>
          <w:szCs w:val="24"/>
          <w:lang w:val="en-US" w:eastAsia="zh-CN"/>
        </w:rPr>
        <w:t xml:space="preserve"> explore factors affecting second language learning. In generally, these factors that affect second language learning are grouped into five categories: motivation, aptitude, personality, intelligence, and learner preferences</w:t>
      </w:r>
      <w:r>
        <w:rPr>
          <w:rStyle w:val="9"/>
          <w:rFonts w:hint="default" w:ascii="Times New Roman" w:hAnsi="Times New Roman" w:eastAsia="宋体" w:cs="Times New Roman"/>
          <w:sz w:val="24"/>
          <w:szCs w:val="24"/>
          <w:lang w:val="en-US" w:eastAsia="zh-CN"/>
        </w:rPr>
        <w:footnoteReference w:id="2"/>
      </w:r>
      <w:r>
        <w:rPr>
          <w:rFonts w:hint="default" w:ascii="Times New Roman" w:hAnsi="Times New Roman" w:eastAsia="宋体" w:cs="Times New Roman"/>
          <w:sz w:val="24"/>
          <w:szCs w:val="24"/>
          <w:lang w:val="en-US" w:eastAsia="zh-CN"/>
        </w:rPr>
        <w:t xml:space="preserve">. However, according to this classification method, many personal characteristics cannot simply be grouped together. </w:t>
      </w:r>
    </w:p>
    <w:p>
      <w:p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Therefore, after a careful analysis of the factors associated with second language learning, these two researchers have summarised the factors affecting second language learning into the following seven categories: Intelligence, Aptitude, personality, Motivation and attitude, Learner preferences, Learner beliefs and Age of acquisition.  </w:t>
      </w:r>
    </w:p>
    <w:p>
      <w:pPr>
        <w:numPr>
          <w:ilvl w:val="0"/>
          <w:numId w:val="0"/>
        </w:numPr>
        <w:ind w:leftChars="0"/>
        <w:jc w:val="both"/>
        <w:rPr>
          <w:rFonts w:hint="default" w:ascii="Times New Roman" w:hAnsi="Times New Roman" w:eastAsia="宋体" w:cs="Times New Roman"/>
          <w:sz w:val="24"/>
          <w:szCs w:val="24"/>
          <w:lang w:val="en-US" w:eastAsia="zh-CN"/>
        </w:rPr>
      </w:pPr>
    </w:p>
    <w:p>
      <w:pPr>
        <w:numPr>
          <w:ilvl w:val="0"/>
          <w:numId w:val="0"/>
        </w:numPr>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II. Overview of factors affecting second language learning</w:t>
      </w:r>
    </w:p>
    <w:p>
      <w:pPr>
        <w:numPr>
          <w:ilvl w:val="0"/>
          <w:numId w:val="1"/>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Intelligence</w:t>
      </w:r>
    </w:p>
    <w:p>
      <w:pPr>
        <w:numPr>
          <w:ilvl w:val="0"/>
          <w:numId w:val="0"/>
        </w:numPr>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 Lightbrown and Spada, the term "intelligence" has traditionally been used to refer to the intellectual performance of test takers in certain tests. The results of some experiments suggest that intelligence can be seen as a strong influence when it comes to language analysis and rule learning, but is not important when it comes to language learning that focuses on communication and interaction, such as classroom instruction and oral oral productive skills.</w:t>
      </w:r>
    </w:p>
    <w:p>
      <w:pPr>
        <w:numPr>
          <w:ilvl w:val="0"/>
          <w:numId w:val="1"/>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Aptitude</w:t>
      </w:r>
    </w:p>
    <w:p>
      <w:pPr>
        <w:numPr>
          <w:ilvl w:val="0"/>
          <w:numId w:val="0"/>
        </w:numPr>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Aptitude refers to specific ability a learner has for learning a second language (Ellis, 1986, p. 293)</w:t>
      </w:r>
      <w:r>
        <w:rPr>
          <w:rStyle w:val="9"/>
          <w:rFonts w:hint="default" w:ascii="Times New Roman" w:hAnsi="Times New Roman" w:eastAsia="宋体" w:cs="Times New Roman"/>
          <w:sz w:val="24"/>
          <w:szCs w:val="24"/>
          <w:lang w:val="en-US" w:eastAsia="zh-CN"/>
        </w:rPr>
        <w:footnoteReference w:id="3"/>
      </w:r>
      <w:r>
        <w:rPr>
          <w:rFonts w:hint="default" w:ascii="Times New Roman" w:hAnsi="Times New Roman" w:eastAsia="宋体" w:cs="Times New Roman"/>
          <w:sz w:val="24"/>
          <w:szCs w:val="24"/>
          <w:lang w:val="en-US" w:eastAsia="zh-CN"/>
        </w:rPr>
        <w:t>. According to the most famous aptitude test MLAT and PLAB, aptitude includes different types abilities,such as the ability to identify and memorize new sounds, the ability to understand the function of particular words in sentences, the ability to figure out grammatical rules from language samples and</w:t>
      </w:r>
    </w:p>
    <w:p>
      <w:pPr>
        <w:numPr>
          <w:ilvl w:val="0"/>
          <w:numId w:val="0"/>
        </w:numPr>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memory for new words</w:t>
      </w:r>
      <w:r>
        <w:rPr>
          <w:rStyle w:val="9"/>
          <w:rFonts w:hint="default" w:ascii="Times New Roman" w:hAnsi="Times New Roman" w:eastAsia="宋体" w:cs="Times New Roman"/>
          <w:sz w:val="24"/>
          <w:szCs w:val="24"/>
          <w:lang w:val="en-US" w:eastAsia="zh-CN"/>
        </w:rPr>
        <w:footnoteReference w:id="4"/>
      </w:r>
      <w:r>
        <w:rPr>
          <w:rFonts w:hint="default" w:ascii="Times New Roman" w:hAnsi="Times New Roman" w:eastAsia="宋体" w:cs="Times New Roman"/>
          <w:sz w:val="24"/>
          <w:szCs w:val="24"/>
          <w:lang w:val="en-US" w:eastAsia="zh-CN"/>
        </w:rPr>
        <w:t>. Lightbrown and Spada believe that in ideal conditions, teachers can identify the strengths and weaknesses of a learner's aptitudes and use the information to arrange an appropriate language teaching programme for the student.</w:t>
      </w:r>
    </w:p>
    <w:p>
      <w:pPr>
        <w:numPr>
          <w:ilvl w:val="0"/>
          <w:numId w:val="1"/>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Personality </w:t>
      </w:r>
    </w:p>
    <w:p>
      <w:pPr>
        <w:numPr>
          <w:ilvl w:val="0"/>
          <w:numId w:val="0"/>
        </w:numPr>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Personality is considered as a set of features that characterize an individual</w:t>
      </w:r>
      <w:r>
        <w:rPr>
          <w:rStyle w:val="9"/>
          <w:rFonts w:hint="default" w:ascii="Times New Roman" w:hAnsi="Times New Roman" w:eastAsia="宋体" w:cs="Times New Roman"/>
          <w:sz w:val="24"/>
          <w:szCs w:val="24"/>
          <w:lang w:val="en-US" w:eastAsia="zh-CN"/>
        </w:rPr>
        <w:footnoteReference w:id="5"/>
      </w:r>
      <w:r>
        <w:rPr>
          <w:rFonts w:hint="default" w:ascii="Times New Roman" w:hAnsi="Times New Roman" w:eastAsia="宋体" w:cs="Times New Roman"/>
          <w:sz w:val="24"/>
          <w:szCs w:val="24"/>
          <w:lang w:val="en-US" w:eastAsia="zh-CN"/>
        </w:rPr>
        <w:t>. In second language learning, many personality characteristics are thought to be likely to influence second language learning, but it is not easy to prove their important role in empirical studies. According to Lightbrown and Spada, these existing researches did not clearly clarify the relationship between personality and second language learning. However, they assume that the impact of learner’s personality on language learning is complex and should be considered in conjunction with other factors.</w:t>
      </w:r>
    </w:p>
    <w:p>
      <w:pPr>
        <w:numPr>
          <w:ilvl w:val="0"/>
          <w:numId w:val="1"/>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Motivation and attitudes</w:t>
      </w:r>
    </w:p>
    <w:p>
      <w:pPr>
        <w:numPr>
          <w:ilvl w:val="0"/>
          <w:numId w:val="0"/>
        </w:numPr>
        <w:ind w:left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Although current research findings do not fully clarify the relationship between motivation and second language learning, Lightbrown and Spada argue that motivation and attitude play a very important role in second language learning. Motivation for second language learning can be summarised as both the learner's communicative needs and the learner's attitudes towards the second language community. If learners need to use a second language in a wide range of social situations or to fulfil professional ambitions, they will perceive the communicative value of the second language, they then can be motivated to use it proficiently. Secondly, learners’ cultural identity to the second language community also has a significant impact on their effectiveness in learning a second language.</w:t>
      </w:r>
      <w:r>
        <w:rPr>
          <w:rFonts w:hint="eastAsia" w:eastAsia="宋体" w:cs="Times New Roman"/>
          <w:sz w:val="24"/>
          <w:szCs w:val="24"/>
          <w:lang w:val="en-US" w:eastAsia="zh-CN"/>
        </w:rPr>
        <w:t xml:space="preserve"> On the other hand, both authors suggest that social dynamic or power relationship between the languages can also influence motivation and attitudes towards second language learning.</w:t>
      </w:r>
    </w:p>
    <w:p>
      <w:pPr>
        <w:numPr>
          <w:ilvl w:val="0"/>
          <w:numId w:val="1"/>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Learner preferences</w:t>
      </w:r>
    </w:p>
    <w:p>
      <w:pPr>
        <w:numPr>
          <w:ilvl w:val="0"/>
          <w:numId w:val="0"/>
        </w:numPr>
        <w:ind w:leftChars="0"/>
        <w:jc w:val="both"/>
        <w:rPr>
          <w:rFonts w:hint="eastAsia" w:eastAsia="宋体" w:cs="Times New Roman"/>
          <w:sz w:val="24"/>
          <w:szCs w:val="24"/>
          <w:lang w:val="en-US" w:eastAsia="zh-CN"/>
        </w:rPr>
      </w:pPr>
      <w:r>
        <w:rPr>
          <w:rFonts w:hint="default" w:ascii="Times New Roman" w:hAnsi="Times New Roman" w:eastAsia="宋体" w:cs="Times New Roman"/>
          <w:sz w:val="24"/>
          <w:szCs w:val="24"/>
          <w:lang w:val="en-US" w:eastAsia="zh-CN"/>
        </w:rPr>
        <w:t>Learner preferences, also known as learner style</w:t>
      </w:r>
      <w:r>
        <w:rPr>
          <w:rFonts w:hint="eastAsia" w:ascii="Times New Roman" w:hAnsi="Times New Roman" w:eastAsia="宋体" w:cs="Times New Roman"/>
          <w:sz w:val="24"/>
          <w:szCs w:val="24"/>
          <w:lang w:val="en-US" w:eastAsia="zh-CN"/>
        </w:rPr>
        <w:t xml:space="preserve">, has been used to describe a person's natural, habitual and preferred way of absorbing, processing and retaining new information and skills (Reid 1995). Depending on their learning style, second language learners can be classified as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visual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learners.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kinesthetic</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 learners, </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aural</w:t>
      </w:r>
      <w:r>
        <w:rPr>
          <w:rFonts w:hint="default" w:ascii="Times New Roman" w:hAnsi="Times New Roman" w:eastAsia="宋体" w:cs="Times New Roman"/>
          <w:sz w:val="24"/>
          <w:szCs w:val="24"/>
          <w:lang w:val="en-US" w:eastAsia="zh-CN"/>
        </w:rPr>
        <w:t>”</w:t>
      </w:r>
      <w:r>
        <w:rPr>
          <w:rFonts w:hint="eastAsia" w:ascii="Times New Roman" w:hAnsi="Times New Roman" w:eastAsia="宋体" w:cs="Times New Roman"/>
          <w:sz w:val="24"/>
          <w:szCs w:val="24"/>
          <w:lang w:val="en-US" w:eastAsia="zh-CN"/>
        </w:rPr>
        <w:t xml:space="preserve">learners, ans so on. At present, much of the research on the impact of learner preferences on second language learning has focused on the </w:t>
      </w:r>
      <w:r>
        <w:rPr>
          <w:rFonts w:hint="default" w:ascii="Times New Roman" w:hAnsi="Times New Roman" w:eastAsia="宋体" w:cs="Times New Roman"/>
          <w:sz w:val="24"/>
          <w:szCs w:val="24"/>
          <w:lang w:val="en-US" w:eastAsia="zh-CN"/>
        </w:rPr>
        <w:t>distinction</w:t>
      </w:r>
      <w:r>
        <w:rPr>
          <w:rFonts w:hint="eastAsia" w:ascii="Times New Roman" w:hAnsi="Times New Roman" w:eastAsia="宋体" w:cs="Times New Roman"/>
          <w:sz w:val="24"/>
          <w:szCs w:val="24"/>
          <w:lang w:val="en-US" w:eastAsia="zh-CN"/>
        </w:rPr>
        <w:t xml:space="preserve"> between the </w:t>
      </w:r>
      <w:r>
        <w:rPr>
          <w:rFonts w:hint="default" w:ascii="Times New Roman" w:hAnsi="Times New Roman" w:eastAsia="宋体" w:cs="Times New Roman"/>
          <w:sz w:val="24"/>
          <w:szCs w:val="24"/>
          <w:lang w:val="en-US" w:eastAsia="zh-CN"/>
        </w:rPr>
        <w:t>field independence</w:t>
      </w:r>
      <w:r>
        <w:rPr>
          <w:rFonts w:hint="eastAsia" w:ascii="Times New Roman" w:hAnsi="Times New Roman" w:eastAsia="宋体" w:cs="Times New Roman"/>
          <w:sz w:val="24"/>
          <w:szCs w:val="24"/>
          <w:lang w:val="en-US" w:eastAsia="zh-CN"/>
        </w:rPr>
        <w:t xml:space="preserve"> and field dependence. The results of these researches suggest that while field independence is to some extent related to performance on certain types of tasks, it is not a good predictor of performance on others.</w:t>
      </w:r>
      <w:r>
        <w:rPr>
          <w:rFonts w:hint="eastAsia"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Lightbrown and Spada</w:t>
      </w:r>
      <w:r>
        <w:rPr>
          <w:rFonts w:hint="eastAsia" w:eastAsia="宋体" w:cs="Times New Roman"/>
          <w:sz w:val="24"/>
          <w:szCs w:val="24"/>
          <w:lang w:val="en-US" w:eastAsia="zh-CN"/>
        </w:rPr>
        <w:t xml:space="preserve"> argued that teachers can adapt their teaching methods appropriately to suit the different preferences and styles of learners in order to better meet the objectives of language teaching. At the same time, the notion that a particular teaching method or textbook will suit the needs of all learners should be discarded.</w:t>
      </w:r>
    </w:p>
    <w:p>
      <w:pPr>
        <w:numPr>
          <w:ilvl w:val="0"/>
          <w:numId w:val="0"/>
        </w:numPr>
        <w:ind w:leftChars="0"/>
        <w:jc w:val="both"/>
        <w:rPr>
          <w:rFonts w:hint="eastAsia" w:eastAsia="宋体" w:cs="Times New Roman"/>
          <w:sz w:val="24"/>
          <w:szCs w:val="24"/>
          <w:lang w:val="en-US" w:eastAsia="zh-CN"/>
        </w:rPr>
      </w:pPr>
    </w:p>
    <w:p>
      <w:pPr>
        <w:numPr>
          <w:ilvl w:val="0"/>
          <w:numId w:val="1"/>
        </w:numPr>
        <w:ind w:left="0" w:leftChars="0" w:firstLine="0" w:firstLineChars="0"/>
        <w:jc w:val="both"/>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Learner beliefs</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0" w:right="0" w:firstLine="0"/>
        <w:jc w:val="both"/>
        <w:rPr>
          <w:rFonts w:hint="eastAsia" w:eastAsia="宋体" w:cs="Times New Roman"/>
          <w:sz w:val="24"/>
          <w:szCs w:val="24"/>
          <w:lang w:val="en-US" w:eastAsia="zh-CN"/>
        </w:rPr>
      </w:pPr>
      <w:r>
        <w:rPr>
          <w:rFonts w:hint="default" w:ascii="Times New Roman" w:hAnsi="Times New Roman" w:eastAsia="宋体" w:cs="Times New Roman"/>
          <w:sz w:val="24"/>
          <w:szCs w:val="24"/>
          <w:lang w:val="en-US" w:eastAsia="zh-CN"/>
        </w:rPr>
        <w:t>Lightbrown and Spada</w:t>
      </w:r>
      <w:r>
        <w:rPr>
          <w:rFonts w:hint="eastAsia" w:eastAsia="宋体" w:cs="Times New Roman"/>
          <w:sz w:val="24"/>
          <w:szCs w:val="24"/>
          <w:lang w:val="en-US" w:eastAsia="zh-CN"/>
        </w:rPr>
        <w:t xml:space="preserve"> argued that many people, especially older learners, have strong beliefs and opinions about the way and strategy they learn languages. Several studies have shown that learner beliefs can be strong mediators in their classroom experience. Teaching styles that are consistent with learners' beliefs will have a positive impact on learners' second language learning processes and, conversely, will have a negative impact. Teachers can use information about learners' beliefs to help learners expand their learning strategies and thus better refine the way they learn a second language.</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0" w:right="0" w:firstLine="0"/>
        <w:jc w:val="both"/>
        <w:rPr>
          <w:rFonts w:hint="eastAsia" w:eastAsia="宋体" w:cs="Times New Roman"/>
          <w:sz w:val="24"/>
          <w:szCs w:val="24"/>
          <w:lang w:val="en-US" w:eastAsia="zh-CN"/>
        </w:rPr>
      </w:pP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0" w:leftChars="0" w:right="0" w:firstLine="0" w:firstLineChars="0"/>
        <w:jc w:val="both"/>
        <w:rPr>
          <w:rFonts w:hint="default" w:eastAsia="宋体" w:cs="Times New Roman"/>
          <w:sz w:val="24"/>
          <w:szCs w:val="24"/>
          <w:lang w:val="en-US" w:eastAsia="zh-CN"/>
        </w:rPr>
      </w:pPr>
      <w:r>
        <w:rPr>
          <w:rFonts w:hint="eastAsia" w:eastAsia="宋体" w:cs="Times New Roman"/>
          <w:sz w:val="24"/>
          <w:szCs w:val="24"/>
          <w:lang w:val="en-US" w:eastAsia="zh-CN"/>
        </w:rPr>
        <w:t xml:space="preserve">Age </w:t>
      </w:r>
      <w:r>
        <w:rPr>
          <w:rFonts w:hint="default" w:eastAsia="宋体" w:cs="Times New Roman"/>
          <w:sz w:val="24"/>
          <w:szCs w:val="24"/>
          <w:lang w:val="en-US" w:eastAsia="zh-CN"/>
        </w:rPr>
        <w:t>of acquisition</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default" w:eastAsia="宋体" w:cs="Times New Roman"/>
          <w:sz w:val="24"/>
          <w:szCs w:val="24"/>
          <w:lang w:val="en-US" w:eastAsia="zh-CN"/>
        </w:rPr>
      </w:pPr>
      <w:r>
        <w:rPr>
          <w:rFonts w:hint="default" w:eastAsia="宋体" w:cs="Times New Roman"/>
          <w:sz w:val="24"/>
          <w:szCs w:val="24"/>
          <w:lang w:val="en-US" w:eastAsia="zh-CN"/>
        </w:rPr>
        <w:t>The relationship between</w:t>
      </w:r>
      <w:r>
        <w:rPr>
          <w:rFonts w:hint="eastAsia" w:eastAsia="宋体" w:cs="Times New Roman"/>
          <w:sz w:val="24"/>
          <w:szCs w:val="24"/>
          <w:lang w:val="en-US" w:eastAsia="zh-CN"/>
        </w:rPr>
        <w:t xml:space="preserve"> a</w:t>
      </w:r>
      <w:r>
        <w:rPr>
          <w:rFonts w:hint="default" w:eastAsia="宋体" w:cs="Times New Roman"/>
          <w:sz w:val="24"/>
          <w:szCs w:val="24"/>
          <w:lang w:val="en-US" w:eastAsia="zh-CN"/>
        </w:rPr>
        <w:t xml:space="preserve">ge of acquisition and second language learning is easier to measure than personality, talent, or motivation. By analysing the results of a series of studies by researchers such as Mark Patkowsk, Jacqueline Johnson and Elissa Newport, Lightbrown and Spada affirm the notion of a critical period for second language learning, </w:t>
      </w:r>
      <w:r>
        <w:rPr>
          <w:rFonts w:hint="eastAsia" w:eastAsia="宋体" w:cs="Times New Roman"/>
          <w:sz w:val="24"/>
          <w:szCs w:val="24"/>
          <w:lang w:val="en-US" w:eastAsia="zh-CN"/>
        </w:rPr>
        <w:t>which means</w:t>
      </w:r>
      <w:r>
        <w:rPr>
          <w:rFonts w:hint="default" w:eastAsia="宋体" w:cs="Times New Roman"/>
          <w:sz w:val="24"/>
          <w:szCs w:val="24"/>
          <w:lang w:val="en-US" w:eastAsia="zh-CN"/>
        </w:rPr>
        <w:t xml:space="preserve"> </w:t>
      </w:r>
      <w:r>
        <w:rPr>
          <w:rFonts w:hint="default" w:ascii="Times New Roman" w:hAnsi="Times New Roman" w:cs="Times New Roman"/>
          <w:sz w:val="24"/>
          <w:szCs w:val="24"/>
          <w:lang w:val="en-US"/>
        </w:rPr>
        <w:t>as in first language acquisition,</w:t>
      </w:r>
      <w:r>
        <w:rPr>
          <w:rFonts w:hint="eastAsia" w:ascii="Times New Roman" w:hAnsi="Times New Roman" w:eastAsia="宋体" w:cs="Times New Roman"/>
          <w:sz w:val="24"/>
          <w:szCs w:val="24"/>
          <w:lang w:val="en-US" w:eastAsia="zh-CN"/>
        </w:rPr>
        <w:t xml:space="preserve"> </w:t>
      </w:r>
      <w:r>
        <w:rPr>
          <w:rFonts w:hint="default" w:ascii="Times New Roman" w:hAnsi="Times New Roman" w:cs="Times New Roman"/>
          <w:sz w:val="24"/>
          <w:szCs w:val="24"/>
          <w:lang w:val="en-US"/>
        </w:rPr>
        <w:t>there is a time in human development when the brain is predisposed for success in language learning.</w:t>
      </w:r>
      <w:r>
        <w:rPr>
          <w:rStyle w:val="9"/>
          <w:rFonts w:hint="default" w:ascii="Times New Roman" w:hAnsi="Times New Roman" w:cs="Times New Roman"/>
          <w:sz w:val="24"/>
          <w:szCs w:val="24"/>
          <w:lang w:val="en-US"/>
        </w:rPr>
        <w:footnoteReference w:id="6"/>
      </w:r>
      <w:r>
        <w:rPr>
          <w:rFonts w:hint="default" w:ascii="Times New Roman" w:hAnsi="Times New Roman" w:cs="Times New Roman"/>
          <w:sz w:val="24"/>
          <w:szCs w:val="24"/>
          <w:lang w:val="en-US"/>
        </w:rPr>
        <w:t xml:space="preserve"> Age of acquisition is a very important factor limiting the development of native-like acquisition of a second language, especially in accent, speaking and</w:t>
      </w:r>
      <w:r>
        <w:rPr>
          <w:rFonts w:hint="eastAsia" w:eastAsia="宋体" w:cs="Times New Roman"/>
          <w:sz w:val="24"/>
          <w:szCs w:val="24"/>
          <w:lang w:val="en-US" w:eastAsia="zh-CN"/>
        </w:rPr>
        <w:t xml:space="preserve"> i</w:t>
      </w:r>
      <w:r>
        <w:rPr>
          <w:rFonts w:hint="default" w:ascii="Times New Roman" w:hAnsi="Times New Roman" w:cs="Times New Roman"/>
          <w:sz w:val="24"/>
          <w:szCs w:val="24"/>
        </w:rPr>
        <w:t>ntuitions of grammaticality</w:t>
      </w:r>
      <w:r>
        <w:rPr>
          <w:rFonts w:hint="eastAsia" w:ascii="Times New Roman" w:hAnsi="Times New Roman" w:eastAsia="宋体" w:cs="Times New Roman"/>
          <w:sz w:val="24"/>
          <w:szCs w:val="24"/>
          <w:lang w:val="en-US" w:eastAsia="zh-CN"/>
        </w:rPr>
        <w:t xml:space="preserve">. </w:t>
      </w:r>
      <w:r>
        <w:rPr>
          <w:rFonts w:hint="default" w:eastAsia="宋体" w:cs="Times New Roman"/>
          <w:sz w:val="24"/>
          <w:szCs w:val="24"/>
          <w:lang w:val="en-US" w:eastAsia="zh-CN"/>
        </w:rPr>
        <w:t xml:space="preserve">However, it is also important to note that age </w:t>
      </w:r>
      <w:r>
        <w:rPr>
          <w:rFonts w:hint="eastAsia" w:eastAsia="宋体" w:cs="Times New Roman"/>
          <w:sz w:val="24"/>
          <w:szCs w:val="24"/>
          <w:lang w:val="en-US" w:eastAsia="zh-CN"/>
        </w:rPr>
        <w:t xml:space="preserve">of acquisition </w:t>
      </w:r>
      <w:r>
        <w:rPr>
          <w:rFonts w:hint="default" w:eastAsia="宋体" w:cs="Times New Roman"/>
          <w:sz w:val="24"/>
          <w:szCs w:val="24"/>
          <w:lang w:val="en-US" w:eastAsia="zh-CN"/>
        </w:rPr>
        <w:t>is so closely related to other factors that influence second language learning that researchers cannot really separate them out and study the effects of age on second language learning in isolation.</w:t>
      </w:r>
    </w:p>
    <w:p>
      <w:pPr>
        <w:pStyle w:val="10"/>
        <w:tabs>
          <w:tab w:val="right" w:pos="7406"/>
        </w:tabs>
        <w:jc w:val="both"/>
        <w:rPr>
          <w:rFonts w:hint="default" w:ascii="Times New Roman" w:hAnsi="Times New Roman" w:eastAsia="宋体" w:cs="Times New Roman"/>
          <w:sz w:val="24"/>
          <w:szCs w:val="24"/>
          <w:lang w:val="en-US" w:eastAsia="zh-CN"/>
        </w:rPr>
      </w:pP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宋体" w:cs="Times New Roman"/>
          <w:sz w:val="24"/>
          <w:szCs w:val="24"/>
          <w:lang w:val="en-US" w:eastAsia="zh-CN"/>
        </w:rPr>
      </w:pPr>
      <w:r>
        <w:rPr>
          <w:rFonts w:hint="eastAsia" w:eastAsia="宋体" w:cs="Times New Roman"/>
          <w:sz w:val="24"/>
          <w:szCs w:val="24"/>
          <w:lang w:val="en-US" w:eastAsia="zh-CN"/>
        </w:rPr>
        <w:t>III. An analysis of motivational factors</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default" w:eastAsia="宋体" w:cs="Times New Roman"/>
          <w:sz w:val="24"/>
          <w:szCs w:val="24"/>
          <w:lang w:val="en-US" w:eastAsia="zh-CN"/>
        </w:rPr>
      </w:pPr>
      <w:r>
        <w:rPr>
          <w:rFonts w:hint="eastAsia" w:eastAsia="宋体" w:cs="Times New Roman"/>
          <w:sz w:val="24"/>
          <w:szCs w:val="24"/>
          <w:lang w:val="en-US" w:eastAsia="zh-CN"/>
        </w:rPr>
        <w:t>1. Relevant Definitions</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default" w:eastAsia="宋体" w:cs="Times New Roman"/>
          <w:sz w:val="24"/>
          <w:szCs w:val="24"/>
          <w:lang w:val="en-US" w:eastAsia="zh-CN"/>
        </w:rPr>
      </w:pPr>
      <w:r>
        <w:rPr>
          <w:rFonts w:hint="eastAsia" w:eastAsia="宋体" w:cs="Times New Roman"/>
          <w:sz w:val="24"/>
          <w:szCs w:val="24"/>
          <w:lang w:val="en-US" w:eastAsia="zh-CN"/>
        </w:rPr>
        <w:t xml:space="preserve">All human activity is caused by particular motivation, motivation is the source of all activity. In second language learning, because the learner is the implementer of the learning activity, the learner's individual factors play a very important role in the acquisition of a second language. Only by studying the individual factors of learners can we truly understand the processes and patterns of second language acquisition. Motivation, as one of the affective factors, plays an important role in the acquisition of a second language. Specifically, motivation for second language acquisition refers to the strong desire to facilitate learning and achieve the goal of second language acquisition, including purpose, desire to achieve the goal, attitude to learning and action to work hard. Whether or not motivation is strong is crucial to second language learning.  </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r>
        <w:rPr>
          <w:rFonts w:hint="eastAsia" w:eastAsia="宋体" w:cs="Times New Roman"/>
          <w:sz w:val="24"/>
          <w:szCs w:val="24"/>
          <w:lang w:val="en-US" w:eastAsia="zh-CN"/>
        </w:rPr>
        <w:t xml:space="preserve">According to </w:t>
      </w:r>
      <w:r>
        <w:rPr>
          <w:rFonts w:hint="default" w:ascii="Times New Roman" w:hAnsi="Times New Roman" w:eastAsia="Futura Light BT" w:cs="Times New Roman"/>
          <w:color w:val="000000"/>
          <w:kern w:val="0"/>
          <w:sz w:val="24"/>
          <w:szCs w:val="24"/>
          <w:lang w:val="en-US" w:eastAsia="zh-CN" w:bidi="ar"/>
        </w:rPr>
        <w:t>Gardner and Lambert (1972)</w:t>
      </w:r>
      <w:r>
        <w:rPr>
          <w:rFonts w:hint="eastAsia" w:ascii="Times New Roman" w:hAnsi="Times New Roman" w:eastAsia="Futura Light BT" w:cs="Times New Roman"/>
          <w:color w:val="000000"/>
          <w:kern w:val="0"/>
          <w:sz w:val="24"/>
          <w:szCs w:val="24"/>
          <w:lang w:val="en-US" w:eastAsia="zh-CN" w:bidi="ar"/>
        </w:rPr>
        <w:t xml:space="preserve">, the motivation is an overall goal and orientation in learning. They divided learning motivation into two categories: </w:t>
      </w:r>
      <w:r>
        <w:rPr>
          <w:rFonts w:hint="default" w:ascii="Times New Roman" w:hAnsi="Times New Roman" w:eastAsia="Futura Light BT" w:cs="Times New Roman"/>
          <w:color w:val="000000"/>
          <w:kern w:val="0"/>
          <w:sz w:val="24"/>
          <w:szCs w:val="24"/>
          <w:lang w:val="en-US" w:eastAsia="zh-CN" w:bidi="ar"/>
        </w:rPr>
        <w:t>Integrative motivatio</w:t>
      </w:r>
      <w:r>
        <w:rPr>
          <w:rFonts w:hint="eastAsia" w:ascii="Times New Roman" w:hAnsi="Times New Roman" w:eastAsia="Futura Light BT" w:cs="Times New Roman"/>
          <w:color w:val="000000"/>
          <w:kern w:val="0"/>
          <w:sz w:val="24"/>
          <w:szCs w:val="24"/>
          <w:lang w:val="en-US" w:eastAsia="zh-CN" w:bidi="ar"/>
        </w:rPr>
        <w:t xml:space="preserve">n and </w:t>
      </w:r>
      <w:r>
        <w:rPr>
          <w:rFonts w:hint="default" w:ascii="Times New Roman" w:hAnsi="Times New Roman" w:eastAsia="Futura Light BT" w:cs="Times New Roman"/>
          <w:color w:val="000000"/>
          <w:kern w:val="0"/>
          <w:sz w:val="24"/>
          <w:szCs w:val="24"/>
          <w:lang w:val="en-US" w:eastAsia="zh-CN" w:bidi="ar"/>
        </w:rPr>
        <w:t>Instrumental motivation</w:t>
      </w:r>
      <w:r>
        <w:rPr>
          <w:rFonts w:hint="eastAsia" w:ascii="Times New Roman" w:hAnsi="Times New Roman" w:eastAsia="Futura Light BT" w:cs="Times New Roman"/>
          <w:color w:val="000000"/>
          <w:kern w:val="0"/>
          <w:sz w:val="24"/>
          <w:szCs w:val="24"/>
          <w:lang w:val="en-US" w:eastAsia="zh-CN" w:bidi="ar"/>
        </w:rPr>
        <w:t xml:space="preserve">. </w:t>
      </w:r>
      <w:r>
        <w:rPr>
          <w:rFonts w:hint="eastAsia" w:eastAsia="Futura Light BT" w:cs="Times New Roman"/>
          <w:color w:val="000000"/>
          <w:kern w:val="0"/>
          <w:sz w:val="24"/>
          <w:szCs w:val="24"/>
          <w:lang w:val="en-US" w:eastAsia="zh-CN" w:bidi="ar"/>
        </w:rPr>
        <w:t>Integrative</w:t>
      </w:r>
      <w:r>
        <w:rPr>
          <w:rFonts w:hint="eastAsia" w:ascii="Times New Roman" w:hAnsi="Times New Roman" w:eastAsia="Futura Light BT" w:cs="Times New Roman"/>
          <w:color w:val="000000"/>
          <w:kern w:val="0"/>
          <w:sz w:val="24"/>
          <w:szCs w:val="24"/>
          <w:lang w:val="en-US" w:eastAsia="zh-CN" w:bidi="ar"/>
        </w:rPr>
        <w:t xml:space="preserve"> motivation refers to positive attitudes towards </w:t>
      </w:r>
      <w:r>
        <w:rPr>
          <w:rFonts w:hint="eastAsia" w:eastAsia="Futura Light BT" w:cs="Times New Roman"/>
          <w:color w:val="000000"/>
          <w:kern w:val="0"/>
          <w:sz w:val="24"/>
          <w:szCs w:val="24"/>
          <w:lang w:val="en-US" w:eastAsia="zh-CN" w:bidi="ar"/>
        </w:rPr>
        <w:t>the target language community,</w:t>
      </w:r>
      <w:r>
        <w:rPr>
          <w:rFonts w:hint="eastAsia" w:ascii="Times New Roman" w:hAnsi="Times New Roman" w:eastAsia="Futura Light BT" w:cs="Times New Roman"/>
          <w:color w:val="000000"/>
          <w:kern w:val="0"/>
          <w:sz w:val="24"/>
          <w:szCs w:val="24"/>
          <w:lang w:val="en-US" w:eastAsia="zh-CN" w:bidi="ar"/>
        </w:rPr>
        <w:t xml:space="preserve"> </w:t>
      </w:r>
      <w:r>
        <w:rPr>
          <w:rFonts w:hint="eastAsia" w:eastAsia="Futura Light BT" w:cs="Times New Roman"/>
          <w:color w:val="000000"/>
          <w:kern w:val="0"/>
          <w:sz w:val="24"/>
          <w:szCs w:val="24"/>
          <w:lang w:val="en-US" w:eastAsia="zh-CN" w:bidi="ar"/>
        </w:rPr>
        <w:t>l</w:t>
      </w:r>
      <w:r>
        <w:rPr>
          <w:rFonts w:hint="eastAsia" w:ascii="Times New Roman" w:hAnsi="Times New Roman" w:eastAsia="Futura Light BT" w:cs="Times New Roman"/>
          <w:color w:val="000000"/>
          <w:kern w:val="0"/>
          <w:sz w:val="24"/>
          <w:szCs w:val="24"/>
          <w:lang w:val="en-US" w:eastAsia="zh-CN" w:bidi="ar"/>
        </w:rPr>
        <w:t>earners are attracted to the target language and related culture and want to integrate into the target language culture</w:t>
      </w:r>
      <w:r>
        <w:rPr>
          <w:rFonts w:hint="eastAsia" w:eastAsia="Futura Light BT" w:cs="Times New Roman"/>
          <w:color w:val="000000"/>
          <w:kern w:val="0"/>
          <w:sz w:val="24"/>
          <w:szCs w:val="24"/>
          <w:lang w:val="en-US" w:eastAsia="zh-CN" w:bidi="ar"/>
        </w:rPr>
        <w:t xml:space="preserve">. </w:t>
      </w:r>
      <w:r>
        <w:rPr>
          <w:rFonts w:hint="eastAsia" w:ascii="Times New Roman" w:hAnsi="Times New Roman" w:eastAsia="Futura Light BT" w:cs="Times New Roman"/>
          <w:color w:val="000000"/>
          <w:kern w:val="0"/>
          <w:sz w:val="24"/>
          <w:szCs w:val="24"/>
          <w:lang w:val="en-US" w:eastAsia="zh-CN" w:bidi="ar"/>
        </w:rPr>
        <w:t>Instrumental motivation, as opposed to integrative motivation, is articulated from a utilitarian perspective</w:t>
      </w:r>
      <w:r>
        <w:rPr>
          <w:rFonts w:hint="eastAsia" w:eastAsia="Futura Light BT" w:cs="Times New Roman"/>
          <w:color w:val="000000"/>
          <w:kern w:val="0"/>
          <w:sz w:val="24"/>
          <w:szCs w:val="24"/>
          <w:lang w:val="en-US" w:eastAsia="zh-CN" w:bidi="ar"/>
        </w:rPr>
        <w:t>. It refers to the motivation to learn and use a language for a specific purpose. According to Gardner's research, integrative motivation is stronger than instrumental motivation for bilinguals to set long-term learning goals, thus establishing long-term bilingual learning mechanisms and achieving bilingual acquisition success. However, later studies have shown that instrumental motivation may be stronger than comprehensive motivation in the process of bilingual learning. Recent studies have shown that the combination of instrumental motivation and comprehensive motivation will be more beneficial to the second language acquisition of bilingual learners.</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ascii="Times New Roman" w:hAnsi="Times New Roman"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 xml:space="preserve">On the other hand, motivation can also be articulated as intrinsic and extrinsic motivation. </w:t>
      </w:r>
      <w:r>
        <w:rPr>
          <w:rFonts w:hint="default" w:ascii="Times New Roman" w:hAnsi="Times New Roman" w:eastAsia="Futura Light BT" w:cs="Times New Roman"/>
          <w:color w:val="000000"/>
          <w:kern w:val="0"/>
          <w:sz w:val="24"/>
          <w:szCs w:val="24"/>
          <w:lang w:val="en-US" w:eastAsia="zh-CN" w:bidi="ar"/>
        </w:rPr>
        <w:t>Edward Deci</w:t>
      </w:r>
      <w:r>
        <w:rPr>
          <w:rFonts w:hint="eastAsia" w:ascii="Times New Roman" w:hAnsi="Times New Roman" w:eastAsia="Futura Light BT" w:cs="Times New Roman"/>
          <w:color w:val="000000"/>
          <w:kern w:val="0"/>
          <w:sz w:val="24"/>
          <w:szCs w:val="24"/>
          <w:lang w:val="en-US" w:eastAsia="zh-CN" w:bidi="ar"/>
        </w:rPr>
        <w:t xml:space="preserve"> (2000) state that Intrinsic motivation is a natural motivational tendency and is a critical element in cognitive, social, and physical development</w:t>
      </w:r>
      <w:r>
        <w:rPr>
          <w:rStyle w:val="9"/>
          <w:rFonts w:hint="eastAsia" w:ascii="Times New Roman" w:hAnsi="Times New Roman" w:eastAsia="Futura Light BT" w:cs="Times New Roman"/>
          <w:color w:val="000000"/>
          <w:kern w:val="0"/>
          <w:sz w:val="24"/>
          <w:szCs w:val="24"/>
          <w:lang w:val="en-US" w:eastAsia="zh-CN" w:bidi="ar"/>
        </w:rPr>
        <w:footnoteReference w:id="7"/>
      </w:r>
      <w:r>
        <w:rPr>
          <w:rFonts w:hint="eastAsia" w:ascii="Times New Roman" w:hAnsi="Times New Roman" w:eastAsia="Futura Light BT" w:cs="Times New Roman"/>
          <w:color w:val="000000"/>
          <w:kern w:val="0"/>
          <w:sz w:val="24"/>
          <w:szCs w:val="24"/>
          <w:lang w:val="en-US" w:eastAsia="zh-CN" w:bidi="ar"/>
        </w:rPr>
        <w:t>. Learning activities driven by intrinsic motivation are designed to bring intrinsic rewards to the learners themselves, such as a sense of achievement, satisfaction of interest, gaining confidence, etc. Extrinsic motivation comes from influences external to the individual. Driven by extrinsic motivation, learners will desire extrinsic rewards, such as money, job promotion or other positive feedback.</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default" w:ascii="Times New Roman" w:hAnsi="Times New Roman" w:eastAsia="Futura Light BT" w:cs="Times New Roman"/>
          <w:color w:val="000000"/>
          <w:kern w:val="0"/>
          <w:sz w:val="24"/>
          <w:szCs w:val="24"/>
          <w:lang w:val="en-US" w:eastAsia="zh-CN" w:bidi="ar"/>
        </w:rPr>
      </w:pPr>
    </w:p>
    <w:p>
      <w:pPr>
        <w:pStyle w:val="3"/>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right="0" w:rightChars="0"/>
        <w:jc w:val="both"/>
        <w:rPr>
          <w:rFonts w:hint="default" w:ascii="Times New Roman" w:hAnsi="Times New Roman" w:eastAsia="Futura Light BT" w:cs="Times New Roman"/>
          <w:color w:val="000000"/>
          <w:kern w:val="0"/>
          <w:sz w:val="24"/>
          <w:szCs w:val="24"/>
          <w:lang w:val="en-US" w:eastAsia="zh-CN" w:bidi="ar"/>
        </w:rPr>
      </w:pPr>
      <w:r>
        <w:rPr>
          <w:rFonts w:hint="eastAsia" w:ascii="Times New Roman" w:hAnsi="Times New Roman" w:eastAsia="Futura Light BT" w:cs="Times New Roman"/>
          <w:color w:val="000000"/>
          <w:kern w:val="0"/>
          <w:sz w:val="24"/>
          <w:szCs w:val="24"/>
          <w:lang w:val="en-US" w:eastAsia="zh-CN" w:bidi="ar"/>
        </w:rPr>
        <w:t>A</w:t>
      </w:r>
      <w:r>
        <w:rPr>
          <w:rFonts w:hint="default" w:ascii="Times New Roman" w:hAnsi="Times New Roman" w:eastAsia="Futura Light BT" w:cs="Times New Roman"/>
          <w:color w:val="000000"/>
          <w:kern w:val="0"/>
          <w:sz w:val="24"/>
          <w:szCs w:val="24"/>
          <w:lang w:val="en-US" w:eastAsia="zh-CN" w:bidi="ar"/>
        </w:rPr>
        <w:t>pplication of motivation in second language learning</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right="0" w:rightChars="0"/>
        <w:jc w:val="both"/>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Motivation play</w:t>
      </w:r>
      <w:r>
        <w:rPr>
          <w:rFonts w:hint="eastAsia" w:ascii="Times New Roman" w:hAnsi="Times New Roman" w:eastAsia="Futura Light BT" w:cs="Times New Roman"/>
          <w:color w:val="000000"/>
          <w:kern w:val="0"/>
          <w:sz w:val="24"/>
          <w:szCs w:val="24"/>
          <w:lang w:val="en-US" w:eastAsia="zh-CN" w:bidi="ar"/>
        </w:rPr>
        <w:t>s</w:t>
      </w:r>
      <w:r>
        <w:rPr>
          <w:rFonts w:hint="default" w:ascii="Times New Roman" w:hAnsi="Times New Roman" w:eastAsia="Futura Light BT" w:cs="Times New Roman"/>
          <w:color w:val="000000"/>
          <w:kern w:val="0"/>
          <w:sz w:val="24"/>
          <w:szCs w:val="24"/>
          <w:lang w:val="en-US" w:eastAsia="zh-CN" w:bidi="ar"/>
        </w:rPr>
        <w:t xml:space="preserve"> an important role in second language learning, and has a significant impact on both the process and the outcome of an individual's learning of a second language. As individuals are complex, so are their motivations</w:t>
      </w:r>
      <w:r>
        <w:rPr>
          <w:rFonts w:hint="eastAsia" w:ascii="Times New Roman" w:hAnsi="Times New Roman" w:eastAsia="Futura Light BT" w:cs="Times New Roman"/>
          <w:color w:val="000000"/>
          <w:kern w:val="0"/>
          <w:sz w:val="24"/>
          <w:szCs w:val="24"/>
          <w:lang w:val="en-US" w:eastAsia="zh-CN" w:bidi="ar"/>
        </w:rPr>
        <w:t>,</w:t>
      </w:r>
      <w:r>
        <w:rPr>
          <w:rFonts w:hint="default" w:ascii="Times New Roman" w:hAnsi="Times New Roman" w:eastAsia="Futura Light BT" w:cs="Times New Roman"/>
          <w:color w:val="000000"/>
          <w:kern w:val="0"/>
          <w:sz w:val="24"/>
          <w:szCs w:val="24"/>
          <w:lang w:val="en-US" w:eastAsia="zh-CN" w:bidi="ar"/>
        </w:rPr>
        <w:t xml:space="preserve"> </w:t>
      </w:r>
      <w:r>
        <w:rPr>
          <w:rFonts w:hint="eastAsia" w:ascii="Times New Roman" w:hAnsi="Times New Roman" w:eastAsia="Futura Light BT" w:cs="Times New Roman"/>
          <w:color w:val="000000"/>
          <w:kern w:val="0"/>
          <w:sz w:val="24"/>
          <w:szCs w:val="24"/>
          <w:lang w:val="en-US" w:eastAsia="zh-CN" w:bidi="ar"/>
        </w:rPr>
        <w:t>b</w:t>
      </w:r>
      <w:r>
        <w:rPr>
          <w:rFonts w:hint="default" w:ascii="Times New Roman" w:hAnsi="Times New Roman" w:eastAsia="Futura Light BT" w:cs="Times New Roman"/>
          <w:color w:val="000000"/>
          <w:kern w:val="0"/>
          <w:sz w:val="24"/>
          <w:szCs w:val="24"/>
          <w:lang w:val="en-US" w:eastAsia="zh-CN" w:bidi="ar"/>
        </w:rPr>
        <w:t xml:space="preserve">y defining and classifying individual motivational factors, </w:t>
      </w:r>
      <w:r>
        <w:rPr>
          <w:rFonts w:hint="eastAsia" w:ascii="Times New Roman" w:hAnsi="Times New Roman" w:eastAsia="Futura Light BT" w:cs="Times New Roman"/>
          <w:color w:val="000000"/>
          <w:kern w:val="0"/>
          <w:sz w:val="24"/>
          <w:szCs w:val="24"/>
          <w:lang w:val="en-US" w:eastAsia="zh-CN" w:bidi="ar"/>
        </w:rPr>
        <w:t xml:space="preserve">it is possible to </w:t>
      </w:r>
      <w:r>
        <w:rPr>
          <w:rFonts w:hint="default" w:ascii="Times New Roman" w:hAnsi="Times New Roman" w:eastAsia="Futura Light BT" w:cs="Times New Roman"/>
          <w:color w:val="000000"/>
          <w:kern w:val="0"/>
          <w:sz w:val="24"/>
          <w:szCs w:val="24"/>
          <w:lang w:val="en-US" w:eastAsia="zh-CN" w:bidi="ar"/>
        </w:rPr>
        <w:t xml:space="preserve">develop a dynamic system of motivation </w:t>
      </w:r>
      <w:r>
        <w:rPr>
          <w:rFonts w:hint="eastAsia" w:eastAsia="Futura Light BT" w:cs="Times New Roman"/>
          <w:color w:val="000000"/>
          <w:kern w:val="0"/>
          <w:sz w:val="24"/>
          <w:szCs w:val="24"/>
          <w:lang w:val="en-US" w:eastAsia="zh-CN" w:bidi="ar"/>
        </w:rPr>
        <w:t xml:space="preserve">to </w:t>
      </w:r>
      <w:r>
        <w:rPr>
          <w:rFonts w:hint="default" w:ascii="Times New Roman" w:hAnsi="Times New Roman" w:eastAsia="Futura Light BT" w:cs="Times New Roman"/>
          <w:color w:val="000000"/>
          <w:kern w:val="0"/>
          <w:sz w:val="24"/>
          <w:szCs w:val="24"/>
          <w:lang w:val="en-US" w:eastAsia="zh-CN" w:bidi="ar"/>
        </w:rPr>
        <w:t xml:space="preserve">motivate learners </w:t>
      </w:r>
      <w:r>
        <w:rPr>
          <w:rFonts w:hint="eastAsia" w:eastAsia="Futura Light BT" w:cs="Times New Roman"/>
          <w:color w:val="000000"/>
          <w:kern w:val="0"/>
          <w:sz w:val="24"/>
          <w:szCs w:val="24"/>
          <w:lang w:val="en-US" w:eastAsia="zh-CN" w:bidi="ar"/>
        </w:rPr>
        <w:t xml:space="preserve">in L2 </w:t>
      </w:r>
      <w:r>
        <w:rPr>
          <w:rFonts w:hint="default" w:ascii="Times New Roman" w:hAnsi="Times New Roman" w:eastAsia="Futura Light BT" w:cs="Times New Roman"/>
          <w:color w:val="000000"/>
          <w:kern w:val="0"/>
          <w:sz w:val="24"/>
          <w:szCs w:val="24"/>
          <w:lang w:val="en-US" w:eastAsia="zh-CN" w:bidi="ar"/>
        </w:rPr>
        <w:t>learning.</w:t>
      </w:r>
    </w:p>
    <w:p>
      <w:pPr>
        <w:pStyle w:val="3"/>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right="0" w:rightChars="0"/>
        <w:jc w:val="both"/>
        <w:rPr>
          <w:rFonts w:hint="default" w:ascii="Times New Roman" w:hAnsi="Times New Roman"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M</w:t>
      </w:r>
      <w:r>
        <w:rPr>
          <w:rFonts w:hint="default" w:ascii="Times New Roman" w:hAnsi="Times New Roman" w:eastAsia="Futura Light BT" w:cs="Times New Roman"/>
          <w:color w:val="000000"/>
          <w:kern w:val="0"/>
          <w:sz w:val="24"/>
          <w:szCs w:val="24"/>
          <w:lang w:val="en-US" w:eastAsia="zh-CN" w:bidi="ar"/>
        </w:rPr>
        <w:t xml:space="preserve">eet </w:t>
      </w:r>
      <w:r>
        <w:rPr>
          <w:rFonts w:hint="eastAsia" w:eastAsia="Futura Light BT" w:cs="Times New Roman"/>
          <w:color w:val="000000"/>
          <w:kern w:val="0"/>
          <w:sz w:val="24"/>
          <w:szCs w:val="24"/>
          <w:lang w:val="en-US" w:eastAsia="zh-CN" w:bidi="ar"/>
        </w:rPr>
        <w:t>needs</w:t>
      </w:r>
      <w:r>
        <w:rPr>
          <w:rFonts w:hint="default" w:ascii="Times New Roman" w:hAnsi="Times New Roman" w:eastAsia="Futura Light BT" w:cs="Times New Roman"/>
          <w:color w:val="000000"/>
          <w:kern w:val="0"/>
          <w:sz w:val="24"/>
          <w:szCs w:val="24"/>
          <w:lang w:val="en-US" w:eastAsia="zh-CN" w:bidi="ar"/>
        </w:rPr>
        <w:t xml:space="preserve"> </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right="0" w:rightChars="0"/>
        <w:jc w:val="both"/>
        <w:rPr>
          <w:rFonts w:hint="eastAsia"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The American psychologist Maslow (19</w:t>
      </w:r>
      <w:r>
        <w:rPr>
          <w:rFonts w:hint="eastAsia" w:ascii="Times New Roman" w:hAnsi="Times New Roman" w:eastAsia="Futura Light BT" w:cs="Times New Roman"/>
          <w:color w:val="000000"/>
          <w:kern w:val="0"/>
          <w:sz w:val="24"/>
          <w:szCs w:val="24"/>
          <w:lang w:val="en-US" w:eastAsia="zh-CN" w:bidi="ar"/>
        </w:rPr>
        <w:t>54</w:t>
      </w:r>
      <w:r>
        <w:rPr>
          <w:rFonts w:hint="default" w:ascii="Times New Roman" w:hAnsi="Times New Roman" w:eastAsia="Futura Light BT" w:cs="Times New Roman"/>
          <w:color w:val="000000"/>
          <w:kern w:val="0"/>
          <w:sz w:val="24"/>
          <w:szCs w:val="24"/>
          <w:lang w:val="en-US" w:eastAsia="zh-CN" w:bidi="ar"/>
        </w:rPr>
        <w:t>) proposed the Hierarchy of Human Needs to explain how humans are intrinsically motivated to engage in behaviour. According to his hierarchy of needs, human needs are divided from bottom to top into</w:t>
      </w:r>
      <w:r>
        <w:rPr>
          <w:rFonts w:hint="eastAsia" w:ascii="Times New Roman" w:hAnsi="Times New Roman" w:eastAsia="Futura Light BT" w:cs="Times New Roman"/>
          <w:color w:val="000000"/>
          <w:kern w:val="0"/>
          <w:sz w:val="24"/>
          <w:szCs w:val="24"/>
          <w:lang w:val="en-US" w:eastAsia="zh-CN" w:bidi="ar"/>
        </w:rPr>
        <w:t xml:space="preserve"> physiological</w:t>
      </w:r>
      <w:r>
        <w:rPr>
          <w:rFonts w:hint="eastAsia" w:eastAsia="Futura Light BT" w:cs="Times New Roman"/>
          <w:color w:val="000000"/>
          <w:kern w:val="0"/>
          <w:sz w:val="24"/>
          <w:szCs w:val="24"/>
          <w:lang w:val="en-US" w:eastAsia="zh-CN" w:bidi="ar"/>
        </w:rPr>
        <w:t xml:space="preserve"> needs</w:t>
      </w:r>
      <w:r>
        <w:rPr>
          <w:rFonts w:hint="eastAsia" w:ascii="Times New Roman" w:hAnsi="Times New Roman" w:eastAsia="Futura Light BT" w:cs="Times New Roman"/>
          <w:color w:val="000000"/>
          <w:kern w:val="0"/>
          <w:sz w:val="24"/>
          <w:szCs w:val="24"/>
          <w:lang w:val="en-US" w:eastAsia="zh-CN" w:bidi="ar"/>
        </w:rPr>
        <w:t>, safety</w:t>
      </w:r>
      <w:r>
        <w:rPr>
          <w:rFonts w:hint="eastAsia" w:eastAsia="Futura Light BT" w:cs="Times New Roman"/>
          <w:color w:val="000000"/>
          <w:kern w:val="0"/>
          <w:sz w:val="24"/>
          <w:szCs w:val="24"/>
          <w:lang w:val="en-US" w:eastAsia="zh-CN" w:bidi="ar"/>
        </w:rPr>
        <w:t xml:space="preserve"> needs</w:t>
      </w:r>
      <w:r>
        <w:rPr>
          <w:rFonts w:hint="eastAsia" w:ascii="Times New Roman" w:hAnsi="Times New Roman" w:eastAsia="Futura Light BT" w:cs="Times New Roman"/>
          <w:color w:val="000000"/>
          <w:kern w:val="0"/>
          <w:sz w:val="24"/>
          <w:szCs w:val="24"/>
          <w:lang w:val="en-US" w:eastAsia="zh-CN" w:bidi="ar"/>
        </w:rPr>
        <w:t>, belonging and love</w:t>
      </w:r>
      <w:r>
        <w:rPr>
          <w:rFonts w:hint="eastAsia" w:eastAsia="Futura Light BT" w:cs="Times New Roman"/>
          <w:color w:val="000000"/>
          <w:kern w:val="0"/>
          <w:sz w:val="24"/>
          <w:szCs w:val="24"/>
          <w:lang w:val="en-US" w:eastAsia="zh-CN" w:bidi="ar"/>
        </w:rPr>
        <w:t xml:space="preserve"> needs</w:t>
      </w:r>
      <w:r>
        <w:rPr>
          <w:rFonts w:hint="eastAsia" w:ascii="Times New Roman" w:hAnsi="Times New Roman" w:eastAsia="Futura Light BT" w:cs="Times New Roman"/>
          <w:color w:val="000000"/>
          <w:kern w:val="0"/>
          <w:sz w:val="24"/>
          <w:szCs w:val="24"/>
          <w:lang w:val="en-US" w:eastAsia="zh-CN" w:bidi="ar"/>
        </w:rPr>
        <w:t>, social or estee</w:t>
      </w:r>
      <w:r>
        <w:rPr>
          <w:rFonts w:hint="eastAsia" w:eastAsia="Futura Light BT" w:cs="Times New Roman"/>
          <w:color w:val="000000"/>
          <w:kern w:val="0"/>
          <w:sz w:val="24"/>
          <w:szCs w:val="24"/>
          <w:lang w:val="en-US" w:eastAsia="zh-CN" w:bidi="ar"/>
        </w:rPr>
        <w:t>m needs</w:t>
      </w:r>
      <w:r>
        <w:rPr>
          <w:rFonts w:hint="eastAsia" w:ascii="Times New Roman" w:hAnsi="Times New Roman" w:eastAsia="Futura Light BT" w:cs="Times New Roman"/>
          <w:color w:val="000000"/>
          <w:kern w:val="0"/>
          <w:sz w:val="24"/>
          <w:szCs w:val="24"/>
          <w:lang w:val="en-US" w:eastAsia="zh-CN" w:bidi="ar"/>
        </w:rPr>
        <w:t xml:space="preserve">, </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need to know</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 needs, aesthetic needs </w:t>
      </w:r>
      <w:r>
        <w:rPr>
          <w:rFonts w:hint="eastAsia" w:ascii="Times New Roman" w:hAnsi="Times New Roman" w:eastAsia="Futura Light BT" w:cs="Times New Roman"/>
          <w:color w:val="000000"/>
          <w:kern w:val="0"/>
          <w:sz w:val="24"/>
          <w:szCs w:val="24"/>
          <w:lang w:val="en-US" w:eastAsia="zh-CN" w:bidi="ar"/>
        </w:rPr>
        <w:t xml:space="preserve">and self-actualization </w:t>
      </w:r>
      <w:r>
        <w:rPr>
          <w:rFonts w:hint="eastAsia" w:eastAsia="Futura Light BT" w:cs="Times New Roman"/>
          <w:color w:val="000000"/>
          <w:kern w:val="0"/>
          <w:sz w:val="24"/>
          <w:szCs w:val="24"/>
          <w:lang w:val="en-US" w:eastAsia="zh-CN" w:bidi="ar"/>
        </w:rPr>
        <w:t xml:space="preserve">needs. He argues that of these needs, the first four are </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basic needs</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 which are important for physical and psychological well-being and must be met to some degree, and the last three are </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growth needs</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 which are rarely fully met. The need for knowledge needs lie at the fifth level which belongs to the </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growth need</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If the basic needs haven</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t been met, it is difficult to develop motivation to learn based on the </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need to know</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 needs. Therefore, in order to develop students' motivation, it is necessary to first meet their basic needs and, on this basis, to make clear to L2 learners the purpose and meaning of learning a second language. This can be done by making students aware of the importance of English for their future career, so that they can change from "I want to learn" to "I want to learn" and "I love to learn".</w:t>
      </w:r>
    </w:p>
    <w:p>
      <w:pPr>
        <w:pStyle w:val="3"/>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0" w:leftChars="0" w:right="0" w:rightChars="0" w:firstLine="0" w:firstLineChars="0"/>
        <w:jc w:val="both"/>
        <w:rPr>
          <w:rFonts w:hint="default" w:eastAsia="Futura Light BT" w:cs="Times New Roman"/>
          <w:color w:val="000000"/>
          <w:kern w:val="0"/>
          <w:sz w:val="24"/>
          <w:szCs w:val="24"/>
          <w:lang w:val="en-US" w:eastAsia="zh-CN" w:bidi="ar"/>
        </w:rPr>
      </w:pPr>
      <w:r>
        <w:rPr>
          <w:rFonts w:hint="default" w:eastAsia="Futura Light BT" w:cs="Times New Roman"/>
          <w:color w:val="000000"/>
          <w:kern w:val="0"/>
          <w:sz w:val="24"/>
          <w:szCs w:val="24"/>
          <w:lang w:val="en-US" w:eastAsia="zh-CN" w:bidi="ar"/>
        </w:rPr>
        <w:t>Encouragement</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default" w:eastAsia="Futura Light BT" w:cs="Times New Roman"/>
          <w:color w:val="000000"/>
          <w:kern w:val="0"/>
          <w:sz w:val="24"/>
          <w:szCs w:val="24"/>
          <w:lang w:val="en-US" w:eastAsia="zh-CN" w:bidi="ar"/>
        </w:rPr>
      </w:pPr>
      <w:r>
        <w:rPr>
          <w:rFonts w:hint="default" w:eastAsia="Futura Light BT" w:cs="Times New Roman"/>
          <w:color w:val="000000"/>
          <w:kern w:val="0"/>
          <w:sz w:val="24"/>
          <w:szCs w:val="24"/>
          <w:lang w:val="en-US" w:eastAsia="zh-CN" w:bidi="ar"/>
        </w:rPr>
        <w:t>According to Edward Deci's theory of motivation, motivation</w:t>
      </w:r>
      <w:r>
        <w:rPr>
          <w:rFonts w:hint="eastAsia" w:eastAsia="Futura Light BT" w:cs="Times New Roman"/>
          <w:color w:val="000000"/>
          <w:kern w:val="0"/>
          <w:sz w:val="24"/>
          <w:szCs w:val="24"/>
          <w:lang w:val="en-US" w:eastAsia="zh-CN" w:bidi="ar"/>
        </w:rPr>
        <w:t xml:space="preserve"> can be </w:t>
      </w:r>
      <w:r>
        <w:rPr>
          <w:rFonts w:hint="default" w:eastAsia="Futura Light BT" w:cs="Times New Roman"/>
          <w:color w:val="000000"/>
          <w:kern w:val="0"/>
          <w:sz w:val="24"/>
          <w:szCs w:val="24"/>
          <w:lang w:val="en-US" w:eastAsia="zh-CN" w:bidi="ar"/>
        </w:rPr>
        <w:t xml:space="preserve">divided into </w:t>
      </w:r>
      <w:r>
        <w:rPr>
          <w:rFonts w:hint="eastAsia" w:ascii="Times New Roman" w:hAnsi="Times New Roman" w:eastAsia="Futura Light BT" w:cs="Times New Roman"/>
          <w:color w:val="000000"/>
          <w:kern w:val="0"/>
          <w:sz w:val="24"/>
          <w:szCs w:val="24"/>
          <w:lang w:val="en-US" w:eastAsia="zh-CN" w:bidi="ar"/>
        </w:rPr>
        <w:t>Intrinsic</w:t>
      </w:r>
      <w:r>
        <w:rPr>
          <w:rFonts w:hint="default" w:eastAsia="Futura Light BT" w:cs="Times New Roman"/>
          <w:color w:val="000000"/>
          <w:kern w:val="0"/>
          <w:sz w:val="24"/>
          <w:szCs w:val="24"/>
          <w:lang w:val="en-US" w:eastAsia="zh-CN" w:bidi="ar"/>
        </w:rPr>
        <w:t xml:space="preserve"> and ex</w:t>
      </w:r>
      <w:r>
        <w:rPr>
          <w:rFonts w:hint="eastAsia" w:ascii="Times New Roman" w:hAnsi="Times New Roman" w:eastAsia="Futura Light BT" w:cs="Times New Roman"/>
          <w:color w:val="000000"/>
          <w:kern w:val="0"/>
          <w:sz w:val="24"/>
          <w:szCs w:val="24"/>
          <w:lang w:val="en-US" w:eastAsia="zh-CN" w:bidi="ar"/>
        </w:rPr>
        <w:t>trinsic</w:t>
      </w:r>
      <w:r>
        <w:rPr>
          <w:rFonts w:hint="default" w:eastAsia="Futura Light BT" w:cs="Times New Roman"/>
          <w:color w:val="000000"/>
          <w:kern w:val="0"/>
          <w:sz w:val="24"/>
          <w:szCs w:val="24"/>
          <w:lang w:val="en-US" w:eastAsia="zh-CN" w:bidi="ar"/>
        </w:rPr>
        <w:t xml:space="preserve"> motivation. Teachers should pay attention to the classification of L2 learners' motivation and reward them appropriately according to their different motivations. For example, for L2 learners who are more externally motivated or younger, </w:t>
      </w:r>
      <w:r>
        <w:rPr>
          <w:rFonts w:hint="eastAsia" w:ascii="Times New Roman" w:hAnsi="Times New Roman" w:eastAsia="Futura Light BT" w:cs="Times New Roman"/>
          <w:color w:val="000000"/>
          <w:kern w:val="0"/>
          <w:sz w:val="24"/>
          <w:szCs w:val="24"/>
          <w:lang w:val="en-US" w:eastAsia="zh-CN" w:bidi="ar"/>
        </w:rPr>
        <w:t>extrinsic</w:t>
      </w:r>
      <w:r>
        <w:rPr>
          <w:rFonts w:hint="default" w:eastAsia="Futura Light BT" w:cs="Times New Roman"/>
          <w:color w:val="000000"/>
          <w:kern w:val="0"/>
          <w:sz w:val="24"/>
          <w:szCs w:val="24"/>
          <w:lang w:val="en-US" w:eastAsia="zh-CN" w:bidi="ar"/>
        </w:rPr>
        <w:t xml:space="preserve"> rewards such as praise, prizes and awards can be given to motivate learners for their progress</w:t>
      </w:r>
      <w:r>
        <w:rPr>
          <w:rFonts w:hint="eastAsia" w:eastAsia="Futura Light BT" w:cs="Times New Roman"/>
          <w:color w:val="000000"/>
          <w:kern w:val="0"/>
          <w:sz w:val="24"/>
          <w:szCs w:val="24"/>
          <w:lang w:val="en-US" w:eastAsia="zh-CN" w:bidi="ar"/>
        </w:rPr>
        <w:t>, to simulate learners' motivation to learn</w:t>
      </w:r>
      <w:r>
        <w:rPr>
          <w:rFonts w:hint="default" w:eastAsia="Futura Light BT" w:cs="Times New Roman"/>
          <w:color w:val="000000"/>
          <w:kern w:val="0"/>
          <w:sz w:val="24"/>
          <w:szCs w:val="24"/>
          <w:lang w:val="en-US" w:eastAsia="zh-CN" w:bidi="ar"/>
        </w:rPr>
        <w:t>. On the other hand, too much extrinsic motivation can weaken intrinsic motivation and can also feed into the learner's utilitarianism, which can only lead to short-term stimulus effectiveness. Therefore, stimulating L2 learners' intrinsic motivation is crucial to learners' L2 learning. Teachers should impart the right learning concepts and values</w:t>
      </w:r>
      <w:r>
        <w:rPr>
          <w:rFonts w:hint="eastAsia" w:eastAsia="Futura Light BT" w:cs="Times New Roman"/>
          <w:color w:val="000000"/>
          <w:kern w:val="0"/>
          <w:sz w:val="24"/>
          <w:szCs w:val="24"/>
          <w:lang w:val="en-US" w:eastAsia="zh-CN" w:bidi="ar"/>
        </w:rPr>
        <w:t xml:space="preserve"> to learners</w:t>
      </w:r>
      <w:r>
        <w:rPr>
          <w:rFonts w:hint="default" w:eastAsia="Futura Light BT" w:cs="Times New Roman"/>
          <w:color w:val="000000"/>
          <w:kern w:val="0"/>
          <w:sz w:val="24"/>
          <w:szCs w:val="24"/>
          <w:lang w:val="en-US" w:eastAsia="zh-CN" w:bidi="ar"/>
        </w:rPr>
        <w:t>, and through spiritual encouragement allow learners to voluntarily generate intrinsic motivation to learn and thus achieve long-term success in L2 learning.</w:t>
      </w:r>
    </w:p>
    <w:p>
      <w:pPr>
        <w:pStyle w:val="3"/>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0" w:leftChars="0" w:right="0" w:rightChars="0" w:firstLine="0" w:firstLineChars="0"/>
        <w:jc w:val="both"/>
        <w:rPr>
          <w:rFonts w:hint="default"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Fostering cultural identity in second language learning</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r>
        <w:rPr>
          <w:rFonts w:hint="default" w:eastAsia="Futura Light BT" w:cs="Times New Roman"/>
          <w:color w:val="000000"/>
          <w:kern w:val="0"/>
          <w:sz w:val="24"/>
          <w:szCs w:val="24"/>
          <w:lang w:val="en-US" w:eastAsia="zh-CN" w:bidi="ar"/>
        </w:rPr>
        <w:t>According to Gardner and Lambert's motivation theory, motivation to learn a second language is classified as</w:t>
      </w:r>
      <w:r>
        <w:rPr>
          <w:rFonts w:hint="eastAsia" w:eastAsia="Futura Light BT" w:cs="Times New Roman"/>
          <w:color w:val="000000"/>
          <w:kern w:val="0"/>
          <w:sz w:val="24"/>
          <w:szCs w:val="24"/>
          <w:lang w:val="en-US" w:eastAsia="zh-CN" w:bidi="ar"/>
        </w:rPr>
        <w:t xml:space="preserve"> </w:t>
      </w:r>
      <w:r>
        <w:rPr>
          <w:rFonts w:hint="default" w:eastAsia="Futura Light BT" w:cs="Times New Roman"/>
          <w:color w:val="000000"/>
          <w:kern w:val="0"/>
          <w:sz w:val="24"/>
          <w:szCs w:val="24"/>
          <w:lang w:val="en-US" w:eastAsia="zh-CN" w:bidi="ar"/>
        </w:rPr>
        <w:t>Integrative motivatio</w:t>
      </w:r>
      <w:r>
        <w:rPr>
          <w:rFonts w:hint="eastAsia" w:eastAsia="Futura Light BT" w:cs="Times New Roman"/>
          <w:color w:val="000000"/>
          <w:kern w:val="0"/>
          <w:sz w:val="24"/>
          <w:szCs w:val="24"/>
          <w:lang w:val="en-US" w:eastAsia="zh-CN" w:bidi="ar"/>
        </w:rPr>
        <w:t xml:space="preserve">n and </w:t>
      </w:r>
      <w:r>
        <w:rPr>
          <w:rFonts w:hint="default" w:eastAsia="Futura Light BT" w:cs="Times New Roman"/>
          <w:color w:val="000000"/>
          <w:kern w:val="0"/>
          <w:sz w:val="24"/>
          <w:szCs w:val="24"/>
          <w:lang w:val="en-US" w:eastAsia="zh-CN" w:bidi="ar"/>
        </w:rPr>
        <w:t>Instrumental motivation</w:t>
      </w:r>
      <w:r>
        <w:rPr>
          <w:rFonts w:hint="eastAsia" w:eastAsia="Futura Light BT" w:cs="Times New Roman"/>
          <w:color w:val="000000"/>
          <w:kern w:val="0"/>
          <w:sz w:val="24"/>
          <w:szCs w:val="24"/>
          <w:lang w:val="en-US" w:eastAsia="zh-CN" w:bidi="ar"/>
        </w:rPr>
        <w:t>. On this basis, In second language teaching, teachers can guide students</w:t>
      </w:r>
      <w:r>
        <w:rPr>
          <w:rFonts w:hint="default" w:eastAsia="Futura Light BT" w:cs="Times New Roman"/>
          <w:color w:val="000000"/>
          <w:kern w:val="0"/>
          <w:sz w:val="24"/>
          <w:szCs w:val="24"/>
          <w:lang w:val="en-US" w:eastAsia="zh-CN" w:bidi="ar"/>
        </w:rPr>
        <w:t>’</w:t>
      </w:r>
      <w:r>
        <w:rPr>
          <w:rFonts w:hint="eastAsia" w:eastAsia="Futura Light BT" w:cs="Times New Roman"/>
          <w:color w:val="000000"/>
          <w:kern w:val="0"/>
          <w:sz w:val="24"/>
          <w:szCs w:val="24"/>
          <w:lang w:val="en-US" w:eastAsia="zh-CN" w:bidi="ar"/>
        </w:rPr>
        <w:t xml:space="preserve"> attitude towards second language learning and influence their learning motivation by using different teaching strategies. </w:t>
      </w:r>
      <w:r>
        <w:rPr>
          <w:rFonts w:hint="default" w:eastAsia="Futura Light BT" w:cs="Times New Roman"/>
          <w:color w:val="000000"/>
          <w:kern w:val="0"/>
          <w:sz w:val="24"/>
          <w:szCs w:val="24"/>
          <w:lang w:val="en-US" w:eastAsia="zh-CN" w:bidi="ar"/>
        </w:rPr>
        <w:t xml:space="preserve">Students are people with beliefs, feelings and identity, and if learners </w:t>
      </w:r>
      <w:r>
        <w:rPr>
          <w:rFonts w:hint="eastAsia" w:eastAsia="Futura Light BT" w:cs="Times New Roman"/>
          <w:color w:val="000000"/>
          <w:kern w:val="0"/>
          <w:sz w:val="24"/>
          <w:szCs w:val="24"/>
          <w:lang w:val="en-US" w:eastAsia="zh-CN" w:bidi="ar"/>
        </w:rPr>
        <w:t xml:space="preserve">has strong instrumental motivation and </w:t>
      </w:r>
      <w:r>
        <w:rPr>
          <w:rFonts w:hint="default" w:eastAsia="Futura Light BT" w:cs="Times New Roman"/>
          <w:color w:val="000000"/>
          <w:kern w:val="0"/>
          <w:sz w:val="24"/>
          <w:szCs w:val="24"/>
          <w:lang w:val="en-US" w:eastAsia="zh-CN" w:bidi="ar"/>
        </w:rPr>
        <w:t xml:space="preserve">think that </w:t>
      </w:r>
      <w:r>
        <w:rPr>
          <w:rFonts w:hint="eastAsia" w:eastAsia="Futura Light BT" w:cs="Times New Roman"/>
          <w:color w:val="000000"/>
          <w:kern w:val="0"/>
          <w:sz w:val="24"/>
          <w:szCs w:val="24"/>
          <w:lang w:val="en-US" w:eastAsia="zh-CN" w:bidi="ar"/>
        </w:rPr>
        <w:t>m</w:t>
      </w:r>
      <w:r>
        <w:rPr>
          <w:rFonts w:hint="default" w:eastAsia="Futura Light BT" w:cs="Times New Roman"/>
          <w:color w:val="000000"/>
          <w:kern w:val="0"/>
          <w:sz w:val="24"/>
          <w:szCs w:val="24"/>
          <w:lang w:val="en-US" w:eastAsia="zh-CN" w:bidi="ar"/>
        </w:rPr>
        <w:t>aster</w:t>
      </w:r>
      <w:r>
        <w:rPr>
          <w:rFonts w:hint="eastAsia" w:eastAsia="Futura Light BT" w:cs="Times New Roman"/>
          <w:color w:val="000000"/>
          <w:kern w:val="0"/>
          <w:sz w:val="24"/>
          <w:szCs w:val="24"/>
          <w:lang w:val="en-US" w:eastAsia="zh-CN" w:bidi="ar"/>
        </w:rPr>
        <w:t>ing</w:t>
      </w:r>
      <w:r>
        <w:rPr>
          <w:rFonts w:hint="default" w:eastAsia="Futura Light BT" w:cs="Times New Roman"/>
          <w:color w:val="000000"/>
          <w:kern w:val="0"/>
          <w:sz w:val="24"/>
          <w:szCs w:val="24"/>
          <w:lang w:val="en-US" w:eastAsia="zh-CN" w:bidi="ar"/>
        </w:rPr>
        <w:t xml:space="preserve"> a second language will help them get a good job or get into a better school, they will improve their language skills in a short time.</w:t>
      </w:r>
      <w:r>
        <w:rPr>
          <w:rFonts w:hint="eastAsia" w:eastAsia="Futura Light BT" w:cs="Times New Roman"/>
          <w:color w:val="000000"/>
          <w:kern w:val="0"/>
          <w:sz w:val="24"/>
          <w:szCs w:val="24"/>
          <w:lang w:val="en-US" w:eastAsia="zh-CN" w:bidi="ar"/>
        </w:rPr>
        <w:t xml:space="preserve"> </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At the same time, developing L2 learners' cultural identity with the second language group can help build learners' integrative motivation to learn a second language. If instrumental motivation has a short-term stimulating effect on L2 learners' learning of a second language, integrative motivation helps L2 learners to develop a long-term learning mechanism. Building L2 learners' integrative motivation helps to stimulate them to establish a clear learning plan and to develop their learning goals for second language localisation, ultimately enabling L2 learners to successfully acquire second language skills.</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IV. Conclusion</w:t>
      </w:r>
    </w:p>
    <w:p>
      <w:pPr>
        <w:pStyle w:val="3"/>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spacing w:before="0" w:beforeAutospacing="0" w:after="0" w:afterAutospacing="0" w:line="312" w:lineRule="atLeast"/>
        <w:ind w:leftChars="0" w:right="0" w:rightChars="0"/>
        <w:jc w:val="both"/>
        <w:rPr>
          <w:rFonts w:hint="eastAsia" w:eastAsia="Futura Light BT" w:cs="Times New Roman"/>
          <w:color w:val="000000"/>
          <w:kern w:val="0"/>
          <w:sz w:val="24"/>
          <w:szCs w:val="24"/>
          <w:lang w:val="en-US" w:eastAsia="zh-CN" w:bidi="ar"/>
        </w:rPr>
      </w:pPr>
      <w:r>
        <w:rPr>
          <w:rFonts w:hint="eastAsia" w:eastAsia="Futura Light BT" w:cs="Times New Roman"/>
          <w:color w:val="000000"/>
          <w:kern w:val="0"/>
          <w:sz w:val="24"/>
          <w:szCs w:val="24"/>
          <w:lang w:val="en-US" w:eastAsia="zh-CN" w:bidi="ar"/>
        </w:rPr>
        <w:t>As second language learning is a complex process and the individual differences of second language learners are great, there are many individual factors that influence second language learning. Motivation, as one of the key factors influencing second language learning, is an important factor in determining the success of second language learning. How to increase students' motivation and relieve their emotional anxiety in second language learning has been a persistent topic of academic interest. In second language learning, if teachers can correctly understand, cultivate and stimulate students' learning motivation, so that it is in the other conditions of the same condition, give full play to its potential ability, it may make students in academic performance and ability have a very big leap.</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Futura Light BT">
    <w:altName w:val="Segoe Print"/>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16">
    <w:p>
      <w:r>
        <w:separator/>
      </w:r>
    </w:p>
  </w:footnote>
  <w:footnote w:type="continuationSeparator" w:id="17">
    <w:p>
      <w:r>
        <w:continuationSeparator/>
      </w:r>
    </w:p>
  </w:footnote>
  <w:footnote w:id="0">
    <w:p>
      <w:pPr>
        <w:pStyle w:val="2"/>
        <w:snapToGrid w:val="0"/>
      </w:pPr>
      <w:r>
        <w:rPr>
          <w:rStyle w:val="9"/>
        </w:rPr>
        <w:footnoteRef/>
      </w:r>
      <w:r>
        <w:t xml:space="preserve"> </w:t>
      </w:r>
      <w:r>
        <w:rPr>
          <w:rFonts w:hint="eastAsia"/>
        </w:rPr>
        <w:t xml:space="preserve"> Longman Dictionary of Applied Linguistics, Jack Richards, et al. (1985, p.252) </w:t>
      </w:r>
    </w:p>
  </w:footnote>
  <w:footnote w:id="1">
    <w:p>
      <w:pPr>
        <w:pStyle w:val="2"/>
        <w:snapToGrid w:val="0"/>
      </w:pPr>
      <w:r>
        <w:rPr>
          <w:rStyle w:val="9"/>
        </w:rPr>
        <w:footnoteRef/>
      </w:r>
      <w:r>
        <w:t xml:space="preserve"> </w:t>
      </w:r>
      <w:r>
        <w:rPr>
          <w:rFonts w:ascii="Georgia" w:hAnsi="Georgia" w:eastAsia="Georgia" w:cs="Georgia"/>
          <w:i w:val="0"/>
          <w:iCs w:val="0"/>
          <w:caps w:val="0"/>
          <w:color w:val="333333"/>
          <w:spacing w:val="1"/>
          <w:sz w:val="20"/>
          <w:szCs w:val="20"/>
          <w:shd w:val="clear" w:fill="FCFCFC"/>
        </w:rPr>
        <w:t>Mitchell, R., &amp; Myles, F. (2004).</w:t>
      </w:r>
      <w:r>
        <w:rPr>
          <w:rFonts w:hint="default" w:ascii="Georgia" w:hAnsi="Georgia" w:eastAsia="Georgia" w:cs="Georgia"/>
          <w:i w:val="0"/>
          <w:iCs w:val="0"/>
          <w:caps w:val="0"/>
          <w:color w:val="333333"/>
          <w:spacing w:val="1"/>
          <w:sz w:val="20"/>
          <w:szCs w:val="20"/>
          <w:shd w:val="clear" w:fill="FCFCFC"/>
        </w:rPr>
        <w:t> </w:t>
      </w:r>
      <w:r>
        <w:rPr>
          <w:rStyle w:val="6"/>
          <w:rFonts w:hint="default" w:ascii="Georgia" w:hAnsi="Georgia" w:eastAsia="Georgia" w:cs="Georgia"/>
          <w:i/>
          <w:iCs/>
          <w:caps w:val="0"/>
          <w:color w:val="333333"/>
          <w:spacing w:val="1"/>
          <w:sz w:val="20"/>
          <w:szCs w:val="20"/>
          <w:shd w:val="clear" w:fill="FCFCFC"/>
        </w:rPr>
        <w:t>Second language learning theories</w:t>
      </w:r>
      <w:r>
        <w:rPr>
          <w:rFonts w:hint="default" w:ascii="Georgia" w:hAnsi="Georgia" w:eastAsia="Georgia" w:cs="Georgia"/>
          <w:i w:val="0"/>
          <w:iCs w:val="0"/>
          <w:caps w:val="0"/>
          <w:color w:val="333333"/>
          <w:spacing w:val="1"/>
          <w:sz w:val="20"/>
          <w:szCs w:val="20"/>
          <w:shd w:val="clear" w:fill="FCFCFC"/>
        </w:rPr>
        <w:t> (2nd ed.). London: Arnold.</w:t>
      </w:r>
    </w:p>
  </w:footnote>
  <w:footnote w:id="2">
    <w:p>
      <w:pPr>
        <w:pStyle w:val="2"/>
        <w:snapToGrid w:val="0"/>
        <w:rPr>
          <w:rFonts w:hint="eastAsia" w:eastAsia="宋体"/>
          <w:lang w:val="en-US" w:eastAsia="zh-CN"/>
        </w:rPr>
      </w:pPr>
      <w:r>
        <w:rPr>
          <w:rStyle w:val="9"/>
        </w:rPr>
        <w:footnoteRef/>
      </w:r>
      <w:r>
        <w:t xml:space="preserve"> </w:t>
      </w:r>
      <w:r>
        <w:rPr>
          <w:rFonts w:hint="eastAsia" w:eastAsia="宋体"/>
          <w:lang w:val="en-US" w:eastAsia="zh-CN"/>
        </w:rPr>
        <w:t>原文</w:t>
      </w:r>
    </w:p>
  </w:footnote>
  <w:footnote w:id="3">
    <w:p>
      <w:pPr>
        <w:pStyle w:val="2"/>
        <w:snapToGrid w:val="0"/>
      </w:pPr>
      <w:r>
        <w:rPr>
          <w:rStyle w:val="9"/>
        </w:rPr>
        <w:footnoteRef/>
      </w:r>
      <w:r>
        <w:t xml:space="preserve"> </w:t>
      </w:r>
      <w:r>
        <w:rPr>
          <w:rFonts w:hint="eastAsia"/>
        </w:rPr>
        <w:t>Ellis, R. (1986). Understanding Second Language Acquisition. Oxford: Oxford University Press</w:t>
      </w:r>
    </w:p>
  </w:footnote>
  <w:footnote w:id="4">
    <w:p>
      <w:pPr>
        <w:pStyle w:val="2"/>
        <w:snapToGrid w:val="0"/>
        <w:rPr>
          <w:rFonts w:hint="eastAsia" w:eastAsia="宋体"/>
          <w:lang w:val="en-US" w:eastAsia="zh-CN"/>
        </w:rPr>
      </w:pPr>
      <w:r>
        <w:rPr>
          <w:rStyle w:val="9"/>
        </w:rPr>
        <w:footnoteRef/>
      </w:r>
      <w:r>
        <w:t xml:space="preserve"> </w:t>
      </w:r>
      <w:r>
        <w:rPr>
          <w:rFonts w:hint="eastAsia" w:eastAsia="宋体"/>
          <w:lang w:val="en-US" w:eastAsia="zh-CN"/>
        </w:rPr>
        <w:t>原文</w:t>
      </w:r>
    </w:p>
  </w:footnote>
  <w:footnote w:id="5">
    <w:p>
      <w:pPr>
        <w:pStyle w:val="2"/>
        <w:snapToGrid w:val="0"/>
      </w:pPr>
      <w:r>
        <w:rPr>
          <w:rStyle w:val="9"/>
        </w:rPr>
        <w:footnoteRef/>
      </w:r>
      <w:r>
        <w:t xml:space="preserve"> </w:t>
      </w:r>
      <w:r>
        <w:rPr>
          <w:rFonts w:hint="eastAsia"/>
        </w:rPr>
        <w:t>Siti Khasinah</w:t>
      </w:r>
      <w:r>
        <w:rPr>
          <w:rFonts w:hint="eastAsia" w:eastAsia="宋体"/>
          <w:lang w:val="en-US" w:eastAsia="zh-CN"/>
        </w:rPr>
        <w:t xml:space="preserve"> </w:t>
      </w:r>
      <w:r>
        <w:rPr>
          <w:rFonts w:hint="eastAsia"/>
        </w:rPr>
        <w:t>FACTORS INFLUENCING SECOND LANGUAGE ACQUISITION</w:t>
      </w:r>
    </w:p>
  </w:footnote>
  <w:footnote w:id="6">
    <w:p>
      <w:pPr>
        <w:pStyle w:val="2"/>
        <w:snapToGrid w:val="0"/>
        <w:rPr>
          <w:rFonts w:hint="eastAsia" w:eastAsia="宋体"/>
          <w:lang w:val="en-US" w:eastAsia="zh-CN"/>
        </w:rPr>
      </w:pPr>
      <w:r>
        <w:rPr>
          <w:rStyle w:val="9"/>
        </w:rPr>
        <w:footnoteRef/>
      </w:r>
      <w:r>
        <w:t xml:space="preserve"> </w:t>
      </w:r>
      <w:r>
        <w:rPr>
          <w:rFonts w:hint="eastAsia" w:eastAsia="宋体"/>
          <w:lang w:val="en-US" w:eastAsia="zh-CN"/>
        </w:rPr>
        <w:t>Factors</w:t>
      </w:r>
    </w:p>
  </w:footnote>
  <w:footnote w:id="7">
    <w:p>
      <w:pPr>
        <w:pStyle w:val="2"/>
        <w:snapToGrid w:val="0"/>
      </w:pPr>
      <w:r>
        <w:rPr>
          <w:rStyle w:val="9"/>
        </w:rPr>
        <w:footnoteRef/>
      </w:r>
      <w:r>
        <w:t xml:space="preserve"> </w:t>
      </w:r>
      <w:r>
        <w:rPr>
          <w:rFonts w:ascii="sans-serif" w:hAnsi="sans-serif" w:eastAsia="sans-serif" w:cs="sans-serif"/>
          <w:i w:val="0"/>
          <w:iCs w:val="0"/>
          <w:caps w:val="0"/>
          <w:color w:val="202122"/>
          <w:spacing w:val="0"/>
          <w:sz w:val="15"/>
          <w:szCs w:val="15"/>
          <w:shd w:val="clear" w:fill="EAF3FF"/>
        </w:rPr>
        <w:t> </w:t>
      </w:r>
      <w:r>
        <w:rPr>
          <w:rStyle w:val="8"/>
          <w:rFonts w:hint="default" w:ascii="sans-serif" w:hAnsi="sans-serif" w:eastAsia="sans-serif" w:cs="sans-serif"/>
          <w:i w:val="0"/>
          <w:iCs w:val="0"/>
          <w:caps w:val="0"/>
          <w:color w:val="202122"/>
          <w:spacing w:val="0"/>
          <w:sz w:val="15"/>
          <w:szCs w:val="15"/>
        </w:rPr>
        <w:t>Ryan RM, Deci EL (January 2000). "Intrinsic and Extrinsic Motivations: Classic Definitions and New Directions". </w:t>
      </w:r>
      <w:r>
        <w:rPr>
          <w:rStyle w:val="8"/>
          <w:rFonts w:hint="default" w:ascii="sans-serif" w:hAnsi="sans-serif" w:eastAsia="sans-serif" w:cs="sans-serif"/>
          <w:i/>
          <w:iCs/>
          <w:caps w:val="0"/>
          <w:color w:val="202122"/>
          <w:spacing w:val="0"/>
          <w:sz w:val="15"/>
          <w:szCs w:val="15"/>
        </w:rPr>
        <w:t>Contemporary Educational Psychology</w:t>
      </w:r>
      <w:r>
        <w:rPr>
          <w:rStyle w:val="8"/>
          <w:rFonts w:hint="default" w:ascii="sans-serif" w:hAnsi="sans-serif" w:eastAsia="sans-serif" w:cs="sans-serif"/>
          <w:i w:val="0"/>
          <w:iCs w:val="0"/>
          <w:caps w:val="0"/>
          <w:color w:val="202122"/>
          <w:spacing w:val="0"/>
          <w:sz w:val="15"/>
          <w:szCs w:val="15"/>
        </w:rPr>
        <w:t>. </w:t>
      </w:r>
      <w:r>
        <w:rPr>
          <w:rStyle w:val="8"/>
          <w:rFonts w:hint="default" w:ascii="sans-serif" w:hAnsi="sans-serif" w:eastAsia="sans-serif" w:cs="sans-serif"/>
          <w:b/>
          <w:bCs/>
          <w:i w:val="0"/>
          <w:iCs w:val="0"/>
          <w:caps w:val="0"/>
          <w:color w:val="202122"/>
          <w:spacing w:val="0"/>
          <w:sz w:val="15"/>
          <w:szCs w:val="15"/>
        </w:rPr>
        <w:t>25</w:t>
      </w:r>
      <w:r>
        <w:rPr>
          <w:rStyle w:val="8"/>
          <w:rFonts w:hint="default" w:ascii="sans-serif" w:hAnsi="sans-serif" w:eastAsia="sans-serif" w:cs="sans-serif"/>
          <w:i w:val="0"/>
          <w:iCs w:val="0"/>
          <w:caps w:val="0"/>
          <w:color w:val="202122"/>
          <w:spacing w:val="0"/>
          <w:sz w:val="15"/>
          <w:szCs w:val="15"/>
        </w:rPr>
        <w:t> (1): 54–67. </w:t>
      </w:r>
      <w:r>
        <w:rPr>
          <w:rStyle w:val="8"/>
          <w:rFonts w:hint="default" w:ascii="sans-serif" w:hAnsi="sans-serif" w:eastAsia="sans-serif" w:cs="sans-serif"/>
          <w:i w:val="0"/>
          <w:iCs w:val="0"/>
          <w:caps w:val="0"/>
          <w:color w:val="0B0080"/>
          <w:spacing w:val="0"/>
          <w:sz w:val="15"/>
          <w:szCs w:val="15"/>
          <w:u w:val="none"/>
        </w:rPr>
        <w:fldChar w:fldCharType="begin"/>
      </w:r>
      <w:r>
        <w:rPr>
          <w:rStyle w:val="8"/>
          <w:rFonts w:hint="default" w:ascii="sans-serif" w:hAnsi="sans-serif" w:eastAsia="sans-serif" w:cs="sans-serif"/>
          <w:i w:val="0"/>
          <w:iCs w:val="0"/>
          <w:caps w:val="0"/>
          <w:color w:val="0B0080"/>
          <w:spacing w:val="0"/>
          <w:sz w:val="15"/>
          <w:szCs w:val="15"/>
          <w:u w:val="none"/>
        </w:rPr>
        <w:instrText xml:space="preserve"> HYPERLINK "https://en.wikipedia.org/wiki/CiteSeerX_(identifier)" \o "CiteSeerX (identifier)" </w:instrText>
      </w:r>
      <w:r>
        <w:rPr>
          <w:rStyle w:val="8"/>
          <w:rFonts w:hint="default" w:ascii="sans-serif" w:hAnsi="sans-serif" w:eastAsia="sans-serif" w:cs="sans-serif"/>
          <w:i w:val="0"/>
          <w:iCs w:val="0"/>
          <w:caps w:val="0"/>
          <w:color w:val="0B0080"/>
          <w:spacing w:val="0"/>
          <w:sz w:val="15"/>
          <w:szCs w:val="15"/>
          <w:u w:val="none"/>
        </w:rPr>
        <w:fldChar w:fldCharType="separate"/>
      </w:r>
      <w:r>
        <w:rPr>
          <w:rStyle w:val="7"/>
          <w:rFonts w:hint="default" w:ascii="sans-serif" w:hAnsi="sans-serif" w:eastAsia="sans-serif" w:cs="sans-serif"/>
          <w:i w:val="0"/>
          <w:iCs w:val="0"/>
          <w:caps w:val="0"/>
          <w:color w:val="0B0080"/>
          <w:spacing w:val="0"/>
          <w:sz w:val="15"/>
          <w:szCs w:val="15"/>
          <w:u w:val="none"/>
        </w:rPr>
        <w:t>CiteSeerX</w:t>
      </w:r>
      <w:r>
        <w:rPr>
          <w:rStyle w:val="8"/>
          <w:rFonts w:hint="default" w:ascii="sans-serif" w:hAnsi="sans-serif" w:eastAsia="sans-serif" w:cs="sans-serif"/>
          <w:i w:val="0"/>
          <w:iCs w:val="0"/>
          <w:caps w:val="0"/>
          <w:color w:val="0B0080"/>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 </w:t>
      </w:r>
      <w:r>
        <w:rPr>
          <w:rFonts w:hint="default" w:ascii="sans-serif" w:hAnsi="sans-serif" w:eastAsia="sans-serif" w:cs="sans-serif"/>
          <w:i w:val="0"/>
          <w:iCs w:val="0"/>
          <w:caps w:val="0"/>
          <w:color w:val="663366"/>
          <w:spacing w:val="0"/>
          <w:sz w:val="15"/>
          <w:szCs w:val="15"/>
          <w:u w:val="none"/>
        </w:rPr>
        <w:fldChar w:fldCharType="begin"/>
      </w:r>
      <w:r>
        <w:rPr>
          <w:rFonts w:hint="default" w:ascii="sans-serif" w:hAnsi="sans-serif" w:eastAsia="sans-serif" w:cs="sans-serif"/>
          <w:i w:val="0"/>
          <w:iCs w:val="0"/>
          <w:caps w:val="0"/>
          <w:color w:val="663366"/>
          <w:spacing w:val="0"/>
          <w:sz w:val="15"/>
          <w:szCs w:val="15"/>
          <w:u w:val="none"/>
        </w:rPr>
        <w:instrText xml:space="preserve"> HYPERLINK "https://citeseerx.ist.psu.edu/viewdoc/summary?doi=10.1.1.318.808" </w:instrText>
      </w:r>
      <w:r>
        <w:rPr>
          <w:rFonts w:hint="default" w:ascii="sans-serif" w:hAnsi="sans-serif" w:eastAsia="sans-serif" w:cs="sans-serif"/>
          <w:i w:val="0"/>
          <w:iCs w:val="0"/>
          <w:caps w:val="0"/>
          <w:color w:val="663366"/>
          <w:spacing w:val="0"/>
          <w:sz w:val="15"/>
          <w:szCs w:val="15"/>
          <w:u w:val="none"/>
        </w:rPr>
        <w:fldChar w:fldCharType="separate"/>
      </w:r>
      <w:r>
        <w:rPr>
          <w:rStyle w:val="7"/>
          <w:rFonts w:hint="default" w:ascii="sans-serif" w:hAnsi="sans-serif" w:eastAsia="sans-serif" w:cs="sans-serif"/>
          <w:i w:val="0"/>
          <w:iCs w:val="0"/>
          <w:caps w:val="0"/>
          <w:color w:val="663366"/>
          <w:spacing w:val="0"/>
          <w:sz w:val="15"/>
          <w:szCs w:val="15"/>
          <w:u w:val="none"/>
        </w:rPr>
        <w:t>10.1.1.318.808</w:t>
      </w:r>
      <w:r>
        <w:rPr>
          <w:rFonts w:hint="default" w:ascii="sans-serif" w:hAnsi="sans-serif" w:eastAsia="sans-serif" w:cs="sans-serif"/>
          <w:i w:val="0"/>
          <w:iCs w:val="0"/>
          <w:caps w:val="0"/>
          <w:color w:val="663366"/>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 </w:t>
      </w:r>
      <w:r>
        <w:rPr>
          <w:rStyle w:val="8"/>
          <w:rFonts w:hint="default" w:ascii="sans-serif" w:hAnsi="sans-serif" w:eastAsia="sans-serif" w:cs="sans-serif"/>
          <w:i w:val="0"/>
          <w:iCs w:val="0"/>
          <w:caps w:val="0"/>
          <w:color w:val="0B0080"/>
          <w:spacing w:val="0"/>
          <w:sz w:val="15"/>
          <w:szCs w:val="15"/>
          <w:u w:val="none"/>
        </w:rPr>
        <w:fldChar w:fldCharType="begin"/>
      </w:r>
      <w:r>
        <w:rPr>
          <w:rStyle w:val="8"/>
          <w:rFonts w:hint="default" w:ascii="sans-serif" w:hAnsi="sans-serif" w:eastAsia="sans-serif" w:cs="sans-serif"/>
          <w:i w:val="0"/>
          <w:iCs w:val="0"/>
          <w:caps w:val="0"/>
          <w:color w:val="0B0080"/>
          <w:spacing w:val="0"/>
          <w:sz w:val="15"/>
          <w:szCs w:val="15"/>
          <w:u w:val="none"/>
        </w:rPr>
        <w:instrText xml:space="preserve"> HYPERLINK "https://en.wikipedia.org/wiki/Doi_(identifier)" \o "Doi (identifier)" </w:instrText>
      </w:r>
      <w:r>
        <w:rPr>
          <w:rStyle w:val="8"/>
          <w:rFonts w:hint="default" w:ascii="sans-serif" w:hAnsi="sans-serif" w:eastAsia="sans-serif" w:cs="sans-serif"/>
          <w:i w:val="0"/>
          <w:iCs w:val="0"/>
          <w:caps w:val="0"/>
          <w:color w:val="0B0080"/>
          <w:spacing w:val="0"/>
          <w:sz w:val="15"/>
          <w:szCs w:val="15"/>
          <w:u w:val="none"/>
        </w:rPr>
        <w:fldChar w:fldCharType="separate"/>
      </w:r>
      <w:r>
        <w:rPr>
          <w:rStyle w:val="7"/>
          <w:rFonts w:hint="default" w:ascii="sans-serif" w:hAnsi="sans-serif" w:eastAsia="sans-serif" w:cs="sans-serif"/>
          <w:i w:val="0"/>
          <w:iCs w:val="0"/>
          <w:caps w:val="0"/>
          <w:color w:val="0B0080"/>
          <w:spacing w:val="0"/>
          <w:sz w:val="15"/>
          <w:szCs w:val="15"/>
          <w:u w:val="none"/>
        </w:rPr>
        <w:t>doi</w:t>
      </w:r>
      <w:r>
        <w:rPr>
          <w:rStyle w:val="8"/>
          <w:rFonts w:hint="default" w:ascii="sans-serif" w:hAnsi="sans-serif" w:eastAsia="sans-serif" w:cs="sans-serif"/>
          <w:i w:val="0"/>
          <w:iCs w:val="0"/>
          <w:caps w:val="0"/>
          <w:color w:val="0B0080"/>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w:t>
      </w:r>
      <w:r>
        <w:rPr>
          <w:rStyle w:val="8"/>
          <w:rFonts w:hint="default" w:ascii="sans-serif" w:hAnsi="sans-serif" w:eastAsia="sans-serif" w:cs="sans-serif"/>
          <w:i w:val="0"/>
          <w:iCs w:val="0"/>
          <w:caps w:val="0"/>
          <w:color w:val="663366"/>
          <w:spacing w:val="0"/>
          <w:sz w:val="15"/>
          <w:szCs w:val="15"/>
          <w:u w:val="none"/>
        </w:rPr>
        <w:fldChar w:fldCharType="begin"/>
      </w:r>
      <w:r>
        <w:rPr>
          <w:rStyle w:val="8"/>
          <w:rFonts w:hint="default" w:ascii="sans-serif" w:hAnsi="sans-serif" w:eastAsia="sans-serif" w:cs="sans-serif"/>
          <w:i w:val="0"/>
          <w:iCs w:val="0"/>
          <w:caps w:val="0"/>
          <w:color w:val="663366"/>
          <w:spacing w:val="0"/>
          <w:sz w:val="15"/>
          <w:szCs w:val="15"/>
          <w:u w:val="none"/>
        </w:rPr>
        <w:instrText xml:space="preserve"> HYPERLINK "https://doi.org/10.1006/ceps.1999.1020" </w:instrText>
      </w:r>
      <w:r>
        <w:rPr>
          <w:rStyle w:val="8"/>
          <w:rFonts w:hint="default" w:ascii="sans-serif" w:hAnsi="sans-serif" w:eastAsia="sans-serif" w:cs="sans-serif"/>
          <w:i w:val="0"/>
          <w:iCs w:val="0"/>
          <w:caps w:val="0"/>
          <w:color w:val="663366"/>
          <w:spacing w:val="0"/>
          <w:sz w:val="15"/>
          <w:szCs w:val="15"/>
          <w:u w:val="none"/>
        </w:rPr>
        <w:fldChar w:fldCharType="separate"/>
      </w:r>
      <w:r>
        <w:rPr>
          <w:rStyle w:val="7"/>
          <w:rFonts w:hint="default" w:ascii="sans-serif" w:hAnsi="sans-serif" w:eastAsia="sans-serif" w:cs="sans-serif"/>
          <w:i w:val="0"/>
          <w:iCs w:val="0"/>
          <w:caps w:val="0"/>
          <w:color w:val="663366"/>
          <w:spacing w:val="0"/>
          <w:sz w:val="15"/>
          <w:szCs w:val="15"/>
          <w:u w:val="none"/>
        </w:rPr>
        <w:t>10.1006/ceps.1999.1020</w:t>
      </w:r>
      <w:r>
        <w:rPr>
          <w:rStyle w:val="8"/>
          <w:rFonts w:hint="default" w:ascii="sans-serif" w:hAnsi="sans-serif" w:eastAsia="sans-serif" w:cs="sans-serif"/>
          <w:i w:val="0"/>
          <w:iCs w:val="0"/>
          <w:caps w:val="0"/>
          <w:color w:val="663366"/>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 </w:t>
      </w:r>
      <w:r>
        <w:rPr>
          <w:rStyle w:val="8"/>
          <w:rFonts w:hint="default" w:ascii="sans-serif" w:hAnsi="sans-serif" w:eastAsia="sans-serif" w:cs="sans-serif"/>
          <w:i w:val="0"/>
          <w:iCs w:val="0"/>
          <w:caps w:val="0"/>
          <w:color w:val="0B0080"/>
          <w:spacing w:val="0"/>
          <w:sz w:val="15"/>
          <w:szCs w:val="15"/>
          <w:u w:val="none"/>
        </w:rPr>
        <w:fldChar w:fldCharType="begin"/>
      </w:r>
      <w:r>
        <w:rPr>
          <w:rStyle w:val="8"/>
          <w:rFonts w:hint="default" w:ascii="sans-serif" w:hAnsi="sans-serif" w:eastAsia="sans-serif" w:cs="sans-serif"/>
          <w:i w:val="0"/>
          <w:iCs w:val="0"/>
          <w:caps w:val="0"/>
          <w:color w:val="0B0080"/>
          <w:spacing w:val="0"/>
          <w:sz w:val="15"/>
          <w:szCs w:val="15"/>
          <w:u w:val="none"/>
        </w:rPr>
        <w:instrText xml:space="preserve"> HYPERLINK "https://en.wikipedia.org/wiki/PMID_(identifier)" \o "PMID (identifier)" </w:instrText>
      </w:r>
      <w:r>
        <w:rPr>
          <w:rStyle w:val="8"/>
          <w:rFonts w:hint="default" w:ascii="sans-serif" w:hAnsi="sans-serif" w:eastAsia="sans-serif" w:cs="sans-serif"/>
          <w:i w:val="0"/>
          <w:iCs w:val="0"/>
          <w:caps w:val="0"/>
          <w:color w:val="0B0080"/>
          <w:spacing w:val="0"/>
          <w:sz w:val="15"/>
          <w:szCs w:val="15"/>
          <w:u w:val="none"/>
        </w:rPr>
        <w:fldChar w:fldCharType="separate"/>
      </w:r>
      <w:r>
        <w:rPr>
          <w:rStyle w:val="7"/>
          <w:rFonts w:hint="default" w:ascii="sans-serif" w:hAnsi="sans-serif" w:eastAsia="sans-serif" w:cs="sans-serif"/>
          <w:i w:val="0"/>
          <w:iCs w:val="0"/>
          <w:caps w:val="0"/>
          <w:color w:val="0B0080"/>
          <w:spacing w:val="0"/>
          <w:sz w:val="15"/>
          <w:szCs w:val="15"/>
          <w:u w:val="none"/>
        </w:rPr>
        <w:t>PMID</w:t>
      </w:r>
      <w:r>
        <w:rPr>
          <w:rStyle w:val="8"/>
          <w:rFonts w:hint="default" w:ascii="sans-serif" w:hAnsi="sans-serif" w:eastAsia="sans-serif" w:cs="sans-serif"/>
          <w:i w:val="0"/>
          <w:iCs w:val="0"/>
          <w:caps w:val="0"/>
          <w:color w:val="0B0080"/>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 </w:t>
      </w:r>
      <w:r>
        <w:rPr>
          <w:rStyle w:val="8"/>
          <w:rFonts w:hint="default" w:ascii="sans-serif" w:hAnsi="sans-serif" w:eastAsia="sans-serif" w:cs="sans-serif"/>
          <w:i w:val="0"/>
          <w:iCs w:val="0"/>
          <w:caps w:val="0"/>
          <w:color w:val="663366"/>
          <w:spacing w:val="0"/>
          <w:sz w:val="15"/>
          <w:szCs w:val="15"/>
          <w:u w:val="none"/>
        </w:rPr>
        <w:fldChar w:fldCharType="begin"/>
      </w:r>
      <w:r>
        <w:rPr>
          <w:rStyle w:val="8"/>
          <w:rFonts w:hint="default" w:ascii="sans-serif" w:hAnsi="sans-serif" w:eastAsia="sans-serif" w:cs="sans-serif"/>
          <w:i w:val="0"/>
          <w:iCs w:val="0"/>
          <w:caps w:val="0"/>
          <w:color w:val="663366"/>
          <w:spacing w:val="0"/>
          <w:sz w:val="15"/>
          <w:szCs w:val="15"/>
          <w:u w:val="none"/>
        </w:rPr>
        <w:instrText xml:space="preserve"> HYPERLINK "https://pubmed.ncbi.nlm.nih.gov/10620381" </w:instrText>
      </w:r>
      <w:r>
        <w:rPr>
          <w:rStyle w:val="8"/>
          <w:rFonts w:hint="default" w:ascii="sans-serif" w:hAnsi="sans-serif" w:eastAsia="sans-serif" w:cs="sans-serif"/>
          <w:i w:val="0"/>
          <w:iCs w:val="0"/>
          <w:caps w:val="0"/>
          <w:color w:val="663366"/>
          <w:spacing w:val="0"/>
          <w:sz w:val="15"/>
          <w:szCs w:val="15"/>
          <w:u w:val="none"/>
        </w:rPr>
        <w:fldChar w:fldCharType="separate"/>
      </w:r>
      <w:r>
        <w:rPr>
          <w:rStyle w:val="7"/>
          <w:rFonts w:hint="default" w:ascii="sans-serif" w:hAnsi="sans-serif" w:eastAsia="sans-serif" w:cs="sans-serif"/>
          <w:i w:val="0"/>
          <w:iCs w:val="0"/>
          <w:caps w:val="0"/>
          <w:color w:val="663366"/>
          <w:spacing w:val="0"/>
          <w:sz w:val="15"/>
          <w:szCs w:val="15"/>
          <w:u w:val="none"/>
        </w:rPr>
        <w:t>10620381</w:t>
      </w:r>
      <w:r>
        <w:rPr>
          <w:rStyle w:val="8"/>
          <w:rFonts w:hint="default" w:ascii="sans-serif" w:hAnsi="sans-serif" w:eastAsia="sans-serif" w:cs="sans-serif"/>
          <w:i w:val="0"/>
          <w:iCs w:val="0"/>
          <w:caps w:val="0"/>
          <w:color w:val="663366"/>
          <w:spacing w:val="0"/>
          <w:sz w:val="15"/>
          <w:szCs w:val="15"/>
          <w:u w:val="none"/>
        </w:rPr>
        <w:fldChar w:fldCharType="end"/>
      </w:r>
      <w:r>
        <w:rPr>
          <w:rStyle w:val="8"/>
          <w:rFonts w:hint="default" w:ascii="sans-serif" w:hAnsi="sans-serif" w:eastAsia="sans-serif" w:cs="sans-serif"/>
          <w:i w:val="0"/>
          <w:iCs w:val="0"/>
          <w:caps w:val="0"/>
          <w:color w:val="202122"/>
          <w:spacing w:val="0"/>
          <w:sz w:val="15"/>
          <w:szCs w:val="15"/>
        </w:rPr>
        <w:t>.</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A5C3E9"/>
    <w:multiLevelType w:val="singleLevel"/>
    <w:tmpl w:val="FAA5C3E9"/>
    <w:lvl w:ilvl="0" w:tentative="0">
      <w:start w:val="1"/>
      <w:numFmt w:val="upperLetter"/>
      <w:suff w:val="space"/>
      <w:lvlText w:val="%1."/>
      <w:lvlJc w:val="left"/>
    </w:lvl>
  </w:abstractNum>
  <w:abstractNum w:abstractNumId="1">
    <w:nsid w:val="FD81AA8C"/>
    <w:multiLevelType w:val="singleLevel"/>
    <w:tmpl w:val="FD81AA8C"/>
    <w:lvl w:ilvl="0" w:tentative="0">
      <w:start w:val="1"/>
      <w:numFmt w:val="decimal"/>
      <w:suff w:val="space"/>
      <w:lvlText w:val="%1."/>
      <w:lvlJc w:val="left"/>
    </w:lvl>
  </w:abstractNum>
  <w:abstractNum w:abstractNumId="2">
    <w:nsid w:val="0B5EE619"/>
    <w:multiLevelType w:val="singleLevel"/>
    <w:tmpl w:val="0B5EE619"/>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16"/>
    <w:footnote w:id="17"/>
  </w:foot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29A3041"/>
    <w:rsid w:val="429A30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note text"/>
    <w:basedOn w:val="1"/>
    <w:qFormat/>
    <w:uiPriority w:val="0"/>
    <w:pPr>
      <w:snapToGrid w:val="0"/>
      <w:jc w:val="left"/>
    </w:pPr>
    <w:rPr>
      <w:sz w:val="18"/>
    </w:rPr>
  </w:style>
  <w:style w:type="paragraph" w:styleId="3">
    <w:name w:val="Normal (Web)"/>
    <w:basedOn w:val="1"/>
    <w:qFormat/>
    <w:uiPriority w:val="99"/>
    <w:pPr>
      <w:spacing w:before="100" w:after="100"/>
    </w:pPr>
    <w:rPr>
      <w:sz w:val="24"/>
      <w:lang w:eastAsia="en-US"/>
    </w:rPr>
  </w:style>
  <w:style w:type="character" w:styleId="6">
    <w:name w:val="Emphasis"/>
    <w:basedOn w:val="5"/>
    <w:qFormat/>
    <w:uiPriority w:val="0"/>
    <w:rPr>
      <w:i/>
    </w:rPr>
  </w:style>
  <w:style w:type="character" w:styleId="7">
    <w:name w:val="Hyperlink"/>
    <w:basedOn w:val="5"/>
    <w:qFormat/>
    <w:uiPriority w:val="0"/>
    <w:rPr>
      <w:color w:val="0000FF"/>
      <w:u w:val="single"/>
    </w:rPr>
  </w:style>
  <w:style w:type="character" w:styleId="8">
    <w:name w:val="HTML Cite"/>
    <w:basedOn w:val="5"/>
    <w:qFormat/>
    <w:uiPriority w:val="0"/>
    <w:rPr>
      <w:i/>
    </w:rPr>
  </w:style>
  <w:style w:type="character" w:styleId="9">
    <w:name w:val="footnote reference"/>
    <w:basedOn w:val="5"/>
    <w:qFormat/>
    <w:uiPriority w:val="0"/>
    <w:rPr>
      <w:vertAlign w:val="superscript"/>
    </w:rPr>
  </w:style>
  <w:style w:type="paragraph" w:customStyle="1" w:styleId="10">
    <w:name w:val="OmniPage #2"/>
    <w:basedOn w:val="1"/>
    <w:qFormat/>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2021-03-23T23:10:00Z</dcterms:created>
  <dc:creator>V</dc:creator>
  <cp:lastModifiedBy>V</cp:lastModifiedBy>
  <dcterms:modified xsi:type="dcterms:W3CDTF">2021-03-23T23:10:46Z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4B278121E81C404FB208300A2570BF45</vt:lpwstr>
  </property>
</Properties>
</file>