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14E6B" w14:textId="77777777" w:rsidR="000F545E" w:rsidRDefault="000F545E">
      <w:pPr>
        <w:spacing w:line="480" w:lineRule="auto"/>
        <w:jc w:val="center"/>
        <w:rPr>
          <w:rFonts w:ascii="Times New Roman" w:eastAsia="Times New Roman" w:hAnsi="Times New Roman" w:cs="Times New Roman"/>
          <w:sz w:val="24"/>
          <w:szCs w:val="24"/>
        </w:rPr>
      </w:pPr>
    </w:p>
    <w:p w14:paraId="4D8A417A" w14:textId="77777777" w:rsidR="000F545E" w:rsidRDefault="000F545E">
      <w:pPr>
        <w:spacing w:line="480" w:lineRule="auto"/>
        <w:jc w:val="center"/>
        <w:rPr>
          <w:rFonts w:ascii="Times New Roman" w:eastAsia="Times New Roman" w:hAnsi="Times New Roman" w:cs="Times New Roman"/>
          <w:sz w:val="24"/>
          <w:szCs w:val="24"/>
        </w:rPr>
      </w:pPr>
    </w:p>
    <w:p w14:paraId="43806836" w14:textId="05CB36A8" w:rsidR="000F545E" w:rsidRDefault="00000000" w:rsidP="00E8478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DATA</w:t>
      </w:r>
      <w:r w:rsidR="00E8478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HANDLING AND ANALYSIS </w:t>
      </w:r>
    </w:p>
    <w:p w14:paraId="734F0140" w14:textId="77777777" w:rsidR="00E8478E" w:rsidRDefault="00E8478E">
      <w:pPr>
        <w:pStyle w:val="Body"/>
        <w:widowControl/>
        <w:spacing w:after="240" w:line="288" w:lineRule="auto"/>
        <w:jc w:val="center"/>
        <w:divId w:val="914978666"/>
        <w:rPr>
          <w:b/>
          <w:bCs/>
          <w:lang w:val="en-US"/>
        </w:rPr>
      </w:pPr>
    </w:p>
    <w:p w14:paraId="68007DC8" w14:textId="77777777" w:rsidR="00E8478E" w:rsidRDefault="00E8478E">
      <w:pPr>
        <w:pStyle w:val="Body"/>
        <w:widowControl/>
        <w:spacing w:after="240" w:line="288" w:lineRule="auto"/>
        <w:jc w:val="center"/>
        <w:divId w:val="914978666"/>
        <w:rPr>
          <w:b/>
          <w:bCs/>
          <w:lang w:val="en-US"/>
        </w:rPr>
      </w:pPr>
    </w:p>
    <w:p w14:paraId="1D965C86" w14:textId="77777777" w:rsidR="00E8478E" w:rsidRDefault="00E8478E">
      <w:pPr>
        <w:pStyle w:val="Body"/>
        <w:widowControl/>
        <w:spacing w:after="240" w:line="288" w:lineRule="auto"/>
        <w:jc w:val="center"/>
        <w:divId w:val="914978666"/>
        <w:rPr>
          <w:b/>
          <w:bCs/>
          <w:lang w:val="en-US"/>
        </w:rPr>
      </w:pPr>
    </w:p>
    <w:p w14:paraId="4BEC6E2A" w14:textId="77777777" w:rsidR="00E8478E" w:rsidRDefault="00E8478E">
      <w:pPr>
        <w:pStyle w:val="Body"/>
        <w:widowControl/>
        <w:spacing w:after="240" w:line="288" w:lineRule="auto"/>
        <w:jc w:val="center"/>
        <w:divId w:val="914978666"/>
        <w:rPr>
          <w:b/>
          <w:bCs/>
          <w:lang w:val="en-US"/>
        </w:rPr>
      </w:pPr>
    </w:p>
    <w:p w14:paraId="07CAF82F" w14:textId="77777777" w:rsidR="00E8478E" w:rsidRDefault="00E8478E">
      <w:pPr>
        <w:pStyle w:val="Body"/>
        <w:widowControl/>
        <w:spacing w:after="240" w:line="288" w:lineRule="auto"/>
        <w:jc w:val="center"/>
        <w:divId w:val="914978666"/>
        <w:rPr>
          <w:b/>
          <w:bCs/>
          <w:lang w:val="en-US"/>
        </w:rPr>
      </w:pPr>
    </w:p>
    <w:p w14:paraId="1F9EB13D" w14:textId="484B3206" w:rsidR="00E8478E" w:rsidRDefault="00E8478E">
      <w:pPr>
        <w:pStyle w:val="Body"/>
        <w:widowControl/>
        <w:spacing w:after="240" w:line="288" w:lineRule="auto"/>
        <w:jc w:val="center"/>
        <w:divId w:val="914978666"/>
      </w:pPr>
      <w:r>
        <w:rPr>
          <w:b/>
          <w:bCs/>
          <w:lang w:val="en-US"/>
        </w:rPr>
        <w:t xml:space="preserve">Stefan </w:t>
      </w:r>
      <w:proofErr w:type="spellStart"/>
      <w:r>
        <w:rPr>
          <w:b/>
          <w:bCs/>
          <w:lang w:val="en-US"/>
        </w:rPr>
        <w:t>Zlatev</w:t>
      </w:r>
      <w:proofErr w:type="spellEnd"/>
      <w:r>
        <w:rPr>
          <w:b/>
          <w:bCs/>
          <w:lang w:val="en-US"/>
        </w:rPr>
        <w:t xml:space="preserve"> 2029265</w:t>
      </w:r>
    </w:p>
    <w:p w14:paraId="26023F63" w14:textId="77777777" w:rsidR="00E8478E" w:rsidRDefault="00E8478E">
      <w:pPr>
        <w:pStyle w:val="Body"/>
        <w:widowControl/>
        <w:spacing w:after="240" w:line="288" w:lineRule="auto"/>
        <w:jc w:val="center"/>
        <w:divId w:val="914978666"/>
        <w:rPr>
          <w:b/>
          <w:bCs/>
        </w:rPr>
      </w:pPr>
      <w:r>
        <w:rPr>
          <w:b/>
          <w:bCs/>
          <w:lang w:val="en-US"/>
        </w:rPr>
        <w:t>University of Wales /Trinity Saint David</w:t>
      </w:r>
    </w:p>
    <w:p w14:paraId="3F4684B8" w14:textId="77777777" w:rsidR="00E8478E" w:rsidRDefault="00E8478E">
      <w:pPr>
        <w:pStyle w:val="Body"/>
        <w:widowControl/>
        <w:spacing w:after="240" w:line="288" w:lineRule="auto"/>
        <w:jc w:val="center"/>
        <w:divId w:val="914978666"/>
        <w:rPr>
          <w:b/>
          <w:bCs/>
        </w:rPr>
      </w:pPr>
      <w:r>
        <w:rPr>
          <w:b/>
          <w:bCs/>
          <w:lang w:val="it-IT"/>
        </w:rPr>
        <w:t>London Campus</w:t>
      </w:r>
    </w:p>
    <w:p w14:paraId="0F5E52D3" w14:textId="77777777" w:rsidR="00E8478E" w:rsidRDefault="00E8478E">
      <w:pPr>
        <w:pStyle w:val="Body"/>
        <w:widowControl/>
        <w:spacing w:after="240" w:line="288" w:lineRule="auto"/>
        <w:jc w:val="center"/>
        <w:divId w:val="914978666"/>
        <w:rPr>
          <w:b/>
          <w:bCs/>
        </w:rPr>
      </w:pPr>
      <w:r>
        <w:rPr>
          <w:b/>
          <w:bCs/>
          <w:lang w:val="en-US"/>
        </w:rPr>
        <w:t>BA(</w:t>
      </w:r>
      <w:proofErr w:type="spellStart"/>
      <w:r>
        <w:rPr>
          <w:b/>
          <w:bCs/>
          <w:lang w:val="en-US"/>
        </w:rPr>
        <w:t>Hons</w:t>
      </w:r>
      <w:proofErr w:type="spellEnd"/>
      <w:r>
        <w:rPr>
          <w:b/>
          <w:bCs/>
          <w:lang w:val="en-US"/>
        </w:rPr>
        <w:t xml:space="preserve">) Business Management </w:t>
      </w:r>
    </w:p>
    <w:p w14:paraId="309C232C" w14:textId="1730E0A9" w:rsidR="00E8478E" w:rsidRDefault="002E52D1">
      <w:pPr>
        <w:pStyle w:val="Body"/>
        <w:widowControl/>
        <w:spacing w:after="240" w:line="288" w:lineRule="auto"/>
        <w:jc w:val="center"/>
        <w:divId w:val="914978666"/>
        <w:rPr>
          <w:b/>
          <w:bCs/>
        </w:rPr>
      </w:pPr>
      <w:r>
        <w:rPr>
          <w:b/>
          <w:bCs/>
        </w:rPr>
        <w:t>Data Handling &amp; Business Intelligence</w:t>
      </w:r>
    </w:p>
    <w:p w14:paraId="70FE2380" w14:textId="604251DB" w:rsidR="00E8478E" w:rsidRDefault="00E8478E">
      <w:pPr>
        <w:pStyle w:val="Body"/>
        <w:widowControl/>
        <w:spacing w:after="240" w:line="288" w:lineRule="auto"/>
        <w:jc w:val="center"/>
        <w:divId w:val="914978666"/>
        <w:rPr>
          <w:b/>
          <w:bCs/>
        </w:rPr>
      </w:pPr>
      <w:r>
        <w:rPr>
          <w:b/>
          <w:bCs/>
          <w:lang w:val="en-US"/>
        </w:rPr>
        <w:t>Assignment 2 LC</w:t>
      </w:r>
      <w:r w:rsidR="00B637A9">
        <w:rPr>
          <w:b/>
          <w:bCs/>
          <w:lang w:val="en-US"/>
        </w:rPr>
        <w:t>BB5000</w:t>
      </w:r>
    </w:p>
    <w:p w14:paraId="445EA452" w14:textId="77777777" w:rsidR="00E8478E" w:rsidRDefault="00E8478E" w:rsidP="00E8478E">
      <w:pPr>
        <w:spacing w:line="480" w:lineRule="auto"/>
        <w:jc w:val="center"/>
        <w:rPr>
          <w:rFonts w:ascii="Times New Roman" w:eastAsia="Times New Roman" w:hAnsi="Times New Roman" w:cs="Times New Roman"/>
          <w:sz w:val="24"/>
          <w:szCs w:val="24"/>
        </w:rPr>
      </w:pPr>
    </w:p>
    <w:p w14:paraId="302AB8B6" w14:textId="77777777" w:rsidR="000F545E" w:rsidRDefault="000F545E">
      <w:pPr>
        <w:spacing w:line="480" w:lineRule="auto"/>
        <w:jc w:val="center"/>
        <w:rPr>
          <w:rFonts w:ascii="Times New Roman" w:eastAsia="Times New Roman" w:hAnsi="Times New Roman" w:cs="Times New Roman"/>
          <w:sz w:val="24"/>
          <w:szCs w:val="24"/>
        </w:rPr>
      </w:pPr>
    </w:p>
    <w:p w14:paraId="71FCDEDA" w14:textId="77777777" w:rsidR="000F545E" w:rsidRDefault="000F545E">
      <w:pPr>
        <w:spacing w:line="480" w:lineRule="auto"/>
        <w:jc w:val="center"/>
        <w:rPr>
          <w:rFonts w:ascii="Times New Roman" w:eastAsia="Times New Roman" w:hAnsi="Times New Roman" w:cs="Times New Roman"/>
          <w:sz w:val="24"/>
          <w:szCs w:val="24"/>
        </w:rPr>
      </w:pPr>
    </w:p>
    <w:p w14:paraId="0CFE4F01" w14:textId="77777777" w:rsidR="000F545E" w:rsidRDefault="000F545E">
      <w:pPr>
        <w:spacing w:line="480" w:lineRule="auto"/>
        <w:jc w:val="center"/>
        <w:rPr>
          <w:rFonts w:ascii="Times New Roman" w:eastAsia="Times New Roman" w:hAnsi="Times New Roman" w:cs="Times New Roman"/>
          <w:sz w:val="24"/>
          <w:szCs w:val="24"/>
        </w:rPr>
      </w:pPr>
    </w:p>
    <w:p w14:paraId="13298BF1" w14:textId="77777777" w:rsidR="000F545E" w:rsidRDefault="000F545E">
      <w:pPr>
        <w:spacing w:line="480" w:lineRule="auto"/>
        <w:jc w:val="center"/>
        <w:rPr>
          <w:rFonts w:ascii="Times New Roman" w:eastAsia="Times New Roman" w:hAnsi="Times New Roman" w:cs="Times New Roman"/>
          <w:sz w:val="24"/>
          <w:szCs w:val="24"/>
        </w:rPr>
      </w:pPr>
    </w:p>
    <w:p w14:paraId="3BEA6754" w14:textId="77777777" w:rsidR="000F545E" w:rsidRDefault="000F545E">
      <w:pPr>
        <w:spacing w:line="480" w:lineRule="auto"/>
        <w:jc w:val="center"/>
        <w:rPr>
          <w:rFonts w:ascii="Times New Roman" w:eastAsia="Times New Roman" w:hAnsi="Times New Roman" w:cs="Times New Roman"/>
          <w:sz w:val="24"/>
          <w:szCs w:val="24"/>
        </w:rPr>
      </w:pPr>
    </w:p>
    <w:p w14:paraId="2A8AE5FF" w14:textId="77777777" w:rsidR="000F545E" w:rsidRDefault="000F545E">
      <w:pPr>
        <w:spacing w:line="480" w:lineRule="auto"/>
        <w:jc w:val="center"/>
        <w:rPr>
          <w:rFonts w:ascii="Times New Roman" w:eastAsia="Times New Roman" w:hAnsi="Times New Roman" w:cs="Times New Roman"/>
          <w:sz w:val="24"/>
          <w:szCs w:val="24"/>
        </w:rPr>
      </w:pPr>
    </w:p>
    <w:p w14:paraId="2DA6315E" w14:textId="77777777" w:rsidR="000F545E" w:rsidRDefault="000F545E">
      <w:pPr>
        <w:spacing w:line="480" w:lineRule="auto"/>
        <w:jc w:val="center"/>
        <w:rPr>
          <w:rFonts w:ascii="Times New Roman" w:eastAsia="Times New Roman" w:hAnsi="Times New Roman" w:cs="Times New Roman"/>
          <w:sz w:val="24"/>
          <w:szCs w:val="24"/>
        </w:rPr>
      </w:pPr>
    </w:p>
    <w:p w14:paraId="5BC0B2CC" w14:textId="77777777" w:rsidR="000F545E"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Table of Contents</w:t>
      </w:r>
    </w:p>
    <w:sdt>
      <w:sdtPr>
        <w:id w:val="744530588"/>
        <w:docPartObj>
          <w:docPartGallery w:val="Table of Contents"/>
          <w:docPartUnique/>
        </w:docPartObj>
      </w:sdtPr>
      <w:sdtContent>
        <w:p w14:paraId="0A98192D" w14:textId="77777777" w:rsidR="000F545E" w:rsidRDefault="00000000">
          <w:pPr>
            <w:tabs>
              <w:tab w:val="right" w:pos="9360"/>
            </w:tabs>
            <w:spacing w:before="80" w:line="240" w:lineRule="auto"/>
            <w:rPr>
              <w:rFonts w:ascii="Times New Roman" w:eastAsia="Times New Roman" w:hAnsi="Times New Roman" w:cs="Times New Roman"/>
            </w:rPr>
          </w:pPr>
          <w:r>
            <w:fldChar w:fldCharType="begin"/>
          </w:r>
          <w:r>
            <w:instrText xml:space="preserve"> TOC \h \u \z </w:instrText>
          </w:r>
          <w:r>
            <w:fldChar w:fldCharType="separate"/>
          </w:r>
          <w:hyperlink w:anchor="_fd8c3991ti07">
            <w:r>
              <w:rPr>
                <w:rFonts w:ascii="Times New Roman" w:eastAsia="Times New Roman" w:hAnsi="Times New Roman" w:cs="Times New Roman"/>
              </w:rPr>
              <w:t>Part 1: Superstore data analysis</w:t>
            </w:r>
          </w:hyperlink>
          <w:r>
            <w:rPr>
              <w:rFonts w:ascii="Times New Roman" w:eastAsia="Times New Roman" w:hAnsi="Times New Roman" w:cs="Times New Roman"/>
            </w:rPr>
            <w:tab/>
          </w:r>
          <w:r>
            <w:fldChar w:fldCharType="begin"/>
          </w:r>
          <w:r>
            <w:instrText xml:space="preserve"> PAGEREF _fd8c3991ti07 \h </w:instrText>
          </w:r>
          <w:r>
            <w:fldChar w:fldCharType="separate"/>
          </w:r>
          <w:r>
            <w:rPr>
              <w:rFonts w:ascii="Times New Roman" w:eastAsia="Times New Roman" w:hAnsi="Times New Roman" w:cs="Times New Roman"/>
            </w:rPr>
            <w:t>3</w:t>
          </w:r>
          <w:r>
            <w:fldChar w:fldCharType="end"/>
          </w:r>
        </w:p>
        <w:p w14:paraId="080A7764"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oyik8173hvto">
            <w:r>
              <w:rPr>
                <w:rFonts w:ascii="Times New Roman" w:eastAsia="Times New Roman" w:hAnsi="Times New Roman" w:cs="Times New Roman"/>
                <w:color w:val="000000"/>
              </w:rPr>
              <w:t>Discuss excel as a tool for data handling</w:t>
            </w:r>
          </w:hyperlink>
          <w:r>
            <w:rPr>
              <w:rFonts w:ascii="Times New Roman" w:eastAsia="Times New Roman" w:hAnsi="Times New Roman" w:cs="Times New Roman"/>
              <w:color w:val="000000"/>
            </w:rPr>
            <w:tab/>
          </w:r>
          <w:r>
            <w:fldChar w:fldCharType="begin"/>
          </w:r>
          <w:r>
            <w:instrText xml:space="preserve"> PAGEREF _oyik8173hvto \h </w:instrText>
          </w:r>
          <w:r>
            <w:fldChar w:fldCharType="separate"/>
          </w:r>
          <w:r>
            <w:rPr>
              <w:rFonts w:ascii="Times New Roman" w:eastAsia="Times New Roman" w:hAnsi="Times New Roman" w:cs="Times New Roman"/>
              <w:color w:val="000000"/>
            </w:rPr>
            <w:t>6</w:t>
          </w:r>
          <w:r>
            <w:fldChar w:fldCharType="end"/>
          </w:r>
        </w:p>
        <w:p w14:paraId="1492F8F8" w14:textId="77777777" w:rsidR="000F545E" w:rsidRDefault="00000000">
          <w:pPr>
            <w:tabs>
              <w:tab w:val="right" w:pos="9360"/>
            </w:tabs>
            <w:spacing w:before="60" w:line="240" w:lineRule="auto"/>
            <w:ind w:left="720"/>
            <w:rPr>
              <w:rFonts w:ascii="Times New Roman" w:eastAsia="Times New Roman" w:hAnsi="Times New Roman" w:cs="Times New Roman"/>
              <w:color w:val="000000"/>
            </w:rPr>
          </w:pPr>
          <w:hyperlink w:anchor="_lygvr6ktnh5b">
            <w:r>
              <w:rPr>
                <w:rFonts w:ascii="Times New Roman" w:eastAsia="Times New Roman" w:hAnsi="Times New Roman" w:cs="Times New Roman"/>
                <w:color w:val="000000"/>
              </w:rPr>
              <w:t>SUMIFS Excel function</w:t>
            </w:r>
          </w:hyperlink>
          <w:r>
            <w:rPr>
              <w:rFonts w:ascii="Times New Roman" w:eastAsia="Times New Roman" w:hAnsi="Times New Roman" w:cs="Times New Roman"/>
              <w:color w:val="000000"/>
            </w:rPr>
            <w:tab/>
          </w:r>
          <w:r>
            <w:fldChar w:fldCharType="begin"/>
          </w:r>
          <w:r>
            <w:instrText xml:space="preserve"> PAGEREF _lygvr6ktnh5b \h </w:instrText>
          </w:r>
          <w:r>
            <w:fldChar w:fldCharType="separate"/>
          </w:r>
          <w:r>
            <w:rPr>
              <w:rFonts w:ascii="Times New Roman" w:eastAsia="Times New Roman" w:hAnsi="Times New Roman" w:cs="Times New Roman"/>
              <w:color w:val="000000"/>
            </w:rPr>
            <w:t>7</w:t>
          </w:r>
          <w:r>
            <w:fldChar w:fldCharType="end"/>
          </w:r>
        </w:p>
        <w:p w14:paraId="6565FA10" w14:textId="77777777" w:rsidR="000F545E" w:rsidRDefault="00000000">
          <w:pPr>
            <w:tabs>
              <w:tab w:val="right" w:pos="9360"/>
            </w:tabs>
            <w:spacing w:before="60" w:line="240" w:lineRule="auto"/>
            <w:ind w:left="720"/>
            <w:rPr>
              <w:rFonts w:ascii="Times New Roman" w:eastAsia="Times New Roman" w:hAnsi="Times New Roman" w:cs="Times New Roman"/>
              <w:color w:val="000000"/>
            </w:rPr>
          </w:pPr>
          <w:hyperlink w:anchor="_wmuj8utidnz4">
            <w:r>
              <w:rPr>
                <w:rFonts w:ascii="Times New Roman" w:eastAsia="Times New Roman" w:hAnsi="Times New Roman" w:cs="Times New Roman"/>
                <w:color w:val="000000"/>
              </w:rPr>
              <w:t>Pivot tables</w:t>
            </w:r>
          </w:hyperlink>
          <w:r>
            <w:rPr>
              <w:rFonts w:ascii="Times New Roman" w:eastAsia="Times New Roman" w:hAnsi="Times New Roman" w:cs="Times New Roman"/>
              <w:color w:val="000000"/>
            </w:rPr>
            <w:tab/>
          </w:r>
          <w:r>
            <w:fldChar w:fldCharType="begin"/>
          </w:r>
          <w:r>
            <w:instrText xml:space="preserve"> PAGEREF _wmuj8utidnz4 \h </w:instrText>
          </w:r>
          <w:r>
            <w:fldChar w:fldCharType="separate"/>
          </w:r>
          <w:r>
            <w:rPr>
              <w:rFonts w:ascii="Times New Roman" w:eastAsia="Times New Roman" w:hAnsi="Times New Roman" w:cs="Times New Roman"/>
              <w:color w:val="000000"/>
            </w:rPr>
            <w:t>8</w:t>
          </w:r>
          <w:r>
            <w:fldChar w:fldCharType="end"/>
          </w:r>
        </w:p>
        <w:p w14:paraId="14372BF4" w14:textId="77777777" w:rsidR="000F545E" w:rsidRDefault="00000000">
          <w:pPr>
            <w:tabs>
              <w:tab w:val="right" w:pos="9360"/>
            </w:tabs>
            <w:spacing w:before="60" w:line="240" w:lineRule="auto"/>
            <w:ind w:left="720"/>
            <w:rPr>
              <w:rFonts w:ascii="Times New Roman" w:eastAsia="Times New Roman" w:hAnsi="Times New Roman" w:cs="Times New Roman"/>
              <w:color w:val="000000"/>
            </w:rPr>
          </w:pPr>
          <w:hyperlink w:anchor="_gh08fqqgmag">
            <w:r>
              <w:rPr>
                <w:rFonts w:ascii="Times New Roman" w:eastAsia="Times New Roman" w:hAnsi="Times New Roman" w:cs="Times New Roman"/>
                <w:color w:val="000000"/>
              </w:rPr>
              <w:t>Data visualisation</w:t>
            </w:r>
          </w:hyperlink>
          <w:r>
            <w:rPr>
              <w:rFonts w:ascii="Times New Roman" w:eastAsia="Times New Roman" w:hAnsi="Times New Roman" w:cs="Times New Roman"/>
              <w:color w:val="000000"/>
            </w:rPr>
            <w:tab/>
          </w:r>
          <w:r>
            <w:fldChar w:fldCharType="begin"/>
          </w:r>
          <w:r>
            <w:instrText xml:space="preserve"> PAGEREF _gh08fqqgmag \h </w:instrText>
          </w:r>
          <w:r>
            <w:fldChar w:fldCharType="separate"/>
          </w:r>
          <w:r>
            <w:rPr>
              <w:rFonts w:ascii="Times New Roman" w:eastAsia="Times New Roman" w:hAnsi="Times New Roman" w:cs="Times New Roman"/>
              <w:color w:val="000000"/>
            </w:rPr>
            <w:t>8</w:t>
          </w:r>
          <w:r>
            <w:fldChar w:fldCharType="end"/>
          </w:r>
        </w:p>
        <w:p w14:paraId="239DF7F3"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rvy37w2f0291">
            <w:r>
              <w:rPr>
                <w:rFonts w:ascii="Times New Roman" w:eastAsia="Times New Roman" w:hAnsi="Times New Roman" w:cs="Times New Roman"/>
                <w:color w:val="000000"/>
              </w:rPr>
              <w:t>Effectiveness of excel in data handling</w:t>
            </w:r>
          </w:hyperlink>
          <w:r>
            <w:rPr>
              <w:rFonts w:ascii="Times New Roman" w:eastAsia="Times New Roman" w:hAnsi="Times New Roman" w:cs="Times New Roman"/>
              <w:color w:val="000000"/>
            </w:rPr>
            <w:tab/>
          </w:r>
          <w:r>
            <w:fldChar w:fldCharType="begin"/>
          </w:r>
          <w:r>
            <w:instrText xml:space="preserve"> PAGEREF _rvy37w2f0291 \h </w:instrText>
          </w:r>
          <w:r>
            <w:fldChar w:fldCharType="separate"/>
          </w:r>
          <w:r>
            <w:rPr>
              <w:rFonts w:ascii="Times New Roman" w:eastAsia="Times New Roman" w:hAnsi="Times New Roman" w:cs="Times New Roman"/>
              <w:color w:val="000000"/>
            </w:rPr>
            <w:t>9</w:t>
          </w:r>
          <w:r>
            <w:fldChar w:fldCharType="end"/>
          </w:r>
        </w:p>
        <w:p w14:paraId="7E3DE39D" w14:textId="77777777" w:rsidR="000F545E" w:rsidRDefault="00000000">
          <w:pPr>
            <w:tabs>
              <w:tab w:val="right" w:pos="9360"/>
            </w:tabs>
            <w:spacing w:before="200" w:line="240" w:lineRule="auto"/>
            <w:rPr>
              <w:rFonts w:ascii="Times New Roman" w:eastAsia="Times New Roman" w:hAnsi="Times New Roman" w:cs="Times New Roman"/>
              <w:color w:val="000000"/>
            </w:rPr>
          </w:pPr>
          <w:hyperlink w:anchor="_k3qr11s5qf56">
            <w:r>
              <w:rPr>
                <w:rFonts w:ascii="Times New Roman" w:eastAsia="Times New Roman" w:hAnsi="Times New Roman" w:cs="Times New Roman"/>
                <w:color w:val="000000"/>
              </w:rPr>
              <w:t>Part 2: Ice cream datasets</w:t>
            </w:r>
          </w:hyperlink>
          <w:r>
            <w:rPr>
              <w:rFonts w:ascii="Times New Roman" w:eastAsia="Times New Roman" w:hAnsi="Times New Roman" w:cs="Times New Roman"/>
              <w:color w:val="000000"/>
            </w:rPr>
            <w:tab/>
          </w:r>
          <w:r>
            <w:fldChar w:fldCharType="begin"/>
          </w:r>
          <w:r>
            <w:instrText xml:space="preserve"> PAGEREF _k3qr11s5qf56 \h </w:instrText>
          </w:r>
          <w:r>
            <w:fldChar w:fldCharType="separate"/>
          </w:r>
          <w:r>
            <w:rPr>
              <w:rFonts w:ascii="Times New Roman" w:eastAsia="Times New Roman" w:hAnsi="Times New Roman" w:cs="Times New Roman"/>
              <w:color w:val="000000"/>
            </w:rPr>
            <w:t>11</w:t>
          </w:r>
          <w:r>
            <w:fldChar w:fldCharType="end"/>
          </w:r>
        </w:p>
        <w:p w14:paraId="27520309"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cj2mbzny2yiy">
            <w:r>
              <w:rPr>
                <w:rFonts w:ascii="Times New Roman" w:eastAsia="Times New Roman" w:hAnsi="Times New Roman" w:cs="Times New Roman"/>
                <w:color w:val="000000"/>
              </w:rPr>
              <w:t>Frequency distribution</w:t>
            </w:r>
          </w:hyperlink>
          <w:r>
            <w:rPr>
              <w:rFonts w:ascii="Times New Roman" w:eastAsia="Times New Roman" w:hAnsi="Times New Roman" w:cs="Times New Roman"/>
              <w:color w:val="000000"/>
            </w:rPr>
            <w:tab/>
          </w:r>
          <w:r>
            <w:fldChar w:fldCharType="begin"/>
          </w:r>
          <w:r>
            <w:instrText xml:space="preserve"> PAGEREF _cj2mbzny2yiy \h </w:instrText>
          </w:r>
          <w:r>
            <w:fldChar w:fldCharType="separate"/>
          </w:r>
          <w:r>
            <w:rPr>
              <w:rFonts w:ascii="Times New Roman" w:eastAsia="Times New Roman" w:hAnsi="Times New Roman" w:cs="Times New Roman"/>
              <w:color w:val="000000"/>
            </w:rPr>
            <w:t>11</w:t>
          </w:r>
          <w:r>
            <w:fldChar w:fldCharType="end"/>
          </w:r>
        </w:p>
        <w:p w14:paraId="104B33A2"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7a9vw4yxri36">
            <w:r>
              <w:rPr>
                <w:rFonts w:ascii="Times New Roman" w:eastAsia="Times New Roman" w:hAnsi="Times New Roman" w:cs="Times New Roman"/>
                <w:color w:val="000000"/>
              </w:rPr>
              <w:t>Gender variation</w:t>
            </w:r>
          </w:hyperlink>
          <w:r>
            <w:rPr>
              <w:rFonts w:ascii="Times New Roman" w:eastAsia="Times New Roman" w:hAnsi="Times New Roman" w:cs="Times New Roman"/>
              <w:color w:val="000000"/>
            </w:rPr>
            <w:tab/>
          </w:r>
          <w:r>
            <w:fldChar w:fldCharType="begin"/>
          </w:r>
          <w:r>
            <w:instrText xml:space="preserve"> PAGEREF _7a9vw4yxri36 \h </w:instrText>
          </w:r>
          <w:r>
            <w:fldChar w:fldCharType="separate"/>
          </w:r>
          <w:r>
            <w:rPr>
              <w:rFonts w:ascii="Times New Roman" w:eastAsia="Times New Roman" w:hAnsi="Times New Roman" w:cs="Times New Roman"/>
              <w:color w:val="000000"/>
            </w:rPr>
            <w:t>12</w:t>
          </w:r>
          <w:r>
            <w:fldChar w:fldCharType="end"/>
          </w:r>
        </w:p>
        <w:p w14:paraId="30088CA5"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maumw0694wl4">
            <w:r>
              <w:rPr>
                <w:rFonts w:ascii="Times New Roman" w:eastAsia="Times New Roman" w:hAnsi="Times New Roman" w:cs="Times New Roman"/>
                <w:color w:val="000000"/>
              </w:rPr>
              <w:t>Mean and median</w:t>
            </w:r>
          </w:hyperlink>
          <w:r>
            <w:rPr>
              <w:rFonts w:ascii="Times New Roman" w:eastAsia="Times New Roman" w:hAnsi="Times New Roman" w:cs="Times New Roman"/>
              <w:color w:val="000000"/>
            </w:rPr>
            <w:tab/>
          </w:r>
          <w:r>
            <w:fldChar w:fldCharType="begin"/>
          </w:r>
          <w:r>
            <w:instrText xml:space="preserve"> PAGEREF _maumw0694wl4 \h </w:instrText>
          </w:r>
          <w:r>
            <w:fldChar w:fldCharType="separate"/>
          </w:r>
          <w:r>
            <w:rPr>
              <w:rFonts w:ascii="Times New Roman" w:eastAsia="Times New Roman" w:hAnsi="Times New Roman" w:cs="Times New Roman"/>
              <w:color w:val="000000"/>
            </w:rPr>
            <w:t>12</w:t>
          </w:r>
          <w:r>
            <w:fldChar w:fldCharType="end"/>
          </w:r>
        </w:p>
        <w:p w14:paraId="530851A9"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m3tys770svhg">
            <w:r>
              <w:rPr>
                <w:rFonts w:ascii="Times New Roman" w:eastAsia="Times New Roman" w:hAnsi="Times New Roman" w:cs="Times New Roman"/>
                <w:color w:val="000000"/>
              </w:rPr>
              <w:t>Statistics</w:t>
            </w:r>
          </w:hyperlink>
          <w:r>
            <w:rPr>
              <w:rFonts w:ascii="Times New Roman" w:eastAsia="Times New Roman" w:hAnsi="Times New Roman" w:cs="Times New Roman"/>
              <w:color w:val="000000"/>
            </w:rPr>
            <w:tab/>
          </w:r>
          <w:r>
            <w:fldChar w:fldCharType="begin"/>
          </w:r>
          <w:r>
            <w:instrText xml:space="preserve"> PAGEREF _m3tys770svhg \h </w:instrText>
          </w:r>
          <w:r>
            <w:fldChar w:fldCharType="separate"/>
          </w:r>
          <w:r>
            <w:rPr>
              <w:rFonts w:ascii="Times New Roman" w:eastAsia="Times New Roman" w:hAnsi="Times New Roman" w:cs="Times New Roman"/>
              <w:color w:val="000000"/>
            </w:rPr>
            <w:t>13</w:t>
          </w:r>
          <w:r>
            <w:fldChar w:fldCharType="end"/>
          </w:r>
        </w:p>
        <w:p w14:paraId="01319152"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f9qnhzwlo7uj">
            <w:r>
              <w:rPr>
                <w:rFonts w:ascii="Times New Roman" w:eastAsia="Times New Roman" w:hAnsi="Times New Roman" w:cs="Times New Roman"/>
                <w:color w:val="000000"/>
              </w:rPr>
              <w:t>Clustering</w:t>
            </w:r>
          </w:hyperlink>
          <w:r>
            <w:rPr>
              <w:rFonts w:ascii="Times New Roman" w:eastAsia="Times New Roman" w:hAnsi="Times New Roman" w:cs="Times New Roman"/>
              <w:color w:val="000000"/>
            </w:rPr>
            <w:tab/>
          </w:r>
          <w:r>
            <w:fldChar w:fldCharType="begin"/>
          </w:r>
          <w:r>
            <w:instrText xml:space="preserve"> PAGEREF _f9qnhzwlo7uj \h </w:instrText>
          </w:r>
          <w:r>
            <w:fldChar w:fldCharType="separate"/>
          </w:r>
          <w:r>
            <w:rPr>
              <w:rFonts w:ascii="Times New Roman" w:eastAsia="Times New Roman" w:hAnsi="Times New Roman" w:cs="Times New Roman"/>
              <w:color w:val="000000"/>
            </w:rPr>
            <w:t>14</w:t>
          </w:r>
          <w:r>
            <w:fldChar w:fldCharType="end"/>
          </w:r>
        </w:p>
        <w:p w14:paraId="65A0B0DB"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opj3xp7e55ee">
            <w:r>
              <w:rPr>
                <w:rFonts w:ascii="Times New Roman" w:eastAsia="Times New Roman" w:hAnsi="Times New Roman" w:cs="Times New Roman"/>
                <w:color w:val="000000"/>
              </w:rPr>
              <w:t>Initial Cluster Centers</w:t>
            </w:r>
          </w:hyperlink>
          <w:r>
            <w:rPr>
              <w:rFonts w:ascii="Times New Roman" w:eastAsia="Times New Roman" w:hAnsi="Times New Roman" w:cs="Times New Roman"/>
              <w:color w:val="000000"/>
            </w:rPr>
            <w:tab/>
          </w:r>
          <w:r>
            <w:fldChar w:fldCharType="begin"/>
          </w:r>
          <w:r>
            <w:instrText xml:space="preserve"> PAGEREF _opj3xp7e55ee \h </w:instrText>
          </w:r>
          <w:r>
            <w:fldChar w:fldCharType="separate"/>
          </w:r>
          <w:r>
            <w:rPr>
              <w:rFonts w:ascii="Times New Roman" w:eastAsia="Times New Roman" w:hAnsi="Times New Roman" w:cs="Times New Roman"/>
              <w:color w:val="000000"/>
            </w:rPr>
            <w:t>15</w:t>
          </w:r>
          <w:r>
            <w:fldChar w:fldCharType="end"/>
          </w:r>
        </w:p>
        <w:p w14:paraId="60ADB8FE"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q2d59uyyyecy">
            <w:r>
              <w:rPr>
                <w:rFonts w:ascii="Times New Roman" w:eastAsia="Times New Roman" w:hAnsi="Times New Roman" w:cs="Times New Roman"/>
                <w:color w:val="000000"/>
              </w:rPr>
              <w:t>Final Cluster Centers</w:t>
            </w:r>
          </w:hyperlink>
          <w:r>
            <w:rPr>
              <w:rFonts w:ascii="Times New Roman" w:eastAsia="Times New Roman" w:hAnsi="Times New Roman" w:cs="Times New Roman"/>
              <w:color w:val="000000"/>
            </w:rPr>
            <w:tab/>
          </w:r>
          <w:r>
            <w:fldChar w:fldCharType="begin"/>
          </w:r>
          <w:r>
            <w:instrText xml:space="preserve"> PAGEREF _q2d59uyyyecy \h </w:instrText>
          </w:r>
          <w:r>
            <w:fldChar w:fldCharType="separate"/>
          </w:r>
          <w:r>
            <w:rPr>
              <w:rFonts w:ascii="Times New Roman" w:eastAsia="Times New Roman" w:hAnsi="Times New Roman" w:cs="Times New Roman"/>
              <w:color w:val="000000"/>
            </w:rPr>
            <w:t>16</w:t>
          </w:r>
          <w:r>
            <w:fldChar w:fldCharType="end"/>
          </w:r>
        </w:p>
        <w:p w14:paraId="039EE21C"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hnlh7sjn0vda">
            <w:r>
              <w:rPr>
                <w:rFonts w:ascii="Times New Roman" w:eastAsia="Times New Roman" w:hAnsi="Times New Roman" w:cs="Times New Roman"/>
                <w:color w:val="000000"/>
              </w:rPr>
              <w:t>Data and text mining methods in business</w:t>
            </w:r>
          </w:hyperlink>
          <w:r>
            <w:rPr>
              <w:rFonts w:ascii="Times New Roman" w:eastAsia="Times New Roman" w:hAnsi="Times New Roman" w:cs="Times New Roman"/>
              <w:color w:val="000000"/>
            </w:rPr>
            <w:tab/>
          </w:r>
          <w:r>
            <w:fldChar w:fldCharType="begin"/>
          </w:r>
          <w:r>
            <w:instrText xml:space="preserve"> PAGEREF _hnlh7sjn0vda \h </w:instrText>
          </w:r>
          <w:r>
            <w:fldChar w:fldCharType="separate"/>
          </w:r>
          <w:r>
            <w:rPr>
              <w:rFonts w:ascii="Times New Roman" w:eastAsia="Times New Roman" w:hAnsi="Times New Roman" w:cs="Times New Roman"/>
              <w:color w:val="000000"/>
            </w:rPr>
            <w:t>16</w:t>
          </w:r>
          <w:r>
            <w:fldChar w:fldCharType="end"/>
          </w:r>
        </w:p>
        <w:p w14:paraId="01550CFD" w14:textId="77777777" w:rsidR="000F545E" w:rsidRDefault="00000000">
          <w:pPr>
            <w:tabs>
              <w:tab w:val="right" w:pos="9360"/>
            </w:tabs>
            <w:spacing w:before="60" w:line="240" w:lineRule="auto"/>
            <w:ind w:left="360"/>
            <w:rPr>
              <w:rFonts w:ascii="Times New Roman" w:eastAsia="Times New Roman" w:hAnsi="Times New Roman" w:cs="Times New Roman"/>
              <w:color w:val="000000"/>
            </w:rPr>
          </w:pPr>
          <w:hyperlink w:anchor="_n6lst7z76to8">
            <w:r>
              <w:rPr>
                <w:rFonts w:ascii="Times New Roman" w:eastAsia="Times New Roman" w:hAnsi="Times New Roman" w:cs="Times New Roman"/>
                <w:color w:val="000000"/>
              </w:rPr>
              <w:t>Advantages of using excel and SPSS</w:t>
            </w:r>
          </w:hyperlink>
          <w:r>
            <w:rPr>
              <w:rFonts w:ascii="Times New Roman" w:eastAsia="Times New Roman" w:hAnsi="Times New Roman" w:cs="Times New Roman"/>
              <w:color w:val="000000"/>
            </w:rPr>
            <w:tab/>
          </w:r>
          <w:r>
            <w:fldChar w:fldCharType="begin"/>
          </w:r>
          <w:r>
            <w:instrText xml:space="preserve"> PAGEREF _n6lst7z76to8 \h </w:instrText>
          </w:r>
          <w:r>
            <w:fldChar w:fldCharType="separate"/>
          </w:r>
          <w:r>
            <w:rPr>
              <w:rFonts w:ascii="Times New Roman" w:eastAsia="Times New Roman" w:hAnsi="Times New Roman" w:cs="Times New Roman"/>
              <w:color w:val="000000"/>
            </w:rPr>
            <w:t>17</w:t>
          </w:r>
          <w:r>
            <w:fldChar w:fldCharType="end"/>
          </w:r>
        </w:p>
        <w:p w14:paraId="36DFFDF5" w14:textId="77777777" w:rsidR="000F545E" w:rsidRDefault="00000000">
          <w:pPr>
            <w:tabs>
              <w:tab w:val="right" w:pos="9360"/>
            </w:tabs>
            <w:spacing w:before="200" w:after="80" w:line="240" w:lineRule="auto"/>
            <w:rPr>
              <w:rFonts w:ascii="Times New Roman" w:eastAsia="Times New Roman" w:hAnsi="Times New Roman" w:cs="Times New Roman"/>
              <w:color w:val="000000"/>
            </w:rPr>
          </w:pPr>
          <w:hyperlink w:anchor="_fqfm93v6jpji">
            <w:r>
              <w:rPr>
                <w:rFonts w:ascii="Times New Roman" w:eastAsia="Times New Roman" w:hAnsi="Times New Roman" w:cs="Times New Roman"/>
                <w:color w:val="000000"/>
              </w:rPr>
              <w:t>References</w:t>
            </w:r>
          </w:hyperlink>
          <w:r>
            <w:rPr>
              <w:rFonts w:ascii="Times New Roman" w:eastAsia="Times New Roman" w:hAnsi="Times New Roman" w:cs="Times New Roman"/>
              <w:color w:val="000000"/>
            </w:rPr>
            <w:tab/>
          </w:r>
          <w:r>
            <w:fldChar w:fldCharType="begin"/>
          </w:r>
          <w:r>
            <w:instrText xml:space="preserve"> PAGEREF _fqfm93v6jpji \h </w:instrText>
          </w:r>
          <w:r>
            <w:fldChar w:fldCharType="separate"/>
          </w:r>
          <w:r>
            <w:rPr>
              <w:rFonts w:ascii="Times New Roman" w:eastAsia="Times New Roman" w:hAnsi="Times New Roman" w:cs="Times New Roman"/>
              <w:color w:val="000000"/>
            </w:rPr>
            <w:t>19</w:t>
          </w:r>
          <w:r>
            <w:fldChar w:fldCharType="end"/>
          </w:r>
          <w:r>
            <w:fldChar w:fldCharType="end"/>
          </w:r>
        </w:p>
      </w:sdtContent>
    </w:sdt>
    <w:p w14:paraId="4A1E74C0" w14:textId="77777777" w:rsidR="000F545E" w:rsidRDefault="000F545E">
      <w:pPr>
        <w:rPr>
          <w:rFonts w:ascii="Times New Roman" w:eastAsia="Times New Roman" w:hAnsi="Times New Roman" w:cs="Times New Roman"/>
          <w:b/>
          <w:sz w:val="24"/>
          <w:szCs w:val="24"/>
        </w:rPr>
      </w:pPr>
    </w:p>
    <w:p w14:paraId="0D71B967" w14:textId="77777777" w:rsidR="000F545E" w:rsidRDefault="000F545E">
      <w:pPr>
        <w:spacing w:line="480" w:lineRule="auto"/>
        <w:rPr>
          <w:rFonts w:ascii="Times New Roman" w:eastAsia="Times New Roman" w:hAnsi="Times New Roman" w:cs="Times New Roman"/>
          <w:b/>
          <w:sz w:val="24"/>
          <w:szCs w:val="24"/>
        </w:rPr>
        <w:sectPr w:rsidR="000F545E">
          <w:headerReference w:type="default" r:id="rId6"/>
          <w:pgSz w:w="12240" w:h="15840"/>
          <w:pgMar w:top="1440" w:right="1440" w:bottom="1440" w:left="1440" w:header="708" w:footer="708" w:gutter="0"/>
          <w:pgNumType w:start="1"/>
          <w:cols w:space="708"/>
        </w:sectPr>
      </w:pPr>
    </w:p>
    <w:p w14:paraId="5EE25B1D" w14:textId="77777777" w:rsidR="000F545E" w:rsidRDefault="000F545E">
      <w:pPr>
        <w:spacing w:line="480" w:lineRule="auto"/>
        <w:jc w:val="center"/>
        <w:rPr>
          <w:rFonts w:ascii="Times New Roman" w:eastAsia="Times New Roman" w:hAnsi="Times New Roman" w:cs="Times New Roman"/>
          <w:sz w:val="24"/>
          <w:szCs w:val="24"/>
        </w:rPr>
      </w:pPr>
    </w:p>
    <w:p w14:paraId="2CCE584E" w14:textId="77777777" w:rsidR="000F545E" w:rsidRDefault="00000000">
      <w:pPr>
        <w:pStyle w:val="Heading1"/>
        <w:spacing w:line="480" w:lineRule="auto"/>
        <w:jc w:val="center"/>
        <w:rPr>
          <w:rFonts w:ascii="Times New Roman" w:eastAsia="Times New Roman" w:hAnsi="Times New Roman" w:cs="Times New Roman"/>
          <w:sz w:val="32"/>
          <w:szCs w:val="32"/>
        </w:rPr>
      </w:pPr>
      <w:bookmarkStart w:id="0" w:name="_fd8c3991ti07" w:colFirst="0" w:colLast="0"/>
      <w:bookmarkEnd w:id="0"/>
      <w:r>
        <w:rPr>
          <w:rFonts w:ascii="Times New Roman" w:eastAsia="Times New Roman" w:hAnsi="Times New Roman" w:cs="Times New Roman"/>
          <w:sz w:val="32"/>
          <w:szCs w:val="32"/>
        </w:rPr>
        <w:t>Part 1: Superstore data analysis</w:t>
      </w:r>
    </w:p>
    <w:p w14:paraId="031E69FA" w14:textId="77777777" w:rsidR="000F545E" w:rsidRDefault="00000000">
      <w:pPr>
        <w:keepNext/>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3A39322" wp14:editId="15506B67">
            <wp:extent cx="3876675" cy="2209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876675" cy="2209800"/>
                    </a:xfrm>
                    <a:prstGeom prst="rect">
                      <a:avLst/>
                    </a:prstGeom>
                    <a:ln/>
                  </pic:spPr>
                </pic:pic>
              </a:graphicData>
            </a:graphic>
          </wp:inline>
        </w:drawing>
      </w:r>
    </w:p>
    <w:p w14:paraId="40D453CB"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1: Variations in sales between 2009 and 2011</w:t>
      </w:r>
    </w:p>
    <w:p w14:paraId="2C9F6087" w14:textId="68A130A2"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provided is highly comprehensive, accounting for a total of 8,400 recorded transactions. Analysis of the records shows it provides key insights into the superstore's performance across four years. Through the dataset, key aspects of the organisation, such as changes in sales, variation in sales across regions, and changes in profitability and type of order, can be examined. Therefore, the analysis shows significant changes in sales between 2009 and 2012. While the general trend indicates a decline, annual variations show the decline only occurred between 2009 and 2011. 2012 was marked by a slight increase in superstore sales; however, the increase did not surpass the total sales recorded in 2009.</w:t>
      </w:r>
    </w:p>
    <w:p w14:paraId="7946D3FC" w14:textId="77777777" w:rsidR="000F545E" w:rsidRDefault="00000000">
      <w:pPr>
        <w:keepNext/>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934FF0C" wp14:editId="112944C8">
            <wp:extent cx="4667250" cy="307213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667250" cy="3072130"/>
                    </a:xfrm>
                    <a:prstGeom prst="rect">
                      <a:avLst/>
                    </a:prstGeom>
                    <a:ln/>
                  </pic:spPr>
                </pic:pic>
              </a:graphicData>
            </a:graphic>
          </wp:inline>
        </w:drawing>
      </w:r>
    </w:p>
    <w:p w14:paraId="2D3F6C8D"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2: Differences in sales and profit across regions</w:t>
      </w:r>
    </w:p>
    <w:p w14:paraId="75341664" w14:textId="070B90BB"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changes in sales</w:t>
      </w:r>
      <w:r w:rsidR="007D1D3D">
        <w:rPr>
          <w:rFonts w:ascii="Times New Roman" w:eastAsia="Times New Roman" w:hAnsi="Times New Roman" w:cs="Times New Roman"/>
          <w:sz w:val="24"/>
          <w:szCs w:val="24"/>
        </w:rPr>
        <w:t xml:space="preserve"> shows</w:t>
      </w:r>
      <w:r>
        <w:rPr>
          <w:rFonts w:ascii="Times New Roman" w:eastAsia="Times New Roman" w:hAnsi="Times New Roman" w:cs="Times New Roman"/>
          <w:sz w:val="24"/>
          <w:szCs w:val="24"/>
        </w:rPr>
        <w:t xml:space="preserve"> general trend in the datasets; they do not fully account for the variations in performance across different regions. This creates the need to examine overall sales across different regions within the given period. This objective was achieved using pivot tables and charts. The data shows that the superstore operated in 8 different regions. Each region recorded a different amount of sales, with Ontario recording the highest sales. The lowest sales were recorded in the Northwest Territories. This variation was also accompanied by significant differences in superstore profits in different regions. Similarly, Ontario recorded the highest profits, while the North West Territories and North Carolina recorded the lowest profits. This shows the potential for a significant positive relationship between the profitability of the organisation and the total sales recorded. Nonetheless, the insights provided by the pivot chart above do not fully indicate the reason for the observed variability.</w:t>
      </w:r>
    </w:p>
    <w:p w14:paraId="6A4BEADE" w14:textId="77777777" w:rsidR="000F545E" w:rsidRDefault="00000000">
      <w:pPr>
        <w:keepNext/>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74062D4" wp14:editId="7C1C455D">
            <wp:extent cx="4648200" cy="23431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648200" cy="2343150"/>
                    </a:xfrm>
                    <a:prstGeom prst="rect">
                      <a:avLst/>
                    </a:prstGeom>
                    <a:ln/>
                  </pic:spPr>
                </pic:pic>
              </a:graphicData>
            </a:graphic>
          </wp:inline>
        </w:drawing>
      </w:r>
    </w:p>
    <w:p w14:paraId="7D7E4041"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3: Variation in sales and profits based on the type of order</w:t>
      </w:r>
    </w:p>
    <w:p w14:paraId="6F73F63F"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reason behind variability would be highly beneficial in improving the business operations and quality of services. While such an element is essential to the potential growth, it does not fully account for the variations in the datasets. Evidence for the data shows that variations in sales have also occurred in the type of orders made by customers. Specifically, the store operates based on five types of orders, critical, high priority, low priority, and medium and not specified. Each type of order accounts for a notable portion of the business sales and profits. The low-priority products accounted for the majority of the sales, while high-priority orders accounted for the most profit. Its high sales are also reflected in the high profits associated with such orders. Additionally, a significant portion of customers described their orders as critical while others described them as not specified; these types of orders recorded a relatively low sales volume and profits. This future indicates the positive correlation between sales volumes and profits received by the business.</w:t>
      </w:r>
    </w:p>
    <w:p w14:paraId="4EBAB9CF" w14:textId="77777777" w:rsidR="000F545E" w:rsidRDefault="000F545E">
      <w:pPr>
        <w:spacing w:line="480" w:lineRule="auto"/>
        <w:ind w:firstLine="720"/>
        <w:rPr>
          <w:rFonts w:ascii="Times New Roman" w:eastAsia="Times New Roman" w:hAnsi="Times New Roman" w:cs="Times New Roman"/>
          <w:sz w:val="24"/>
          <w:szCs w:val="24"/>
        </w:rPr>
      </w:pPr>
    </w:p>
    <w:p w14:paraId="6C771BD4" w14:textId="77777777" w:rsidR="000F545E" w:rsidRDefault="00000000">
      <w:pPr>
        <w:pStyle w:val="Heading2"/>
        <w:spacing w:line="480" w:lineRule="auto"/>
        <w:rPr>
          <w:rFonts w:ascii="Times New Roman" w:eastAsia="Times New Roman" w:hAnsi="Times New Roman" w:cs="Times New Roman"/>
          <w:sz w:val="28"/>
          <w:szCs w:val="28"/>
        </w:rPr>
      </w:pPr>
      <w:bookmarkStart w:id="1" w:name="_oyik8173hvto" w:colFirst="0" w:colLast="0"/>
      <w:bookmarkEnd w:id="1"/>
      <w:r>
        <w:rPr>
          <w:rFonts w:ascii="Times New Roman" w:eastAsia="Times New Roman" w:hAnsi="Times New Roman" w:cs="Times New Roman"/>
          <w:sz w:val="28"/>
          <w:szCs w:val="28"/>
        </w:rPr>
        <w:lastRenderedPageBreak/>
        <w:t xml:space="preserve">Discuss excel as a tool for data handling </w:t>
      </w:r>
    </w:p>
    <w:p w14:paraId="307387DB" w14:textId="462440E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Modern businesses are oriented towards growth and expansion (Gupta, Guha, and Krishnaswami, 2013). This aspect of the business model has been seen through efforts to increase market access and expand businesses across different locations. This needs to explain the presence of superstore business across different regions and variation in orders as well as sales. Such aspects of business, present significant weaknesses to the business. One major weakness is the volume of data generated across different regions; in this case, the superstore generated a total of 8,400 records. These large datasets are often difficult to handle, especially where processing information and obtaining key findings are concerned. These difficulties tend to raise numerous questions where data analytics are cornered. Some key questions raised include (1) what the first step in handling the data is? (2) What is the function of data preprocessing? (3) How effective is Microsoft Excel in shaping the data handling process?</w:t>
      </w:r>
    </w:p>
    <w:p w14:paraId="5B2FAF81" w14:textId="1B0DB311"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Creation of large datasets as indicated by the superstore datasets, queries unique techniques and skills— it is a key aspect of data mining. According to </w:t>
      </w:r>
      <w:r>
        <w:rPr>
          <w:rFonts w:ascii="Times New Roman" w:eastAsia="Times New Roman" w:hAnsi="Times New Roman" w:cs="Times New Roman"/>
          <w:color w:val="222222"/>
          <w:sz w:val="24"/>
          <w:szCs w:val="24"/>
          <w:highlight w:val="white"/>
        </w:rPr>
        <w:t>Nisbet et al. (2018)</w:t>
      </w:r>
      <w:r>
        <w:rPr>
          <w:rFonts w:ascii="Times New Roman" w:eastAsia="Times New Roman" w:hAnsi="Times New Roman" w:cs="Times New Roman"/>
          <w:sz w:val="24"/>
          <w:szCs w:val="24"/>
        </w:rPr>
        <w:t>, the first step to handling large datasets includes the collection of data</w:t>
      </w:r>
      <w:r w:rsidR="007D1D3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collection process is often performed using data mining techniques, which is, in turn, followed by analytical processes that transform the data into a readable format to enhance its performance. As a result, data preprocessing refers to an analytical process that focuses on dropping different datasets to enhance the subsequent analysis or performance. In the case of superstore datasets, the preprocessing was achieved using Microsoft excel tools for further insights into the data. This usage created the need to explore in the future how data preprocessing can be achieved using Microsoft Excel as the primary analytic tool.</w:t>
      </w:r>
    </w:p>
    <w:p w14:paraId="4F6CC4A0"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Proctor (2002), Microsoft Excel has been known as a key tool for data analysis; however, it has been widely adopted to deal with small-scale datasets. This focus, while key to the applications and use of Microsoft Excel, the software can be used to handle large datasets. Another key advantage is its ability to deal with structured and unstructured datasets. In the case of the superstore dataset, the data was unstructured. The preprocessing functions and tools created room to develop a specified structure that enhanced the analytical process. This aspect was possible through the inbuilt functions that were key to the analytical process (</w:t>
      </w:r>
      <w:r>
        <w:rPr>
          <w:rFonts w:ascii="Times New Roman" w:eastAsia="Times New Roman" w:hAnsi="Times New Roman" w:cs="Times New Roman"/>
          <w:color w:val="222222"/>
          <w:sz w:val="24"/>
          <w:szCs w:val="24"/>
          <w:highlight w:val="white"/>
        </w:rPr>
        <w:t>Nisbet et al., 2018</w:t>
      </w:r>
      <w:r>
        <w:rPr>
          <w:rFonts w:ascii="Times New Roman" w:eastAsia="Times New Roman" w:hAnsi="Times New Roman" w:cs="Times New Roman"/>
          <w:sz w:val="24"/>
          <w:szCs w:val="24"/>
        </w:rPr>
        <w:t>). Such functions made it possible to obtain the different insights as highlighted in figures 1, 2, and 3.</w:t>
      </w:r>
    </w:p>
    <w:p w14:paraId="1AC00305" w14:textId="77777777" w:rsidR="000F545E" w:rsidRDefault="000F545E">
      <w:pPr>
        <w:spacing w:line="480" w:lineRule="auto"/>
        <w:ind w:firstLine="720"/>
        <w:rPr>
          <w:rFonts w:ascii="Times New Roman" w:eastAsia="Times New Roman" w:hAnsi="Times New Roman" w:cs="Times New Roman"/>
          <w:sz w:val="24"/>
          <w:szCs w:val="24"/>
        </w:rPr>
      </w:pPr>
    </w:p>
    <w:p w14:paraId="5340A8F0" w14:textId="77777777" w:rsidR="000F545E" w:rsidRDefault="00000000">
      <w:pPr>
        <w:pStyle w:val="Heading3"/>
        <w:spacing w:line="480" w:lineRule="auto"/>
        <w:ind w:firstLine="720"/>
        <w:rPr>
          <w:rFonts w:ascii="Times New Roman" w:eastAsia="Times New Roman" w:hAnsi="Times New Roman" w:cs="Times New Roman"/>
          <w:sz w:val="26"/>
          <w:szCs w:val="26"/>
        </w:rPr>
      </w:pPr>
      <w:bookmarkStart w:id="2" w:name="_lygvr6ktnh5b" w:colFirst="0" w:colLast="0"/>
      <w:bookmarkEnd w:id="2"/>
      <w:r>
        <w:rPr>
          <w:rFonts w:ascii="Times New Roman" w:eastAsia="Times New Roman" w:hAnsi="Times New Roman" w:cs="Times New Roman"/>
          <w:sz w:val="26"/>
          <w:szCs w:val="26"/>
        </w:rPr>
        <w:t>SUMIFS Excel function</w:t>
      </w:r>
    </w:p>
    <w:p w14:paraId="729DDC05"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provided datasets are specific in terms of an order ID, customers, region of operation, and day of the transaction. These aspects of data make it possible to fully assess sales, profits, and other elements associated with the business. While the possibility exists, it is critical to acknowledge the underlying challenges associated with dealing with the volume of data and the unstructured nature of the data. Nonetheless, a SUMIFS function was used to obtain the tool sales value across each period. According to </w:t>
      </w:r>
      <w:proofErr w:type="spellStart"/>
      <w:r>
        <w:rPr>
          <w:rFonts w:ascii="Times New Roman" w:eastAsia="Times New Roman" w:hAnsi="Times New Roman" w:cs="Times New Roman"/>
          <w:sz w:val="24"/>
          <w:szCs w:val="24"/>
        </w:rPr>
        <w:t>Jelen</w:t>
      </w:r>
      <w:proofErr w:type="spellEnd"/>
      <w:r>
        <w:rPr>
          <w:rFonts w:ascii="Times New Roman" w:eastAsia="Times New Roman" w:hAnsi="Times New Roman" w:cs="Times New Roman"/>
          <w:sz w:val="24"/>
          <w:szCs w:val="24"/>
        </w:rPr>
        <w:t xml:space="preserve"> (2018), the SUMIFS function is often categorised as maths, and trig function focuses on adding values based on specified arguments. Unlike the original SUMIF function, this aspect accounts for multiple scenarios to ensure comprehensive comparison across different records before the final value is obtained. As a result, the start and end dates of each year were leveraged as key aspects of the datasets to obtain totals across each period (see figure 4 below).</w:t>
      </w:r>
    </w:p>
    <w:p w14:paraId="2D0EAE0B" w14:textId="77777777" w:rsidR="000F545E" w:rsidRDefault="00000000">
      <w:pPr>
        <w:keepNext/>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39E05C8" wp14:editId="4050B361">
            <wp:extent cx="3343275" cy="100965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343275" cy="1009650"/>
                    </a:xfrm>
                    <a:prstGeom prst="rect">
                      <a:avLst/>
                    </a:prstGeom>
                    <a:ln/>
                  </pic:spPr>
                </pic:pic>
              </a:graphicData>
            </a:graphic>
          </wp:inline>
        </w:drawing>
      </w:r>
    </w:p>
    <w:p w14:paraId="2737AA26"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4: Total Annual Sales</w:t>
      </w:r>
    </w:p>
    <w:p w14:paraId="1D873897" w14:textId="77777777" w:rsidR="000F545E" w:rsidRDefault="00000000">
      <w:pPr>
        <w:pStyle w:val="Heading3"/>
        <w:spacing w:line="480" w:lineRule="auto"/>
        <w:ind w:firstLine="720"/>
        <w:rPr>
          <w:rFonts w:ascii="Times New Roman" w:eastAsia="Times New Roman" w:hAnsi="Times New Roman" w:cs="Times New Roman"/>
          <w:sz w:val="26"/>
          <w:szCs w:val="26"/>
        </w:rPr>
      </w:pPr>
      <w:bookmarkStart w:id="3" w:name="_wmuj8utidnz4" w:colFirst="0" w:colLast="0"/>
      <w:bookmarkEnd w:id="3"/>
      <w:r>
        <w:rPr>
          <w:rFonts w:ascii="Times New Roman" w:eastAsia="Times New Roman" w:hAnsi="Times New Roman" w:cs="Times New Roman"/>
          <w:sz w:val="26"/>
          <w:szCs w:val="26"/>
        </w:rPr>
        <w:t>Pivot tables</w:t>
      </w:r>
    </w:p>
    <w:p w14:paraId="6792C8F4"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SUMIFS function provided an avenue to explore the general trend and variations in the data types; however, it is critical to acknowledge that the datasets were relatively complex. As a result, a general summation of total sales across different years was not sufficient to gain the needed insights into the data. For this reason, pivot tables and chants were used for further data structuring and visualisation. According to </w:t>
      </w:r>
      <w:proofErr w:type="spellStart"/>
      <w:r>
        <w:rPr>
          <w:rFonts w:ascii="Times New Roman" w:eastAsia="Times New Roman" w:hAnsi="Times New Roman" w:cs="Times New Roman"/>
          <w:sz w:val="24"/>
          <w:szCs w:val="24"/>
        </w:rPr>
        <w:t>Jelen</w:t>
      </w:r>
      <w:proofErr w:type="spellEnd"/>
      <w:r>
        <w:rPr>
          <w:rFonts w:ascii="Times New Roman" w:eastAsia="Times New Roman" w:hAnsi="Times New Roman" w:cs="Times New Roman"/>
          <w:sz w:val="24"/>
          <w:szCs w:val="24"/>
        </w:rPr>
        <w:t xml:space="preserve"> (2018), pivot tables are primarily used as tools for summarising, analysing, and exploring data. They are often complemented by pivot charts which makes it easy to compare patterns and trends within a given enterprise. In the case of superstore data, it was used for aggregating the numerical variety across different categories. It also provided a user-friendly approach to querying the provided large datasets.</w:t>
      </w:r>
    </w:p>
    <w:p w14:paraId="05341927" w14:textId="77777777" w:rsidR="000F545E" w:rsidRDefault="000F545E">
      <w:pPr>
        <w:spacing w:line="480" w:lineRule="auto"/>
        <w:ind w:firstLine="720"/>
        <w:rPr>
          <w:rFonts w:ascii="Times New Roman" w:eastAsia="Times New Roman" w:hAnsi="Times New Roman" w:cs="Times New Roman"/>
          <w:sz w:val="24"/>
          <w:szCs w:val="24"/>
        </w:rPr>
      </w:pPr>
    </w:p>
    <w:p w14:paraId="3AB59ED9" w14:textId="77777777" w:rsidR="000F545E" w:rsidRDefault="00000000">
      <w:pPr>
        <w:pStyle w:val="Heading3"/>
        <w:spacing w:line="480" w:lineRule="auto"/>
        <w:ind w:firstLine="720"/>
        <w:rPr>
          <w:rFonts w:ascii="Times New Roman" w:eastAsia="Times New Roman" w:hAnsi="Times New Roman" w:cs="Times New Roman"/>
          <w:sz w:val="26"/>
          <w:szCs w:val="26"/>
        </w:rPr>
      </w:pPr>
      <w:bookmarkStart w:id="4" w:name="_gh08fqqgmag" w:colFirst="0" w:colLast="0"/>
      <w:bookmarkEnd w:id="4"/>
      <w:r>
        <w:rPr>
          <w:rFonts w:ascii="Times New Roman" w:eastAsia="Times New Roman" w:hAnsi="Times New Roman" w:cs="Times New Roman"/>
          <w:sz w:val="26"/>
          <w:szCs w:val="26"/>
        </w:rPr>
        <w:t xml:space="preserve">Data visualisation </w:t>
      </w:r>
    </w:p>
    <w:p w14:paraId="649BAEB7"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data visualisation has been highly enhanced when dealing with pivot charts. This integration and emphasis created the need to fully examine the concept and its application in excel during data handling and preprocessing. In this case, </w:t>
      </w:r>
      <w:r>
        <w:rPr>
          <w:rFonts w:ascii="Times New Roman" w:eastAsia="Times New Roman" w:hAnsi="Times New Roman" w:cs="Times New Roman"/>
          <w:color w:val="222222"/>
          <w:sz w:val="24"/>
          <w:szCs w:val="24"/>
          <w:highlight w:val="white"/>
        </w:rPr>
        <w:t>Nisbet et al. (2018)</w:t>
      </w:r>
      <w:r>
        <w:rPr>
          <w:rFonts w:ascii="Times New Roman" w:eastAsia="Times New Roman" w:hAnsi="Times New Roman" w:cs="Times New Roman"/>
          <w:sz w:val="24"/>
          <w:szCs w:val="24"/>
        </w:rPr>
        <w:t xml:space="preserve"> defines data visualisation as a representation of datasets through graphics such as animations, plots, charts, and infographics. The goal of adopting such approaches to data representation is to </w:t>
      </w:r>
      <w:r>
        <w:rPr>
          <w:rFonts w:ascii="Times New Roman" w:eastAsia="Times New Roman" w:hAnsi="Times New Roman" w:cs="Times New Roman"/>
          <w:sz w:val="24"/>
          <w:szCs w:val="24"/>
        </w:rPr>
        <w:lastRenderedPageBreak/>
        <w:t>communicate different complexities in the datasets, especially when dealing with key relationships. In a business environment, data visualisation is key to providing data-driven insights for ease in understanding and decision-making.as a result, charts were mainly adopted to represent trends in the datasets across different years. This aspect of data preprocessing was accompanied by the use of charts to represent key relationships such as the correlation between volume of sales and profits acquired by the business. Additionally, it was used to represent differences in the observed relationships across different regions and types of orders. Therefore, data visualisation was a key tool in enhancing the data preprocessing process.</w:t>
      </w:r>
    </w:p>
    <w:p w14:paraId="438A920C" w14:textId="77777777" w:rsidR="000F545E" w:rsidRDefault="000F545E">
      <w:pPr>
        <w:spacing w:line="480" w:lineRule="auto"/>
        <w:ind w:firstLine="720"/>
        <w:rPr>
          <w:rFonts w:ascii="Times New Roman" w:eastAsia="Times New Roman" w:hAnsi="Times New Roman" w:cs="Times New Roman"/>
          <w:sz w:val="24"/>
          <w:szCs w:val="24"/>
        </w:rPr>
      </w:pPr>
    </w:p>
    <w:p w14:paraId="3611C1F5" w14:textId="77777777" w:rsidR="000F545E" w:rsidRDefault="00000000">
      <w:pPr>
        <w:pStyle w:val="Heading2"/>
        <w:spacing w:line="480" w:lineRule="auto"/>
        <w:rPr>
          <w:rFonts w:ascii="Times New Roman" w:eastAsia="Times New Roman" w:hAnsi="Times New Roman" w:cs="Times New Roman"/>
          <w:sz w:val="28"/>
          <w:szCs w:val="28"/>
        </w:rPr>
      </w:pPr>
      <w:bookmarkStart w:id="5" w:name="_rvy37w2f0291" w:colFirst="0" w:colLast="0"/>
      <w:bookmarkEnd w:id="5"/>
      <w:r>
        <w:rPr>
          <w:rFonts w:ascii="Times New Roman" w:eastAsia="Times New Roman" w:hAnsi="Times New Roman" w:cs="Times New Roman"/>
          <w:sz w:val="28"/>
          <w:szCs w:val="28"/>
        </w:rPr>
        <w:t>Effectiveness of excel in data handling</w:t>
      </w:r>
    </w:p>
    <w:p w14:paraId="624AA78C"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insights provided shows the importance of data analytics in understudying different dimensions of the business operations; some key dimensions explored in the analysis included profitability, variation in sales and performance across different regions. According to Nisbet et al. (2018) such aspects of data analytics demonstrate the capacity of data-driven approaches in boosting growth and demand across the markets. Amidst such insight into the business are critical to acknowledge that the provided datasets have been analysed using Microsoft excel. Given the approaches used in the analysis it is critical to evaluate the use of Microsoft Excel as a tool for handling.</w:t>
      </w:r>
    </w:p>
    <w:p w14:paraId="650A9401"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adoption of Microsoft Excel in data handling has been highly effective in gaining key insights into the provided datasets. The effectiveness primarily stems from the presence of inbuilt functions and formulas that allow easy manipulation of the datasets to obtain the much needed information. For instance, the SUMIFS function was critical to analysing the annual </w:t>
      </w:r>
      <w:r>
        <w:rPr>
          <w:rFonts w:ascii="Times New Roman" w:eastAsia="Times New Roman" w:hAnsi="Times New Roman" w:cs="Times New Roman"/>
          <w:sz w:val="24"/>
          <w:szCs w:val="24"/>
        </w:rPr>
        <w:lastRenderedPageBreak/>
        <w:t>variation in sales for the business, making Microsoft Excel a critical tool in trend analysis. While recognizing its role in trend analysis, it is vital to recognise the role of the dataset. In this case the volume of the data was significantly large, accounting for a total of 8,400 records with at least 21 variables. Such a volume of data was obtained from different sources before being compiled for the subsequent analysis. This shows that Microsoft Excel has the capability to consolidate and store datasets into a readable form for further analysis. This trait has been complemented by the presence of data visualisation techniques such as the use of private charts and tables as well as general charts to provide insights into the relationships in the datasets. Therefore, Microsoft Excel can be considered as a highly advantageous tool for data handling and preprocessing.</w:t>
      </w:r>
    </w:p>
    <w:p w14:paraId="61DCC4A6"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observed features of Microsoft Excel shows why it has been widely adopted as a tool for data storage and preprocessing. While these advantages exist, it is vital to recognize the underlying challenges associated with the use of the software as a primary tool for data handling. The main challenge stems from the complexity of formulas, the limited nature of its visualisation and process and similarities between the functions. An example of complexity in the functions and formulas has been seen when dealing with the SUMIFS function. The function requires unique present criteria before applying. As a result, the analyst needs to have knowledge of the dataset and function prior to applying the functions. The IF function also may become complex, especially when nested in order to achieve certain results. Such aspects of the process have been limited by the need to fully understand the variables before relaying information on charts. Failure to perform an in-depth analysis and understudying of the data may result in inaccurate representation of the variables in the datasets.</w:t>
      </w:r>
    </w:p>
    <w:p w14:paraId="6D710FC9" w14:textId="77777777" w:rsidR="000F545E" w:rsidRDefault="000F545E">
      <w:pPr>
        <w:spacing w:line="480" w:lineRule="auto"/>
        <w:ind w:firstLine="720"/>
        <w:rPr>
          <w:rFonts w:ascii="Times New Roman" w:eastAsia="Times New Roman" w:hAnsi="Times New Roman" w:cs="Times New Roman"/>
          <w:sz w:val="24"/>
          <w:szCs w:val="24"/>
        </w:rPr>
      </w:pPr>
    </w:p>
    <w:p w14:paraId="2577790C" w14:textId="77777777" w:rsidR="000F545E" w:rsidRDefault="00000000">
      <w:pPr>
        <w:pStyle w:val="Heading1"/>
        <w:spacing w:line="480" w:lineRule="auto"/>
        <w:jc w:val="center"/>
        <w:rPr>
          <w:rFonts w:ascii="Times New Roman" w:eastAsia="Times New Roman" w:hAnsi="Times New Roman" w:cs="Times New Roman"/>
          <w:sz w:val="32"/>
          <w:szCs w:val="32"/>
        </w:rPr>
      </w:pPr>
      <w:bookmarkStart w:id="6" w:name="_k3qr11s5qf56" w:colFirst="0" w:colLast="0"/>
      <w:bookmarkEnd w:id="6"/>
      <w:r>
        <w:rPr>
          <w:rFonts w:ascii="Times New Roman" w:eastAsia="Times New Roman" w:hAnsi="Times New Roman" w:cs="Times New Roman"/>
          <w:sz w:val="32"/>
          <w:szCs w:val="32"/>
        </w:rPr>
        <w:lastRenderedPageBreak/>
        <w:t>Part 2: Ice cream datasets</w:t>
      </w:r>
    </w:p>
    <w:p w14:paraId="736B91E8"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continuous acceptance of Microsoft Excel as a key data analytic tool has been essential in adopting data-drive methodologies in the business environment (Broman and Woo, 2018). These observations indicate the continuous need to measure business performance and improve the overall efficiency. These elements, while essential, it is critical to acknowledge the emergence of new software and tools for analysing business-related data. One such software or tool has been the Statically Package for Social Sciences (SPSS) software (IBM, n.d.). The software is known for its dynamism in data classification and manipulation and high-level representations. Therefore, this action focusers on analysing the provided datasets (Icream.csv) for better insights into changes and potential future of the business. An evaluation of SPSS and Microsoft Excel as data handling tools are a critical part of this analysis.</w:t>
      </w:r>
    </w:p>
    <w:p w14:paraId="00C9553D" w14:textId="77777777" w:rsidR="000F545E" w:rsidRDefault="000F545E">
      <w:pPr>
        <w:spacing w:line="480" w:lineRule="auto"/>
        <w:ind w:firstLine="720"/>
        <w:rPr>
          <w:rFonts w:ascii="Times New Roman" w:eastAsia="Times New Roman" w:hAnsi="Times New Roman" w:cs="Times New Roman"/>
          <w:sz w:val="24"/>
          <w:szCs w:val="24"/>
        </w:rPr>
      </w:pPr>
    </w:p>
    <w:p w14:paraId="46D7C4A0" w14:textId="77777777" w:rsidR="000F545E" w:rsidRDefault="00000000">
      <w:pPr>
        <w:pStyle w:val="Heading2"/>
        <w:spacing w:line="480" w:lineRule="auto"/>
        <w:rPr>
          <w:rFonts w:ascii="Times New Roman" w:eastAsia="Times New Roman" w:hAnsi="Times New Roman" w:cs="Times New Roman"/>
          <w:sz w:val="28"/>
          <w:szCs w:val="28"/>
        </w:rPr>
      </w:pPr>
      <w:bookmarkStart w:id="7" w:name="_cj2mbzny2yiy" w:colFirst="0" w:colLast="0"/>
      <w:bookmarkEnd w:id="7"/>
      <w:r>
        <w:rPr>
          <w:rFonts w:ascii="Times New Roman" w:eastAsia="Times New Roman" w:hAnsi="Times New Roman" w:cs="Times New Roman"/>
          <w:sz w:val="28"/>
          <w:szCs w:val="28"/>
        </w:rPr>
        <w:t>Frequency distribution</w:t>
      </w:r>
    </w:p>
    <w:tbl>
      <w:tblPr>
        <w:tblStyle w:val="a"/>
        <w:tblW w:w="621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876"/>
        <w:gridCol w:w="937"/>
        <w:gridCol w:w="1030"/>
        <w:gridCol w:w="1153"/>
        <w:gridCol w:w="1184"/>
        <w:gridCol w:w="1030"/>
      </w:tblGrid>
      <w:tr w:rsidR="000F545E" w14:paraId="152415D4" w14:textId="77777777">
        <w:trPr>
          <w:cantSplit/>
        </w:trPr>
        <w:tc>
          <w:tcPr>
            <w:tcW w:w="6210" w:type="dxa"/>
            <w:gridSpan w:val="6"/>
            <w:tcBorders>
              <w:top w:val="nil"/>
              <w:left w:val="nil"/>
              <w:bottom w:val="nil"/>
              <w:right w:val="nil"/>
            </w:tcBorders>
            <w:shd w:val="clear" w:color="auto" w:fill="FFFFFF"/>
            <w:vAlign w:val="center"/>
          </w:tcPr>
          <w:p w14:paraId="5E9F0232" w14:textId="77777777" w:rsidR="000F545E" w:rsidRDefault="00000000">
            <w:pPr>
              <w:spacing w:after="0" w:line="276" w:lineRule="auto"/>
              <w:ind w:left="60" w:right="60"/>
              <w:jc w:val="center"/>
              <w:rPr>
                <w:rFonts w:ascii="Times New Roman" w:eastAsia="Times New Roman" w:hAnsi="Times New Roman" w:cs="Times New Roman"/>
                <w:color w:val="010205"/>
                <w:sz w:val="24"/>
                <w:szCs w:val="24"/>
              </w:rPr>
            </w:pPr>
            <w:r>
              <w:rPr>
                <w:rFonts w:ascii="Times New Roman" w:eastAsia="Times New Roman" w:hAnsi="Times New Roman" w:cs="Times New Roman"/>
                <w:b/>
                <w:color w:val="010205"/>
                <w:sz w:val="24"/>
                <w:szCs w:val="24"/>
              </w:rPr>
              <w:t>Gender * ice-creams Cross tabulation</w:t>
            </w:r>
          </w:p>
        </w:tc>
      </w:tr>
      <w:tr w:rsidR="000F545E" w14:paraId="7C378514" w14:textId="77777777">
        <w:trPr>
          <w:cantSplit/>
        </w:trPr>
        <w:tc>
          <w:tcPr>
            <w:tcW w:w="6210" w:type="dxa"/>
            <w:gridSpan w:val="6"/>
            <w:tcBorders>
              <w:top w:val="nil"/>
              <w:left w:val="nil"/>
              <w:bottom w:val="nil"/>
              <w:right w:val="nil"/>
            </w:tcBorders>
            <w:shd w:val="clear" w:color="auto" w:fill="FFFFFF"/>
            <w:vAlign w:val="bottom"/>
          </w:tcPr>
          <w:p w14:paraId="24661B71" w14:textId="77777777" w:rsidR="000F545E" w:rsidRDefault="00000000">
            <w:p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color w:val="010205"/>
                <w:sz w:val="24"/>
                <w:szCs w:val="24"/>
                <w:highlight w:val="white"/>
              </w:rPr>
              <w:t xml:space="preserve">Count  </w:t>
            </w:r>
          </w:p>
        </w:tc>
      </w:tr>
      <w:tr w:rsidR="000F545E" w14:paraId="24EA2BFC" w14:textId="77777777">
        <w:trPr>
          <w:cantSplit/>
        </w:trPr>
        <w:tc>
          <w:tcPr>
            <w:tcW w:w="1813" w:type="dxa"/>
            <w:gridSpan w:val="2"/>
            <w:vMerge w:val="restart"/>
            <w:tcBorders>
              <w:top w:val="nil"/>
              <w:left w:val="nil"/>
              <w:bottom w:val="nil"/>
              <w:right w:val="nil"/>
            </w:tcBorders>
            <w:shd w:val="clear" w:color="auto" w:fill="FFFFFF"/>
            <w:vAlign w:val="bottom"/>
          </w:tcPr>
          <w:p w14:paraId="78F957F5" w14:textId="77777777" w:rsidR="000F545E" w:rsidRDefault="000F545E">
            <w:pPr>
              <w:spacing w:after="0" w:line="276" w:lineRule="auto"/>
              <w:rPr>
                <w:rFonts w:ascii="Times New Roman" w:eastAsia="Times New Roman" w:hAnsi="Times New Roman" w:cs="Times New Roman"/>
                <w:sz w:val="24"/>
                <w:szCs w:val="24"/>
              </w:rPr>
            </w:pPr>
          </w:p>
        </w:tc>
        <w:tc>
          <w:tcPr>
            <w:tcW w:w="3367" w:type="dxa"/>
            <w:gridSpan w:val="3"/>
            <w:tcBorders>
              <w:top w:val="nil"/>
              <w:left w:val="nil"/>
              <w:bottom w:val="nil"/>
              <w:right w:val="single" w:sz="8" w:space="0" w:color="E0E0E0"/>
            </w:tcBorders>
            <w:shd w:val="clear" w:color="auto" w:fill="FFFFFF"/>
            <w:vAlign w:val="bottom"/>
          </w:tcPr>
          <w:p w14:paraId="10B05069"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ice-creams</w:t>
            </w:r>
          </w:p>
        </w:tc>
        <w:tc>
          <w:tcPr>
            <w:tcW w:w="1030" w:type="dxa"/>
            <w:vMerge w:val="restart"/>
            <w:tcBorders>
              <w:top w:val="nil"/>
              <w:left w:val="single" w:sz="8" w:space="0" w:color="E0E0E0"/>
              <w:bottom w:val="nil"/>
              <w:right w:val="nil"/>
            </w:tcBorders>
            <w:shd w:val="clear" w:color="auto" w:fill="FFFFFF"/>
            <w:vAlign w:val="bottom"/>
          </w:tcPr>
          <w:p w14:paraId="5709901A"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Total</w:t>
            </w:r>
          </w:p>
        </w:tc>
      </w:tr>
      <w:tr w:rsidR="000F545E" w14:paraId="2258BB6D" w14:textId="77777777">
        <w:trPr>
          <w:cantSplit/>
        </w:trPr>
        <w:tc>
          <w:tcPr>
            <w:tcW w:w="1813" w:type="dxa"/>
            <w:gridSpan w:val="2"/>
            <w:vMerge/>
            <w:tcBorders>
              <w:top w:val="nil"/>
              <w:left w:val="nil"/>
              <w:bottom w:val="nil"/>
              <w:right w:val="nil"/>
            </w:tcBorders>
            <w:shd w:val="clear" w:color="auto" w:fill="FFFFFF"/>
            <w:vAlign w:val="bottom"/>
          </w:tcPr>
          <w:p w14:paraId="46A623A9" w14:textId="77777777" w:rsidR="000F545E" w:rsidRDefault="000F545E">
            <w:pPr>
              <w:widowControl w:val="0"/>
              <w:pBdr>
                <w:top w:val="nil"/>
                <w:left w:val="nil"/>
                <w:bottom w:val="nil"/>
                <w:right w:val="nil"/>
                <w:between w:val="nil"/>
              </w:pBdr>
              <w:spacing w:after="0" w:line="276" w:lineRule="auto"/>
              <w:rPr>
                <w:rFonts w:ascii="Times New Roman" w:eastAsia="Times New Roman" w:hAnsi="Times New Roman" w:cs="Times New Roman"/>
                <w:color w:val="264A60"/>
                <w:sz w:val="24"/>
                <w:szCs w:val="24"/>
              </w:rPr>
            </w:pPr>
          </w:p>
        </w:tc>
        <w:tc>
          <w:tcPr>
            <w:tcW w:w="1030" w:type="dxa"/>
            <w:tcBorders>
              <w:top w:val="nil"/>
              <w:left w:val="nil"/>
              <w:bottom w:val="single" w:sz="8" w:space="0" w:color="152935"/>
              <w:right w:val="single" w:sz="8" w:space="0" w:color="E0E0E0"/>
            </w:tcBorders>
            <w:shd w:val="clear" w:color="auto" w:fill="FFFFFF"/>
            <w:vAlign w:val="bottom"/>
          </w:tcPr>
          <w:p w14:paraId="6EB2DE50"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Vanilla</w:t>
            </w:r>
          </w:p>
        </w:tc>
        <w:tc>
          <w:tcPr>
            <w:tcW w:w="1153" w:type="dxa"/>
            <w:tcBorders>
              <w:top w:val="nil"/>
              <w:left w:val="single" w:sz="8" w:space="0" w:color="E0E0E0"/>
              <w:bottom w:val="single" w:sz="8" w:space="0" w:color="152935"/>
              <w:right w:val="single" w:sz="8" w:space="0" w:color="E0E0E0"/>
            </w:tcBorders>
            <w:shd w:val="clear" w:color="auto" w:fill="FFFFFF"/>
            <w:vAlign w:val="bottom"/>
          </w:tcPr>
          <w:p w14:paraId="5F078DAF"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Chocolate</w:t>
            </w:r>
          </w:p>
        </w:tc>
        <w:tc>
          <w:tcPr>
            <w:tcW w:w="1184" w:type="dxa"/>
            <w:tcBorders>
              <w:top w:val="nil"/>
              <w:left w:val="single" w:sz="8" w:space="0" w:color="E0E0E0"/>
              <w:bottom w:val="single" w:sz="8" w:space="0" w:color="152935"/>
              <w:right w:val="single" w:sz="8" w:space="0" w:color="E0E0E0"/>
            </w:tcBorders>
            <w:shd w:val="clear" w:color="auto" w:fill="FFFFFF"/>
            <w:vAlign w:val="bottom"/>
          </w:tcPr>
          <w:p w14:paraId="3FD35EB2"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Strawberry</w:t>
            </w:r>
          </w:p>
        </w:tc>
        <w:tc>
          <w:tcPr>
            <w:tcW w:w="1030" w:type="dxa"/>
            <w:vMerge/>
            <w:tcBorders>
              <w:top w:val="nil"/>
              <w:left w:val="single" w:sz="8" w:space="0" w:color="E0E0E0"/>
              <w:bottom w:val="nil"/>
              <w:right w:val="nil"/>
            </w:tcBorders>
            <w:shd w:val="clear" w:color="auto" w:fill="FFFFFF"/>
            <w:vAlign w:val="bottom"/>
          </w:tcPr>
          <w:p w14:paraId="2AE4B0A0" w14:textId="77777777" w:rsidR="000F545E" w:rsidRDefault="000F545E">
            <w:pPr>
              <w:widowControl w:val="0"/>
              <w:pBdr>
                <w:top w:val="nil"/>
                <w:left w:val="nil"/>
                <w:bottom w:val="nil"/>
                <w:right w:val="nil"/>
                <w:between w:val="nil"/>
              </w:pBdr>
              <w:spacing w:after="0" w:line="276" w:lineRule="auto"/>
              <w:rPr>
                <w:rFonts w:ascii="Times New Roman" w:eastAsia="Times New Roman" w:hAnsi="Times New Roman" w:cs="Times New Roman"/>
                <w:color w:val="264A60"/>
                <w:sz w:val="24"/>
                <w:szCs w:val="24"/>
              </w:rPr>
            </w:pPr>
          </w:p>
        </w:tc>
      </w:tr>
      <w:tr w:rsidR="000F545E" w14:paraId="1B7CE254" w14:textId="77777777">
        <w:trPr>
          <w:cantSplit/>
        </w:trPr>
        <w:tc>
          <w:tcPr>
            <w:tcW w:w="876" w:type="dxa"/>
            <w:vMerge w:val="restart"/>
            <w:tcBorders>
              <w:top w:val="single" w:sz="8" w:space="0" w:color="152935"/>
              <w:left w:val="nil"/>
              <w:bottom w:val="single" w:sz="8" w:space="0" w:color="AEAEAE"/>
              <w:right w:val="nil"/>
            </w:tcBorders>
            <w:shd w:val="clear" w:color="auto" w:fill="E0E0E0"/>
          </w:tcPr>
          <w:p w14:paraId="411AFB25"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gender</w:t>
            </w:r>
          </w:p>
        </w:tc>
        <w:tc>
          <w:tcPr>
            <w:tcW w:w="937" w:type="dxa"/>
            <w:tcBorders>
              <w:top w:val="single" w:sz="8" w:space="0" w:color="152935"/>
              <w:left w:val="nil"/>
              <w:bottom w:val="single" w:sz="8" w:space="0" w:color="AEAEAE"/>
              <w:right w:val="nil"/>
            </w:tcBorders>
            <w:shd w:val="clear" w:color="auto" w:fill="E0E0E0"/>
          </w:tcPr>
          <w:p w14:paraId="43219D46"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Male</w:t>
            </w:r>
          </w:p>
        </w:tc>
        <w:tc>
          <w:tcPr>
            <w:tcW w:w="1030" w:type="dxa"/>
            <w:tcBorders>
              <w:top w:val="single" w:sz="8" w:space="0" w:color="152935"/>
              <w:left w:val="nil"/>
              <w:bottom w:val="single" w:sz="8" w:space="0" w:color="AEAEAE"/>
              <w:right w:val="single" w:sz="8" w:space="0" w:color="E0E0E0"/>
            </w:tcBorders>
            <w:shd w:val="clear" w:color="auto" w:fill="FFFFFF"/>
          </w:tcPr>
          <w:p w14:paraId="7B9B504E"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47</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1064C44A"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15</w:t>
            </w:r>
          </w:p>
        </w:tc>
        <w:tc>
          <w:tcPr>
            <w:tcW w:w="1184" w:type="dxa"/>
            <w:tcBorders>
              <w:top w:val="single" w:sz="8" w:space="0" w:color="152935"/>
              <w:left w:val="single" w:sz="8" w:space="0" w:color="E0E0E0"/>
              <w:bottom w:val="single" w:sz="8" w:space="0" w:color="AEAEAE"/>
              <w:right w:val="single" w:sz="8" w:space="0" w:color="E0E0E0"/>
            </w:tcBorders>
            <w:shd w:val="clear" w:color="auto" w:fill="FFFFFF"/>
          </w:tcPr>
          <w:p w14:paraId="04CAF96B"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29</w:t>
            </w:r>
          </w:p>
        </w:tc>
        <w:tc>
          <w:tcPr>
            <w:tcW w:w="1030" w:type="dxa"/>
            <w:tcBorders>
              <w:top w:val="single" w:sz="8" w:space="0" w:color="152935"/>
              <w:left w:val="single" w:sz="8" w:space="0" w:color="E0E0E0"/>
              <w:bottom w:val="single" w:sz="8" w:space="0" w:color="AEAEAE"/>
              <w:right w:val="nil"/>
            </w:tcBorders>
            <w:shd w:val="clear" w:color="auto" w:fill="FFFFFF"/>
          </w:tcPr>
          <w:p w14:paraId="79CF29A0"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91</w:t>
            </w:r>
          </w:p>
        </w:tc>
      </w:tr>
      <w:tr w:rsidR="000F545E" w14:paraId="77A13086" w14:textId="77777777">
        <w:trPr>
          <w:cantSplit/>
        </w:trPr>
        <w:tc>
          <w:tcPr>
            <w:tcW w:w="876" w:type="dxa"/>
            <w:vMerge/>
            <w:tcBorders>
              <w:top w:val="single" w:sz="8" w:space="0" w:color="152935"/>
              <w:left w:val="nil"/>
              <w:bottom w:val="single" w:sz="8" w:space="0" w:color="AEAEAE"/>
              <w:right w:val="nil"/>
            </w:tcBorders>
            <w:shd w:val="clear" w:color="auto" w:fill="E0E0E0"/>
          </w:tcPr>
          <w:p w14:paraId="21036617" w14:textId="77777777" w:rsidR="000F545E" w:rsidRDefault="000F545E">
            <w:pPr>
              <w:widowControl w:val="0"/>
              <w:pBdr>
                <w:top w:val="nil"/>
                <w:left w:val="nil"/>
                <w:bottom w:val="nil"/>
                <w:right w:val="nil"/>
                <w:between w:val="nil"/>
              </w:pBdr>
              <w:spacing w:after="0" w:line="276" w:lineRule="auto"/>
              <w:rPr>
                <w:rFonts w:ascii="Times New Roman" w:eastAsia="Times New Roman" w:hAnsi="Times New Roman" w:cs="Times New Roman"/>
                <w:color w:val="010205"/>
                <w:sz w:val="24"/>
                <w:szCs w:val="24"/>
              </w:rPr>
            </w:pPr>
          </w:p>
        </w:tc>
        <w:tc>
          <w:tcPr>
            <w:tcW w:w="937" w:type="dxa"/>
            <w:tcBorders>
              <w:top w:val="single" w:sz="8" w:space="0" w:color="AEAEAE"/>
              <w:left w:val="nil"/>
              <w:bottom w:val="single" w:sz="8" w:space="0" w:color="AEAEAE"/>
              <w:right w:val="nil"/>
            </w:tcBorders>
            <w:shd w:val="clear" w:color="auto" w:fill="E0E0E0"/>
          </w:tcPr>
          <w:p w14:paraId="1A705554"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Female</w:t>
            </w:r>
          </w:p>
        </w:tc>
        <w:tc>
          <w:tcPr>
            <w:tcW w:w="1030" w:type="dxa"/>
            <w:tcBorders>
              <w:top w:val="single" w:sz="8" w:space="0" w:color="AEAEAE"/>
              <w:left w:val="nil"/>
              <w:bottom w:val="single" w:sz="8" w:space="0" w:color="AEAEAE"/>
              <w:right w:val="single" w:sz="8" w:space="0" w:color="E0E0E0"/>
            </w:tcBorders>
            <w:shd w:val="clear" w:color="auto" w:fill="FFFFFF"/>
          </w:tcPr>
          <w:p w14:paraId="62862A3E"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48</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500F653D"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32</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14:paraId="79ABB165"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29</w:t>
            </w:r>
          </w:p>
        </w:tc>
        <w:tc>
          <w:tcPr>
            <w:tcW w:w="1030" w:type="dxa"/>
            <w:tcBorders>
              <w:top w:val="single" w:sz="8" w:space="0" w:color="AEAEAE"/>
              <w:left w:val="single" w:sz="8" w:space="0" w:color="E0E0E0"/>
              <w:bottom w:val="single" w:sz="8" w:space="0" w:color="AEAEAE"/>
              <w:right w:val="nil"/>
            </w:tcBorders>
            <w:shd w:val="clear" w:color="auto" w:fill="FFFFFF"/>
          </w:tcPr>
          <w:p w14:paraId="4AC16088"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109</w:t>
            </w:r>
          </w:p>
        </w:tc>
      </w:tr>
      <w:tr w:rsidR="000F545E" w14:paraId="38000C35" w14:textId="77777777">
        <w:trPr>
          <w:cantSplit/>
        </w:trPr>
        <w:tc>
          <w:tcPr>
            <w:tcW w:w="1813" w:type="dxa"/>
            <w:gridSpan w:val="2"/>
            <w:tcBorders>
              <w:top w:val="single" w:sz="8" w:space="0" w:color="AEAEAE"/>
              <w:left w:val="nil"/>
              <w:bottom w:val="single" w:sz="8" w:space="0" w:color="152935"/>
              <w:right w:val="nil"/>
            </w:tcBorders>
            <w:shd w:val="clear" w:color="auto" w:fill="E0E0E0"/>
          </w:tcPr>
          <w:p w14:paraId="7DCF6CD4"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198EED71"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95</w:t>
            </w: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1B37B53C"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47</w:t>
            </w:r>
          </w:p>
        </w:tc>
        <w:tc>
          <w:tcPr>
            <w:tcW w:w="1184" w:type="dxa"/>
            <w:tcBorders>
              <w:top w:val="single" w:sz="8" w:space="0" w:color="AEAEAE"/>
              <w:left w:val="single" w:sz="8" w:space="0" w:color="E0E0E0"/>
              <w:bottom w:val="single" w:sz="8" w:space="0" w:color="152935"/>
              <w:right w:val="single" w:sz="8" w:space="0" w:color="E0E0E0"/>
            </w:tcBorders>
            <w:shd w:val="clear" w:color="auto" w:fill="FFFFFF"/>
          </w:tcPr>
          <w:p w14:paraId="43308694"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58</w:t>
            </w:r>
          </w:p>
        </w:tc>
        <w:tc>
          <w:tcPr>
            <w:tcW w:w="1030" w:type="dxa"/>
            <w:tcBorders>
              <w:top w:val="single" w:sz="8" w:space="0" w:color="AEAEAE"/>
              <w:left w:val="single" w:sz="8" w:space="0" w:color="E0E0E0"/>
              <w:bottom w:val="single" w:sz="8" w:space="0" w:color="152935"/>
              <w:right w:val="nil"/>
            </w:tcBorders>
            <w:shd w:val="clear" w:color="auto" w:fill="FFFFFF"/>
          </w:tcPr>
          <w:p w14:paraId="37A7B60E"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200</w:t>
            </w:r>
          </w:p>
        </w:tc>
      </w:tr>
    </w:tbl>
    <w:p w14:paraId="74E10DEA" w14:textId="77777777" w:rsidR="000F545E" w:rsidRDefault="000F545E">
      <w:pPr>
        <w:spacing w:line="480" w:lineRule="auto"/>
        <w:rPr>
          <w:rFonts w:ascii="Times New Roman" w:eastAsia="Times New Roman" w:hAnsi="Times New Roman" w:cs="Times New Roman"/>
          <w:sz w:val="24"/>
          <w:szCs w:val="24"/>
        </w:rPr>
      </w:pPr>
    </w:p>
    <w:p w14:paraId="78DFC0D7"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provided data shows that the businesses offer different flavours of ice cream, vanilla, strawberry, and chocolate. These flavours appeal to different individuals. This variation can be </w:t>
      </w:r>
      <w:r>
        <w:rPr>
          <w:rFonts w:ascii="Times New Roman" w:eastAsia="Times New Roman" w:hAnsi="Times New Roman" w:cs="Times New Roman"/>
          <w:sz w:val="24"/>
          <w:szCs w:val="24"/>
        </w:rPr>
        <w:lastRenderedPageBreak/>
        <w:t>seen across different genders. As a result, a total of 95 students like the vanilla ice cream; 47 of them are male, while 48 of them are female (see table 1 above).</w:t>
      </w:r>
    </w:p>
    <w:p w14:paraId="3AF5FB9B" w14:textId="77777777" w:rsidR="000F545E" w:rsidRDefault="000F545E">
      <w:pPr>
        <w:spacing w:line="480" w:lineRule="auto"/>
        <w:rPr>
          <w:rFonts w:ascii="Times New Roman" w:eastAsia="Times New Roman" w:hAnsi="Times New Roman" w:cs="Times New Roman"/>
          <w:sz w:val="24"/>
          <w:szCs w:val="24"/>
        </w:rPr>
      </w:pPr>
    </w:p>
    <w:p w14:paraId="09C23AC2" w14:textId="77777777" w:rsidR="000F545E" w:rsidRDefault="00000000">
      <w:pPr>
        <w:pStyle w:val="Heading2"/>
        <w:spacing w:line="480" w:lineRule="auto"/>
        <w:rPr>
          <w:rFonts w:ascii="Times New Roman" w:eastAsia="Times New Roman" w:hAnsi="Times New Roman" w:cs="Times New Roman"/>
          <w:sz w:val="28"/>
          <w:szCs w:val="28"/>
        </w:rPr>
      </w:pPr>
      <w:bookmarkStart w:id="8" w:name="_7a9vw4yxri36" w:colFirst="0" w:colLast="0"/>
      <w:bookmarkEnd w:id="8"/>
      <w:r>
        <w:rPr>
          <w:rFonts w:ascii="Times New Roman" w:eastAsia="Times New Roman" w:hAnsi="Times New Roman" w:cs="Times New Roman"/>
          <w:sz w:val="28"/>
          <w:szCs w:val="28"/>
        </w:rPr>
        <w:t>Gender variation</w:t>
      </w:r>
    </w:p>
    <w:p w14:paraId="7B54E8F5" w14:textId="77777777" w:rsidR="000F545E"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 analysis of the dataset shows that gender is a key variable in the analysis. In this case, the datasets consist of 2 genders, male and females. In this case the total number of female participants was 109, accounting for 54.5% of participants. At the same time, a total of 91 males participated in the study, accounting for 45.5% of the participants. This variation is presented in figure 5 below.</w:t>
      </w:r>
    </w:p>
    <w:p w14:paraId="0379FFF6" w14:textId="77777777" w:rsidR="000F545E" w:rsidRDefault="00000000">
      <w:pPr>
        <w:keepNext/>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2FE7564" wp14:editId="26EA5F69">
            <wp:extent cx="4946424" cy="1895531"/>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t="13885"/>
                    <a:stretch>
                      <a:fillRect/>
                    </a:stretch>
                  </pic:blipFill>
                  <pic:spPr>
                    <a:xfrm>
                      <a:off x="0" y="0"/>
                      <a:ext cx="4946424" cy="1895531"/>
                    </a:xfrm>
                    <a:prstGeom prst="rect">
                      <a:avLst/>
                    </a:prstGeom>
                    <a:ln/>
                  </pic:spPr>
                </pic:pic>
              </a:graphicData>
            </a:graphic>
          </wp:inline>
        </w:drawing>
      </w:r>
    </w:p>
    <w:p w14:paraId="7A5D24B4"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5: Male and Female Participants</w:t>
      </w:r>
    </w:p>
    <w:p w14:paraId="62561143" w14:textId="77777777" w:rsidR="000F545E" w:rsidRDefault="000F545E">
      <w:pPr>
        <w:spacing w:after="0" w:line="480" w:lineRule="auto"/>
        <w:rPr>
          <w:rFonts w:ascii="Times New Roman" w:eastAsia="Times New Roman" w:hAnsi="Times New Roman" w:cs="Times New Roman"/>
          <w:sz w:val="24"/>
          <w:szCs w:val="24"/>
        </w:rPr>
      </w:pPr>
    </w:p>
    <w:p w14:paraId="1AE12B8E" w14:textId="77777777" w:rsidR="000F545E" w:rsidRDefault="00000000">
      <w:pPr>
        <w:pStyle w:val="Heading2"/>
        <w:spacing w:line="480" w:lineRule="auto"/>
        <w:rPr>
          <w:rFonts w:ascii="Times New Roman" w:eastAsia="Times New Roman" w:hAnsi="Times New Roman" w:cs="Times New Roman"/>
          <w:sz w:val="28"/>
          <w:szCs w:val="28"/>
        </w:rPr>
      </w:pPr>
      <w:bookmarkStart w:id="9" w:name="_maumw0694wl4" w:colFirst="0" w:colLast="0"/>
      <w:bookmarkEnd w:id="9"/>
      <w:r>
        <w:rPr>
          <w:rFonts w:ascii="Times New Roman" w:eastAsia="Times New Roman" w:hAnsi="Times New Roman" w:cs="Times New Roman"/>
          <w:sz w:val="28"/>
          <w:szCs w:val="28"/>
        </w:rPr>
        <w:t>Mean and median</w:t>
      </w:r>
    </w:p>
    <w:p w14:paraId="4B50B5DC"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data analysis, it is often essential to consider the orientation of the data. In most cases measures of central tendency tend to be analysed as a way of understanding the general </w:t>
      </w:r>
      <w:r>
        <w:rPr>
          <w:rFonts w:ascii="Times New Roman" w:eastAsia="Times New Roman" w:hAnsi="Times New Roman" w:cs="Times New Roman"/>
          <w:sz w:val="24"/>
          <w:szCs w:val="24"/>
        </w:rPr>
        <w:lastRenderedPageBreak/>
        <w:t>trend in the dataset. In this case, a mean of 1.8 and a median of 2 was obtained (see figure 6 below).</w:t>
      </w:r>
    </w:p>
    <w:p w14:paraId="725D9980" w14:textId="77777777" w:rsidR="000F545E" w:rsidRDefault="000F545E">
      <w:pPr>
        <w:spacing w:after="0" w:line="480" w:lineRule="auto"/>
        <w:rPr>
          <w:rFonts w:ascii="Times New Roman" w:eastAsia="Times New Roman" w:hAnsi="Times New Roman" w:cs="Times New Roman"/>
          <w:sz w:val="24"/>
          <w:szCs w:val="24"/>
        </w:rPr>
      </w:pPr>
    </w:p>
    <w:tbl>
      <w:tblPr>
        <w:tblStyle w:val="a0"/>
        <w:tblW w:w="279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758"/>
        <w:gridCol w:w="980"/>
        <w:gridCol w:w="1059"/>
      </w:tblGrid>
      <w:tr w:rsidR="000F545E" w14:paraId="49E4F924" w14:textId="77777777">
        <w:trPr>
          <w:cantSplit/>
        </w:trPr>
        <w:tc>
          <w:tcPr>
            <w:tcW w:w="2797" w:type="dxa"/>
            <w:gridSpan w:val="3"/>
            <w:tcBorders>
              <w:top w:val="nil"/>
              <w:left w:val="nil"/>
              <w:bottom w:val="nil"/>
              <w:right w:val="nil"/>
            </w:tcBorders>
            <w:shd w:val="clear" w:color="auto" w:fill="FFFFFF"/>
            <w:vAlign w:val="center"/>
          </w:tcPr>
          <w:p w14:paraId="0BD6C8E0" w14:textId="77777777" w:rsidR="000F545E" w:rsidRDefault="00000000">
            <w:pPr>
              <w:pStyle w:val="Heading2"/>
              <w:spacing w:after="0" w:line="276" w:lineRule="auto"/>
              <w:ind w:left="60" w:right="60"/>
              <w:rPr>
                <w:rFonts w:ascii="Times New Roman" w:eastAsia="Times New Roman" w:hAnsi="Times New Roman" w:cs="Times New Roman"/>
                <w:sz w:val="28"/>
                <w:szCs w:val="28"/>
              </w:rPr>
            </w:pPr>
            <w:bookmarkStart w:id="10" w:name="_m3tys770svhg" w:colFirst="0" w:colLast="0"/>
            <w:bookmarkEnd w:id="10"/>
            <w:r>
              <w:rPr>
                <w:rFonts w:ascii="Times New Roman" w:eastAsia="Times New Roman" w:hAnsi="Times New Roman" w:cs="Times New Roman"/>
                <w:sz w:val="28"/>
                <w:szCs w:val="28"/>
              </w:rPr>
              <w:t>Statistics</w:t>
            </w:r>
          </w:p>
        </w:tc>
      </w:tr>
      <w:tr w:rsidR="000F545E" w14:paraId="7B314C1A" w14:textId="77777777">
        <w:trPr>
          <w:cantSplit/>
        </w:trPr>
        <w:tc>
          <w:tcPr>
            <w:tcW w:w="2797" w:type="dxa"/>
            <w:gridSpan w:val="3"/>
            <w:tcBorders>
              <w:top w:val="nil"/>
              <w:left w:val="nil"/>
              <w:bottom w:val="nil"/>
              <w:right w:val="nil"/>
            </w:tcBorders>
            <w:shd w:val="clear" w:color="auto" w:fill="FFFFFF"/>
            <w:vAlign w:val="bottom"/>
          </w:tcPr>
          <w:p w14:paraId="7036A3A8" w14:textId="77777777" w:rsidR="000F545E" w:rsidRDefault="00000000">
            <w:p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color w:val="010205"/>
                <w:sz w:val="24"/>
                <w:szCs w:val="24"/>
                <w:highlight w:val="white"/>
              </w:rPr>
              <w:t xml:space="preserve">ice-creams  </w:t>
            </w:r>
          </w:p>
        </w:tc>
      </w:tr>
      <w:tr w:rsidR="000F545E" w14:paraId="73BF1CF5" w14:textId="77777777">
        <w:trPr>
          <w:cantSplit/>
        </w:trPr>
        <w:tc>
          <w:tcPr>
            <w:tcW w:w="758" w:type="dxa"/>
            <w:vMerge w:val="restart"/>
            <w:tcBorders>
              <w:top w:val="nil"/>
              <w:left w:val="nil"/>
              <w:bottom w:val="single" w:sz="8" w:space="0" w:color="AEAEAE"/>
              <w:right w:val="nil"/>
            </w:tcBorders>
            <w:shd w:val="clear" w:color="auto" w:fill="E0E0E0"/>
          </w:tcPr>
          <w:p w14:paraId="2D418D30"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N</w:t>
            </w:r>
          </w:p>
        </w:tc>
        <w:tc>
          <w:tcPr>
            <w:tcW w:w="980" w:type="dxa"/>
            <w:tcBorders>
              <w:top w:val="nil"/>
              <w:left w:val="nil"/>
              <w:bottom w:val="single" w:sz="8" w:space="0" w:color="AEAEAE"/>
              <w:right w:val="nil"/>
            </w:tcBorders>
            <w:shd w:val="clear" w:color="auto" w:fill="E0E0E0"/>
          </w:tcPr>
          <w:p w14:paraId="46D23B23"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Valid</w:t>
            </w:r>
          </w:p>
        </w:tc>
        <w:tc>
          <w:tcPr>
            <w:tcW w:w="1059" w:type="dxa"/>
            <w:tcBorders>
              <w:top w:val="nil"/>
              <w:left w:val="nil"/>
              <w:bottom w:val="single" w:sz="8" w:space="0" w:color="AEAEAE"/>
              <w:right w:val="nil"/>
            </w:tcBorders>
            <w:shd w:val="clear" w:color="auto" w:fill="FFFFFF"/>
          </w:tcPr>
          <w:p w14:paraId="0A33793F"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200</w:t>
            </w:r>
          </w:p>
        </w:tc>
      </w:tr>
      <w:tr w:rsidR="000F545E" w14:paraId="2F61A41E" w14:textId="77777777">
        <w:trPr>
          <w:cantSplit/>
        </w:trPr>
        <w:tc>
          <w:tcPr>
            <w:tcW w:w="758" w:type="dxa"/>
            <w:vMerge/>
            <w:tcBorders>
              <w:top w:val="nil"/>
              <w:left w:val="nil"/>
              <w:bottom w:val="single" w:sz="8" w:space="0" w:color="AEAEAE"/>
              <w:right w:val="nil"/>
            </w:tcBorders>
            <w:shd w:val="clear" w:color="auto" w:fill="E0E0E0"/>
          </w:tcPr>
          <w:p w14:paraId="05C6D041" w14:textId="77777777" w:rsidR="000F545E" w:rsidRDefault="000F545E">
            <w:pPr>
              <w:widowControl w:val="0"/>
              <w:pBdr>
                <w:top w:val="nil"/>
                <w:left w:val="nil"/>
                <w:bottom w:val="nil"/>
                <w:right w:val="nil"/>
                <w:between w:val="nil"/>
              </w:pBdr>
              <w:spacing w:after="0" w:line="276" w:lineRule="auto"/>
              <w:rPr>
                <w:rFonts w:ascii="Times New Roman" w:eastAsia="Times New Roman" w:hAnsi="Times New Roman" w:cs="Times New Roman"/>
                <w:color w:val="010205"/>
                <w:sz w:val="24"/>
                <w:szCs w:val="24"/>
              </w:rPr>
            </w:pPr>
          </w:p>
        </w:tc>
        <w:tc>
          <w:tcPr>
            <w:tcW w:w="980" w:type="dxa"/>
            <w:tcBorders>
              <w:top w:val="single" w:sz="8" w:space="0" w:color="AEAEAE"/>
              <w:left w:val="nil"/>
              <w:bottom w:val="single" w:sz="8" w:space="0" w:color="AEAEAE"/>
              <w:right w:val="nil"/>
            </w:tcBorders>
            <w:shd w:val="clear" w:color="auto" w:fill="E0E0E0"/>
          </w:tcPr>
          <w:p w14:paraId="372FFACC"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Missing</w:t>
            </w:r>
          </w:p>
        </w:tc>
        <w:tc>
          <w:tcPr>
            <w:tcW w:w="1059" w:type="dxa"/>
            <w:tcBorders>
              <w:top w:val="single" w:sz="8" w:space="0" w:color="AEAEAE"/>
              <w:left w:val="nil"/>
              <w:bottom w:val="single" w:sz="8" w:space="0" w:color="AEAEAE"/>
              <w:right w:val="nil"/>
            </w:tcBorders>
            <w:shd w:val="clear" w:color="auto" w:fill="FFFFFF"/>
          </w:tcPr>
          <w:p w14:paraId="46B52BE4"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0</w:t>
            </w:r>
          </w:p>
        </w:tc>
      </w:tr>
      <w:tr w:rsidR="000F545E" w14:paraId="08ADE729" w14:textId="77777777">
        <w:trPr>
          <w:cantSplit/>
        </w:trPr>
        <w:tc>
          <w:tcPr>
            <w:tcW w:w="1738" w:type="dxa"/>
            <w:gridSpan w:val="2"/>
            <w:tcBorders>
              <w:top w:val="single" w:sz="8" w:space="0" w:color="AEAEAE"/>
              <w:left w:val="nil"/>
              <w:bottom w:val="single" w:sz="8" w:space="0" w:color="AEAEAE"/>
              <w:right w:val="nil"/>
            </w:tcBorders>
            <w:shd w:val="clear" w:color="auto" w:fill="E0E0E0"/>
          </w:tcPr>
          <w:p w14:paraId="4FE1E804"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Mean</w:t>
            </w:r>
          </w:p>
        </w:tc>
        <w:tc>
          <w:tcPr>
            <w:tcW w:w="1059" w:type="dxa"/>
            <w:tcBorders>
              <w:top w:val="single" w:sz="8" w:space="0" w:color="AEAEAE"/>
              <w:left w:val="nil"/>
              <w:bottom w:val="single" w:sz="8" w:space="0" w:color="AEAEAE"/>
              <w:right w:val="nil"/>
            </w:tcBorders>
            <w:shd w:val="clear" w:color="auto" w:fill="FFFFFF"/>
          </w:tcPr>
          <w:p w14:paraId="288EC87B"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1.82</w:t>
            </w:r>
          </w:p>
        </w:tc>
      </w:tr>
      <w:tr w:rsidR="000F545E" w14:paraId="4FAA74DF" w14:textId="77777777">
        <w:trPr>
          <w:cantSplit/>
        </w:trPr>
        <w:tc>
          <w:tcPr>
            <w:tcW w:w="1738" w:type="dxa"/>
            <w:gridSpan w:val="2"/>
            <w:tcBorders>
              <w:top w:val="single" w:sz="8" w:space="0" w:color="AEAEAE"/>
              <w:left w:val="nil"/>
              <w:bottom w:val="single" w:sz="8" w:space="0" w:color="152935"/>
              <w:right w:val="nil"/>
            </w:tcBorders>
            <w:shd w:val="clear" w:color="auto" w:fill="E0E0E0"/>
          </w:tcPr>
          <w:p w14:paraId="1289C685"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Median</w:t>
            </w:r>
          </w:p>
        </w:tc>
        <w:tc>
          <w:tcPr>
            <w:tcW w:w="1059" w:type="dxa"/>
            <w:tcBorders>
              <w:top w:val="single" w:sz="8" w:space="0" w:color="AEAEAE"/>
              <w:left w:val="nil"/>
              <w:bottom w:val="single" w:sz="8" w:space="0" w:color="152935"/>
              <w:right w:val="nil"/>
            </w:tcBorders>
            <w:shd w:val="clear" w:color="auto" w:fill="FFFFFF"/>
          </w:tcPr>
          <w:p w14:paraId="4A919FC0"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2.00</w:t>
            </w:r>
          </w:p>
        </w:tc>
      </w:tr>
    </w:tbl>
    <w:p w14:paraId="59526CF8" w14:textId="77777777" w:rsidR="000F545E" w:rsidRDefault="000F545E">
      <w:pPr>
        <w:spacing w:after="0" w:line="480" w:lineRule="auto"/>
        <w:rPr>
          <w:rFonts w:ascii="Times New Roman" w:eastAsia="Times New Roman" w:hAnsi="Times New Roman" w:cs="Times New Roman"/>
          <w:sz w:val="24"/>
          <w:szCs w:val="24"/>
        </w:rPr>
      </w:pPr>
    </w:p>
    <w:p w14:paraId="4A2B5DC1" w14:textId="77777777" w:rsidR="000F545E" w:rsidRDefault="000F545E">
      <w:pPr>
        <w:spacing w:line="480" w:lineRule="auto"/>
        <w:rPr>
          <w:rFonts w:ascii="Times New Roman" w:eastAsia="Times New Roman" w:hAnsi="Times New Roman" w:cs="Times New Roman"/>
          <w:sz w:val="24"/>
          <w:szCs w:val="24"/>
        </w:rPr>
      </w:pPr>
    </w:p>
    <w:p w14:paraId="7CB89205" w14:textId="77777777" w:rsidR="000F545E" w:rsidRDefault="00000000">
      <w:pPr>
        <w:keepNext/>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85B1025" wp14:editId="28871C7B">
            <wp:extent cx="4234759" cy="2492226"/>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4234759" cy="2492226"/>
                    </a:xfrm>
                    <a:prstGeom prst="rect">
                      <a:avLst/>
                    </a:prstGeom>
                    <a:ln/>
                  </pic:spPr>
                </pic:pic>
              </a:graphicData>
            </a:graphic>
          </wp:inline>
        </w:drawing>
      </w:r>
    </w:p>
    <w:p w14:paraId="4FC6D302"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6: Variations Histogram</w:t>
      </w:r>
    </w:p>
    <w:p w14:paraId="1999E40C" w14:textId="77777777" w:rsidR="000F545E" w:rsidRDefault="000F545E">
      <w:pPr>
        <w:spacing w:after="0" w:line="480" w:lineRule="auto"/>
        <w:rPr>
          <w:rFonts w:ascii="Times New Roman" w:eastAsia="Times New Roman" w:hAnsi="Times New Roman" w:cs="Times New Roman"/>
          <w:sz w:val="24"/>
          <w:szCs w:val="24"/>
        </w:rPr>
      </w:pPr>
    </w:p>
    <w:p w14:paraId="3FCE5E8D" w14:textId="77777777" w:rsidR="000F545E" w:rsidRDefault="00000000">
      <w:pPr>
        <w:pStyle w:val="Heading2"/>
        <w:spacing w:line="480" w:lineRule="auto"/>
        <w:rPr>
          <w:rFonts w:ascii="Times New Roman" w:eastAsia="Times New Roman" w:hAnsi="Times New Roman" w:cs="Times New Roman"/>
          <w:sz w:val="28"/>
          <w:szCs w:val="28"/>
        </w:rPr>
      </w:pPr>
      <w:bookmarkStart w:id="11" w:name="_f9qnhzwlo7uj" w:colFirst="0" w:colLast="0"/>
      <w:bookmarkEnd w:id="11"/>
      <w:r>
        <w:rPr>
          <w:rFonts w:ascii="Times New Roman" w:eastAsia="Times New Roman" w:hAnsi="Times New Roman" w:cs="Times New Roman"/>
          <w:sz w:val="28"/>
          <w:szCs w:val="28"/>
        </w:rPr>
        <w:lastRenderedPageBreak/>
        <w:t>Clustering</w:t>
      </w:r>
    </w:p>
    <w:p w14:paraId="6B0E17EB" w14:textId="77777777" w:rsidR="000F545E" w:rsidRDefault="00000000">
      <w:pPr>
        <w:keepNext/>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5C67A2" wp14:editId="0E00A099">
            <wp:extent cx="4660689" cy="2892167"/>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l="4327" t="4276" r="19230" b="11346"/>
                    <a:stretch>
                      <a:fillRect/>
                    </a:stretch>
                  </pic:blipFill>
                  <pic:spPr>
                    <a:xfrm>
                      <a:off x="0" y="0"/>
                      <a:ext cx="4660689" cy="2892167"/>
                    </a:xfrm>
                    <a:prstGeom prst="rect">
                      <a:avLst/>
                    </a:prstGeom>
                    <a:ln/>
                  </pic:spPr>
                </pic:pic>
              </a:graphicData>
            </a:graphic>
          </wp:inline>
        </w:drawing>
      </w:r>
    </w:p>
    <w:p w14:paraId="16B88444"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7: steps 1: Analyse &gt; Cluster&gt; K means</w:t>
      </w:r>
    </w:p>
    <w:p w14:paraId="3FB6DBC7"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step to clustering the datasets is accessing the SPSS’ main menu; within the main go to analyse to access different analysis options. Select, classify and select k-means. Separate the variables as shown in figure 8 below to obtain the classification.</w:t>
      </w:r>
    </w:p>
    <w:p w14:paraId="651A282C" w14:textId="77777777" w:rsidR="000F545E" w:rsidRDefault="00000000">
      <w:pPr>
        <w:keepNext/>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91DD2E4" wp14:editId="18304F58">
            <wp:extent cx="3680536" cy="3249117"/>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l="29167" t="11687" r="27082" b="19612"/>
                    <a:stretch>
                      <a:fillRect/>
                    </a:stretch>
                  </pic:blipFill>
                  <pic:spPr>
                    <a:xfrm>
                      <a:off x="0" y="0"/>
                      <a:ext cx="3680536" cy="3249117"/>
                    </a:xfrm>
                    <a:prstGeom prst="rect">
                      <a:avLst/>
                    </a:prstGeom>
                    <a:ln/>
                  </pic:spPr>
                </pic:pic>
              </a:graphicData>
            </a:graphic>
          </wp:inline>
        </w:drawing>
      </w:r>
    </w:p>
    <w:p w14:paraId="378419BE" w14:textId="77777777" w:rsidR="000F545E" w:rsidRDefault="00000000">
      <w:pPr>
        <w:pBdr>
          <w:top w:val="nil"/>
          <w:left w:val="nil"/>
          <w:bottom w:val="nil"/>
          <w:right w:val="nil"/>
          <w:between w:val="nil"/>
        </w:pBdr>
        <w:spacing w:after="200" w:line="480" w:lineRule="auto"/>
        <w:jc w:val="center"/>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8: Variable Distribution</w:t>
      </w:r>
    </w:p>
    <w:tbl>
      <w:tblPr>
        <w:tblStyle w:val="a1"/>
        <w:tblW w:w="324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183"/>
        <w:gridCol w:w="1030"/>
        <w:gridCol w:w="1030"/>
      </w:tblGrid>
      <w:tr w:rsidR="000F545E" w14:paraId="607DAFF6" w14:textId="77777777">
        <w:trPr>
          <w:cantSplit/>
        </w:trPr>
        <w:tc>
          <w:tcPr>
            <w:tcW w:w="3243" w:type="dxa"/>
            <w:gridSpan w:val="3"/>
            <w:tcBorders>
              <w:top w:val="nil"/>
              <w:left w:val="nil"/>
              <w:bottom w:val="nil"/>
              <w:right w:val="nil"/>
            </w:tcBorders>
            <w:shd w:val="clear" w:color="auto" w:fill="FFFFFF"/>
            <w:vAlign w:val="center"/>
          </w:tcPr>
          <w:p w14:paraId="61DC6E3B" w14:textId="77777777" w:rsidR="000F545E" w:rsidRDefault="00000000">
            <w:pPr>
              <w:pStyle w:val="Heading2"/>
              <w:spacing w:after="0" w:line="276" w:lineRule="auto"/>
              <w:ind w:left="60" w:right="60"/>
              <w:rPr>
                <w:rFonts w:ascii="Times New Roman" w:eastAsia="Times New Roman" w:hAnsi="Times New Roman" w:cs="Times New Roman"/>
                <w:sz w:val="28"/>
                <w:szCs w:val="28"/>
              </w:rPr>
            </w:pPr>
            <w:bookmarkStart w:id="12" w:name="_opj3xp7e55ee" w:colFirst="0" w:colLast="0"/>
            <w:bookmarkEnd w:id="12"/>
            <w:r>
              <w:rPr>
                <w:rFonts w:ascii="Times New Roman" w:eastAsia="Times New Roman" w:hAnsi="Times New Roman" w:cs="Times New Roman"/>
                <w:sz w:val="28"/>
                <w:szCs w:val="28"/>
              </w:rPr>
              <w:t xml:space="preserve">Initial Cluster </w:t>
            </w:r>
            <w:proofErr w:type="spellStart"/>
            <w:r>
              <w:rPr>
                <w:rFonts w:ascii="Times New Roman" w:eastAsia="Times New Roman" w:hAnsi="Times New Roman" w:cs="Times New Roman"/>
                <w:sz w:val="28"/>
                <w:szCs w:val="28"/>
              </w:rPr>
              <w:t>Centers</w:t>
            </w:r>
            <w:proofErr w:type="spellEnd"/>
          </w:p>
        </w:tc>
      </w:tr>
      <w:tr w:rsidR="000F545E" w14:paraId="0896877E" w14:textId="77777777">
        <w:trPr>
          <w:cantSplit/>
        </w:trPr>
        <w:tc>
          <w:tcPr>
            <w:tcW w:w="1183" w:type="dxa"/>
            <w:vMerge w:val="restart"/>
            <w:tcBorders>
              <w:top w:val="nil"/>
              <w:left w:val="nil"/>
              <w:bottom w:val="nil"/>
              <w:right w:val="nil"/>
            </w:tcBorders>
            <w:shd w:val="clear" w:color="auto" w:fill="FFFFFF"/>
            <w:vAlign w:val="bottom"/>
          </w:tcPr>
          <w:p w14:paraId="50D46B19" w14:textId="77777777" w:rsidR="000F545E" w:rsidRDefault="000F545E">
            <w:pPr>
              <w:spacing w:after="0" w:line="276" w:lineRule="auto"/>
              <w:rPr>
                <w:rFonts w:ascii="Times New Roman" w:eastAsia="Times New Roman" w:hAnsi="Times New Roman" w:cs="Times New Roman"/>
                <w:sz w:val="24"/>
                <w:szCs w:val="24"/>
              </w:rPr>
            </w:pPr>
          </w:p>
        </w:tc>
        <w:tc>
          <w:tcPr>
            <w:tcW w:w="2060" w:type="dxa"/>
            <w:gridSpan w:val="2"/>
            <w:tcBorders>
              <w:top w:val="nil"/>
              <w:left w:val="nil"/>
              <w:bottom w:val="nil"/>
              <w:right w:val="nil"/>
            </w:tcBorders>
            <w:shd w:val="clear" w:color="auto" w:fill="FFFFFF"/>
            <w:vAlign w:val="bottom"/>
          </w:tcPr>
          <w:p w14:paraId="001D8C28"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Cluster</w:t>
            </w:r>
          </w:p>
        </w:tc>
      </w:tr>
      <w:tr w:rsidR="000F545E" w14:paraId="0DFED4F3" w14:textId="77777777">
        <w:trPr>
          <w:cantSplit/>
        </w:trPr>
        <w:tc>
          <w:tcPr>
            <w:tcW w:w="1183" w:type="dxa"/>
            <w:vMerge/>
            <w:tcBorders>
              <w:top w:val="nil"/>
              <w:left w:val="nil"/>
              <w:bottom w:val="nil"/>
              <w:right w:val="nil"/>
            </w:tcBorders>
            <w:shd w:val="clear" w:color="auto" w:fill="FFFFFF"/>
            <w:vAlign w:val="bottom"/>
          </w:tcPr>
          <w:p w14:paraId="11D89FA8" w14:textId="77777777" w:rsidR="000F545E" w:rsidRDefault="000F545E">
            <w:pPr>
              <w:widowControl w:val="0"/>
              <w:pBdr>
                <w:top w:val="nil"/>
                <w:left w:val="nil"/>
                <w:bottom w:val="nil"/>
                <w:right w:val="nil"/>
                <w:between w:val="nil"/>
              </w:pBdr>
              <w:spacing w:after="0" w:line="276" w:lineRule="auto"/>
              <w:rPr>
                <w:rFonts w:ascii="Times New Roman" w:eastAsia="Times New Roman" w:hAnsi="Times New Roman" w:cs="Times New Roman"/>
                <w:color w:val="264A60"/>
                <w:sz w:val="24"/>
                <w:szCs w:val="24"/>
              </w:rPr>
            </w:pPr>
          </w:p>
        </w:tc>
        <w:tc>
          <w:tcPr>
            <w:tcW w:w="1030" w:type="dxa"/>
            <w:tcBorders>
              <w:top w:val="nil"/>
              <w:left w:val="nil"/>
              <w:bottom w:val="single" w:sz="8" w:space="0" w:color="152935"/>
              <w:right w:val="single" w:sz="8" w:space="0" w:color="E0E0E0"/>
            </w:tcBorders>
            <w:shd w:val="clear" w:color="auto" w:fill="FFFFFF"/>
            <w:vAlign w:val="bottom"/>
          </w:tcPr>
          <w:p w14:paraId="3E719855"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1</w:t>
            </w:r>
          </w:p>
        </w:tc>
        <w:tc>
          <w:tcPr>
            <w:tcW w:w="1030" w:type="dxa"/>
            <w:tcBorders>
              <w:top w:val="nil"/>
              <w:left w:val="single" w:sz="8" w:space="0" w:color="E0E0E0"/>
              <w:bottom w:val="single" w:sz="8" w:space="0" w:color="152935"/>
              <w:right w:val="nil"/>
            </w:tcBorders>
            <w:shd w:val="clear" w:color="auto" w:fill="FFFFFF"/>
            <w:vAlign w:val="bottom"/>
          </w:tcPr>
          <w:p w14:paraId="26EDDB32"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2</w:t>
            </w:r>
          </w:p>
        </w:tc>
      </w:tr>
      <w:tr w:rsidR="000F545E" w14:paraId="57958D96" w14:textId="77777777">
        <w:trPr>
          <w:cantSplit/>
        </w:trPr>
        <w:tc>
          <w:tcPr>
            <w:tcW w:w="1183" w:type="dxa"/>
            <w:tcBorders>
              <w:top w:val="single" w:sz="8" w:space="0" w:color="152935"/>
              <w:left w:val="nil"/>
              <w:bottom w:val="single" w:sz="8" w:space="0" w:color="AEAEAE"/>
              <w:right w:val="nil"/>
            </w:tcBorders>
            <w:shd w:val="clear" w:color="auto" w:fill="E0E0E0"/>
          </w:tcPr>
          <w:p w14:paraId="043C2235"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female</w:t>
            </w:r>
          </w:p>
        </w:tc>
        <w:tc>
          <w:tcPr>
            <w:tcW w:w="1030" w:type="dxa"/>
            <w:tcBorders>
              <w:top w:val="single" w:sz="8" w:space="0" w:color="152935"/>
              <w:left w:val="nil"/>
              <w:bottom w:val="single" w:sz="8" w:space="0" w:color="AEAEAE"/>
              <w:right w:val="single" w:sz="8" w:space="0" w:color="E0E0E0"/>
            </w:tcBorders>
            <w:shd w:val="clear" w:color="auto" w:fill="FFFFFF"/>
          </w:tcPr>
          <w:p w14:paraId="11F8FA03"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w:t>
            </w:r>
          </w:p>
        </w:tc>
        <w:tc>
          <w:tcPr>
            <w:tcW w:w="1030" w:type="dxa"/>
            <w:tcBorders>
              <w:top w:val="single" w:sz="8" w:space="0" w:color="152935"/>
              <w:left w:val="single" w:sz="8" w:space="0" w:color="E0E0E0"/>
              <w:bottom w:val="single" w:sz="8" w:space="0" w:color="AEAEAE"/>
              <w:right w:val="nil"/>
            </w:tcBorders>
            <w:shd w:val="clear" w:color="auto" w:fill="FFFFFF"/>
          </w:tcPr>
          <w:p w14:paraId="179C05C1"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0</w:t>
            </w:r>
          </w:p>
        </w:tc>
      </w:tr>
      <w:tr w:rsidR="000F545E" w14:paraId="4D278EC7" w14:textId="77777777">
        <w:trPr>
          <w:cantSplit/>
        </w:trPr>
        <w:tc>
          <w:tcPr>
            <w:tcW w:w="1183" w:type="dxa"/>
            <w:tcBorders>
              <w:top w:val="single" w:sz="8" w:space="0" w:color="AEAEAE"/>
              <w:left w:val="nil"/>
              <w:bottom w:val="single" w:sz="8" w:space="0" w:color="AEAEAE"/>
              <w:right w:val="nil"/>
            </w:tcBorders>
            <w:shd w:val="clear" w:color="auto" w:fill="E0E0E0"/>
          </w:tcPr>
          <w:p w14:paraId="1F65907B"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ice-creams</w:t>
            </w:r>
          </w:p>
        </w:tc>
        <w:tc>
          <w:tcPr>
            <w:tcW w:w="1030" w:type="dxa"/>
            <w:tcBorders>
              <w:top w:val="single" w:sz="8" w:space="0" w:color="AEAEAE"/>
              <w:left w:val="nil"/>
              <w:bottom w:val="single" w:sz="8" w:space="0" w:color="AEAEAE"/>
              <w:right w:val="single" w:sz="8" w:space="0" w:color="E0E0E0"/>
            </w:tcBorders>
            <w:shd w:val="clear" w:color="auto" w:fill="FFFFFF"/>
          </w:tcPr>
          <w:p w14:paraId="1664821F"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w:t>
            </w:r>
          </w:p>
        </w:tc>
        <w:tc>
          <w:tcPr>
            <w:tcW w:w="1030" w:type="dxa"/>
            <w:tcBorders>
              <w:top w:val="single" w:sz="8" w:space="0" w:color="AEAEAE"/>
              <w:left w:val="single" w:sz="8" w:space="0" w:color="E0E0E0"/>
              <w:bottom w:val="single" w:sz="8" w:space="0" w:color="AEAEAE"/>
              <w:right w:val="nil"/>
            </w:tcBorders>
            <w:shd w:val="clear" w:color="auto" w:fill="FFFFFF"/>
          </w:tcPr>
          <w:p w14:paraId="28E0A506"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w:t>
            </w:r>
          </w:p>
        </w:tc>
      </w:tr>
      <w:tr w:rsidR="000F545E" w14:paraId="5BF46AA6" w14:textId="77777777">
        <w:trPr>
          <w:cantSplit/>
        </w:trPr>
        <w:tc>
          <w:tcPr>
            <w:tcW w:w="1183" w:type="dxa"/>
            <w:tcBorders>
              <w:top w:val="single" w:sz="8" w:space="0" w:color="AEAEAE"/>
              <w:left w:val="nil"/>
              <w:bottom w:val="single" w:sz="8" w:space="0" w:color="AEAEAE"/>
              <w:right w:val="nil"/>
            </w:tcBorders>
            <w:shd w:val="clear" w:color="auto" w:fill="E0E0E0"/>
          </w:tcPr>
          <w:p w14:paraId="019D3998"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video</w:t>
            </w:r>
          </w:p>
        </w:tc>
        <w:tc>
          <w:tcPr>
            <w:tcW w:w="1030" w:type="dxa"/>
            <w:tcBorders>
              <w:top w:val="single" w:sz="8" w:space="0" w:color="AEAEAE"/>
              <w:left w:val="nil"/>
              <w:bottom w:val="single" w:sz="8" w:space="0" w:color="AEAEAE"/>
              <w:right w:val="single" w:sz="8" w:space="0" w:color="E0E0E0"/>
            </w:tcBorders>
            <w:shd w:val="clear" w:color="auto" w:fill="FFFFFF"/>
          </w:tcPr>
          <w:p w14:paraId="07B732C5"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29</w:t>
            </w:r>
          </w:p>
        </w:tc>
        <w:tc>
          <w:tcPr>
            <w:tcW w:w="1030" w:type="dxa"/>
            <w:tcBorders>
              <w:top w:val="single" w:sz="8" w:space="0" w:color="AEAEAE"/>
              <w:left w:val="single" w:sz="8" w:space="0" w:color="E0E0E0"/>
              <w:bottom w:val="single" w:sz="8" w:space="0" w:color="AEAEAE"/>
              <w:right w:val="nil"/>
            </w:tcBorders>
            <w:shd w:val="clear" w:color="auto" w:fill="FFFFFF"/>
          </w:tcPr>
          <w:p w14:paraId="1A236C0A"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74</w:t>
            </w:r>
          </w:p>
        </w:tc>
      </w:tr>
      <w:tr w:rsidR="000F545E" w14:paraId="49D86F0C" w14:textId="77777777">
        <w:trPr>
          <w:cantSplit/>
        </w:trPr>
        <w:tc>
          <w:tcPr>
            <w:tcW w:w="1183" w:type="dxa"/>
            <w:tcBorders>
              <w:top w:val="single" w:sz="8" w:space="0" w:color="AEAEAE"/>
              <w:left w:val="nil"/>
              <w:bottom w:val="single" w:sz="8" w:space="0" w:color="152935"/>
              <w:right w:val="nil"/>
            </w:tcBorders>
            <w:shd w:val="clear" w:color="auto" w:fill="E0E0E0"/>
          </w:tcPr>
          <w:p w14:paraId="4AAC4E8A"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puzzle</w:t>
            </w:r>
          </w:p>
        </w:tc>
        <w:tc>
          <w:tcPr>
            <w:tcW w:w="1030" w:type="dxa"/>
            <w:tcBorders>
              <w:top w:val="single" w:sz="8" w:space="0" w:color="AEAEAE"/>
              <w:left w:val="nil"/>
              <w:bottom w:val="single" w:sz="8" w:space="0" w:color="152935"/>
              <w:right w:val="single" w:sz="8" w:space="0" w:color="E0E0E0"/>
            </w:tcBorders>
            <w:shd w:val="clear" w:color="auto" w:fill="FFFFFF"/>
          </w:tcPr>
          <w:p w14:paraId="4F4DD967"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26</w:t>
            </w:r>
          </w:p>
        </w:tc>
        <w:tc>
          <w:tcPr>
            <w:tcW w:w="1030" w:type="dxa"/>
            <w:tcBorders>
              <w:top w:val="single" w:sz="8" w:space="0" w:color="AEAEAE"/>
              <w:left w:val="single" w:sz="8" w:space="0" w:color="E0E0E0"/>
              <w:bottom w:val="single" w:sz="8" w:space="0" w:color="152935"/>
              <w:right w:val="nil"/>
            </w:tcBorders>
            <w:shd w:val="clear" w:color="auto" w:fill="FFFFFF"/>
          </w:tcPr>
          <w:p w14:paraId="789A1304"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66</w:t>
            </w:r>
          </w:p>
        </w:tc>
      </w:tr>
    </w:tbl>
    <w:p w14:paraId="0F28FD19" w14:textId="77777777" w:rsidR="000F545E" w:rsidRDefault="000F545E">
      <w:pPr>
        <w:spacing w:after="0" w:line="480" w:lineRule="auto"/>
        <w:ind w:firstLine="720"/>
        <w:rPr>
          <w:rFonts w:ascii="Times New Roman" w:eastAsia="Times New Roman" w:hAnsi="Times New Roman" w:cs="Times New Roman"/>
          <w:sz w:val="24"/>
          <w:szCs w:val="24"/>
        </w:rPr>
      </w:pPr>
    </w:p>
    <w:p w14:paraId="3282647A" w14:textId="77777777" w:rsidR="000F545E"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initial classification was such that there were 2 clusters. The first cluster was predominantly female, with the second cluster being predominantly male. This was further indicated by the presence of two flavours of ice cream in the first cluster and a single flavour of ice cream in the second cluster. The use of K-means clustering resulted in notable changes in each cluster, with both genders both clusters being predominantly female. This aspect of </w:t>
      </w:r>
      <w:r>
        <w:rPr>
          <w:rFonts w:ascii="Times New Roman" w:eastAsia="Times New Roman" w:hAnsi="Times New Roman" w:cs="Times New Roman"/>
          <w:sz w:val="24"/>
          <w:szCs w:val="24"/>
        </w:rPr>
        <w:lastRenderedPageBreak/>
        <w:t>clustering was followed by inclusion of 2 ice cream flavours in cluster 1 and 2. The final cluster centres are shown in the table below.</w:t>
      </w:r>
    </w:p>
    <w:p w14:paraId="4F555F3B" w14:textId="77777777" w:rsidR="000F545E" w:rsidRDefault="000F545E">
      <w:pPr>
        <w:spacing w:after="0" w:line="480" w:lineRule="auto"/>
        <w:ind w:firstLine="720"/>
        <w:rPr>
          <w:rFonts w:ascii="Times New Roman" w:eastAsia="Times New Roman" w:hAnsi="Times New Roman" w:cs="Times New Roman"/>
          <w:sz w:val="24"/>
          <w:szCs w:val="24"/>
        </w:rPr>
      </w:pPr>
    </w:p>
    <w:tbl>
      <w:tblPr>
        <w:tblStyle w:val="a2"/>
        <w:tblW w:w="324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183"/>
        <w:gridCol w:w="1030"/>
        <w:gridCol w:w="1030"/>
      </w:tblGrid>
      <w:tr w:rsidR="000F545E" w14:paraId="5D970585" w14:textId="77777777">
        <w:trPr>
          <w:cantSplit/>
        </w:trPr>
        <w:tc>
          <w:tcPr>
            <w:tcW w:w="3243" w:type="dxa"/>
            <w:gridSpan w:val="3"/>
            <w:tcBorders>
              <w:top w:val="nil"/>
              <w:left w:val="nil"/>
              <w:bottom w:val="nil"/>
              <w:right w:val="nil"/>
            </w:tcBorders>
            <w:shd w:val="clear" w:color="auto" w:fill="FFFFFF"/>
            <w:vAlign w:val="center"/>
          </w:tcPr>
          <w:p w14:paraId="19333C25" w14:textId="77777777" w:rsidR="000F545E" w:rsidRDefault="00000000">
            <w:pPr>
              <w:pStyle w:val="Heading2"/>
              <w:spacing w:after="0" w:line="276" w:lineRule="auto"/>
              <w:ind w:left="60" w:right="60"/>
              <w:rPr>
                <w:rFonts w:ascii="Times New Roman" w:eastAsia="Times New Roman" w:hAnsi="Times New Roman" w:cs="Times New Roman"/>
                <w:sz w:val="28"/>
                <w:szCs w:val="28"/>
              </w:rPr>
            </w:pPr>
            <w:bookmarkStart w:id="13" w:name="_q2d59uyyyecy" w:colFirst="0" w:colLast="0"/>
            <w:bookmarkEnd w:id="13"/>
            <w:r>
              <w:rPr>
                <w:rFonts w:ascii="Times New Roman" w:eastAsia="Times New Roman" w:hAnsi="Times New Roman" w:cs="Times New Roman"/>
                <w:sz w:val="28"/>
                <w:szCs w:val="28"/>
              </w:rPr>
              <w:t xml:space="preserve">Final Cluster </w:t>
            </w:r>
            <w:proofErr w:type="spellStart"/>
            <w:r>
              <w:rPr>
                <w:rFonts w:ascii="Times New Roman" w:eastAsia="Times New Roman" w:hAnsi="Times New Roman" w:cs="Times New Roman"/>
                <w:sz w:val="28"/>
                <w:szCs w:val="28"/>
              </w:rPr>
              <w:t>Centers</w:t>
            </w:r>
            <w:proofErr w:type="spellEnd"/>
          </w:p>
        </w:tc>
      </w:tr>
      <w:tr w:rsidR="000F545E" w14:paraId="40E27B97" w14:textId="77777777">
        <w:trPr>
          <w:cantSplit/>
        </w:trPr>
        <w:tc>
          <w:tcPr>
            <w:tcW w:w="1183" w:type="dxa"/>
            <w:vMerge w:val="restart"/>
            <w:tcBorders>
              <w:top w:val="nil"/>
              <w:left w:val="nil"/>
              <w:bottom w:val="nil"/>
              <w:right w:val="nil"/>
            </w:tcBorders>
            <w:shd w:val="clear" w:color="auto" w:fill="FFFFFF"/>
            <w:vAlign w:val="bottom"/>
          </w:tcPr>
          <w:p w14:paraId="05BBB45C" w14:textId="77777777" w:rsidR="000F545E" w:rsidRDefault="000F545E">
            <w:pPr>
              <w:spacing w:after="0" w:line="276" w:lineRule="auto"/>
              <w:rPr>
                <w:rFonts w:ascii="Times New Roman" w:eastAsia="Times New Roman" w:hAnsi="Times New Roman" w:cs="Times New Roman"/>
                <w:sz w:val="24"/>
                <w:szCs w:val="24"/>
              </w:rPr>
            </w:pPr>
          </w:p>
        </w:tc>
        <w:tc>
          <w:tcPr>
            <w:tcW w:w="2060" w:type="dxa"/>
            <w:gridSpan w:val="2"/>
            <w:tcBorders>
              <w:top w:val="nil"/>
              <w:left w:val="nil"/>
              <w:bottom w:val="nil"/>
              <w:right w:val="nil"/>
            </w:tcBorders>
            <w:shd w:val="clear" w:color="auto" w:fill="FFFFFF"/>
            <w:vAlign w:val="bottom"/>
          </w:tcPr>
          <w:p w14:paraId="0D02D643"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Cluster</w:t>
            </w:r>
          </w:p>
        </w:tc>
      </w:tr>
      <w:tr w:rsidR="000F545E" w14:paraId="1FC9F539" w14:textId="77777777">
        <w:trPr>
          <w:cantSplit/>
        </w:trPr>
        <w:tc>
          <w:tcPr>
            <w:tcW w:w="1183" w:type="dxa"/>
            <w:vMerge/>
            <w:tcBorders>
              <w:top w:val="nil"/>
              <w:left w:val="nil"/>
              <w:bottom w:val="nil"/>
              <w:right w:val="nil"/>
            </w:tcBorders>
            <w:shd w:val="clear" w:color="auto" w:fill="FFFFFF"/>
            <w:vAlign w:val="bottom"/>
          </w:tcPr>
          <w:p w14:paraId="4BAC32FC" w14:textId="77777777" w:rsidR="000F545E" w:rsidRDefault="000F545E">
            <w:pPr>
              <w:widowControl w:val="0"/>
              <w:pBdr>
                <w:top w:val="nil"/>
                <w:left w:val="nil"/>
                <w:bottom w:val="nil"/>
                <w:right w:val="nil"/>
                <w:between w:val="nil"/>
              </w:pBdr>
              <w:spacing w:after="0" w:line="276" w:lineRule="auto"/>
              <w:rPr>
                <w:rFonts w:ascii="Times New Roman" w:eastAsia="Times New Roman" w:hAnsi="Times New Roman" w:cs="Times New Roman"/>
                <w:color w:val="264A60"/>
                <w:sz w:val="24"/>
                <w:szCs w:val="24"/>
              </w:rPr>
            </w:pPr>
          </w:p>
        </w:tc>
        <w:tc>
          <w:tcPr>
            <w:tcW w:w="1030" w:type="dxa"/>
            <w:tcBorders>
              <w:top w:val="nil"/>
              <w:left w:val="nil"/>
              <w:bottom w:val="single" w:sz="8" w:space="0" w:color="152935"/>
              <w:right w:val="single" w:sz="8" w:space="0" w:color="E0E0E0"/>
            </w:tcBorders>
            <w:shd w:val="clear" w:color="auto" w:fill="FFFFFF"/>
            <w:vAlign w:val="bottom"/>
          </w:tcPr>
          <w:p w14:paraId="282CD34D"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1</w:t>
            </w:r>
          </w:p>
        </w:tc>
        <w:tc>
          <w:tcPr>
            <w:tcW w:w="1030" w:type="dxa"/>
            <w:tcBorders>
              <w:top w:val="nil"/>
              <w:left w:val="single" w:sz="8" w:space="0" w:color="E0E0E0"/>
              <w:bottom w:val="single" w:sz="8" w:space="0" w:color="152935"/>
              <w:right w:val="nil"/>
            </w:tcBorders>
            <w:shd w:val="clear" w:color="auto" w:fill="FFFFFF"/>
            <w:vAlign w:val="bottom"/>
          </w:tcPr>
          <w:p w14:paraId="5AB2FE13" w14:textId="77777777" w:rsidR="000F545E" w:rsidRDefault="00000000">
            <w:pPr>
              <w:spacing w:after="0" w:line="276" w:lineRule="auto"/>
              <w:ind w:left="60" w:right="60"/>
              <w:jc w:val="center"/>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2</w:t>
            </w:r>
          </w:p>
        </w:tc>
      </w:tr>
      <w:tr w:rsidR="000F545E" w14:paraId="6685498C" w14:textId="77777777">
        <w:trPr>
          <w:cantSplit/>
        </w:trPr>
        <w:tc>
          <w:tcPr>
            <w:tcW w:w="1183" w:type="dxa"/>
            <w:tcBorders>
              <w:top w:val="single" w:sz="8" w:space="0" w:color="152935"/>
              <w:left w:val="nil"/>
              <w:bottom w:val="single" w:sz="8" w:space="0" w:color="AEAEAE"/>
              <w:right w:val="nil"/>
            </w:tcBorders>
            <w:shd w:val="clear" w:color="auto" w:fill="E0E0E0"/>
          </w:tcPr>
          <w:p w14:paraId="21D148C7"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female</w:t>
            </w:r>
          </w:p>
        </w:tc>
        <w:tc>
          <w:tcPr>
            <w:tcW w:w="1030" w:type="dxa"/>
            <w:tcBorders>
              <w:top w:val="single" w:sz="8" w:space="0" w:color="152935"/>
              <w:left w:val="nil"/>
              <w:bottom w:val="single" w:sz="8" w:space="0" w:color="AEAEAE"/>
              <w:right w:val="single" w:sz="8" w:space="0" w:color="E0E0E0"/>
            </w:tcBorders>
            <w:shd w:val="clear" w:color="auto" w:fill="FFFFFF"/>
          </w:tcPr>
          <w:p w14:paraId="74E1AF30"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w:t>
            </w:r>
          </w:p>
        </w:tc>
        <w:tc>
          <w:tcPr>
            <w:tcW w:w="1030" w:type="dxa"/>
            <w:tcBorders>
              <w:top w:val="single" w:sz="8" w:space="0" w:color="152935"/>
              <w:left w:val="single" w:sz="8" w:space="0" w:color="E0E0E0"/>
              <w:bottom w:val="single" w:sz="8" w:space="0" w:color="AEAEAE"/>
              <w:right w:val="nil"/>
            </w:tcBorders>
            <w:shd w:val="clear" w:color="auto" w:fill="FFFFFF"/>
          </w:tcPr>
          <w:p w14:paraId="110ACDC9"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1</w:t>
            </w:r>
          </w:p>
        </w:tc>
      </w:tr>
      <w:tr w:rsidR="000F545E" w14:paraId="5F912AC9" w14:textId="77777777">
        <w:trPr>
          <w:cantSplit/>
        </w:trPr>
        <w:tc>
          <w:tcPr>
            <w:tcW w:w="1183" w:type="dxa"/>
            <w:tcBorders>
              <w:top w:val="single" w:sz="8" w:space="0" w:color="AEAEAE"/>
              <w:left w:val="nil"/>
              <w:bottom w:val="single" w:sz="8" w:space="0" w:color="AEAEAE"/>
              <w:right w:val="nil"/>
            </w:tcBorders>
            <w:shd w:val="clear" w:color="auto" w:fill="E0E0E0"/>
          </w:tcPr>
          <w:p w14:paraId="22635C2C"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ice-creams</w:t>
            </w:r>
          </w:p>
        </w:tc>
        <w:tc>
          <w:tcPr>
            <w:tcW w:w="1030" w:type="dxa"/>
            <w:tcBorders>
              <w:top w:val="single" w:sz="8" w:space="0" w:color="AEAEAE"/>
              <w:left w:val="nil"/>
              <w:bottom w:val="single" w:sz="8" w:space="0" w:color="AEAEAE"/>
              <w:right w:val="single" w:sz="8" w:space="0" w:color="E0E0E0"/>
            </w:tcBorders>
            <w:shd w:val="clear" w:color="auto" w:fill="FFFFFF"/>
          </w:tcPr>
          <w:p w14:paraId="58D3D56E"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w:t>
            </w:r>
          </w:p>
        </w:tc>
        <w:tc>
          <w:tcPr>
            <w:tcW w:w="1030" w:type="dxa"/>
            <w:tcBorders>
              <w:top w:val="single" w:sz="8" w:space="0" w:color="AEAEAE"/>
              <w:left w:val="single" w:sz="8" w:space="0" w:color="E0E0E0"/>
              <w:bottom w:val="single" w:sz="8" w:space="0" w:color="AEAEAE"/>
              <w:right w:val="nil"/>
            </w:tcBorders>
            <w:shd w:val="clear" w:color="auto" w:fill="FFFFFF"/>
          </w:tcPr>
          <w:p w14:paraId="51AFC7CF"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2</w:t>
            </w:r>
          </w:p>
        </w:tc>
      </w:tr>
      <w:tr w:rsidR="000F545E" w14:paraId="064A108E" w14:textId="77777777">
        <w:trPr>
          <w:cantSplit/>
        </w:trPr>
        <w:tc>
          <w:tcPr>
            <w:tcW w:w="1183" w:type="dxa"/>
            <w:tcBorders>
              <w:top w:val="single" w:sz="8" w:space="0" w:color="AEAEAE"/>
              <w:left w:val="nil"/>
              <w:bottom w:val="single" w:sz="8" w:space="0" w:color="AEAEAE"/>
              <w:right w:val="nil"/>
            </w:tcBorders>
            <w:shd w:val="clear" w:color="auto" w:fill="E0E0E0"/>
          </w:tcPr>
          <w:p w14:paraId="5F235203"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video</w:t>
            </w:r>
          </w:p>
        </w:tc>
        <w:tc>
          <w:tcPr>
            <w:tcW w:w="1030" w:type="dxa"/>
            <w:tcBorders>
              <w:top w:val="single" w:sz="8" w:space="0" w:color="AEAEAE"/>
              <w:left w:val="nil"/>
              <w:bottom w:val="single" w:sz="8" w:space="0" w:color="AEAEAE"/>
              <w:right w:val="single" w:sz="8" w:space="0" w:color="E0E0E0"/>
            </w:tcBorders>
            <w:shd w:val="clear" w:color="auto" w:fill="FFFFFF"/>
          </w:tcPr>
          <w:p w14:paraId="690E13A1"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43</w:t>
            </w:r>
          </w:p>
        </w:tc>
        <w:tc>
          <w:tcPr>
            <w:tcW w:w="1030" w:type="dxa"/>
            <w:tcBorders>
              <w:top w:val="single" w:sz="8" w:space="0" w:color="AEAEAE"/>
              <w:left w:val="single" w:sz="8" w:space="0" w:color="E0E0E0"/>
              <w:bottom w:val="single" w:sz="8" w:space="0" w:color="AEAEAE"/>
              <w:right w:val="nil"/>
            </w:tcBorders>
            <w:shd w:val="clear" w:color="auto" w:fill="FFFFFF"/>
          </w:tcPr>
          <w:p w14:paraId="5C13FFD2"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57</w:t>
            </w:r>
          </w:p>
        </w:tc>
      </w:tr>
      <w:tr w:rsidR="000F545E" w14:paraId="4AE99EB1" w14:textId="77777777">
        <w:trPr>
          <w:cantSplit/>
        </w:trPr>
        <w:tc>
          <w:tcPr>
            <w:tcW w:w="1183" w:type="dxa"/>
            <w:tcBorders>
              <w:top w:val="single" w:sz="8" w:space="0" w:color="AEAEAE"/>
              <w:left w:val="nil"/>
              <w:bottom w:val="single" w:sz="8" w:space="0" w:color="152935"/>
              <w:right w:val="nil"/>
            </w:tcBorders>
            <w:shd w:val="clear" w:color="auto" w:fill="E0E0E0"/>
          </w:tcPr>
          <w:p w14:paraId="6269D553" w14:textId="77777777" w:rsidR="000F545E" w:rsidRDefault="00000000">
            <w:pPr>
              <w:spacing w:after="0" w:line="276" w:lineRule="auto"/>
              <w:ind w:left="60" w:right="60"/>
              <w:rPr>
                <w:rFonts w:ascii="Times New Roman" w:eastAsia="Times New Roman" w:hAnsi="Times New Roman" w:cs="Times New Roman"/>
                <w:color w:val="264A60"/>
                <w:sz w:val="24"/>
                <w:szCs w:val="24"/>
              </w:rPr>
            </w:pPr>
            <w:r>
              <w:rPr>
                <w:rFonts w:ascii="Times New Roman" w:eastAsia="Times New Roman" w:hAnsi="Times New Roman" w:cs="Times New Roman"/>
                <w:color w:val="264A60"/>
                <w:sz w:val="24"/>
                <w:szCs w:val="24"/>
              </w:rPr>
              <w:t>puzzle</w:t>
            </w:r>
          </w:p>
        </w:tc>
        <w:tc>
          <w:tcPr>
            <w:tcW w:w="1030" w:type="dxa"/>
            <w:tcBorders>
              <w:top w:val="single" w:sz="8" w:space="0" w:color="AEAEAE"/>
              <w:left w:val="nil"/>
              <w:bottom w:val="single" w:sz="8" w:space="0" w:color="152935"/>
              <w:right w:val="single" w:sz="8" w:space="0" w:color="E0E0E0"/>
            </w:tcBorders>
            <w:shd w:val="clear" w:color="auto" w:fill="FFFFFF"/>
          </w:tcPr>
          <w:p w14:paraId="1129C4C5"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43</w:t>
            </w:r>
          </w:p>
        </w:tc>
        <w:tc>
          <w:tcPr>
            <w:tcW w:w="1030" w:type="dxa"/>
            <w:tcBorders>
              <w:top w:val="single" w:sz="8" w:space="0" w:color="AEAEAE"/>
              <w:left w:val="single" w:sz="8" w:space="0" w:color="E0E0E0"/>
              <w:bottom w:val="single" w:sz="8" w:space="0" w:color="152935"/>
              <w:right w:val="nil"/>
            </w:tcBorders>
            <w:shd w:val="clear" w:color="auto" w:fill="FFFFFF"/>
          </w:tcPr>
          <w:p w14:paraId="0A6E7776" w14:textId="77777777" w:rsidR="000F545E" w:rsidRDefault="00000000">
            <w:pPr>
              <w:spacing w:after="0" w:line="276" w:lineRule="auto"/>
              <w:ind w:left="60" w:right="60"/>
              <w:jc w:val="right"/>
              <w:rPr>
                <w:rFonts w:ascii="Times New Roman" w:eastAsia="Times New Roman" w:hAnsi="Times New Roman" w:cs="Times New Roman"/>
                <w:color w:val="010205"/>
                <w:sz w:val="24"/>
                <w:szCs w:val="24"/>
              </w:rPr>
            </w:pPr>
            <w:r>
              <w:rPr>
                <w:rFonts w:ascii="Times New Roman" w:eastAsia="Times New Roman" w:hAnsi="Times New Roman" w:cs="Times New Roman"/>
                <w:color w:val="010205"/>
                <w:sz w:val="24"/>
                <w:szCs w:val="24"/>
              </w:rPr>
              <w:t>58</w:t>
            </w:r>
          </w:p>
        </w:tc>
      </w:tr>
    </w:tbl>
    <w:p w14:paraId="7F79C84F" w14:textId="77777777" w:rsidR="000F545E" w:rsidRDefault="000F545E">
      <w:pPr>
        <w:spacing w:line="480" w:lineRule="auto"/>
        <w:rPr>
          <w:rFonts w:ascii="Times New Roman" w:eastAsia="Times New Roman" w:hAnsi="Times New Roman" w:cs="Times New Roman"/>
          <w:sz w:val="24"/>
          <w:szCs w:val="24"/>
        </w:rPr>
      </w:pPr>
    </w:p>
    <w:p w14:paraId="7E0680FF" w14:textId="77777777" w:rsidR="000F545E" w:rsidRDefault="000F545E">
      <w:pPr>
        <w:spacing w:line="480" w:lineRule="auto"/>
        <w:rPr>
          <w:rFonts w:ascii="Times New Roman" w:eastAsia="Times New Roman" w:hAnsi="Times New Roman" w:cs="Times New Roman"/>
          <w:b/>
          <w:sz w:val="24"/>
          <w:szCs w:val="24"/>
        </w:rPr>
      </w:pPr>
    </w:p>
    <w:p w14:paraId="5A8FB20B" w14:textId="77777777" w:rsidR="000F545E" w:rsidRDefault="00000000">
      <w:pPr>
        <w:pStyle w:val="Heading2"/>
        <w:spacing w:line="480" w:lineRule="auto"/>
        <w:rPr>
          <w:rFonts w:ascii="Times New Roman" w:eastAsia="Times New Roman" w:hAnsi="Times New Roman" w:cs="Times New Roman"/>
          <w:sz w:val="28"/>
          <w:szCs w:val="28"/>
        </w:rPr>
      </w:pPr>
      <w:bookmarkStart w:id="14" w:name="_hnlh7sjn0vda" w:colFirst="0" w:colLast="0"/>
      <w:bookmarkEnd w:id="14"/>
      <w:r>
        <w:rPr>
          <w:rFonts w:ascii="Times New Roman" w:eastAsia="Times New Roman" w:hAnsi="Times New Roman" w:cs="Times New Roman"/>
          <w:sz w:val="28"/>
          <w:szCs w:val="28"/>
        </w:rPr>
        <w:t>Data and text mining methods in business</w:t>
      </w:r>
    </w:p>
    <w:p w14:paraId="55AE3021"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businesses become more competitive, data becomes central to their operations and decision making. This notion has been seen through the continuous investment into data collection. Today, organisations have focused on leveraging data and text mining techniques to acquire data relating to the industry, business and their competitors. The goal is to examine the underlying challenges for an improved business application. As a result, the most commonly used data mining and text mining technique has been clustering.</w:t>
      </w:r>
    </w:p>
    <w:p w14:paraId="16793D8E"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text mining, </w:t>
      </w:r>
      <w:proofErr w:type="spellStart"/>
      <w:r>
        <w:rPr>
          <w:rFonts w:ascii="Times New Roman" w:eastAsia="Times New Roman" w:hAnsi="Times New Roman" w:cs="Times New Roman"/>
          <w:color w:val="222222"/>
          <w:sz w:val="24"/>
          <w:szCs w:val="24"/>
          <w:highlight w:val="white"/>
        </w:rPr>
        <w:t>Inzalkar</w:t>
      </w:r>
      <w:proofErr w:type="spellEnd"/>
      <w:r>
        <w:rPr>
          <w:rFonts w:ascii="Times New Roman" w:eastAsia="Times New Roman" w:hAnsi="Times New Roman" w:cs="Times New Roman"/>
          <w:color w:val="222222"/>
          <w:sz w:val="24"/>
          <w:szCs w:val="24"/>
          <w:highlight w:val="white"/>
        </w:rPr>
        <w:t xml:space="preserve"> &amp; Sharma (2015)</w:t>
      </w:r>
      <w:r>
        <w:rPr>
          <w:rFonts w:ascii="Times New Roman" w:eastAsia="Times New Roman" w:hAnsi="Times New Roman" w:cs="Times New Roman"/>
          <w:sz w:val="24"/>
          <w:szCs w:val="24"/>
        </w:rPr>
        <w:t xml:space="preserve"> describes clustering as one of the crucial examining approaches that focuses on the identification of intrinsic structures in textual information by organising them into different subgroups. This aspect of classification allows one to perform further analysis. This aspect of its application has been known to create unique challenges in text mining. The main challenge stems from the focus on creating meaningful </w:t>
      </w:r>
      <w:r>
        <w:rPr>
          <w:rFonts w:ascii="Times New Roman" w:eastAsia="Times New Roman" w:hAnsi="Times New Roman" w:cs="Times New Roman"/>
          <w:sz w:val="24"/>
          <w:szCs w:val="24"/>
        </w:rPr>
        <w:lastRenderedPageBreak/>
        <w:t xml:space="preserve">clusters from </w:t>
      </w:r>
      <w:proofErr w:type="spellStart"/>
      <w:r>
        <w:rPr>
          <w:rFonts w:ascii="Times New Roman" w:eastAsia="Times New Roman" w:hAnsi="Times New Roman" w:cs="Times New Roman"/>
          <w:sz w:val="24"/>
          <w:szCs w:val="24"/>
        </w:rPr>
        <w:t>unlabeled</w:t>
      </w:r>
      <w:proofErr w:type="spellEnd"/>
      <w:r>
        <w:rPr>
          <w:rFonts w:ascii="Times New Roman" w:eastAsia="Times New Roman" w:hAnsi="Times New Roman" w:cs="Times New Roman"/>
          <w:sz w:val="24"/>
          <w:szCs w:val="24"/>
        </w:rPr>
        <w:t xml:space="preserve"> and unstructured data without detailed information. Where data mining is concerned, clustering is known for visual data presentation using graphics associated with a given product. Specifically, it focuses on data points and their underlying characteristics instead of classification of texts (Liao et al., 2012). Therefore, it allows analysts to divide the data into various subsets for a more effective decision making (Liao et al., 2012; </w:t>
      </w:r>
      <w:proofErr w:type="spellStart"/>
      <w:r>
        <w:rPr>
          <w:rFonts w:ascii="Times New Roman" w:eastAsia="Times New Roman" w:hAnsi="Times New Roman" w:cs="Times New Roman"/>
          <w:color w:val="222222"/>
          <w:sz w:val="24"/>
          <w:szCs w:val="24"/>
          <w:highlight w:val="white"/>
        </w:rPr>
        <w:t>Inzalkar</w:t>
      </w:r>
      <w:proofErr w:type="spellEnd"/>
      <w:r>
        <w:rPr>
          <w:rFonts w:ascii="Times New Roman" w:eastAsia="Times New Roman" w:hAnsi="Times New Roman" w:cs="Times New Roman"/>
          <w:color w:val="222222"/>
          <w:sz w:val="24"/>
          <w:szCs w:val="24"/>
          <w:highlight w:val="white"/>
        </w:rPr>
        <w:t xml:space="preserve"> &amp; Sharma, 2015</w:t>
      </w:r>
      <w:r>
        <w:rPr>
          <w:rFonts w:ascii="Times New Roman" w:eastAsia="Times New Roman" w:hAnsi="Times New Roman" w:cs="Times New Roman"/>
          <w:sz w:val="24"/>
          <w:szCs w:val="24"/>
        </w:rPr>
        <w:t>).</w:t>
      </w:r>
    </w:p>
    <w:p w14:paraId="443B22B7" w14:textId="77777777" w:rsidR="000F545E" w:rsidRDefault="000F545E">
      <w:pPr>
        <w:spacing w:line="480" w:lineRule="auto"/>
        <w:ind w:firstLine="720"/>
        <w:rPr>
          <w:rFonts w:ascii="Times New Roman" w:eastAsia="Times New Roman" w:hAnsi="Times New Roman" w:cs="Times New Roman"/>
          <w:sz w:val="24"/>
          <w:szCs w:val="24"/>
        </w:rPr>
      </w:pPr>
    </w:p>
    <w:p w14:paraId="2BAF8DD0" w14:textId="77777777" w:rsidR="000F545E" w:rsidRDefault="00000000">
      <w:pPr>
        <w:pStyle w:val="Heading2"/>
        <w:spacing w:line="480" w:lineRule="auto"/>
        <w:rPr>
          <w:rFonts w:ascii="Times New Roman" w:eastAsia="Times New Roman" w:hAnsi="Times New Roman" w:cs="Times New Roman"/>
          <w:sz w:val="28"/>
          <w:szCs w:val="28"/>
        </w:rPr>
      </w:pPr>
      <w:bookmarkStart w:id="15" w:name="_n6lst7z76to8" w:colFirst="0" w:colLast="0"/>
      <w:bookmarkEnd w:id="15"/>
      <w:r>
        <w:rPr>
          <w:rFonts w:ascii="Times New Roman" w:eastAsia="Times New Roman" w:hAnsi="Times New Roman" w:cs="Times New Roman"/>
          <w:sz w:val="28"/>
          <w:szCs w:val="28"/>
        </w:rPr>
        <w:t>Advantages of using excel and SPSS</w:t>
      </w:r>
    </w:p>
    <w:p w14:paraId="08E03B68" w14:textId="77777777" w:rsidR="000F545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provided datasets show the dynamics of employing Microsoft Excel and SPSS for data handling. Each software has unique elements that allow for effective use in data analysis. This uniqueness has been seen in their ability to perform different functionalities ranging from data classification to analysis (Proctor, 2002). However, it is critical to acknowledge that these variability is not limited to their uses; rather the underlying features of each software is essential in enhancing their usage during data analysis. Therefore, the key aspects of their usage is highlighted in the table below.</w:t>
      </w:r>
    </w:p>
    <w:tbl>
      <w:tblPr>
        <w:tblStyle w:val="a3"/>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0F545E" w14:paraId="72476380" w14:textId="77777777">
        <w:tc>
          <w:tcPr>
            <w:tcW w:w="4675" w:type="dxa"/>
          </w:tcPr>
          <w:p w14:paraId="1D53CC44" w14:textId="77777777" w:rsidR="000F545E" w:rsidRDefault="00000000">
            <w:pPr>
              <w:spacing w:line="360" w:lineRule="auto"/>
              <w:rPr>
                <w:rFonts w:ascii="Times New Roman" w:eastAsia="Times New Roman" w:hAnsi="Times New Roman" w:cs="Times New Roman"/>
                <w:b/>
                <w:sz w:val="24"/>
                <w:szCs w:val="24"/>
              </w:rPr>
            </w:pPr>
            <w:bookmarkStart w:id="16" w:name="_gjdgxs" w:colFirst="0" w:colLast="0"/>
            <w:bookmarkEnd w:id="16"/>
            <w:r>
              <w:rPr>
                <w:rFonts w:ascii="Times New Roman" w:eastAsia="Times New Roman" w:hAnsi="Times New Roman" w:cs="Times New Roman"/>
                <w:b/>
                <w:sz w:val="24"/>
                <w:szCs w:val="24"/>
              </w:rPr>
              <w:t>Microsoft Excel</w:t>
            </w:r>
          </w:p>
        </w:tc>
        <w:tc>
          <w:tcPr>
            <w:tcW w:w="4675" w:type="dxa"/>
          </w:tcPr>
          <w:p w14:paraId="32D00B1F" w14:textId="77777777" w:rsidR="000F545E"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w:t>
            </w:r>
          </w:p>
        </w:tc>
      </w:tr>
      <w:tr w:rsidR="000F545E" w14:paraId="00B4AA00" w14:textId="77777777">
        <w:tc>
          <w:tcPr>
            <w:tcW w:w="4675" w:type="dxa"/>
          </w:tcPr>
          <w:p w14:paraId="37C10B07"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designed to manage and store data within the formulated operations. these operations range from accounting to general data analytics</w:t>
            </w:r>
          </w:p>
        </w:tc>
        <w:tc>
          <w:tcPr>
            <w:tcW w:w="4675" w:type="dxa"/>
          </w:tcPr>
          <w:p w14:paraId="03D0EA2E"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primarily designed for statistical calculations such as ANOVA and correlation values as well as other analytics as per IBM guidelines.</w:t>
            </w:r>
          </w:p>
        </w:tc>
      </w:tr>
      <w:tr w:rsidR="000F545E" w14:paraId="7F9FE4D2" w14:textId="77777777">
        <w:tc>
          <w:tcPr>
            <w:tcW w:w="4675" w:type="dxa"/>
          </w:tcPr>
          <w:p w14:paraId="2DEA79D3"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can be adopted for data entry and other aspects of data manipulation, as well as effective data storage.</w:t>
            </w:r>
          </w:p>
        </w:tc>
        <w:tc>
          <w:tcPr>
            <w:tcW w:w="4675" w:type="dxa"/>
          </w:tcPr>
          <w:p w14:paraId="1750537F"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primarily used for statistical analysis with a limited capacity for data entry</w:t>
            </w:r>
          </w:p>
        </w:tc>
      </w:tr>
      <w:tr w:rsidR="000F545E" w14:paraId="020AFE96" w14:textId="77777777">
        <w:tc>
          <w:tcPr>
            <w:tcW w:w="4675" w:type="dxa"/>
          </w:tcPr>
          <w:p w14:paraId="341A3EE5"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Data reeducation capabilities and reduction redundancy, thus effective data handling</w:t>
            </w:r>
          </w:p>
        </w:tc>
        <w:tc>
          <w:tcPr>
            <w:tcW w:w="4675" w:type="dxa"/>
          </w:tcPr>
          <w:p w14:paraId="6DEB96F4"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Oriented towards high performance in data analysis, especially where clusters and correlational analyses are concerned,</w:t>
            </w:r>
          </w:p>
        </w:tc>
      </w:tr>
      <w:tr w:rsidR="000F545E" w14:paraId="70E234AD" w14:textId="77777777">
        <w:tc>
          <w:tcPr>
            <w:tcW w:w="4675" w:type="dxa"/>
          </w:tcPr>
          <w:p w14:paraId="7AD5825A"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Primarily adopted in situations where large scale sensitive data needs to be managed. </w:t>
            </w:r>
          </w:p>
        </w:tc>
        <w:tc>
          <w:tcPr>
            <w:tcW w:w="4675" w:type="dxa"/>
          </w:tcPr>
          <w:p w14:paraId="6BF6A9EF" w14:textId="77777777" w:rsidR="000F545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Highly adopted in technique industries for large scale analytics.</w:t>
            </w:r>
          </w:p>
        </w:tc>
      </w:tr>
    </w:tbl>
    <w:p w14:paraId="310BBE9E" w14:textId="77777777" w:rsidR="000F545E" w:rsidRDefault="000F545E">
      <w:pPr>
        <w:spacing w:line="480" w:lineRule="auto"/>
        <w:rPr>
          <w:rFonts w:ascii="Times New Roman" w:eastAsia="Times New Roman" w:hAnsi="Times New Roman" w:cs="Times New Roman"/>
          <w:sz w:val="24"/>
          <w:szCs w:val="24"/>
        </w:rPr>
        <w:sectPr w:rsidR="000F545E">
          <w:pgSz w:w="12240" w:h="15840"/>
          <w:pgMar w:top="1440" w:right="1440" w:bottom="1440" w:left="1440" w:header="708" w:footer="708" w:gutter="0"/>
          <w:cols w:space="708"/>
        </w:sectPr>
      </w:pPr>
    </w:p>
    <w:p w14:paraId="2A9C9149" w14:textId="77777777" w:rsidR="000F545E" w:rsidRDefault="000F545E">
      <w:pPr>
        <w:spacing w:line="480" w:lineRule="auto"/>
        <w:rPr>
          <w:rFonts w:ascii="Times New Roman" w:eastAsia="Times New Roman" w:hAnsi="Times New Roman" w:cs="Times New Roman"/>
          <w:b/>
          <w:sz w:val="24"/>
          <w:szCs w:val="24"/>
        </w:rPr>
      </w:pPr>
    </w:p>
    <w:p w14:paraId="537E67D9" w14:textId="77777777" w:rsidR="000F545E" w:rsidRDefault="00000000">
      <w:pPr>
        <w:pStyle w:val="Heading1"/>
        <w:spacing w:line="480" w:lineRule="auto"/>
        <w:jc w:val="center"/>
        <w:rPr>
          <w:rFonts w:ascii="Times New Roman" w:eastAsia="Times New Roman" w:hAnsi="Times New Roman" w:cs="Times New Roman"/>
          <w:sz w:val="32"/>
          <w:szCs w:val="32"/>
        </w:rPr>
      </w:pPr>
      <w:bookmarkStart w:id="17" w:name="_fqfm93v6jpji" w:colFirst="0" w:colLast="0"/>
      <w:bookmarkEnd w:id="17"/>
      <w:r>
        <w:rPr>
          <w:rFonts w:ascii="Times New Roman" w:eastAsia="Times New Roman" w:hAnsi="Times New Roman" w:cs="Times New Roman"/>
          <w:sz w:val="32"/>
          <w:szCs w:val="32"/>
        </w:rPr>
        <w:t>References</w:t>
      </w:r>
    </w:p>
    <w:p w14:paraId="3362D0DE"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Broman, K.W. and Woo, K.H. (2018) Data Organization in Spreadsheets, The American Statistician, 72:1, pp. 2-10,</w:t>
      </w:r>
    </w:p>
    <w:p w14:paraId="70F390BD"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Gupta, P.D., Guha, S. and Krishnaswami, S.S. (2013) Firm growth and its determinants. J </w:t>
      </w:r>
      <w:proofErr w:type="spellStart"/>
      <w:r>
        <w:rPr>
          <w:rFonts w:ascii="Times New Roman" w:eastAsia="Times New Roman" w:hAnsi="Times New Roman" w:cs="Times New Roman"/>
          <w:color w:val="222222"/>
          <w:sz w:val="24"/>
          <w:szCs w:val="24"/>
          <w:highlight w:val="white"/>
        </w:rPr>
        <w:t>Innov</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Entrep</w:t>
      </w:r>
      <w:proofErr w:type="spellEnd"/>
      <w:r>
        <w:rPr>
          <w:rFonts w:ascii="Times New Roman" w:eastAsia="Times New Roman" w:hAnsi="Times New Roman" w:cs="Times New Roman"/>
          <w:color w:val="222222"/>
          <w:sz w:val="24"/>
          <w:szCs w:val="24"/>
          <w:highlight w:val="white"/>
        </w:rPr>
        <w:t xml:space="preserve"> 2, p. 15 </w:t>
      </w:r>
    </w:p>
    <w:p w14:paraId="4B04966D"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IBM (n.d.) Learn about new statistical procedures and enhancements in IBM® SPSS® Statistics 29 [Online] Available at: </w:t>
      </w:r>
      <w:hyperlink r:id="rId15">
        <w:r>
          <w:rPr>
            <w:rFonts w:ascii="Times New Roman" w:eastAsia="Times New Roman" w:hAnsi="Times New Roman" w:cs="Times New Roman"/>
            <w:color w:val="1155CC"/>
            <w:sz w:val="24"/>
            <w:szCs w:val="24"/>
            <w:highlight w:val="white"/>
            <w:u w:val="single"/>
          </w:rPr>
          <w:t>https://www.ibm.com/products/spss-statistics</w:t>
        </w:r>
      </w:hyperlink>
      <w:r>
        <w:rPr>
          <w:rFonts w:ascii="Times New Roman" w:eastAsia="Times New Roman" w:hAnsi="Times New Roman" w:cs="Times New Roman"/>
          <w:color w:val="222222"/>
          <w:sz w:val="24"/>
          <w:szCs w:val="24"/>
          <w:highlight w:val="white"/>
        </w:rPr>
        <w:t xml:space="preserve"> [Accessed on: 20/12/22]</w:t>
      </w:r>
    </w:p>
    <w:p w14:paraId="0A0B9F81"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Inzalkar</w:t>
      </w:r>
      <w:proofErr w:type="spellEnd"/>
      <w:r>
        <w:rPr>
          <w:rFonts w:ascii="Times New Roman" w:eastAsia="Times New Roman" w:hAnsi="Times New Roman" w:cs="Times New Roman"/>
          <w:color w:val="222222"/>
          <w:sz w:val="24"/>
          <w:szCs w:val="24"/>
          <w:highlight w:val="white"/>
        </w:rPr>
        <w:t>, S., &amp; Sharma, J. (2015). A survey on text mining-techniques and application. </w:t>
      </w:r>
      <w:r>
        <w:rPr>
          <w:rFonts w:ascii="Times New Roman" w:eastAsia="Times New Roman" w:hAnsi="Times New Roman" w:cs="Times New Roman"/>
          <w:i/>
          <w:color w:val="222222"/>
          <w:sz w:val="24"/>
          <w:szCs w:val="24"/>
          <w:highlight w:val="white"/>
        </w:rPr>
        <w:t>International Journal of Research In Science &amp; Engineering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1-14.</w:t>
      </w:r>
    </w:p>
    <w:p w14:paraId="7AF2CB69"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Jelen</w:t>
      </w:r>
      <w:proofErr w:type="spellEnd"/>
      <w:r>
        <w:rPr>
          <w:rFonts w:ascii="Times New Roman" w:eastAsia="Times New Roman" w:hAnsi="Times New Roman" w:cs="Times New Roman"/>
          <w:color w:val="222222"/>
          <w:sz w:val="24"/>
          <w:szCs w:val="24"/>
          <w:highlight w:val="white"/>
        </w:rPr>
        <w:t>, B. (2019). Excel: WILDCARDS IN VLOOKUP AND SUMIFS. </w:t>
      </w:r>
      <w:r>
        <w:rPr>
          <w:rFonts w:ascii="Times New Roman" w:eastAsia="Times New Roman" w:hAnsi="Times New Roman" w:cs="Times New Roman"/>
          <w:i/>
          <w:color w:val="222222"/>
          <w:sz w:val="24"/>
          <w:szCs w:val="24"/>
          <w:highlight w:val="white"/>
        </w:rPr>
        <w:t>Strategic Finance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100</w:t>
      </w:r>
      <w:r>
        <w:rPr>
          <w:rFonts w:ascii="Times New Roman" w:eastAsia="Times New Roman" w:hAnsi="Times New Roman" w:cs="Times New Roman"/>
          <w:color w:val="222222"/>
          <w:sz w:val="24"/>
          <w:szCs w:val="24"/>
          <w:highlight w:val="white"/>
        </w:rPr>
        <w:t>(11), pp.62-63.</w:t>
      </w:r>
    </w:p>
    <w:p w14:paraId="4F727A26"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Liao, S. H., Chu, P. H., &amp; Hsiao, P. Y. (2012). Data mining techniques and applications–A decade review from 2000 to 2011. </w:t>
      </w:r>
      <w:r>
        <w:rPr>
          <w:rFonts w:ascii="Times New Roman" w:eastAsia="Times New Roman" w:hAnsi="Times New Roman" w:cs="Times New Roman"/>
          <w:i/>
          <w:color w:val="222222"/>
          <w:sz w:val="24"/>
          <w:szCs w:val="24"/>
          <w:highlight w:val="white"/>
        </w:rPr>
        <w:t>Expert systems with applications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(12), 11303-11311.</w:t>
      </w:r>
    </w:p>
    <w:p w14:paraId="75C4D925" w14:textId="77777777" w:rsidR="000F545E"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Nisbet, R., Elder, J. and Miner, G.D. (2018). </w:t>
      </w:r>
      <w:r>
        <w:rPr>
          <w:rFonts w:ascii="Times New Roman" w:eastAsia="Times New Roman" w:hAnsi="Times New Roman" w:cs="Times New Roman"/>
          <w:i/>
          <w:color w:val="222222"/>
          <w:sz w:val="24"/>
          <w:szCs w:val="24"/>
          <w:highlight w:val="white"/>
        </w:rPr>
        <w:t>Handbook of statistical analysis and data mining applications</w:t>
      </w:r>
      <w:r>
        <w:rPr>
          <w:rFonts w:ascii="Times New Roman" w:eastAsia="Times New Roman" w:hAnsi="Times New Roman" w:cs="Times New Roman"/>
          <w:color w:val="222222"/>
          <w:sz w:val="24"/>
          <w:szCs w:val="24"/>
          <w:highlight w:val="white"/>
        </w:rPr>
        <w:t>. Academic press.</w:t>
      </w:r>
    </w:p>
    <w:p w14:paraId="1BCB5C60" w14:textId="77777777" w:rsidR="000F545E"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Proctor, J. L. (2002). SPSS vs. Excel: Computing software, criminal justice students, and statistics. </w:t>
      </w:r>
      <w:r>
        <w:rPr>
          <w:rFonts w:ascii="Times New Roman" w:eastAsia="Times New Roman" w:hAnsi="Times New Roman" w:cs="Times New Roman"/>
          <w:i/>
          <w:color w:val="222222"/>
          <w:sz w:val="24"/>
          <w:szCs w:val="24"/>
          <w:highlight w:val="white"/>
        </w:rPr>
        <w:t>Journal of Criminal Justice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433-442.</w:t>
      </w:r>
    </w:p>
    <w:sectPr w:rsidR="000F545E">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76550" w14:textId="77777777" w:rsidR="002118B8" w:rsidRDefault="002118B8">
      <w:pPr>
        <w:spacing w:after="0" w:line="240" w:lineRule="auto"/>
      </w:pPr>
      <w:r>
        <w:separator/>
      </w:r>
    </w:p>
  </w:endnote>
  <w:endnote w:type="continuationSeparator" w:id="0">
    <w:p w14:paraId="3B3ED1AB" w14:textId="77777777" w:rsidR="002118B8" w:rsidRDefault="00211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6A653" w14:textId="77777777" w:rsidR="002118B8" w:rsidRDefault="002118B8">
      <w:pPr>
        <w:spacing w:after="0" w:line="240" w:lineRule="auto"/>
      </w:pPr>
      <w:r>
        <w:separator/>
      </w:r>
    </w:p>
  </w:footnote>
  <w:footnote w:type="continuationSeparator" w:id="0">
    <w:p w14:paraId="4B2B5465" w14:textId="77777777" w:rsidR="002118B8" w:rsidRDefault="002118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D7673" w14:textId="77777777" w:rsidR="000F545E"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DATA HANDLING AND ANALYSIS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7D1D3D">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45E"/>
    <w:rsid w:val="000F545E"/>
    <w:rsid w:val="002118B8"/>
    <w:rsid w:val="002E52D1"/>
    <w:rsid w:val="00567FBF"/>
    <w:rsid w:val="007D1D3D"/>
    <w:rsid w:val="00B637A9"/>
    <w:rsid w:val="00E8478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761DA"/>
  <w15:docId w15:val="{9C550C5F-4D36-419C-B81B-B37ABA22B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pPr>
      <w:spacing w:after="0" w:line="240" w:lineRule="auto"/>
    </w:pPr>
    <w:tblPr>
      <w:tblStyleRowBandSize w:val="1"/>
      <w:tblStyleColBandSize w:val="1"/>
      <w:tblCellMar>
        <w:left w:w="108" w:type="dxa"/>
        <w:right w:w="108" w:type="dxa"/>
      </w:tblCellMar>
    </w:tblPr>
  </w:style>
  <w:style w:type="paragraph" w:customStyle="1" w:styleId="Body">
    <w:name w:val="Body"/>
    <w:rsid w:val="00E8478E"/>
    <w:pPr>
      <w:widowControl w:val="0"/>
      <w:spacing w:after="0" w:line="240" w:lineRule="auto"/>
    </w:pPr>
    <w:rPr>
      <w:rFonts w:ascii="Times New Roman" w:eastAsia="Arial Unicode MS" w:hAnsi="Times New Roman" w:cs="Arial Unicode MS"/>
      <w:color w:val="000000"/>
      <w:kern w:val="2"/>
      <w:sz w:val="24"/>
      <w:szCs w:val="24"/>
      <w:u w:color="000000"/>
      <w:lang w:val="en-AU"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9786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hyperlink" Target="https://www.ibm.com/products/spss-statistics" TargetMode="Externa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19</Pages>
  <Words>3205</Words>
  <Characters>18272</Characters>
  <Application>Microsoft Office Word</Application>
  <DocSecurity>0</DocSecurity>
  <Lines>152</Lines>
  <Paragraphs>42</Paragraphs>
  <ScaleCrop>false</ScaleCrop>
  <Company/>
  <LinksUpToDate>false</LinksUpToDate>
  <CharactersWithSpaces>21435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Petrov Zlatev (2029265)</cp:lastModifiedBy>
  <cp:revision>5</cp:revision>
  <dcterms:created xsi:type="dcterms:W3CDTF">2022-12-23T07:39:00Z</dcterms:created>
  <dcterms:modified xsi:type="dcterms:W3CDTF">2023-01-05T17:47:00Z</dcterms:modified>
</cp:coreProperties>
</file>