
<file path=[Content_Types].xml><?xml version="1.0" encoding="utf-8"?>
<Types xmlns="http://schemas.openxmlformats.org/package/2006/content-types">
  <Default Extension="doc" ContentType="application/msword"/>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MON_1667054247"/>
    <w:bookmarkEnd w:id="0"/>
    <w:p w14:paraId="5B3034B4" w14:textId="006D3AF6" w:rsidR="00B16948" w:rsidRDefault="006332E6">
      <w:pPr>
        <w:rPr>
          <w:u w:val="single"/>
        </w:rPr>
      </w:pPr>
      <w:r>
        <w:rPr>
          <w:u w:val="single"/>
        </w:rPr>
        <w:object w:dxaOrig="8872" w:dyaOrig="13994" w14:anchorId="797BA14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43.2pt;height:699.45pt" o:ole="">
            <v:imagedata r:id="rId8" o:title=""/>
          </v:shape>
          <o:OLEObject Type="Embed" ProgID="Word.Document.8" ShapeID="_x0000_i1025" DrawAspect="Content" ObjectID="_1667204474" r:id="rId9">
            <o:FieldCodes>\s</o:FieldCodes>
          </o:OLEObject>
        </w:object>
      </w:r>
    </w:p>
    <w:p w14:paraId="38B03AFD" w14:textId="2D7E23CD" w:rsidR="002A575B" w:rsidRDefault="002A575B">
      <w:pPr>
        <w:rPr>
          <w:u w:val="single"/>
        </w:rPr>
      </w:pPr>
      <w:r w:rsidRPr="002A575B">
        <w:rPr>
          <w:u w:val="single"/>
        </w:rPr>
        <w:lastRenderedPageBreak/>
        <w:t>A Critical Comparison of Two Secondary Sources</w:t>
      </w:r>
    </w:p>
    <w:p w14:paraId="7209317E" w14:textId="3FC9C1B4" w:rsidR="003A60FF" w:rsidRPr="003A60FF" w:rsidRDefault="003A60FF">
      <w:r w:rsidRPr="003A60FF">
        <w:t xml:space="preserve">Word Count: </w:t>
      </w:r>
      <w:r>
        <w:t>3</w:t>
      </w:r>
      <w:r w:rsidR="001964C3">
        <w:t>292</w:t>
      </w:r>
    </w:p>
    <w:p w14:paraId="670665CF" w14:textId="0B5671CC" w:rsidR="008E1652" w:rsidRPr="008E1652" w:rsidRDefault="008E1652" w:rsidP="00324A62">
      <w:pPr>
        <w:spacing w:line="360" w:lineRule="auto"/>
      </w:pPr>
      <w:r>
        <w:t xml:space="preserve">This essay will first address </w:t>
      </w:r>
      <w:r w:rsidR="0023111F">
        <w:t xml:space="preserve">Robin Wall Kimmerer’s 2002 paper ‘Weaving </w:t>
      </w:r>
      <w:r w:rsidR="0083772E">
        <w:t>Traditional Ecological Knowledge into Biological Education: A Call to Action’. It will look at</w:t>
      </w:r>
      <w:r w:rsidR="00C83750">
        <w:t xml:space="preserve"> </w:t>
      </w:r>
      <w:r w:rsidR="00670ACA">
        <w:t xml:space="preserve">Kimmerer’s </w:t>
      </w:r>
      <w:r w:rsidR="00C83750">
        <w:t xml:space="preserve">support </w:t>
      </w:r>
      <w:r w:rsidR="00BC1C2D">
        <w:t>of using traditional ecological knowledge</w:t>
      </w:r>
      <w:r w:rsidR="007E0EE2">
        <w:t xml:space="preserve"> (TEK)</w:t>
      </w:r>
      <w:r w:rsidR="00BC1C2D">
        <w:t xml:space="preserve"> in western biological education and</w:t>
      </w:r>
      <w:r w:rsidR="0083772E">
        <w:t xml:space="preserve"> her main arguments</w:t>
      </w:r>
      <w:r w:rsidR="0074678E">
        <w:t>,</w:t>
      </w:r>
      <w:r w:rsidR="0083772E">
        <w:t xml:space="preserve"> before </w:t>
      </w:r>
      <w:r w:rsidR="001D1B0A">
        <w:t xml:space="preserve">analysing </w:t>
      </w:r>
      <w:r w:rsidR="00C1410F">
        <w:t>whether</w:t>
      </w:r>
      <w:r w:rsidR="002B6087">
        <w:t xml:space="preserve"> or not</w:t>
      </w:r>
      <w:r w:rsidR="00C1410F">
        <w:t xml:space="preserve"> her ideas are </w:t>
      </w:r>
      <w:r w:rsidR="00C05CD1">
        <w:t>plausible</w:t>
      </w:r>
      <w:r w:rsidR="00C1410F">
        <w:t xml:space="preserve"> and </w:t>
      </w:r>
      <w:r w:rsidR="00F51BBD">
        <w:t xml:space="preserve">their relevance in </w:t>
      </w:r>
      <w:r w:rsidR="002B6087">
        <w:t xml:space="preserve">an </w:t>
      </w:r>
      <w:r w:rsidR="00F51BBD">
        <w:t>academic context</w:t>
      </w:r>
      <w:r w:rsidR="002B6087">
        <w:t>. The essay then moves on to Charles Frake’s 1962 paper</w:t>
      </w:r>
      <w:r w:rsidR="000C5E9A">
        <w:t xml:space="preserve"> ‘Cultural Ecology and Ethnography’, discussing his </w:t>
      </w:r>
      <w:r w:rsidR="00BC1C2D">
        <w:t xml:space="preserve">belief that ethnographic research can </w:t>
      </w:r>
      <w:r w:rsidR="00AF470E">
        <w:t>benefit and improve the study of cultural ecology. It then focuses on</w:t>
      </w:r>
      <w:r w:rsidR="000C5E9A">
        <w:t xml:space="preserve"> whether his arguments are supported within the academic field</w:t>
      </w:r>
      <w:r w:rsidR="00696D32">
        <w:t xml:space="preserve">. The essay aims to highlight any </w:t>
      </w:r>
      <w:r w:rsidR="00751139">
        <w:t>similarities and differences in the way each author deals with their arguments</w:t>
      </w:r>
      <w:r w:rsidR="00074BAB">
        <w:t xml:space="preserve">, whilst determining the </w:t>
      </w:r>
      <w:r w:rsidR="00AA4CE3">
        <w:t>effectiveness of each paper.</w:t>
      </w:r>
    </w:p>
    <w:p w14:paraId="51FE6480" w14:textId="2CC1584F" w:rsidR="004563C4" w:rsidRPr="00276706" w:rsidRDefault="002A575B" w:rsidP="00324A62">
      <w:pPr>
        <w:spacing w:line="360" w:lineRule="auto"/>
      </w:pPr>
      <w:r w:rsidRPr="00276706">
        <w:t xml:space="preserve">Kimmerer’s paper advocates for the use of </w:t>
      </w:r>
      <w:r w:rsidR="007F15C7" w:rsidRPr="00276706">
        <w:t>TEK</w:t>
      </w:r>
      <w:r w:rsidRPr="00276706">
        <w:t xml:space="preserve"> within biological education in the </w:t>
      </w:r>
      <w:r w:rsidR="007F15C7" w:rsidRPr="00276706">
        <w:t>W</w:t>
      </w:r>
      <w:r w:rsidRPr="00276706">
        <w:t xml:space="preserve">est. She highlights the importance of indigenous knowledge, believing that it is trustworthy data that can greatly benefit western research and education. </w:t>
      </w:r>
      <w:r w:rsidR="008046FF" w:rsidRPr="00276706">
        <w:t>To demonstrate this, s</w:t>
      </w:r>
      <w:r w:rsidRPr="00276706">
        <w:t>he starts by quoting Mauro and Hardison, who state that “TEK is rational and reliable knowledge that has been developed through generations of intimate contact by native peoples with their lands “</w:t>
      </w:r>
      <w:r w:rsidR="00A53ABF" w:rsidRPr="00276706">
        <w:rPr>
          <w:rStyle w:val="FootnoteReference"/>
        </w:rPr>
        <w:footnoteReference w:id="1"/>
      </w:r>
      <w:r w:rsidR="008E3362" w:rsidRPr="00276706">
        <w:t xml:space="preserve">. She also draws on other sources such as </w:t>
      </w:r>
      <w:proofErr w:type="spellStart"/>
      <w:r w:rsidR="008E3362" w:rsidRPr="00276706">
        <w:t>DeLoria</w:t>
      </w:r>
      <w:proofErr w:type="spellEnd"/>
      <w:r w:rsidR="008E3362" w:rsidRPr="00276706">
        <w:rPr>
          <w:rStyle w:val="FootnoteReference"/>
        </w:rPr>
        <w:footnoteReference w:id="2"/>
      </w:r>
      <w:r w:rsidR="008E3362" w:rsidRPr="00276706">
        <w:t xml:space="preserve"> and UNEP</w:t>
      </w:r>
      <w:r w:rsidR="008E3362" w:rsidRPr="00276706">
        <w:rPr>
          <w:rStyle w:val="FootnoteReference"/>
        </w:rPr>
        <w:footnoteReference w:id="3"/>
      </w:r>
      <w:r w:rsidR="008E3362" w:rsidRPr="00276706">
        <w:t xml:space="preserve"> to establish the widespread support of TEK. Kimmerer then asserts that “</w:t>
      </w:r>
      <w:r w:rsidR="00433CDE" w:rsidRPr="00276706">
        <w:t xml:space="preserve">[TEK] </w:t>
      </w:r>
      <w:r w:rsidR="008E3362" w:rsidRPr="00276706">
        <w:t>encompasses a wide range of biological information, which overlaps significantly with the content of a mainstream course in ecology or conservation biology.”</w:t>
      </w:r>
      <w:r w:rsidR="00A53ABF" w:rsidRPr="00276706">
        <w:rPr>
          <w:rStyle w:val="FootnoteReference"/>
        </w:rPr>
        <w:footnoteReference w:id="4"/>
      </w:r>
      <w:r w:rsidR="004563C4" w:rsidRPr="00276706">
        <w:t xml:space="preserve"> Her paper is aimed towards academics involved with biological education in a bid to engage them in an exploration of </w:t>
      </w:r>
      <w:r w:rsidR="00D37A52" w:rsidRPr="00276706">
        <w:t>TEK</w:t>
      </w:r>
      <w:r w:rsidR="004563C4" w:rsidRPr="00276706">
        <w:t xml:space="preserve"> as </w:t>
      </w:r>
      <w:r w:rsidR="00AE3AA2" w:rsidRPr="00276706">
        <w:t>an educational tool</w:t>
      </w:r>
      <w:r w:rsidR="004563C4" w:rsidRPr="00276706">
        <w:t xml:space="preserve">. </w:t>
      </w:r>
    </w:p>
    <w:p w14:paraId="2DAE77AF" w14:textId="348D072C" w:rsidR="00E4031B" w:rsidRPr="00276706" w:rsidRDefault="004563C4" w:rsidP="00324A62">
      <w:pPr>
        <w:spacing w:line="360" w:lineRule="auto"/>
      </w:pPr>
      <w:r w:rsidRPr="00276706">
        <w:t xml:space="preserve">One of Kimmerer’s main arguments in her paper is that TEK has key differences to Western research, differences that she believes can enhance </w:t>
      </w:r>
      <w:r w:rsidR="00D05D53" w:rsidRPr="00276706">
        <w:t>biological research and education</w:t>
      </w:r>
      <w:r w:rsidRPr="00276706">
        <w:t>. She states</w:t>
      </w:r>
      <w:r w:rsidR="009A3392" w:rsidRPr="00276706">
        <w:t>,</w:t>
      </w:r>
      <w:r w:rsidRPr="00276706">
        <w:t xml:space="preserve"> “TEK observations tend to be qualitative, and they create a diachronic database, that is, a record of observations from a single locale over a long time period. […] In TEK, the observers tend to be the resources users themselves […] whose harvesting success inextricably linked to the quality and reliability of their ecological observations.”</w:t>
      </w:r>
      <w:r w:rsidR="00A53ABF" w:rsidRPr="00276706">
        <w:rPr>
          <w:rStyle w:val="FootnoteReference"/>
        </w:rPr>
        <w:footnoteReference w:id="5"/>
      </w:r>
      <w:r w:rsidRPr="00276706">
        <w:t xml:space="preserve"> This type of research markedly contrasts </w:t>
      </w:r>
      <w:r w:rsidR="00A53ABF" w:rsidRPr="00276706">
        <w:t xml:space="preserve">western </w:t>
      </w:r>
      <w:r w:rsidR="00A53ABF" w:rsidRPr="00276706">
        <w:lastRenderedPageBreak/>
        <w:t>scientific research, as it is</w:t>
      </w:r>
      <w:r w:rsidR="00E044FF" w:rsidRPr="00276706">
        <w:t xml:space="preserve"> </w:t>
      </w:r>
      <w:r w:rsidR="00A53ABF" w:rsidRPr="00276706">
        <w:t xml:space="preserve">more detailed and </w:t>
      </w:r>
      <w:r w:rsidR="00E044FF" w:rsidRPr="00276706">
        <w:t xml:space="preserve">therefore, arguably </w:t>
      </w:r>
      <w:r w:rsidR="00A53ABF" w:rsidRPr="00276706">
        <w:t>more accurat</w:t>
      </w:r>
      <w:r w:rsidR="009A3392" w:rsidRPr="00276706">
        <w:t>e</w:t>
      </w:r>
      <w:r w:rsidR="00A53ABF" w:rsidRPr="00276706">
        <w:t>. For Kimmerer, the nature of scientific research means that its findings “frequently lack the long-term perspective of TEK.”</w:t>
      </w:r>
      <w:r w:rsidR="00A53ABF" w:rsidRPr="00276706">
        <w:rPr>
          <w:rStyle w:val="FootnoteReference"/>
        </w:rPr>
        <w:footnoteReference w:id="6"/>
      </w:r>
      <w:r w:rsidR="00A53ABF" w:rsidRPr="00276706">
        <w:t xml:space="preserve"> She then goes on to express her belief that “</w:t>
      </w:r>
      <w:r w:rsidR="00433CDE" w:rsidRPr="00276706">
        <w:t xml:space="preserve">[TEK] </w:t>
      </w:r>
      <w:r w:rsidR="00A53ABF" w:rsidRPr="00276706">
        <w:t>may also extend its explanatory power beyond the strictly empirical, where science cannot go.”</w:t>
      </w:r>
      <w:r w:rsidR="00A53ABF" w:rsidRPr="00276706">
        <w:rPr>
          <w:rStyle w:val="FootnoteReference"/>
        </w:rPr>
        <w:footnoteReference w:id="7"/>
      </w:r>
      <w:r w:rsidR="00121D46" w:rsidRPr="00276706">
        <w:t xml:space="preserve"> </w:t>
      </w:r>
      <w:r w:rsidR="00EC3EB5" w:rsidRPr="00276706">
        <w:t xml:space="preserve">Kimmerer’s statement highlights the objectivity of </w:t>
      </w:r>
      <w:r w:rsidR="007B238A" w:rsidRPr="00276706">
        <w:t>scientific ecological knowledge (SEK)</w:t>
      </w:r>
      <w:r w:rsidR="00C87BE5" w:rsidRPr="00276706">
        <w:t xml:space="preserve"> and the ways in which it separates ecology from other aspects of culture. </w:t>
      </w:r>
      <w:r w:rsidR="00641E0D" w:rsidRPr="00276706">
        <w:t>Whereas,</w:t>
      </w:r>
      <w:r w:rsidR="00306E75" w:rsidRPr="00276706">
        <w:t xml:space="preserve"> in </w:t>
      </w:r>
      <w:r w:rsidR="00C3464A" w:rsidRPr="00276706">
        <w:t>TEK</w:t>
      </w:r>
      <w:r w:rsidR="00802A4E" w:rsidRPr="00276706">
        <w:t xml:space="preserve">, nature is subject rather than object. Kimmerer </w:t>
      </w:r>
      <w:r w:rsidR="00764DA1" w:rsidRPr="00276706">
        <w:t>takes inspiration from</w:t>
      </w:r>
      <w:r w:rsidR="00802A4E" w:rsidRPr="00276706">
        <w:t xml:space="preserve"> </w:t>
      </w:r>
      <w:proofErr w:type="spellStart"/>
      <w:r w:rsidR="00802A4E" w:rsidRPr="00276706">
        <w:t>Berkes</w:t>
      </w:r>
      <w:proofErr w:type="spellEnd"/>
      <w:r w:rsidR="00764DA1" w:rsidRPr="00276706">
        <w:rPr>
          <w:rStyle w:val="FootnoteReference"/>
        </w:rPr>
        <w:footnoteReference w:id="8"/>
      </w:r>
      <w:r w:rsidR="00661810" w:rsidRPr="00276706">
        <w:t xml:space="preserve"> </w:t>
      </w:r>
      <w:r w:rsidR="00764DA1" w:rsidRPr="00276706">
        <w:t xml:space="preserve">and </w:t>
      </w:r>
      <w:proofErr w:type="spellStart"/>
      <w:r w:rsidR="00764DA1" w:rsidRPr="00276706">
        <w:t>Hunn</w:t>
      </w:r>
      <w:proofErr w:type="spellEnd"/>
      <w:r w:rsidR="00BC6A35" w:rsidRPr="00276706">
        <w:rPr>
          <w:rStyle w:val="FootnoteReference"/>
        </w:rPr>
        <w:footnoteReference w:id="9"/>
      </w:r>
      <w:r w:rsidR="00764DA1" w:rsidRPr="00276706">
        <w:t xml:space="preserve"> </w:t>
      </w:r>
      <w:r w:rsidR="00661810" w:rsidRPr="00276706">
        <w:t xml:space="preserve">who </w:t>
      </w:r>
      <w:r w:rsidR="00764DA1" w:rsidRPr="00276706">
        <w:t xml:space="preserve">also </w:t>
      </w:r>
      <w:r w:rsidR="00661810" w:rsidRPr="00276706">
        <w:t>believe that “s</w:t>
      </w:r>
      <w:r w:rsidR="00AE299E" w:rsidRPr="00276706">
        <w:t xml:space="preserve">uch holistic ways </w:t>
      </w:r>
      <w:r w:rsidR="00661810" w:rsidRPr="00276706">
        <w:t xml:space="preserve">of </w:t>
      </w:r>
      <w:r w:rsidR="00AE299E" w:rsidRPr="00276706">
        <w:t>understanding the environment offer alternatives to the dominant consumptive values of Western societies.</w:t>
      </w:r>
      <w:r w:rsidR="00E4031B" w:rsidRPr="00276706">
        <w:t>”</w:t>
      </w:r>
      <w:r w:rsidR="00A823EB" w:rsidRPr="00276706">
        <w:rPr>
          <w:rStyle w:val="FootnoteReference"/>
        </w:rPr>
        <w:footnoteReference w:id="10"/>
      </w:r>
      <w:r w:rsidR="006E5134" w:rsidRPr="00276706">
        <w:t xml:space="preserve"> This allows TEK to work alongside SEK a</w:t>
      </w:r>
      <w:r w:rsidR="000F595B" w:rsidRPr="00276706">
        <w:t>s it offers insights based on human values and environmental respect.</w:t>
      </w:r>
    </w:p>
    <w:p w14:paraId="083A8801" w14:textId="21A84C60" w:rsidR="002A575B" w:rsidRPr="00276706" w:rsidRDefault="00851EAC" w:rsidP="00324A62">
      <w:pPr>
        <w:spacing w:line="360" w:lineRule="auto"/>
      </w:pPr>
      <w:r w:rsidRPr="00276706">
        <w:t xml:space="preserve">This leads Kimmerer on to </w:t>
      </w:r>
      <w:r w:rsidR="008D575E" w:rsidRPr="00276706">
        <w:t>mak</w:t>
      </w:r>
      <w:r w:rsidR="003517F8" w:rsidRPr="00276706">
        <w:t xml:space="preserve">ing it </w:t>
      </w:r>
      <w:r w:rsidR="008D575E" w:rsidRPr="00276706">
        <w:t xml:space="preserve">clear that she is not suggesting </w:t>
      </w:r>
      <w:r w:rsidR="00433CDE" w:rsidRPr="00276706">
        <w:t>[TEK]</w:t>
      </w:r>
      <w:r w:rsidR="008D575E" w:rsidRPr="00276706">
        <w:t xml:space="preserve"> as a replacement for </w:t>
      </w:r>
      <w:r w:rsidR="007135F7" w:rsidRPr="00276706">
        <w:t>SEK</w:t>
      </w:r>
      <w:r w:rsidR="008D575E" w:rsidRPr="00276706">
        <w:t xml:space="preserve">, </w:t>
      </w:r>
      <w:r w:rsidR="0054500E" w:rsidRPr="00276706">
        <w:t xml:space="preserve">but as a tool to support it. </w:t>
      </w:r>
      <w:r w:rsidR="000512A4" w:rsidRPr="00276706">
        <w:t>She states that T</w:t>
      </w:r>
      <w:r w:rsidR="006B1622" w:rsidRPr="00276706">
        <w:t xml:space="preserve">EK </w:t>
      </w:r>
      <w:r w:rsidR="00120262" w:rsidRPr="00276706">
        <w:t>“can be extremely valuable in validating scientific hypotheses and suggesting new research directions.”</w:t>
      </w:r>
      <w:r w:rsidR="00120262" w:rsidRPr="00276706">
        <w:rPr>
          <w:rStyle w:val="FootnoteReference"/>
        </w:rPr>
        <w:footnoteReference w:id="11"/>
      </w:r>
      <w:r w:rsidR="00F82AA1" w:rsidRPr="00276706">
        <w:t xml:space="preserve"> </w:t>
      </w:r>
      <w:r w:rsidR="00975890" w:rsidRPr="00276706">
        <w:t xml:space="preserve">Using </w:t>
      </w:r>
      <w:r w:rsidR="00723E98" w:rsidRPr="00276706">
        <w:t>TEK</w:t>
      </w:r>
      <w:r w:rsidR="00975890" w:rsidRPr="00276706">
        <w:t xml:space="preserve"> in scientific research and education therefore </w:t>
      </w:r>
      <w:r w:rsidR="00B40638" w:rsidRPr="00276706">
        <w:t xml:space="preserve">offers evidence for many of the concepts taught </w:t>
      </w:r>
      <w:r w:rsidR="00607185" w:rsidRPr="00276706">
        <w:t xml:space="preserve">and researched, further solidifying the claims. </w:t>
      </w:r>
      <w:r w:rsidR="004A2186" w:rsidRPr="00276706">
        <w:t xml:space="preserve">But for Kimmerer, the value of TEK goes beyond this. </w:t>
      </w:r>
      <w:r w:rsidR="00AE5297" w:rsidRPr="00276706">
        <w:t xml:space="preserve">She believes that </w:t>
      </w:r>
      <w:r w:rsidR="00350E6C" w:rsidRPr="00276706">
        <w:t xml:space="preserve">the sole use of </w:t>
      </w:r>
      <w:r w:rsidR="00F82AA1" w:rsidRPr="00276706">
        <w:t>SEK</w:t>
      </w:r>
      <w:r w:rsidR="00350E6C" w:rsidRPr="00276706">
        <w:t xml:space="preserve"> in classrooms is actually insufficient. </w:t>
      </w:r>
      <w:r w:rsidR="00686A2C" w:rsidRPr="00276706">
        <w:t xml:space="preserve">Citing </w:t>
      </w:r>
      <w:proofErr w:type="spellStart"/>
      <w:r w:rsidR="00686A2C" w:rsidRPr="00276706">
        <w:t>Cajete</w:t>
      </w:r>
      <w:proofErr w:type="spellEnd"/>
      <w:r w:rsidR="00686A2C" w:rsidRPr="00276706">
        <w:t xml:space="preserve">, Kimmerer </w:t>
      </w:r>
      <w:r w:rsidR="00BF276E" w:rsidRPr="00276706">
        <w:t xml:space="preserve">expresses that </w:t>
      </w:r>
      <w:r w:rsidR="00ED4CC8" w:rsidRPr="00276706">
        <w:t>“Western scientific education gives privileged status to objective information only and specifically excludes emotional and spiritual dimensions.”</w:t>
      </w:r>
      <w:r w:rsidR="00AF38C8" w:rsidRPr="00276706">
        <w:rPr>
          <w:rStyle w:val="FootnoteReference"/>
        </w:rPr>
        <w:footnoteReference w:id="12"/>
      </w:r>
      <w:r w:rsidR="00ED4CC8" w:rsidRPr="00276706">
        <w:t xml:space="preserve"> </w:t>
      </w:r>
      <w:r w:rsidR="007E3373" w:rsidRPr="00276706">
        <w:t xml:space="preserve">As a result, </w:t>
      </w:r>
      <w:r w:rsidR="00635F6C" w:rsidRPr="00276706">
        <w:t>SEK</w:t>
      </w:r>
      <w:r w:rsidR="007E3373" w:rsidRPr="00276706">
        <w:t xml:space="preserve"> is </w:t>
      </w:r>
      <w:r w:rsidR="00A2516B" w:rsidRPr="00276706">
        <w:t xml:space="preserve">potentially missing out on </w:t>
      </w:r>
      <w:r w:rsidR="00191316" w:rsidRPr="00276706">
        <w:t xml:space="preserve">certain aspects of their research. However, this can be </w:t>
      </w:r>
      <w:r w:rsidR="00604565" w:rsidRPr="00276706">
        <w:t>reached through the use of</w:t>
      </w:r>
      <w:r w:rsidR="00FA67EA" w:rsidRPr="00276706">
        <w:t xml:space="preserve"> </w:t>
      </w:r>
      <w:r w:rsidR="00604565" w:rsidRPr="00276706">
        <w:t xml:space="preserve">TEK, </w:t>
      </w:r>
      <w:r w:rsidR="00CA7A14" w:rsidRPr="00276706">
        <w:t xml:space="preserve">as </w:t>
      </w:r>
      <w:r w:rsidR="00AF38C8" w:rsidRPr="00276706">
        <w:t>“in indigenous epistemology, a thing is understood only when it is understood with all aspects of human experiences, that is, the mind, body, emotion, and spirit”</w:t>
      </w:r>
      <w:r w:rsidR="0054682E" w:rsidRPr="00276706">
        <w:rPr>
          <w:rStyle w:val="FootnoteReference"/>
        </w:rPr>
        <w:footnoteReference w:id="13"/>
      </w:r>
      <w:r w:rsidR="00022FED" w:rsidRPr="00276706">
        <w:t xml:space="preserve"> </w:t>
      </w:r>
    </w:p>
    <w:p w14:paraId="7EB30099" w14:textId="640B4DE3" w:rsidR="00225E8D" w:rsidRPr="00276706" w:rsidRDefault="00225E8D" w:rsidP="00324A62">
      <w:pPr>
        <w:spacing w:line="360" w:lineRule="auto"/>
      </w:pPr>
      <w:r w:rsidRPr="00276706">
        <w:t xml:space="preserve">All through her work, Kimmerer draws on established writers to frame her argument whilst using credible sources to substantiate her claims. This makes her argument both rational and convincing. Kimmerer’s arguments in the paper are consistently backed up not only by authors she references herself, but other writers in the field. Deborah Rose, who writes about indigenous philosophical </w:t>
      </w:r>
      <w:r w:rsidRPr="00276706">
        <w:lastRenderedPageBreak/>
        <w:t>ecology, also makes the case that there is room in western science for new dialogue and perspectives. She asserts that “Western science is not a monolithic construct</w:t>
      </w:r>
      <w:r w:rsidR="00441947" w:rsidRPr="00276706">
        <w:t xml:space="preserve"> […].</w:t>
      </w:r>
      <w:r w:rsidR="00AD7514" w:rsidRPr="00276706">
        <w:t xml:space="preserve"> </w:t>
      </w:r>
      <w:r w:rsidRPr="00276706">
        <w:t>There is no settled dogma, and exactly for this reason the possibilities for dialogue may be enhanced.” (Rose, 2005: 295)</w:t>
      </w:r>
      <w:r w:rsidR="0047174A" w:rsidRPr="00276706">
        <w:t xml:space="preserve"> Kimmerer’s argument rests on the </w:t>
      </w:r>
      <w:r w:rsidR="0073617C" w:rsidRPr="00276706">
        <w:t xml:space="preserve">belief that </w:t>
      </w:r>
      <w:r w:rsidR="00F35EC1" w:rsidRPr="00276706">
        <w:t xml:space="preserve">there is a space for TEK in biological research and education, and so with other thinkers in the field also advocating for a reform, her argument </w:t>
      </w:r>
      <w:r w:rsidR="00C660E4" w:rsidRPr="00276706">
        <w:t xml:space="preserve">starts off strong. </w:t>
      </w:r>
    </w:p>
    <w:p w14:paraId="01328B59" w14:textId="520BE679" w:rsidR="002118B9" w:rsidRPr="00276706" w:rsidRDefault="002118B9" w:rsidP="00324A62">
      <w:pPr>
        <w:spacing w:line="360" w:lineRule="auto"/>
      </w:pPr>
      <w:r w:rsidRPr="00276706">
        <w:t>With it being clear that there is space for different perspectives in western biological education, Kimmerer goes on to discuss in more detail</w:t>
      </w:r>
      <w:r w:rsidR="001B519E" w:rsidRPr="00276706">
        <w:t>,</w:t>
      </w:r>
      <w:r w:rsidRPr="00276706">
        <w:t xml:space="preserve"> the benefits of using TEK and </w:t>
      </w:r>
      <w:r w:rsidR="00E867CB" w:rsidRPr="00276706">
        <w:t>how it is useful</w:t>
      </w:r>
      <w:r w:rsidRPr="00276706">
        <w:t xml:space="preserve">. She offers persuasive arguments for incorporating indigenous knowledge into western education, </w:t>
      </w:r>
      <w:r w:rsidR="006243DD" w:rsidRPr="00276706">
        <w:t xml:space="preserve">first </w:t>
      </w:r>
      <w:r w:rsidRPr="00276706">
        <w:t>putting forward the idea that doing so would benefit the environment</w:t>
      </w:r>
      <w:r w:rsidR="001B519E" w:rsidRPr="00276706">
        <w:t xml:space="preserve">, </w:t>
      </w:r>
      <w:r w:rsidR="006243DD" w:rsidRPr="00276706">
        <w:t>therefore helping</w:t>
      </w:r>
      <w:r w:rsidR="001B519E" w:rsidRPr="00276706">
        <w:t xml:space="preserve"> </w:t>
      </w:r>
      <w:r w:rsidRPr="00276706">
        <w:t>tackl</w:t>
      </w:r>
      <w:r w:rsidR="006243DD" w:rsidRPr="00276706">
        <w:t xml:space="preserve">e </w:t>
      </w:r>
      <w:r w:rsidRPr="00276706">
        <w:t>the ecological crisis.</w:t>
      </w:r>
      <w:r w:rsidR="006E5F42" w:rsidRPr="00276706">
        <w:t xml:space="preserve"> She starts by stating that </w:t>
      </w:r>
      <w:r w:rsidR="00722CCF" w:rsidRPr="00276706">
        <w:t>“the adoption of a single mode of thinking based on a materialistic view of nature has contributed to serious environmental degradation. The complex issues of environmental sustainability require a diversity of intellectual approaches and can benefit from a thoughtful consideration and incorporation of</w:t>
      </w:r>
      <w:r w:rsidR="009D3177" w:rsidRPr="00276706">
        <w:t xml:space="preserve"> [TEK]</w:t>
      </w:r>
      <w:r w:rsidR="00722CCF" w:rsidRPr="00276706">
        <w:t>.”</w:t>
      </w:r>
      <w:r w:rsidR="00722CCF" w:rsidRPr="00276706">
        <w:rPr>
          <w:rStyle w:val="FootnoteReference"/>
        </w:rPr>
        <w:footnoteReference w:id="14"/>
      </w:r>
      <w:r w:rsidR="006F122D" w:rsidRPr="00276706">
        <w:t xml:space="preserve"> </w:t>
      </w:r>
      <w:r w:rsidR="00593407" w:rsidRPr="00276706">
        <w:t xml:space="preserve">Not only does she believe that the sole use of SEK has contributed to the environmental crisis, but she also </w:t>
      </w:r>
      <w:r w:rsidR="00EA3649" w:rsidRPr="00276706">
        <w:t xml:space="preserve">asserts that the only way out of it is to adopt a diverse approach which includes </w:t>
      </w:r>
      <w:r w:rsidR="00996069" w:rsidRPr="00276706">
        <w:t xml:space="preserve">recognising and using </w:t>
      </w:r>
      <w:r w:rsidR="00417A34" w:rsidRPr="00276706">
        <w:t>TEK</w:t>
      </w:r>
      <w:r w:rsidR="00996069" w:rsidRPr="00276706">
        <w:t xml:space="preserve">. </w:t>
      </w:r>
      <w:r w:rsidR="00814FB7" w:rsidRPr="00276706">
        <w:t xml:space="preserve">Kimmerer </w:t>
      </w:r>
      <w:r w:rsidR="00481CD9" w:rsidRPr="00276706">
        <w:t xml:space="preserve">draws on </w:t>
      </w:r>
      <w:proofErr w:type="spellStart"/>
      <w:r w:rsidR="00AE7BB2" w:rsidRPr="00276706">
        <w:t>Nabhan</w:t>
      </w:r>
      <w:proofErr w:type="spellEnd"/>
      <w:r w:rsidR="00FE7FC4" w:rsidRPr="00276706">
        <w:rPr>
          <w:rStyle w:val="FootnoteReference"/>
        </w:rPr>
        <w:footnoteReference w:id="15"/>
      </w:r>
      <w:r w:rsidR="00AE7BB2" w:rsidRPr="00276706">
        <w:t xml:space="preserve"> to back up her statements, </w:t>
      </w:r>
      <w:r w:rsidR="00830603" w:rsidRPr="00276706">
        <w:t xml:space="preserve">declaring that he </w:t>
      </w:r>
      <w:r w:rsidR="00860257" w:rsidRPr="00276706">
        <w:t xml:space="preserve">also </w:t>
      </w:r>
      <w:r w:rsidR="00FE7FC4" w:rsidRPr="00276706">
        <w:t>“suggests that biological information embedded in indigenous languages may be valuable in conservation biology.”</w:t>
      </w:r>
      <w:r w:rsidR="00DC6FAF" w:rsidRPr="00276706">
        <w:rPr>
          <w:rStyle w:val="FootnoteReference"/>
        </w:rPr>
        <w:footnoteReference w:id="16"/>
      </w:r>
      <w:r w:rsidR="00DC6FAF" w:rsidRPr="00276706">
        <w:t xml:space="preserve"> </w:t>
      </w:r>
      <w:r w:rsidR="00860257" w:rsidRPr="00276706">
        <w:t xml:space="preserve">However, the writers that Kimmerer looks to in her paper are not the only ones who </w:t>
      </w:r>
      <w:r w:rsidR="00137689" w:rsidRPr="00276706">
        <w:t xml:space="preserve">also believe this. </w:t>
      </w:r>
      <w:r w:rsidR="00AF00F9" w:rsidRPr="00276706">
        <w:t>Kim et al support</w:t>
      </w:r>
      <w:r w:rsidR="00417A34" w:rsidRPr="00276706">
        <w:t xml:space="preserve"> </w:t>
      </w:r>
      <w:r w:rsidR="00AF00F9" w:rsidRPr="00276706">
        <w:t>Kimmerer’s argument, stating that “TEK is promoted intensively within the discourse of education for sustainability”</w:t>
      </w:r>
      <w:r w:rsidR="00DF5B3F" w:rsidRPr="00276706">
        <w:rPr>
          <w:rStyle w:val="FootnoteReference"/>
        </w:rPr>
        <w:footnoteReference w:id="17"/>
      </w:r>
      <w:r w:rsidR="00AF00F9" w:rsidRPr="00276706">
        <w:t>(2017: 262) and offers many references to show this. Their paper backs up Kimmerer’s, asserting that “TEK, […] views the world as whole laboratories where humans are a part of nature. TEK therefore is replete with social and ethical values that are beneficial for students to learn about in their science classes.”</w:t>
      </w:r>
      <w:r w:rsidR="006C2CC3" w:rsidRPr="00276706">
        <w:rPr>
          <w:rStyle w:val="FootnoteReference"/>
        </w:rPr>
        <w:footnoteReference w:id="18"/>
      </w:r>
      <w:r w:rsidR="00296730" w:rsidRPr="00276706">
        <w:t xml:space="preserve"> </w:t>
      </w:r>
      <w:r w:rsidR="00002129" w:rsidRPr="00276706">
        <w:t>The value of TEK is also discussed within the d</w:t>
      </w:r>
      <w:r w:rsidR="00FA3586" w:rsidRPr="00276706">
        <w:t>ark green religion</w:t>
      </w:r>
      <w:r w:rsidR="00A85B2E" w:rsidRPr="00276706">
        <w:t xml:space="preserve"> movement</w:t>
      </w:r>
      <w:r w:rsidR="00A13DBE" w:rsidRPr="00276706">
        <w:t>, with</w:t>
      </w:r>
      <w:r w:rsidR="00A85B2E" w:rsidRPr="00276706">
        <w:t xml:space="preserve"> Taylor identifying </w:t>
      </w:r>
      <w:r w:rsidR="00A554D3" w:rsidRPr="00276706">
        <w:t xml:space="preserve">that participants </w:t>
      </w:r>
      <w:r w:rsidR="00B757AB" w:rsidRPr="00276706">
        <w:t>recognise the benefits of indigenous knowledge</w:t>
      </w:r>
      <w:r w:rsidR="00B17F55" w:rsidRPr="00276706">
        <w:t>,</w:t>
      </w:r>
      <w:r w:rsidR="00B757AB" w:rsidRPr="00276706">
        <w:t xml:space="preserve"> </w:t>
      </w:r>
      <w:r w:rsidR="001A0F57" w:rsidRPr="00276706">
        <w:t>describ</w:t>
      </w:r>
      <w:r w:rsidR="00B17F55" w:rsidRPr="00276706">
        <w:t>ing</w:t>
      </w:r>
      <w:r w:rsidR="001A0F57" w:rsidRPr="00276706">
        <w:t xml:space="preserve"> the people in indigenous commun</w:t>
      </w:r>
      <w:r w:rsidR="00B17F55" w:rsidRPr="00276706">
        <w:t>iti</w:t>
      </w:r>
      <w:r w:rsidR="001A0F57" w:rsidRPr="00276706">
        <w:t>es as</w:t>
      </w:r>
      <w:r w:rsidR="00B17F55" w:rsidRPr="00276706">
        <w:t xml:space="preserve"> the</w:t>
      </w:r>
      <w:r w:rsidR="001A0F57" w:rsidRPr="00276706">
        <w:t xml:space="preserve"> “</w:t>
      </w:r>
      <w:r w:rsidR="00C26783" w:rsidRPr="00276706">
        <w:t xml:space="preserve">peoples considered the best </w:t>
      </w:r>
      <w:r w:rsidR="00C26783" w:rsidRPr="00276706">
        <w:lastRenderedPageBreak/>
        <w:t>remaining stewards of this critically important spiritual and ecological knowledge.”</w:t>
      </w:r>
      <w:r w:rsidR="006268C2" w:rsidRPr="00276706">
        <w:rPr>
          <w:rStyle w:val="FootnoteReference"/>
        </w:rPr>
        <w:footnoteReference w:id="19"/>
      </w:r>
      <w:r w:rsidR="00B17F55" w:rsidRPr="00276706">
        <w:t xml:space="preserve"> </w:t>
      </w:r>
      <w:r w:rsidR="00B53814" w:rsidRPr="00276706">
        <w:t xml:space="preserve">This shows that Kimmerer’s paper certainly has a place in </w:t>
      </w:r>
      <w:r w:rsidR="008322B4" w:rsidRPr="00276706">
        <w:t xml:space="preserve">a </w:t>
      </w:r>
      <w:r w:rsidR="00B53814" w:rsidRPr="00276706">
        <w:t xml:space="preserve">wider academic context, with similar ideas being addressed in various fields. </w:t>
      </w:r>
      <w:r w:rsidR="008322B4" w:rsidRPr="00276706">
        <w:t>It also</w:t>
      </w:r>
      <w:r w:rsidR="00296730" w:rsidRPr="00276706">
        <w:t xml:space="preserve"> </w:t>
      </w:r>
      <w:r w:rsidR="00287EF7" w:rsidRPr="00276706">
        <w:t>shows</w:t>
      </w:r>
      <w:r w:rsidR="00296730" w:rsidRPr="00276706">
        <w:t xml:space="preserve"> t</w:t>
      </w:r>
      <w:r w:rsidR="00AF00F9" w:rsidRPr="00276706">
        <w:t xml:space="preserve">hat </w:t>
      </w:r>
      <w:r w:rsidR="00296730" w:rsidRPr="00276706">
        <w:t>Kimmerer’s</w:t>
      </w:r>
      <w:r w:rsidR="00AF00F9" w:rsidRPr="00276706">
        <w:t xml:space="preserve"> work is well researched and that her ideas stem from reliable theories</w:t>
      </w:r>
      <w:r w:rsidR="00296730" w:rsidRPr="00276706">
        <w:t xml:space="preserve"> </w:t>
      </w:r>
      <w:r w:rsidR="008322B4" w:rsidRPr="00276706">
        <w:t xml:space="preserve">acknowledged by other </w:t>
      </w:r>
      <w:r w:rsidR="008C08AF" w:rsidRPr="00276706">
        <w:t>specialists.</w:t>
      </w:r>
    </w:p>
    <w:p w14:paraId="2B613D1D" w14:textId="501C72C3" w:rsidR="00621494" w:rsidRPr="00276706" w:rsidRDefault="004F358B" w:rsidP="00324A62">
      <w:pPr>
        <w:spacing w:line="360" w:lineRule="auto"/>
      </w:pPr>
      <w:r w:rsidRPr="00276706">
        <w:t xml:space="preserve">Kimmerer then returns to discussing the benefits of studying using </w:t>
      </w:r>
      <w:r w:rsidR="00696283" w:rsidRPr="00276706">
        <w:t>TEK</w:t>
      </w:r>
      <w:r w:rsidRPr="00276706">
        <w:t xml:space="preserve"> in the classroom, arguing that by investigating other ways of thinking, students are part of a more inclusive </w:t>
      </w:r>
      <w:r w:rsidR="00A25EF8" w:rsidRPr="00276706">
        <w:t>school environment</w:t>
      </w:r>
      <w:r w:rsidR="003420BE" w:rsidRPr="00276706">
        <w:t xml:space="preserve">. She states that </w:t>
      </w:r>
      <w:r w:rsidR="00621494" w:rsidRPr="00276706">
        <w:t>multicultural perspectives are “much-needed”</w:t>
      </w:r>
      <w:r w:rsidR="00621494" w:rsidRPr="00276706">
        <w:rPr>
          <w:rStyle w:val="FootnoteReference"/>
        </w:rPr>
        <w:footnoteReference w:id="20"/>
      </w:r>
      <w:r w:rsidR="00621494" w:rsidRPr="00276706">
        <w:t xml:space="preserve"> and it is educators’ responsibility to get students prepared to, “participate productively in a complex, multicultural scientific community.”</w:t>
      </w:r>
      <w:r w:rsidR="00621494" w:rsidRPr="00276706">
        <w:rPr>
          <w:rStyle w:val="FootnoteReference"/>
        </w:rPr>
        <w:footnoteReference w:id="21"/>
      </w:r>
      <w:r w:rsidR="00621494" w:rsidRPr="00276706">
        <w:t xml:space="preserve"> </w:t>
      </w:r>
      <w:r w:rsidR="00A25EF8" w:rsidRPr="00276706">
        <w:t xml:space="preserve">Kimmerer looks deeply into the effects of </w:t>
      </w:r>
      <w:r w:rsidR="005432DE" w:rsidRPr="00276706">
        <w:t xml:space="preserve">implementing TEK into education, </w:t>
      </w:r>
      <w:r w:rsidR="008F21EC" w:rsidRPr="00276706">
        <w:t>believing that it</w:t>
      </w:r>
      <w:r w:rsidR="005432DE" w:rsidRPr="00276706">
        <w:t xml:space="preserve"> </w:t>
      </w:r>
      <w:r w:rsidR="00460F0C" w:rsidRPr="00276706">
        <w:t>“not only broadens the horizons of students from the dominant culture but also can validate and encourage the inclusion of native students.”</w:t>
      </w:r>
      <w:r w:rsidR="00460F0C" w:rsidRPr="00276706">
        <w:rPr>
          <w:rStyle w:val="FootnoteReference"/>
        </w:rPr>
        <w:footnoteReference w:id="22"/>
      </w:r>
      <w:r w:rsidR="00460F0C" w:rsidRPr="00276706">
        <w:t xml:space="preserve"> </w:t>
      </w:r>
      <w:r w:rsidR="00164F4B" w:rsidRPr="00276706">
        <w:t xml:space="preserve">Moving beyond just </w:t>
      </w:r>
      <w:r w:rsidR="00830AA3" w:rsidRPr="00276706">
        <w:t xml:space="preserve">researching the ecological effects of TEK, Kimmerer </w:t>
      </w:r>
      <w:r w:rsidR="00D35092" w:rsidRPr="00276706">
        <w:t>explores</w:t>
      </w:r>
      <w:r w:rsidR="00830AA3" w:rsidRPr="00276706">
        <w:t xml:space="preserve"> the implications of</w:t>
      </w:r>
      <w:r w:rsidR="00627329" w:rsidRPr="00276706">
        <w:t xml:space="preserve"> a lack of </w:t>
      </w:r>
      <w:r w:rsidR="007D349F" w:rsidRPr="00276706">
        <w:t>non-Western</w:t>
      </w:r>
      <w:r w:rsidR="00AE6197" w:rsidRPr="00276706">
        <w:t xml:space="preserve"> research for</w:t>
      </w:r>
      <w:r w:rsidR="007D349F" w:rsidRPr="00276706">
        <w:t xml:space="preserve"> students in classrooms.</w:t>
      </w:r>
      <w:r w:rsidR="00830AA3" w:rsidRPr="00276706">
        <w:t xml:space="preserve"> </w:t>
      </w:r>
      <w:r w:rsidR="00850D02" w:rsidRPr="00276706">
        <w:t>She turns to Levy</w:t>
      </w:r>
      <w:r w:rsidR="004729B1" w:rsidRPr="00276706">
        <w:rPr>
          <w:rStyle w:val="FootnoteReference"/>
        </w:rPr>
        <w:footnoteReference w:id="23"/>
      </w:r>
      <w:r w:rsidR="005D6215" w:rsidRPr="00276706">
        <w:t xml:space="preserve"> to express</w:t>
      </w:r>
      <w:r w:rsidR="00B36541" w:rsidRPr="00276706">
        <w:t xml:space="preserve"> and solidify</w:t>
      </w:r>
      <w:r w:rsidR="005D6215" w:rsidRPr="00276706">
        <w:t xml:space="preserve"> </w:t>
      </w:r>
      <w:r w:rsidR="002747C6" w:rsidRPr="00276706">
        <w:t>her</w:t>
      </w:r>
      <w:r w:rsidR="005D6215" w:rsidRPr="00276706">
        <w:t xml:space="preserve"> concern that</w:t>
      </w:r>
      <w:r w:rsidR="00B36541" w:rsidRPr="00276706">
        <w:t xml:space="preserve"> </w:t>
      </w:r>
      <w:r w:rsidR="00143E00" w:rsidRPr="00276706">
        <w:t>students from Native American background</w:t>
      </w:r>
      <w:r w:rsidR="002747C6" w:rsidRPr="00276706">
        <w:t>s</w:t>
      </w:r>
      <w:r w:rsidR="00143E00" w:rsidRPr="00276706">
        <w:t xml:space="preserve"> </w:t>
      </w:r>
      <w:r w:rsidR="00F83FD1" w:rsidRPr="00276706">
        <w:t>are not as engaged</w:t>
      </w:r>
      <w:r w:rsidR="00143E00" w:rsidRPr="00276706">
        <w:t xml:space="preserve"> in </w:t>
      </w:r>
      <w:r w:rsidR="002747C6" w:rsidRPr="00276706">
        <w:t>science</w:t>
      </w:r>
      <w:r w:rsidR="00143E00" w:rsidRPr="00276706">
        <w:t xml:space="preserve">. </w:t>
      </w:r>
      <w:r w:rsidR="004729B1" w:rsidRPr="00276706">
        <w:t xml:space="preserve">Using another author to </w:t>
      </w:r>
      <w:r w:rsidR="00DD0200" w:rsidRPr="00276706">
        <w:t xml:space="preserve">support her, Kimmerer identifies </w:t>
      </w:r>
      <w:r w:rsidR="00D845AF" w:rsidRPr="00276706">
        <w:t xml:space="preserve">that science cannot be entirely successful until it </w:t>
      </w:r>
      <w:r w:rsidR="003149B7" w:rsidRPr="00276706">
        <w:t>“acknowledges the full spectrum of human-nature interrelationships.”</w:t>
      </w:r>
      <w:r w:rsidR="003149B7" w:rsidRPr="00276706">
        <w:rPr>
          <w:rStyle w:val="FootnoteReference"/>
        </w:rPr>
        <w:footnoteReference w:id="24"/>
      </w:r>
      <w:r w:rsidR="007D130F" w:rsidRPr="00276706">
        <w:t xml:space="preserve"> </w:t>
      </w:r>
      <w:r w:rsidR="0022693B" w:rsidRPr="00276706">
        <w:t>Again, Kimmerer’s argument is not supported only by the sources provide</w:t>
      </w:r>
      <w:r w:rsidR="00981EEB" w:rsidRPr="00276706">
        <w:t>d</w:t>
      </w:r>
      <w:r w:rsidR="001F397B" w:rsidRPr="00276706">
        <w:t xml:space="preserve">. Kim produces a piece that echoes Kimmerer’s beliefs, </w:t>
      </w:r>
      <w:r w:rsidR="002847F9" w:rsidRPr="00276706">
        <w:t>writing</w:t>
      </w:r>
      <w:r w:rsidR="00AB4621" w:rsidRPr="00276706">
        <w:t xml:space="preserve"> that she also </w:t>
      </w:r>
      <w:r w:rsidR="003D1F8A" w:rsidRPr="00276706">
        <w:t xml:space="preserve">considers </w:t>
      </w:r>
      <w:r w:rsidR="00AB4621" w:rsidRPr="00276706">
        <w:t xml:space="preserve">TEK </w:t>
      </w:r>
      <w:r w:rsidR="003D1F8A" w:rsidRPr="00276706">
        <w:t xml:space="preserve">to support inclusivity. </w:t>
      </w:r>
      <w:r w:rsidR="00C02054" w:rsidRPr="00276706">
        <w:t>For her,</w:t>
      </w:r>
      <w:r w:rsidR="002847F9" w:rsidRPr="00276706">
        <w:t xml:space="preserve"> </w:t>
      </w:r>
      <w:r w:rsidR="00C56153" w:rsidRPr="00276706">
        <w:t>“</w:t>
      </w:r>
      <w:r w:rsidR="00877613" w:rsidRPr="00276706">
        <w:t>TEK</w:t>
      </w:r>
      <w:r w:rsidR="00C56153" w:rsidRPr="00276706">
        <w:t xml:space="preserve"> offers a direct, experiential learning within which the land and its inhabitants are recognized as primary knowledge sources, thus incorporating learners’ lived experiences into the process of learning science.”</w:t>
      </w:r>
      <w:r w:rsidR="00C56153" w:rsidRPr="00276706">
        <w:rPr>
          <w:rStyle w:val="FootnoteReference"/>
        </w:rPr>
        <w:footnoteReference w:id="25"/>
      </w:r>
      <w:r w:rsidR="00C56153" w:rsidRPr="00276706">
        <w:t xml:space="preserve"> </w:t>
      </w:r>
      <w:r w:rsidR="009F7CDC" w:rsidRPr="00276706">
        <w:t xml:space="preserve">With many different ideas on TEK and inclusion in the academic field, Kimmerer’s paper </w:t>
      </w:r>
      <w:r w:rsidR="005E4D9E" w:rsidRPr="00276706">
        <w:t>without doubt has a place within it.</w:t>
      </w:r>
    </w:p>
    <w:p w14:paraId="39307122" w14:textId="0B8C4B63" w:rsidR="00A96139" w:rsidRPr="00276706" w:rsidRDefault="008A6E70" w:rsidP="00324A62">
      <w:pPr>
        <w:spacing w:line="360" w:lineRule="auto"/>
      </w:pPr>
      <w:r w:rsidRPr="00276706">
        <w:t xml:space="preserve">Finally, Kimmerer </w:t>
      </w:r>
      <w:r w:rsidR="00EC590D" w:rsidRPr="00276706">
        <w:t xml:space="preserve">takes into consideration the ways in which TEK can be incorporated into the classroom </w:t>
      </w:r>
      <w:r w:rsidR="005E4D9E" w:rsidRPr="00276706">
        <w:t>respectfully</w:t>
      </w:r>
      <w:r w:rsidR="00AD0DC6" w:rsidRPr="00276706">
        <w:t>.</w:t>
      </w:r>
      <w:r w:rsidR="00A96139" w:rsidRPr="00276706">
        <w:t xml:space="preserve"> </w:t>
      </w:r>
      <w:r w:rsidR="0052788F" w:rsidRPr="00276706">
        <w:t xml:space="preserve">She </w:t>
      </w:r>
      <w:r w:rsidR="00CD57BE" w:rsidRPr="00276706">
        <w:t>writes</w:t>
      </w:r>
      <w:r w:rsidR="003A4CF4" w:rsidRPr="00276706">
        <w:t xml:space="preserve"> that whilst</w:t>
      </w:r>
      <w:r w:rsidR="002D00B9" w:rsidRPr="00276706">
        <w:t xml:space="preserve"> </w:t>
      </w:r>
      <w:r w:rsidR="0094441C" w:rsidRPr="00276706">
        <w:t>“the knowledge systems of indigenous people can provide useful models</w:t>
      </w:r>
      <w:r w:rsidR="00463012" w:rsidRPr="00276706">
        <w:t>, […]</w:t>
      </w:r>
      <w:r w:rsidR="0094441C" w:rsidRPr="00276706">
        <w:t xml:space="preserve"> the goal is not to appropriate </w:t>
      </w:r>
      <w:r w:rsidR="00BD50F7" w:rsidRPr="00276706">
        <w:t>[</w:t>
      </w:r>
      <w:r w:rsidR="0094441C" w:rsidRPr="00276706">
        <w:t>the</w:t>
      </w:r>
      <w:r w:rsidR="00BD50F7" w:rsidRPr="00276706">
        <w:t>ir]</w:t>
      </w:r>
      <w:r w:rsidR="0094441C" w:rsidRPr="00276706">
        <w:t xml:space="preserve"> values.”</w:t>
      </w:r>
      <w:r w:rsidR="0094441C" w:rsidRPr="00276706">
        <w:rPr>
          <w:rStyle w:val="FootnoteReference"/>
        </w:rPr>
        <w:footnoteReference w:id="26"/>
      </w:r>
      <w:r w:rsidR="0094441C" w:rsidRPr="00276706">
        <w:t xml:space="preserve"> </w:t>
      </w:r>
      <w:r w:rsidR="00A96139" w:rsidRPr="00276706">
        <w:t xml:space="preserve">She is careful to emphasize that </w:t>
      </w:r>
      <w:r w:rsidR="0083690C" w:rsidRPr="00276706">
        <w:t>TEK</w:t>
      </w:r>
      <w:r w:rsidR="00A96139" w:rsidRPr="00276706">
        <w:t xml:space="preserve"> is not there to be exploited</w:t>
      </w:r>
      <w:r w:rsidR="00496E13" w:rsidRPr="00276706">
        <w:t xml:space="preserve">, and she is not the only theorist to address this issue. </w:t>
      </w:r>
      <w:r w:rsidR="00496E13" w:rsidRPr="00276706">
        <w:lastRenderedPageBreak/>
        <w:t>George W.</w:t>
      </w:r>
      <w:r w:rsidR="00DD440A" w:rsidRPr="00276706">
        <w:t xml:space="preserve"> Wenzel examines the use of TEK and the ethics behind it</w:t>
      </w:r>
      <w:r w:rsidR="00F71FCF" w:rsidRPr="00276706">
        <w:t xml:space="preserve">, concluding that it is </w:t>
      </w:r>
      <w:r w:rsidR="00F94030" w:rsidRPr="00276706">
        <w:t>“essential</w:t>
      </w:r>
      <w:r w:rsidR="008C2ACB" w:rsidRPr="00276706">
        <w:t xml:space="preserve"> </w:t>
      </w:r>
      <w:r w:rsidR="002E2962" w:rsidRPr="00276706">
        <w:t xml:space="preserve">[…] </w:t>
      </w:r>
      <w:r w:rsidR="00F94030" w:rsidRPr="00276706">
        <w:t>to protect the ‘intellectual property rights’ of TEK holders.”</w:t>
      </w:r>
      <w:r w:rsidR="00A24336" w:rsidRPr="00276706">
        <w:rPr>
          <w:rStyle w:val="FootnoteReference"/>
        </w:rPr>
        <w:footnoteReference w:id="27"/>
      </w:r>
      <w:r w:rsidR="00CE6CB6" w:rsidRPr="00276706">
        <w:t xml:space="preserve"> Wenzel questions who has the right to access, interpret and teach about indigenous knowledge</w:t>
      </w:r>
      <w:r w:rsidR="00310854" w:rsidRPr="00276706">
        <w:t xml:space="preserve">. He raises similar questions to Kimmerer and shows that there are other thinkers in the field who are also concerned with this issue. </w:t>
      </w:r>
      <w:r w:rsidR="0003300B" w:rsidRPr="00276706">
        <w:t xml:space="preserve">This shows that Kimmerer has </w:t>
      </w:r>
      <w:proofErr w:type="gramStart"/>
      <w:r w:rsidR="0003300B" w:rsidRPr="00276706">
        <w:t>made an effort</w:t>
      </w:r>
      <w:proofErr w:type="gramEnd"/>
      <w:r w:rsidR="0003300B" w:rsidRPr="00276706">
        <w:t xml:space="preserve"> to not only address concerns and critiques within her paper, but to tackle them too, by offering suggestions to overcome them. </w:t>
      </w:r>
    </w:p>
    <w:p w14:paraId="3F43D8E4" w14:textId="626250EF" w:rsidR="00F7320B" w:rsidRPr="00276706" w:rsidRDefault="00A41428" w:rsidP="00324A62">
      <w:pPr>
        <w:spacing w:line="360" w:lineRule="auto"/>
      </w:pPr>
      <w:r w:rsidRPr="00276706">
        <w:t>Frake’s paper discusses cultural ecology</w:t>
      </w:r>
      <w:r w:rsidR="00F06D73" w:rsidRPr="00276706">
        <w:t xml:space="preserve">, </w:t>
      </w:r>
      <w:r w:rsidR="00F55147" w:rsidRPr="00276706">
        <w:t>defining it as “the study of the role of culture as a dynamic component of any ecosystem of which man is a part.”</w:t>
      </w:r>
      <w:r w:rsidR="00E31BFC" w:rsidRPr="00276706">
        <w:rPr>
          <w:rStyle w:val="FootnoteReference"/>
        </w:rPr>
        <w:footnoteReference w:id="28"/>
      </w:r>
      <w:r w:rsidR="00F55147" w:rsidRPr="00276706">
        <w:t xml:space="preserve"> For him, both the environment and the communities that live within it cannot be separated from each other, </w:t>
      </w:r>
      <w:r w:rsidR="005F373C" w:rsidRPr="00276706">
        <w:t>therefore requiring</w:t>
      </w:r>
      <w:r w:rsidR="00F55147" w:rsidRPr="00276706">
        <w:t xml:space="preserve"> a focus on how the</w:t>
      </w:r>
      <w:r w:rsidR="005F373C" w:rsidRPr="00276706">
        <w:t xml:space="preserve">y </w:t>
      </w:r>
      <w:r w:rsidR="00F55147" w:rsidRPr="00276706">
        <w:t xml:space="preserve">are interconnected. </w:t>
      </w:r>
      <w:r w:rsidR="00743C42" w:rsidRPr="00276706">
        <w:t>He states that</w:t>
      </w:r>
      <w:r w:rsidR="00F55147" w:rsidRPr="00276706">
        <w:t xml:space="preserve"> </w:t>
      </w:r>
      <w:r w:rsidR="00432575" w:rsidRPr="00276706">
        <w:t>“the ecological system is a network of relationships between man, the other organisms of his biotic community, and the constituents of his physical environment”</w:t>
      </w:r>
      <w:r w:rsidR="00EC1019" w:rsidRPr="00276706">
        <w:rPr>
          <w:rStyle w:val="FootnoteReference"/>
        </w:rPr>
        <w:footnoteReference w:id="29"/>
      </w:r>
      <w:r w:rsidR="00432575" w:rsidRPr="00276706">
        <w:t xml:space="preserve">,  </w:t>
      </w:r>
      <w:r w:rsidR="00743C42" w:rsidRPr="00276706">
        <w:t>an</w:t>
      </w:r>
      <w:r w:rsidR="00432575" w:rsidRPr="00276706">
        <w:t>d h</w:t>
      </w:r>
      <w:r w:rsidR="00F55147" w:rsidRPr="00276706">
        <w:t>is work suggests using ethnography to gain a better understanding.</w:t>
      </w:r>
      <w:r w:rsidR="00E8237A" w:rsidRPr="00276706">
        <w:t xml:space="preserve"> </w:t>
      </w:r>
      <w:r w:rsidR="007449AE" w:rsidRPr="00276706">
        <w:t xml:space="preserve">The aim of Frake’s paper </w:t>
      </w:r>
      <w:r w:rsidR="00D42865" w:rsidRPr="00276706">
        <w:t xml:space="preserve">is not dissimilar to Kimmerer’s as they both advocate for a </w:t>
      </w:r>
      <w:r w:rsidR="00FB007B" w:rsidRPr="00276706">
        <w:t>broadening of scientific research</w:t>
      </w:r>
      <w:r w:rsidR="00A70B65" w:rsidRPr="00276706">
        <w:t xml:space="preserve"> to include different methods </w:t>
      </w:r>
      <w:r w:rsidR="003A49F0" w:rsidRPr="00276706">
        <w:t>for</w:t>
      </w:r>
      <w:r w:rsidR="00A70B65" w:rsidRPr="00276706">
        <w:t xml:space="preserve"> new perspectives. Although, </w:t>
      </w:r>
      <w:r w:rsidR="00E8237A" w:rsidRPr="00276706">
        <w:t xml:space="preserve">Frake’s paper is aimed at </w:t>
      </w:r>
      <w:r w:rsidR="00AB47D7" w:rsidRPr="00276706">
        <w:t xml:space="preserve">academics in the ecological and anthropological field as he aims to </w:t>
      </w:r>
      <w:r w:rsidR="00E126A1" w:rsidRPr="00276706">
        <w:t xml:space="preserve">promote the use of ethnography in cultural ecology. </w:t>
      </w:r>
    </w:p>
    <w:p w14:paraId="427E5301" w14:textId="39F2A815" w:rsidR="008B2F51" w:rsidRPr="00276706" w:rsidRDefault="008743BF" w:rsidP="00324A62">
      <w:pPr>
        <w:spacing w:line="360" w:lineRule="auto"/>
      </w:pPr>
      <w:r w:rsidRPr="00276706">
        <w:t xml:space="preserve">Frake’s paper outlines the reasons for supporting ethnographic research before moving on to discuss how it can be used effectively. </w:t>
      </w:r>
      <w:r w:rsidR="00FF46AF" w:rsidRPr="00276706">
        <w:t xml:space="preserve">Frake quotes </w:t>
      </w:r>
      <w:proofErr w:type="spellStart"/>
      <w:r w:rsidR="00FF46AF" w:rsidRPr="00276706">
        <w:t>Hymes</w:t>
      </w:r>
      <w:proofErr w:type="spellEnd"/>
      <w:r w:rsidR="00FF46AF" w:rsidRPr="00276706">
        <w:t xml:space="preserve">, who </w:t>
      </w:r>
      <w:r w:rsidR="00312C30" w:rsidRPr="00276706">
        <w:t xml:space="preserve">says </w:t>
      </w:r>
      <w:r w:rsidR="00277B0A" w:rsidRPr="00276706">
        <w:t>“</w:t>
      </w:r>
      <w:r w:rsidR="00AF33B5" w:rsidRPr="00276706">
        <w:t>o</w:t>
      </w:r>
      <w:r w:rsidR="00277B0A" w:rsidRPr="00276706">
        <w:t>ne need not stop with the individual systems, but one must pass through them.”</w:t>
      </w:r>
      <w:r w:rsidR="00277B0A" w:rsidRPr="00276706">
        <w:rPr>
          <w:rStyle w:val="FootnoteReference"/>
        </w:rPr>
        <w:footnoteReference w:id="30"/>
      </w:r>
      <w:r w:rsidR="00D7570C" w:rsidRPr="00276706">
        <w:t xml:space="preserve"> </w:t>
      </w:r>
      <w:r w:rsidR="00E00D7A" w:rsidRPr="00276706">
        <w:t xml:space="preserve">Frake believes that </w:t>
      </w:r>
      <w:r w:rsidR="00D33221" w:rsidRPr="00276706">
        <w:t xml:space="preserve">seeing, understanding and experiencing the cultures’ lives as they do </w:t>
      </w:r>
      <w:r w:rsidR="0047106F" w:rsidRPr="00276706">
        <w:t xml:space="preserve">is </w:t>
      </w:r>
      <w:r w:rsidR="00110804" w:rsidRPr="00276706">
        <w:t>extremely</w:t>
      </w:r>
      <w:r w:rsidR="0047106F" w:rsidRPr="00276706">
        <w:t xml:space="preserve"> bene</w:t>
      </w:r>
      <w:r w:rsidR="00110804" w:rsidRPr="00276706">
        <w:t>fici</w:t>
      </w:r>
      <w:r w:rsidR="0047106F" w:rsidRPr="00276706">
        <w:t>al</w:t>
      </w:r>
      <w:r w:rsidR="00BE6787" w:rsidRPr="00276706">
        <w:t xml:space="preserve">, and writes that </w:t>
      </w:r>
      <w:r w:rsidR="00D920AC" w:rsidRPr="00276706">
        <w:t>“</w:t>
      </w:r>
      <w:r w:rsidR="008A1A30" w:rsidRPr="00276706">
        <w:t>productive ethnographies must tap the cognitive world of one’s informants.”</w:t>
      </w:r>
      <w:r w:rsidR="00280B57" w:rsidRPr="00276706">
        <w:rPr>
          <w:rStyle w:val="FootnoteReference"/>
        </w:rPr>
        <w:footnoteReference w:id="31"/>
      </w:r>
      <w:r w:rsidR="008A1A30" w:rsidRPr="00276706">
        <w:t xml:space="preserve"> Therefore, when done effectively, ethnography allows researchers to </w:t>
      </w:r>
      <w:r w:rsidR="004535D7" w:rsidRPr="00276706">
        <w:t>truly understand a culture. Without ethnographic research, the reasons behind communities’ actions</w:t>
      </w:r>
      <w:r w:rsidR="00870018" w:rsidRPr="00276706">
        <w:t xml:space="preserve"> and mindsets is likely to remain unknown. </w:t>
      </w:r>
      <w:r w:rsidR="0091587A" w:rsidRPr="00276706">
        <w:t xml:space="preserve">Ethnography differs from </w:t>
      </w:r>
      <w:r w:rsidR="00995CD2" w:rsidRPr="00276706">
        <w:t>other research as it is free of preconceived ideas. For Frake,</w:t>
      </w:r>
      <w:r w:rsidR="00E44591" w:rsidRPr="00276706">
        <w:t xml:space="preserve"> ethnography must</w:t>
      </w:r>
      <w:r w:rsidR="00995CD2" w:rsidRPr="00276706">
        <w:t xml:space="preserve"> </w:t>
      </w:r>
      <w:r w:rsidR="008B1C80" w:rsidRPr="00276706">
        <w:t>“be delimited and defined according to contrasts inherent in the data themselves and not according to a priori notions of pertinent descriptive categories.”</w:t>
      </w:r>
      <w:r w:rsidR="00280B57" w:rsidRPr="00276706">
        <w:rPr>
          <w:rStyle w:val="FootnoteReference"/>
        </w:rPr>
        <w:footnoteReference w:id="32"/>
      </w:r>
      <w:r w:rsidR="008B1C80" w:rsidRPr="00276706">
        <w:t xml:space="preserve"> </w:t>
      </w:r>
      <w:r w:rsidR="0018167F" w:rsidRPr="00276706">
        <w:t xml:space="preserve">All information gathered is evident in the experiences of the researcher and the practices </w:t>
      </w:r>
      <w:r w:rsidR="00436E6E" w:rsidRPr="00276706">
        <w:t>witnessed</w:t>
      </w:r>
      <w:r w:rsidR="0018167F" w:rsidRPr="00276706">
        <w:t xml:space="preserve">. </w:t>
      </w:r>
      <w:r w:rsidR="00B11121" w:rsidRPr="00276706">
        <w:t xml:space="preserve">When researchers abandon </w:t>
      </w:r>
      <w:r w:rsidR="00230150" w:rsidRPr="00276706">
        <w:t xml:space="preserve">ideas assumed from Western science, they are </w:t>
      </w:r>
      <w:r w:rsidR="00EF3C02" w:rsidRPr="00276706">
        <w:t xml:space="preserve">truly involved in their research and so are </w:t>
      </w:r>
      <w:r w:rsidR="00EF3C02" w:rsidRPr="00276706">
        <w:lastRenderedPageBreak/>
        <w:t xml:space="preserve">open to learning new things and reporting different perspectives. </w:t>
      </w:r>
      <w:r w:rsidR="00560104" w:rsidRPr="00276706">
        <w:t xml:space="preserve">It is </w:t>
      </w:r>
      <w:r w:rsidR="006C22AA" w:rsidRPr="00276706">
        <w:t>this</w:t>
      </w:r>
      <w:r w:rsidR="00560104" w:rsidRPr="00276706">
        <w:t xml:space="preserve"> that Frake believes </w:t>
      </w:r>
      <w:r w:rsidR="00BB59F4" w:rsidRPr="00276706">
        <w:t>can benefit t</w:t>
      </w:r>
      <w:r w:rsidR="006C22AA" w:rsidRPr="00276706">
        <w:t>h</w:t>
      </w:r>
      <w:r w:rsidR="00BB59F4" w:rsidRPr="00276706">
        <w:t xml:space="preserve">e study of cultural ecology, as </w:t>
      </w:r>
      <w:r w:rsidR="00436E6E" w:rsidRPr="00276706">
        <w:t>ethnography</w:t>
      </w:r>
      <w:r w:rsidR="00BB59F4" w:rsidRPr="00276706">
        <w:t xml:space="preserve"> can support existing research and </w:t>
      </w:r>
      <w:r w:rsidR="00D42749" w:rsidRPr="00276706">
        <w:t xml:space="preserve">whilst helping </w:t>
      </w:r>
      <w:r w:rsidR="00BB59F4" w:rsidRPr="00276706">
        <w:t xml:space="preserve">researchers to gain a new understanding of </w:t>
      </w:r>
      <w:r w:rsidR="00280B57" w:rsidRPr="00276706">
        <w:t xml:space="preserve">human relationships with the environment. </w:t>
      </w:r>
    </w:p>
    <w:p w14:paraId="1AD37171" w14:textId="7456FED1" w:rsidR="00064DA7" w:rsidRPr="00276706" w:rsidRDefault="00064DA7" w:rsidP="00324A62">
      <w:pPr>
        <w:spacing w:line="360" w:lineRule="auto"/>
      </w:pPr>
      <w:r w:rsidRPr="00276706">
        <w:t xml:space="preserve">Whilst Frake’s paper draws on esteemed writers to support its arguments, in comparison to Kimmerer’s writing, there is much less evidence of extensive research. However, his research is backed up by other writers, proving that his arguments are credible and relevant to wider academic context. </w:t>
      </w:r>
      <w:r w:rsidR="00290A49" w:rsidRPr="00276706">
        <w:t xml:space="preserve">Firstly, </w:t>
      </w:r>
      <w:r w:rsidR="00C563EA" w:rsidRPr="00276706">
        <w:t xml:space="preserve">John </w:t>
      </w:r>
      <w:r w:rsidR="00514DCE" w:rsidRPr="00276706">
        <w:t xml:space="preserve">Brewer </w:t>
      </w:r>
      <w:r w:rsidR="00B900A0" w:rsidRPr="00276706">
        <w:t xml:space="preserve">supports Frake’s definition and use of ethnography, writing that </w:t>
      </w:r>
      <w:r w:rsidRPr="00276706">
        <w:t xml:space="preserve">“ethnography is the study of people in naturally occurring settings or ‘fields’ by methods of data collection which capture their social meanings and ordinary activities, involving the researcher participating in the setting, </w:t>
      </w:r>
      <w:r w:rsidR="00804D40" w:rsidRPr="00276706">
        <w:t>[…]</w:t>
      </w:r>
      <w:r w:rsidRPr="00276706">
        <w:t xml:space="preserve"> in order to collect data in a systematic manner, but without meaning being imposed on them externally.”</w:t>
      </w:r>
      <w:r w:rsidR="00B26157" w:rsidRPr="00276706">
        <w:rPr>
          <w:rStyle w:val="FootnoteReference"/>
        </w:rPr>
        <w:footnoteReference w:id="33"/>
      </w:r>
      <w:r w:rsidRPr="00276706">
        <w:t xml:space="preserve"> This more recent description of ethnography shows that Frake’s definition is not only legitimate, but is also relevant to research today. </w:t>
      </w:r>
    </w:p>
    <w:p w14:paraId="7AD76922" w14:textId="5FC8D265" w:rsidR="00CF6AD2" w:rsidRPr="00276706" w:rsidRDefault="00CF6AD2" w:rsidP="00324A62">
      <w:pPr>
        <w:spacing w:line="360" w:lineRule="auto"/>
      </w:pPr>
      <w:proofErr w:type="gramStart"/>
      <w:r w:rsidRPr="00276706">
        <w:t>Similarly</w:t>
      </w:r>
      <w:proofErr w:type="gramEnd"/>
      <w:r w:rsidRPr="00276706">
        <w:t xml:space="preserve"> to Kimmerer, Frake’s argument </w:t>
      </w:r>
      <w:r w:rsidR="00AA5A02" w:rsidRPr="00276706">
        <w:t>relies on there being</w:t>
      </w:r>
      <w:r w:rsidRPr="00276706">
        <w:t xml:space="preserve"> room in cultural ecology for new</w:t>
      </w:r>
      <w:r w:rsidR="006743DF" w:rsidRPr="00276706">
        <w:t xml:space="preserve"> research method</w:t>
      </w:r>
      <w:r w:rsidR="00AA5A02" w:rsidRPr="00276706">
        <w:t>s</w:t>
      </w:r>
      <w:r w:rsidR="006743DF" w:rsidRPr="00276706">
        <w:t xml:space="preserve">. This </w:t>
      </w:r>
      <w:r w:rsidR="00851C77" w:rsidRPr="00276706">
        <w:t xml:space="preserve">fundamental belief is </w:t>
      </w:r>
      <w:r w:rsidR="006E7EE1" w:rsidRPr="00276706">
        <w:t xml:space="preserve">confirmed </w:t>
      </w:r>
      <w:r w:rsidR="002828E9" w:rsidRPr="00276706">
        <w:t>by wider sources. In 2007, Paul Elliott Little wrote</w:t>
      </w:r>
      <w:r w:rsidR="00FE2CFB" w:rsidRPr="00276706">
        <w:t>,</w:t>
      </w:r>
      <w:r w:rsidR="002828E9" w:rsidRPr="00276706">
        <w:t xml:space="preserve"> </w:t>
      </w:r>
      <w:r w:rsidR="00FE2CFB" w:rsidRPr="00276706">
        <w:t>“for a truly ecological science to exist, a sustained dialogue between the social and the natural sciences, focusing on the dynamic and interdependent relationship between the biophysical and the social worlds, is necessary. This requires certain paradigmatic changes in scientific practice at the epistemological, methodological and institutional levels.”</w:t>
      </w:r>
      <w:r w:rsidR="00B26157" w:rsidRPr="00276706">
        <w:rPr>
          <w:rStyle w:val="FootnoteReference"/>
        </w:rPr>
        <w:footnoteReference w:id="34"/>
      </w:r>
      <w:r w:rsidR="00630FB2" w:rsidRPr="00276706">
        <w:t xml:space="preserve"> This wider call for action gives Frake’s work a place in current ecological discussion, showing that </w:t>
      </w:r>
      <w:r w:rsidR="00AA4566" w:rsidRPr="00276706">
        <w:t>change is</w:t>
      </w:r>
      <w:r w:rsidR="004E0789" w:rsidRPr="00276706">
        <w:t xml:space="preserve"> requested not only</w:t>
      </w:r>
      <w:r w:rsidR="00AA4566" w:rsidRPr="00276706">
        <w:t xml:space="preserve"> by</w:t>
      </w:r>
      <w:r w:rsidR="004E0789" w:rsidRPr="00276706">
        <w:t xml:space="preserve"> him, but by recent writers. </w:t>
      </w:r>
    </w:p>
    <w:p w14:paraId="0DDC8FCB" w14:textId="457E65E8" w:rsidR="00CE6ACF" w:rsidRPr="00276706" w:rsidRDefault="003039F8" w:rsidP="00324A62">
      <w:pPr>
        <w:spacing w:line="360" w:lineRule="auto"/>
      </w:pPr>
      <w:r w:rsidRPr="00276706">
        <w:t>T</w:t>
      </w:r>
      <w:r w:rsidR="00CE6ACF" w:rsidRPr="00276706">
        <w:t>he benefits of ethnograph</w:t>
      </w:r>
      <w:r w:rsidRPr="00276706">
        <w:t>y</w:t>
      </w:r>
      <w:r w:rsidR="00CE6ACF" w:rsidRPr="00276706">
        <w:t xml:space="preserve"> </w:t>
      </w:r>
      <w:proofErr w:type="gramStart"/>
      <w:r w:rsidR="00CE6ACF" w:rsidRPr="00276706">
        <w:t>is</w:t>
      </w:r>
      <w:proofErr w:type="gramEnd"/>
      <w:r w:rsidRPr="00276706">
        <w:t xml:space="preserve"> also</w:t>
      </w:r>
      <w:r w:rsidR="00CE6ACF" w:rsidRPr="00276706">
        <w:t xml:space="preserve"> widely discussed among academics who alongside Frake, believe that </w:t>
      </w:r>
      <w:r w:rsidR="00E13CFF" w:rsidRPr="00276706">
        <w:t>ethnographical research is beneficial</w:t>
      </w:r>
      <w:r w:rsidR="00CE6ACF" w:rsidRPr="00276706">
        <w:t xml:space="preserve">. Some say </w:t>
      </w:r>
      <w:r w:rsidR="00736EAE" w:rsidRPr="00276706">
        <w:t xml:space="preserve">it </w:t>
      </w:r>
      <w:r w:rsidR="00CE6ACF" w:rsidRPr="00276706">
        <w:t>“represent</w:t>
      </w:r>
      <w:r w:rsidR="00736EAE" w:rsidRPr="00276706">
        <w:t>[s]</w:t>
      </w:r>
      <w:r w:rsidR="00CE6ACF" w:rsidRPr="00276706">
        <w:t xml:space="preserve"> a uniquely humanistic, interpretive approach, as opposed to supposedly ‘scientific’ and ‘positivist’ positions.”</w:t>
      </w:r>
      <w:r w:rsidR="0059051F" w:rsidRPr="00276706">
        <w:rPr>
          <w:rStyle w:val="FootnoteReference"/>
        </w:rPr>
        <w:footnoteReference w:id="35"/>
      </w:r>
      <w:r w:rsidR="0059051F" w:rsidRPr="00276706">
        <w:t xml:space="preserve"> </w:t>
      </w:r>
      <w:r w:rsidR="00CE6ACF" w:rsidRPr="00276706">
        <w:t>This supports Frake’s notion that ethnographic research is there to aid, not overtake, western scientific research</w:t>
      </w:r>
      <w:r w:rsidR="00E3072E" w:rsidRPr="00276706">
        <w:rPr>
          <w:rStyle w:val="FootnoteReference"/>
        </w:rPr>
        <w:footnoteReference w:id="36"/>
      </w:r>
      <w:r w:rsidR="00CE6ACF" w:rsidRPr="00276706">
        <w:t xml:space="preserve">, </w:t>
      </w:r>
      <w:r w:rsidR="008566D4" w:rsidRPr="00276706">
        <w:t>which</w:t>
      </w:r>
      <w:r w:rsidR="00CE6ACF" w:rsidRPr="00276706">
        <w:t xml:space="preserve"> parallels Kimmerer’s work.</w:t>
      </w:r>
      <w:r w:rsidR="00E75D3E" w:rsidRPr="00276706">
        <w:t xml:space="preserve"> </w:t>
      </w:r>
      <w:r w:rsidR="003545F4" w:rsidRPr="00276706">
        <w:t>For him,</w:t>
      </w:r>
      <w:r w:rsidR="00E75D3E" w:rsidRPr="00276706">
        <w:t xml:space="preserve"> </w:t>
      </w:r>
      <w:r w:rsidR="00380076" w:rsidRPr="00276706">
        <w:t>ethnograp</w:t>
      </w:r>
      <w:r w:rsidR="003545F4" w:rsidRPr="00276706">
        <w:t>hy</w:t>
      </w:r>
      <w:r w:rsidR="00AC6FE1" w:rsidRPr="00276706">
        <w:t xml:space="preserve"> </w:t>
      </w:r>
      <w:r w:rsidR="00E75D3E" w:rsidRPr="00276706">
        <w:t>can provide an understanding</w:t>
      </w:r>
      <w:r w:rsidR="00380076" w:rsidRPr="00276706">
        <w:t xml:space="preserve"> that cannot be found by simply observing</w:t>
      </w:r>
      <w:r w:rsidR="001908FB" w:rsidRPr="00276706">
        <w:t xml:space="preserve"> cultures. </w:t>
      </w:r>
      <w:r w:rsidR="00AC6FE1" w:rsidRPr="00276706">
        <w:t xml:space="preserve">He therefore reaches the conclusion that </w:t>
      </w:r>
      <w:r w:rsidR="00F30484" w:rsidRPr="00276706">
        <w:t xml:space="preserve">incorporating more than one research method into </w:t>
      </w:r>
      <w:r w:rsidR="004807B5" w:rsidRPr="00276706">
        <w:t>western knowledge</w:t>
      </w:r>
      <w:r w:rsidR="00F30484" w:rsidRPr="00276706">
        <w:t xml:space="preserve"> is </w:t>
      </w:r>
      <w:r w:rsidR="000369D4" w:rsidRPr="00276706">
        <w:t>most valuable.</w:t>
      </w:r>
    </w:p>
    <w:p w14:paraId="6FF7177B" w14:textId="1155AF41" w:rsidR="00A06029" w:rsidRPr="00276706" w:rsidRDefault="002A0C3A" w:rsidP="00324A62">
      <w:pPr>
        <w:spacing w:line="360" w:lineRule="auto"/>
      </w:pPr>
      <w:r w:rsidRPr="00276706">
        <w:lastRenderedPageBreak/>
        <w:t xml:space="preserve">Frake identifies that one of the major </w:t>
      </w:r>
      <w:r w:rsidR="00F603D5" w:rsidRPr="00276706">
        <w:t>difference</w:t>
      </w:r>
      <w:r w:rsidR="0031054B" w:rsidRPr="00276706">
        <w:t>s</w:t>
      </w:r>
      <w:r w:rsidR="00F603D5" w:rsidRPr="00276706">
        <w:t xml:space="preserve"> of</w:t>
      </w:r>
      <w:r w:rsidRPr="00276706">
        <w:t xml:space="preserve"> ethnography </w:t>
      </w:r>
      <w:r w:rsidR="00F603D5" w:rsidRPr="00276706">
        <w:t>in comparison to other research,</w:t>
      </w:r>
      <w:r w:rsidRPr="00276706">
        <w:t xml:space="preserve"> is th</w:t>
      </w:r>
      <w:r w:rsidR="00195BA4" w:rsidRPr="00276706">
        <w:t xml:space="preserve">e language used. </w:t>
      </w:r>
      <w:r w:rsidR="0031054B" w:rsidRPr="00276706">
        <w:t xml:space="preserve">Life </w:t>
      </w:r>
      <w:r w:rsidR="008C77DD" w:rsidRPr="00276706">
        <w:t>must be documented “as the people themselves construe it.”</w:t>
      </w:r>
      <w:r w:rsidR="0020707A" w:rsidRPr="00276706">
        <w:rPr>
          <w:rStyle w:val="FootnoteReference"/>
        </w:rPr>
        <w:footnoteReference w:id="37"/>
      </w:r>
      <w:r w:rsidR="0020707A" w:rsidRPr="00276706">
        <w:t xml:space="preserve"> </w:t>
      </w:r>
      <w:r w:rsidR="004B5211" w:rsidRPr="00276706">
        <w:t xml:space="preserve">Each </w:t>
      </w:r>
      <w:r w:rsidR="008C77DD" w:rsidRPr="00276706">
        <w:t>culture</w:t>
      </w:r>
      <w:r w:rsidR="004B5211" w:rsidRPr="00276706">
        <w:t xml:space="preserve"> has different values and practices</w:t>
      </w:r>
      <w:r w:rsidR="00CC230E" w:rsidRPr="00276706">
        <w:t xml:space="preserve"> which inform their behaviours</w:t>
      </w:r>
      <w:r w:rsidR="004B5211" w:rsidRPr="00276706">
        <w:t xml:space="preserve">, </w:t>
      </w:r>
      <w:r w:rsidR="008C77DD" w:rsidRPr="00276706">
        <w:t>and it is only by using their vocabulary that the researcher can fully understand “what role the environment […] plays in the cultural behaviour of the members of a particular society.”</w:t>
      </w:r>
      <w:r w:rsidR="007B6CEF" w:rsidRPr="00276706">
        <w:rPr>
          <w:rStyle w:val="FootnoteReference"/>
        </w:rPr>
        <w:footnoteReference w:id="38"/>
      </w:r>
      <w:r w:rsidR="008C77DD" w:rsidRPr="00276706">
        <w:t xml:space="preserve"> </w:t>
      </w:r>
      <w:r w:rsidR="00107A91" w:rsidRPr="00276706">
        <w:t xml:space="preserve">Whilst Frake does not draw on </w:t>
      </w:r>
      <w:r w:rsidR="003606C3" w:rsidRPr="00276706">
        <w:t>any</w:t>
      </w:r>
      <w:r w:rsidR="00107A91" w:rsidRPr="00276706">
        <w:t xml:space="preserve"> theorists in </w:t>
      </w:r>
      <w:r w:rsidR="00503860" w:rsidRPr="00276706">
        <w:t>t</w:t>
      </w:r>
      <w:r w:rsidR="00107A91" w:rsidRPr="00276706">
        <w:t xml:space="preserve">his discussion, there are other writers who </w:t>
      </w:r>
      <w:r w:rsidR="00091064" w:rsidRPr="00276706">
        <w:t xml:space="preserve">explore similar ideas. </w:t>
      </w:r>
      <w:r w:rsidR="00A06029" w:rsidRPr="00276706">
        <w:t xml:space="preserve">In Little’s 2007 paper, Frake’s </w:t>
      </w:r>
      <w:r w:rsidR="00496B1A" w:rsidRPr="00276706">
        <w:t>suggestions are</w:t>
      </w:r>
      <w:r w:rsidR="00A06029" w:rsidRPr="00276706">
        <w:t xml:space="preserve"> echoed</w:t>
      </w:r>
      <w:r w:rsidR="00382E34" w:rsidRPr="00276706">
        <w:t>.</w:t>
      </w:r>
      <w:r w:rsidR="00A06029" w:rsidRPr="00276706">
        <w:t xml:space="preserve"> </w:t>
      </w:r>
      <w:r w:rsidR="00971E17" w:rsidRPr="00276706">
        <w:t>For Little, ethnography</w:t>
      </w:r>
      <w:r w:rsidR="00A06029" w:rsidRPr="00276706">
        <w:t xml:space="preserve"> “incorporate</w:t>
      </w:r>
      <w:r w:rsidR="00971E17" w:rsidRPr="00276706">
        <w:t>[s]</w:t>
      </w:r>
      <w:r w:rsidR="00A06029" w:rsidRPr="00276706">
        <w:t xml:space="preserve"> cosmological, ritual, </w:t>
      </w:r>
      <w:proofErr w:type="spellStart"/>
      <w:r w:rsidR="00A06029" w:rsidRPr="00276706">
        <w:t>identitary</w:t>
      </w:r>
      <w:proofErr w:type="spellEnd"/>
      <w:r w:rsidR="00A06029" w:rsidRPr="00276706">
        <w:t xml:space="preserve"> and moral elements that are not always clearly perceived from other disciplinary perspectives</w:t>
      </w:r>
      <w:r w:rsidR="00EB5AA0" w:rsidRPr="00276706">
        <w:t>.</w:t>
      </w:r>
      <w:r w:rsidR="00A06029" w:rsidRPr="00276706">
        <w:t>”</w:t>
      </w:r>
      <w:r w:rsidR="00B15491" w:rsidRPr="00276706">
        <w:rPr>
          <w:rStyle w:val="FootnoteReference"/>
        </w:rPr>
        <w:footnoteReference w:id="39"/>
      </w:r>
      <w:r w:rsidR="00EB5AA0" w:rsidRPr="00276706">
        <w:t>He</w:t>
      </w:r>
      <w:r w:rsidR="00A06029" w:rsidRPr="00276706">
        <w:t xml:space="preserve"> also asserts that </w:t>
      </w:r>
      <w:r w:rsidR="000C5720" w:rsidRPr="00276706">
        <w:t>ethnography and ecological research go hand in hand</w:t>
      </w:r>
      <w:r w:rsidR="00A06029" w:rsidRPr="00276706">
        <w:t>. For him, “the ethnography of social conflicts fits well into the ecological paradigm: it focuses on relationships; it makes use of a processual methodology; and it contextualizes the knowledge produced.”</w:t>
      </w:r>
      <w:r w:rsidR="00B15491" w:rsidRPr="00276706">
        <w:rPr>
          <w:rStyle w:val="FootnoteReference"/>
        </w:rPr>
        <w:footnoteReference w:id="40"/>
      </w:r>
      <w:r w:rsidR="00A06029" w:rsidRPr="00276706">
        <w:t xml:space="preserve"> This shows that Frake’s article has a sure place in the educational field, addressing issues that are relevant even years after its publication. Frake’s </w:t>
      </w:r>
      <w:r w:rsidR="0082495F" w:rsidRPr="00276706">
        <w:t>writing</w:t>
      </w:r>
      <w:r w:rsidR="00A06029" w:rsidRPr="00276706">
        <w:t xml:space="preserve"> pose</w:t>
      </w:r>
      <w:r w:rsidR="0082495F" w:rsidRPr="00276706">
        <w:t>s</w:t>
      </w:r>
      <w:r w:rsidR="00A06029" w:rsidRPr="00276706">
        <w:t xml:space="preserve"> genuine questions for scientific research into the interconnectedness of culture and ecology, whilst providing thought out proposals for bettering western knowledge.</w:t>
      </w:r>
    </w:p>
    <w:p w14:paraId="6F6E2052" w14:textId="7AF5D8C6" w:rsidR="00C834FA" w:rsidRDefault="003E0409" w:rsidP="00324A62">
      <w:pPr>
        <w:spacing w:line="360" w:lineRule="auto"/>
      </w:pPr>
      <w:r w:rsidRPr="00276706">
        <w:t>To conclude,</w:t>
      </w:r>
      <w:r w:rsidR="00FA4BA0" w:rsidRPr="00276706">
        <w:t xml:space="preserve"> </w:t>
      </w:r>
      <w:r w:rsidR="00FC7556" w:rsidRPr="00276706">
        <w:t xml:space="preserve">both papers advocate for a change in perspective and education in relation to the </w:t>
      </w:r>
      <w:r w:rsidR="00063B52" w:rsidRPr="00276706">
        <w:t>way</w:t>
      </w:r>
      <w:r w:rsidR="00FC7556" w:rsidRPr="00276706">
        <w:t xml:space="preserve"> the environment in seen by Western scientists. Although both writers propose </w:t>
      </w:r>
      <w:r w:rsidR="001964C3" w:rsidRPr="00276706">
        <w:t>similar ideas</w:t>
      </w:r>
      <w:r w:rsidR="00FC7556" w:rsidRPr="00276706">
        <w:t>, they focus on different fields of education and the implementation of different approaches.</w:t>
      </w:r>
      <w:r w:rsidRPr="00276706">
        <w:t xml:space="preserve"> </w:t>
      </w:r>
      <w:r w:rsidR="00C834FA" w:rsidRPr="00276706">
        <w:t xml:space="preserve">Kimmerer’s use of wider sources and theorists makes her work persuasive and trustworthy. It is clear to the reader that her </w:t>
      </w:r>
      <w:r w:rsidR="00B84755" w:rsidRPr="00276706">
        <w:t>piece</w:t>
      </w:r>
      <w:r w:rsidR="00C834FA" w:rsidRPr="00276706">
        <w:t xml:space="preserve"> is well researched and is founded on respectable theories</w:t>
      </w:r>
      <w:r w:rsidR="00F03A91" w:rsidRPr="00276706">
        <w:t xml:space="preserve">, </w:t>
      </w:r>
      <w:r w:rsidR="00C834FA" w:rsidRPr="00276706">
        <w:t xml:space="preserve">as it is evident that she has read and responded to other academics. Her work is clearly relevant to the academic field today as researchers are still advocating </w:t>
      </w:r>
      <w:r w:rsidR="00CF5EE7" w:rsidRPr="00276706">
        <w:t xml:space="preserve">for a </w:t>
      </w:r>
      <w:r w:rsidR="00851A40" w:rsidRPr="00276706">
        <w:t xml:space="preserve">change in perspective, whilst suggesting </w:t>
      </w:r>
      <w:r w:rsidR="00C834FA" w:rsidRPr="00276706">
        <w:t>that TEK is a proficient candidate. By highlighting the benefits of ethnography and applying them to</w:t>
      </w:r>
      <w:r w:rsidR="0057551E" w:rsidRPr="00276706">
        <w:t xml:space="preserve"> cultural ecology</w:t>
      </w:r>
      <w:r w:rsidR="00C834FA" w:rsidRPr="00276706">
        <w:t xml:space="preserve">, Frake brings together two different academic fields and shows how they can work together to benefit Western research. Both his </w:t>
      </w:r>
      <w:r w:rsidR="00541D64" w:rsidRPr="00276706">
        <w:t>exploration</w:t>
      </w:r>
      <w:r w:rsidR="00C834FA" w:rsidRPr="00276706">
        <w:t xml:space="preserve"> </w:t>
      </w:r>
      <w:r w:rsidR="00541D64" w:rsidRPr="00276706">
        <w:t xml:space="preserve">of </w:t>
      </w:r>
      <w:r w:rsidR="00C834FA" w:rsidRPr="00276706">
        <w:t>the benefits of ethnography, and his application to cultural ecology is backed up by wider researchers. With his ideas supported by the writings of others, his argument become</w:t>
      </w:r>
      <w:r w:rsidR="00E35D36" w:rsidRPr="00276706">
        <w:t>s</w:t>
      </w:r>
      <w:r w:rsidR="00C834FA" w:rsidRPr="00276706">
        <w:t xml:space="preserve"> conceivable to readers as it </w:t>
      </w:r>
      <w:r w:rsidR="00400BE8" w:rsidRPr="00276706">
        <w:t>is</w:t>
      </w:r>
      <w:r w:rsidR="00C834FA" w:rsidRPr="00276706">
        <w:t xml:space="preserve"> clear that </w:t>
      </w:r>
      <w:r w:rsidR="00400BE8" w:rsidRPr="00276706">
        <w:t>he suggests</w:t>
      </w:r>
      <w:r w:rsidR="00C834FA" w:rsidRPr="00276706">
        <w:t xml:space="preserve"> a plausible and perhaps much-needed solution. Whilst Kimmerer’s paper is seemingly more thoroughly researched, there are many wider sources to support the claims made in each article and provide</w:t>
      </w:r>
      <w:r w:rsidR="00C834FA">
        <w:t xml:space="preserve"> evidence that </w:t>
      </w:r>
      <w:r w:rsidR="00C834FA">
        <w:lastRenderedPageBreak/>
        <w:t xml:space="preserve">their suggestions are well thought out and </w:t>
      </w:r>
      <w:r w:rsidR="00187A9C">
        <w:t xml:space="preserve">are </w:t>
      </w:r>
      <w:r w:rsidR="00C834FA">
        <w:t>appropriate</w:t>
      </w:r>
      <w:r w:rsidR="00187A9C">
        <w:t xml:space="preserve"> responses, thus making the</w:t>
      </w:r>
      <w:r w:rsidR="00BD34BF">
        <w:t>m</w:t>
      </w:r>
      <w:r w:rsidR="00187A9C">
        <w:t xml:space="preserve"> both convincing papers to their audiences. </w:t>
      </w:r>
    </w:p>
    <w:p w14:paraId="571E647D" w14:textId="77777777" w:rsidR="002477F1" w:rsidRDefault="002477F1" w:rsidP="000F5905">
      <w:pPr>
        <w:spacing w:line="240" w:lineRule="auto"/>
        <w:rPr>
          <w:sz w:val="20"/>
          <w:szCs w:val="20"/>
          <w:u w:val="single"/>
        </w:rPr>
      </w:pPr>
    </w:p>
    <w:p w14:paraId="1B212E1C" w14:textId="77777777" w:rsidR="002477F1" w:rsidRDefault="002477F1" w:rsidP="000F5905">
      <w:pPr>
        <w:spacing w:line="240" w:lineRule="auto"/>
        <w:rPr>
          <w:sz w:val="20"/>
          <w:szCs w:val="20"/>
          <w:u w:val="single"/>
        </w:rPr>
      </w:pPr>
    </w:p>
    <w:p w14:paraId="1385DBBC" w14:textId="77777777" w:rsidR="002477F1" w:rsidRDefault="002477F1" w:rsidP="000F5905">
      <w:pPr>
        <w:spacing w:line="240" w:lineRule="auto"/>
        <w:rPr>
          <w:sz w:val="20"/>
          <w:szCs w:val="20"/>
          <w:u w:val="single"/>
        </w:rPr>
      </w:pPr>
    </w:p>
    <w:p w14:paraId="1630303E" w14:textId="77777777" w:rsidR="002477F1" w:rsidRDefault="002477F1" w:rsidP="000F5905">
      <w:pPr>
        <w:spacing w:line="240" w:lineRule="auto"/>
        <w:rPr>
          <w:sz w:val="20"/>
          <w:szCs w:val="20"/>
          <w:u w:val="single"/>
        </w:rPr>
      </w:pPr>
    </w:p>
    <w:p w14:paraId="06233ABE" w14:textId="77777777" w:rsidR="002477F1" w:rsidRDefault="002477F1" w:rsidP="000F5905">
      <w:pPr>
        <w:spacing w:line="240" w:lineRule="auto"/>
        <w:rPr>
          <w:sz w:val="20"/>
          <w:szCs w:val="20"/>
          <w:u w:val="single"/>
        </w:rPr>
      </w:pPr>
    </w:p>
    <w:p w14:paraId="3081B5E1" w14:textId="77777777" w:rsidR="002477F1" w:rsidRDefault="002477F1" w:rsidP="000F5905">
      <w:pPr>
        <w:spacing w:line="240" w:lineRule="auto"/>
        <w:rPr>
          <w:sz w:val="20"/>
          <w:szCs w:val="20"/>
          <w:u w:val="single"/>
        </w:rPr>
      </w:pPr>
    </w:p>
    <w:p w14:paraId="44E6EDA6" w14:textId="77777777" w:rsidR="002477F1" w:rsidRDefault="002477F1" w:rsidP="000F5905">
      <w:pPr>
        <w:spacing w:line="240" w:lineRule="auto"/>
        <w:rPr>
          <w:sz w:val="20"/>
          <w:szCs w:val="20"/>
          <w:u w:val="single"/>
        </w:rPr>
      </w:pPr>
    </w:p>
    <w:p w14:paraId="7B137F74" w14:textId="77777777" w:rsidR="002477F1" w:rsidRDefault="002477F1" w:rsidP="000F5905">
      <w:pPr>
        <w:spacing w:line="240" w:lineRule="auto"/>
        <w:rPr>
          <w:sz w:val="20"/>
          <w:szCs w:val="20"/>
          <w:u w:val="single"/>
        </w:rPr>
      </w:pPr>
    </w:p>
    <w:p w14:paraId="40738AB3" w14:textId="77777777" w:rsidR="002477F1" w:rsidRDefault="002477F1" w:rsidP="000F5905">
      <w:pPr>
        <w:spacing w:line="240" w:lineRule="auto"/>
        <w:rPr>
          <w:sz w:val="20"/>
          <w:szCs w:val="20"/>
          <w:u w:val="single"/>
        </w:rPr>
      </w:pPr>
    </w:p>
    <w:p w14:paraId="36E76CC8" w14:textId="77777777" w:rsidR="002477F1" w:rsidRDefault="002477F1" w:rsidP="000F5905">
      <w:pPr>
        <w:spacing w:line="240" w:lineRule="auto"/>
        <w:rPr>
          <w:sz w:val="20"/>
          <w:szCs w:val="20"/>
          <w:u w:val="single"/>
        </w:rPr>
      </w:pPr>
    </w:p>
    <w:p w14:paraId="5F02130A" w14:textId="77777777" w:rsidR="002477F1" w:rsidRDefault="002477F1" w:rsidP="000F5905">
      <w:pPr>
        <w:spacing w:line="240" w:lineRule="auto"/>
        <w:rPr>
          <w:sz w:val="20"/>
          <w:szCs w:val="20"/>
          <w:u w:val="single"/>
        </w:rPr>
      </w:pPr>
    </w:p>
    <w:p w14:paraId="6212E702" w14:textId="77777777" w:rsidR="002477F1" w:rsidRDefault="002477F1" w:rsidP="000F5905">
      <w:pPr>
        <w:spacing w:line="240" w:lineRule="auto"/>
        <w:rPr>
          <w:sz w:val="20"/>
          <w:szCs w:val="20"/>
          <w:u w:val="single"/>
        </w:rPr>
      </w:pPr>
    </w:p>
    <w:p w14:paraId="3647FBCA" w14:textId="77777777" w:rsidR="002477F1" w:rsidRDefault="002477F1" w:rsidP="000F5905">
      <w:pPr>
        <w:spacing w:line="240" w:lineRule="auto"/>
        <w:rPr>
          <w:sz w:val="20"/>
          <w:szCs w:val="20"/>
          <w:u w:val="single"/>
        </w:rPr>
      </w:pPr>
    </w:p>
    <w:p w14:paraId="6757FBF2" w14:textId="77777777" w:rsidR="002477F1" w:rsidRDefault="002477F1" w:rsidP="000F5905">
      <w:pPr>
        <w:spacing w:line="240" w:lineRule="auto"/>
        <w:rPr>
          <w:sz w:val="20"/>
          <w:szCs w:val="20"/>
          <w:u w:val="single"/>
        </w:rPr>
      </w:pPr>
    </w:p>
    <w:p w14:paraId="291632B7" w14:textId="77777777" w:rsidR="002477F1" w:rsidRDefault="002477F1" w:rsidP="000F5905">
      <w:pPr>
        <w:spacing w:line="240" w:lineRule="auto"/>
        <w:rPr>
          <w:sz w:val="20"/>
          <w:szCs w:val="20"/>
          <w:u w:val="single"/>
        </w:rPr>
      </w:pPr>
    </w:p>
    <w:p w14:paraId="61CCE121" w14:textId="77777777" w:rsidR="002477F1" w:rsidRDefault="002477F1" w:rsidP="000F5905">
      <w:pPr>
        <w:spacing w:line="240" w:lineRule="auto"/>
        <w:rPr>
          <w:sz w:val="20"/>
          <w:szCs w:val="20"/>
          <w:u w:val="single"/>
        </w:rPr>
      </w:pPr>
    </w:p>
    <w:p w14:paraId="0303790F" w14:textId="77777777" w:rsidR="002477F1" w:rsidRDefault="002477F1" w:rsidP="000F5905">
      <w:pPr>
        <w:spacing w:line="240" w:lineRule="auto"/>
        <w:rPr>
          <w:sz w:val="20"/>
          <w:szCs w:val="20"/>
          <w:u w:val="single"/>
        </w:rPr>
      </w:pPr>
    </w:p>
    <w:p w14:paraId="5B09B2BF" w14:textId="77777777" w:rsidR="002477F1" w:rsidRDefault="002477F1" w:rsidP="000F5905">
      <w:pPr>
        <w:spacing w:line="240" w:lineRule="auto"/>
        <w:rPr>
          <w:sz w:val="20"/>
          <w:szCs w:val="20"/>
          <w:u w:val="single"/>
        </w:rPr>
      </w:pPr>
    </w:p>
    <w:p w14:paraId="151FD758" w14:textId="77777777" w:rsidR="002477F1" w:rsidRDefault="002477F1" w:rsidP="000F5905">
      <w:pPr>
        <w:spacing w:line="240" w:lineRule="auto"/>
        <w:rPr>
          <w:sz w:val="20"/>
          <w:szCs w:val="20"/>
          <w:u w:val="single"/>
        </w:rPr>
      </w:pPr>
    </w:p>
    <w:p w14:paraId="4E5391AB" w14:textId="77777777" w:rsidR="002477F1" w:rsidRDefault="002477F1" w:rsidP="000F5905">
      <w:pPr>
        <w:spacing w:line="240" w:lineRule="auto"/>
        <w:rPr>
          <w:sz w:val="20"/>
          <w:szCs w:val="20"/>
          <w:u w:val="single"/>
        </w:rPr>
      </w:pPr>
    </w:p>
    <w:p w14:paraId="1007BA48" w14:textId="77777777" w:rsidR="002477F1" w:rsidRDefault="002477F1" w:rsidP="000F5905">
      <w:pPr>
        <w:spacing w:line="240" w:lineRule="auto"/>
        <w:rPr>
          <w:sz w:val="20"/>
          <w:szCs w:val="20"/>
          <w:u w:val="single"/>
        </w:rPr>
      </w:pPr>
    </w:p>
    <w:p w14:paraId="7F6ACDD9" w14:textId="77777777" w:rsidR="002477F1" w:rsidRDefault="002477F1" w:rsidP="000F5905">
      <w:pPr>
        <w:spacing w:line="240" w:lineRule="auto"/>
        <w:rPr>
          <w:sz w:val="20"/>
          <w:szCs w:val="20"/>
          <w:u w:val="single"/>
        </w:rPr>
      </w:pPr>
    </w:p>
    <w:p w14:paraId="13167631" w14:textId="77777777" w:rsidR="002477F1" w:rsidRDefault="002477F1" w:rsidP="000F5905">
      <w:pPr>
        <w:spacing w:line="240" w:lineRule="auto"/>
        <w:rPr>
          <w:sz w:val="20"/>
          <w:szCs w:val="20"/>
          <w:u w:val="single"/>
        </w:rPr>
      </w:pPr>
    </w:p>
    <w:p w14:paraId="09711B8F" w14:textId="77777777" w:rsidR="002477F1" w:rsidRDefault="002477F1" w:rsidP="000F5905">
      <w:pPr>
        <w:spacing w:line="240" w:lineRule="auto"/>
        <w:rPr>
          <w:sz w:val="20"/>
          <w:szCs w:val="20"/>
          <w:u w:val="single"/>
        </w:rPr>
      </w:pPr>
    </w:p>
    <w:p w14:paraId="18F52273" w14:textId="77777777" w:rsidR="002477F1" w:rsidRDefault="002477F1" w:rsidP="000F5905">
      <w:pPr>
        <w:spacing w:line="240" w:lineRule="auto"/>
        <w:rPr>
          <w:sz w:val="20"/>
          <w:szCs w:val="20"/>
          <w:u w:val="single"/>
        </w:rPr>
      </w:pPr>
    </w:p>
    <w:p w14:paraId="5AFE8660" w14:textId="77777777" w:rsidR="002477F1" w:rsidRDefault="002477F1" w:rsidP="000F5905">
      <w:pPr>
        <w:spacing w:line="240" w:lineRule="auto"/>
        <w:rPr>
          <w:sz w:val="20"/>
          <w:szCs w:val="20"/>
          <w:u w:val="single"/>
        </w:rPr>
      </w:pPr>
    </w:p>
    <w:p w14:paraId="52E2A9DA" w14:textId="77777777" w:rsidR="002477F1" w:rsidRDefault="002477F1" w:rsidP="000F5905">
      <w:pPr>
        <w:spacing w:line="240" w:lineRule="auto"/>
        <w:rPr>
          <w:sz w:val="20"/>
          <w:szCs w:val="20"/>
          <w:u w:val="single"/>
        </w:rPr>
      </w:pPr>
    </w:p>
    <w:p w14:paraId="3E5629D7" w14:textId="77777777" w:rsidR="002477F1" w:rsidRDefault="002477F1" w:rsidP="000F5905">
      <w:pPr>
        <w:spacing w:line="240" w:lineRule="auto"/>
        <w:rPr>
          <w:sz w:val="20"/>
          <w:szCs w:val="20"/>
          <w:u w:val="single"/>
        </w:rPr>
      </w:pPr>
    </w:p>
    <w:p w14:paraId="4C9D5AA4" w14:textId="77777777" w:rsidR="002477F1" w:rsidRDefault="002477F1" w:rsidP="000F5905">
      <w:pPr>
        <w:spacing w:line="240" w:lineRule="auto"/>
        <w:rPr>
          <w:sz w:val="20"/>
          <w:szCs w:val="20"/>
          <w:u w:val="single"/>
        </w:rPr>
      </w:pPr>
    </w:p>
    <w:p w14:paraId="01598118" w14:textId="77777777" w:rsidR="002477F1" w:rsidRDefault="002477F1" w:rsidP="000F5905">
      <w:pPr>
        <w:spacing w:line="240" w:lineRule="auto"/>
        <w:rPr>
          <w:sz w:val="20"/>
          <w:szCs w:val="20"/>
          <w:u w:val="single"/>
        </w:rPr>
      </w:pPr>
    </w:p>
    <w:p w14:paraId="3FD65D4D" w14:textId="77777777" w:rsidR="002477F1" w:rsidRDefault="002477F1" w:rsidP="000F5905">
      <w:pPr>
        <w:spacing w:line="240" w:lineRule="auto"/>
        <w:rPr>
          <w:sz w:val="20"/>
          <w:szCs w:val="20"/>
          <w:u w:val="single"/>
        </w:rPr>
      </w:pPr>
    </w:p>
    <w:p w14:paraId="552DEAB1" w14:textId="77777777" w:rsidR="002477F1" w:rsidRDefault="002477F1" w:rsidP="000F5905">
      <w:pPr>
        <w:spacing w:line="240" w:lineRule="auto"/>
        <w:rPr>
          <w:sz w:val="20"/>
          <w:szCs w:val="20"/>
          <w:u w:val="single"/>
        </w:rPr>
      </w:pPr>
    </w:p>
    <w:p w14:paraId="622F8857" w14:textId="1DC622B3" w:rsidR="001F3875" w:rsidRPr="0070526C" w:rsidRDefault="001F3875" w:rsidP="000F5905">
      <w:pPr>
        <w:spacing w:line="240" w:lineRule="auto"/>
        <w:rPr>
          <w:sz w:val="20"/>
          <w:szCs w:val="20"/>
          <w:u w:val="single"/>
        </w:rPr>
      </w:pPr>
      <w:r w:rsidRPr="0070526C">
        <w:rPr>
          <w:sz w:val="20"/>
          <w:szCs w:val="20"/>
          <w:u w:val="single"/>
        </w:rPr>
        <w:lastRenderedPageBreak/>
        <w:t>BIBLIOGRAPHY</w:t>
      </w:r>
    </w:p>
    <w:p w14:paraId="5B322196" w14:textId="77777777" w:rsidR="002477F1" w:rsidRPr="0070526C" w:rsidRDefault="002477F1" w:rsidP="002477F1">
      <w:pPr>
        <w:pStyle w:val="ListParagraph"/>
        <w:numPr>
          <w:ilvl w:val="0"/>
          <w:numId w:val="3"/>
        </w:numPr>
        <w:spacing w:after="100" w:afterAutospacing="1" w:line="276" w:lineRule="auto"/>
        <w:ind w:left="360"/>
        <w:rPr>
          <w:sz w:val="20"/>
          <w:szCs w:val="20"/>
        </w:rPr>
      </w:pPr>
      <w:r w:rsidRPr="0070526C">
        <w:rPr>
          <w:sz w:val="20"/>
          <w:szCs w:val="20"/>
        </w:rPr>
        <w:t>Atkinson</w:t>
      </w:r>
      <w:r>
        <w:rPr>
          <w:sz w:val="20"/>
          <w:szCs w:val="20"/>
        </w:rPr>
        <w:t>, Paul</w:t>
      </w:r>
      <w:r w:rsidRPr="0070526C">
        <w:rPr>
          <w:sz w:val="20"/>
          <w:szCs w:val="20"/>
        </w:rPr>
        <w:t xml:space="preserve"> &amp; </w:t>
      </w:r>
      <w:proofErr w:type="spellStart"/>
      <w:r w:rsidRPr="0070526C">
        <w:rPr>
          <w:sz w:val="20"/>
          <w:szCs w:val="20"/>
        </w:rPr>
        <w:t>Hammersely</w:t>
      </w:r>
      <w:proofErr w:type="spellEnd"/>
      <w:r>
        <w:rPr>
          <w:sz w:val="20"/>
          <w:szCs w:val="20"/>
        </w:rPr>
        <w:t>, Martin.</w:t>
      </w:r>
      <w:r w:rsidRPr="0070526C">
        <w:rPr>
          <w:sz w:val="20"/>
          <w:szCs w:val="20"/>
        </w:rPr>
        <w:t xml:space="preserve"> ‘Ethnography and Participant Observation’, </w:t>
      </w:r>
      <w:r w:rsidRPr="0070526C">
        <w:rPr>
          <w:i/>
          <w:iCs/>
          <w:sz w:val="20"/>
          <w:szCs w:val="20"/>
        </w:rPr>
        <w:t>in Strategies of Qualitative Inquiry</w:t>
      </w:r>
      <w:r w:rsidRPr="0070526C">
        <w:rPr>
          <w:sz w:val="20"/>
          <w:szCs w:val="20"/>
        </w:rPr>
        <w:t xml:space="preserve"> by Norman K. Denzin &amp; </w:t>
      </w:r>
      <w:proofErr w:type="spellStart"/>
      <w:r w:rsidRPr="0070526C">
        <w:rPr>
          <w:sz w:val="20"/>
          <w:szCs w:val="20"/>
        </w:rPr>
        <w:t>Yvonna</w:t>
      </w:r>
      <w:proofErr w:type="spellEnd"/>
      <w:r w:rsidRPr="0070526C">
        <w:rPr>
          <w:sz w:val="20"/>
          <w:szCs w:val="20"/>
        </w:rPr>
        <w:t xml:space="preserve"> S. Lincoln (London: Sage, 1998).</w:t>
      </w:r>
    </w:p>
    <w:p w14:paraId="2D3F6B68" w14:textId="77777777" w:rsidR="002477F1" w:rsidRPr="0070526C" w:rsidRDefault="002477F1" w:rsidP="002477F1">
      <w:pPr>
        <w:pStyle w:val="FootnoteText"/>
        <w:numPr>
          <w:ilvl w:val="0"/>
          <w:numId w:val="3"/>
        </w:numPr>
        <w:spacing w:line="276" w:lineRule="auto"/>
        <w:ind w:left="360"/>
        <w:rPr>
          <w:sz w:val="24"/>
          <w:szCs w:val="24"/>
        </w:rPr>
      </w:pPr>
      <w:proofErr w:type="spellStart"/>
      <w:r w:rsidRPr="0070526C">
        <w:t>Bekoff</w:t>
      </w:r>
      <w:proofErr w:type="spellEnd"/>
      <w:r w:rsidRPr="0070526C">
        <w:t>,</w:t>
      </w:r>
      <w:r>
        <w:t xml:space="preserve"> Marc.</w:t>
      </w:r>
      <w:r w:rsidRPr="0070526C">
        <w:t xml:space="preserve"> ‘Redecorating Nature: Deep science, holism, feeling, and heart’ in </w:t>
      </w:r>
      <w:proofErr w:type="spellStart"/>
      <w:r w:rsidRPr="0070526C">
        <w:rPr>
          <w:i/>
          <w:iCs/>
        </w:rPr>
        <w:t>BioScience</w:t>
      </w:r>
      <w:proofErr w:type="spellEnd"/>
      <w:r w:rsidRPr="0070526C">
        <w:t>, Vol. 50 (2000).</w:t>
      </w:r>
    </w:p>
    <w:p w14:paraId="75084E8B" w14:textId="77777777" w:rsidR="002477F1" w:rsidRPr="0070526C" w:rsidRDefault="002477F1" w:rsidP="002477F1">
      <w:pPr>
        <w:pStyle w:val="ListParagraph"/>
        <w:numPr>
          <w:ilvl w:val="0"/>
          <w:numId w:val="3"/>
        </w:numPr>
        <w:spacing w:line="276" w:lineRule="auto"/>
        <w:ind w:left="360"/>
        <w:rPr>
          <w:sz w:val="20"/>
          <w:szCs w:val="20"/>
        </w:rPr>
      </w:pPr>
      <w:proofErr w:type="spellStart"/>
      <w:r w:rsidRPr="0070526C">
        <w:rPr>
          <w:sz w:val="20"/>
          <w:szCs w:val="20"/>
        </w:rPr>
        <w:t>Berkes</w:t>
      </w:r>
      <w:proofErr w:type="spellEnd"/>
      <w:r w:rsidRPr="0070526C">
        <w:rPr>
          <w:sz w:val="20"/>
          <w:szCs w:val="20"/>
        </w:rPr>
        <w:t xml:space="preserve">, </w:t>
      </w:r>
      <w:proofErr w:type="spellStart"/>
      <w:r>
        <w:rPr>
          <w:sz w:val="20"/>
          <w:szCs w:val="20"/>
        </w:rPr>
        <w:t>Filkret</w:t>
      </w:r>
      <w:proofErr w:type="spellEnd"/>
      <w:r>
        <w:rPr>
          <w:sz w:val="20"/>
          <w:szCs w:val="20"/>
        </w:rPr>
        <w:t xml:space="preserve">. </w:t>
      </w:r>
      <w:r w:rsidRPr="0070526C">
        <w:rPr>
          <w:i/>
          <w:iCs/>
          <w:sz w:val="20"/>
          <w:szCs w:val="20"/>
        </w:rPr>
        <w:t>Sacred Ecology: Traditional Ecological Knowledge and Resource Management</w:t>
      </w:r>
      <w:r w:rsidRPr="0070526C">
        <w:rPr>
          <w:sz w:val="20"/>
          <w:szCs w:val="20"/>
        </w:rPr>
        <w:t xml:space="preserve"> (Philadelphia: Taylor and Francis, 1999).</w:t>
      </w:r>
    </w:p>
    <w:p w14:paraId="5ABA1B90" w14:textId="77777777" w:rsidR="002477F1" w:rsidRPr="0070526C" w:rsidRDefault="002477F1" w:rsidP="002477F1">
      <w:pPr>
        <w:pStyle w:val="ListParagraph"/>
        <w:numPr>
          <w:ilvl w:val="0"/>
          <w:numId w:val="3"/>
        </w:numPr>
        <w:spacing w:before="100" w:beforeAutospacing="1" w:after="0" w:line="276" w:lineRule="auto"/>
        <w:ind w:left="360"/>
        <w:rPr>
          <w:sz w:val="20"/>
          <w:szCs w:val="20"/>
        </w:rPr>
      </w:pPr>
      <w:r w:rsidRPr="0070526C">
        <w:rPr>
          <w:sz w:val="20"/>
          <w:szCs w:val="20"/>
        </w:rPr>
        <w:t>Brewer,</w:t>
      </w:r>
      <w:r>
        <w:rPr>
          <w:sz w:val="20"/>
          <w:szCs w:val="20"/>
        </w:rPr>
        <w:t xml:space="preserve"> John. </w:t>
      </w:r>
      <w:r w:rsidRPr="0070526C">
        <w:rPr>
          <w:sz w:val="20"/>
          <w:szCs w:val="20"/>
        </w:rPr>
        <w:t>Ethnography (Buckingham: Open University Press, 2000).</w:t>
      </w:r>
    </w:p>
    <w:p w14:paraId="30C040E6" w14:textId="77777777" w:rsidR="002477F1" w:rsidRPr="0070526C" w:rsidRDefault="002477F1" w:rsidP="002477F1">
      <w:pPr>
        <w:pStyle w:val="ListParagraph"/>
        <w:numPr>
          <w:ilvl w:val="0"/>
          <w:numId w:val="3"/>
        </w:numPr>
        <w:spacing w:line="276" w:lineRule="auto"/>
        <w:ind w:left="360"/>
        <w:rPr>
          <w:sz w:val="20"/>
          <w:szCs w:val="20"/>
        </w:rPr>
      </w:pPr>
      <w:proofErr w:type="spellStart"/>
      <w:r w:rsidRPr="0070526C">
        <w:rPr>
          <w:sz w:val="20"/>
          <w:szCs w:val="20"/>
        </w:rPr>
        <w:t>Cajete</w:t>
      </w:r>
      <w:proofErr w:type="spellEnd"/>
      <w:r w:rsidRPr="0070526C">
        <w:rPr>
          <w:sz w:val="20"/>
          <w:szCs w:val="20"/>
        </w:rPr>
        <w:t xml:space="preserve">, </w:t>
      </w:r>
      <w:r>
        <w:rPr>
          <w:sz w:val="20"/>
          <w:szCs w:val="20"/>
        </w:rPr>
        <w:t xml:space="preserve">Gregory. </w:t>
      </w:r>
      <w:r w:rsidRPr="0070526C">
        <w:rPr>
          <w:sz w:val="20"/>
          <w:szCs w:val="20"/>
        </w:rPr>
        <w:t xml:space="preserve">Look to the Mountain: An Ecology of Indigenous Education (Skyland: </w:t>
      </w:r>
      <w:proofErr w:type="spellStart"/>
      <w:r w:rsidRPr="0070526C">
        <w:rPr>
          <w:sz w:val="20"/>
          <w:szCs w:val="20"/>
        </w:rPr>
        <w:t>Kivaki</w:t>
      </w:r>
      <w:proofErr w:type="spellEnd"/>
      <w:r w:rsidRPr="0070526C">
        <w:rPr>
          <w:sz w:val="20"/>
          <w:szCs w:val="20"/>
        </w:rPr>
        <w:t xml:space="preserve"> Press, 1994).</w:t>
      </w:r>
    </w:p>
    <w:p w14:paraId="5A868C5F" w14:textId="77777777" w:rsidR="002477F1" w:rsidRPr="0070526C" w:rsidRDefault="002477F1" w:rsidP="002477F1">
      <w:pPr>
        <w:pStyle w:val="ListParagraph"/>
        <w:numPr>
          <w:ilvl w:val="0"/>
          <w:numId w:val="3"/>
        </w:numPr>
        <w:spacing w:line="276" w:lineRule="auto"/>
        <w:ind w:left="360"/>
        <w:rPr>
          <w:sz w:val="20"/>
          <w:szCs w:val="20"/>
        </w:rPr>
      </w:pPr>
      <w:proofErr w:type="spellStart"/>
      <w:r w:rsidRPr="0070526C">
        <w:rPr>
          <w:sz w:val="20"/>
          <w:szCs w:val="20"/>
        </w:rPr>
        <w:t>DeLoria</w:t>
      </w:r>
      <w:proofErr w:type="spellEnd"/>
      <w:r w:rsidRPr="0070526C">
        <w:rPr>
          <w:sz w:val="20"/>
          <w:szCs w:val="20"/>
        </w:rPr>
        <w:t xml:space="preserve"> Jr,</w:t>
      </w:r>
      <w:r>
        <w:rPr>
          <w:sz w:val="20"/>
          <w:szCs w:val="20"/>
        </w:rPr>
        <w:t xml:space="preserve"> Vine.</w:t>
      </w:r>
      <w:r w:rsidRPr="0070526C">
        <w:rPr>
          <w:sz w:val="20"/>
          <w:szCs w:val="20"/>
        </w:rPr>
        <w:t xml:space="preserve"> </w:t>
      </w:r>
      <w:r w:rsidRPr="0070526C">
        <w:rPr>
          <w:i/>
          <w:iCs/>
          <w:sz w:val="20"/>
          <w:szCs w:val="20"/>
        </w:rPr>
        <w:t>Red Earth, White Lies</w:t>
      </w:r>
      <w:r w:rsidRPr="0070526C">
        <w:rPr>
          <w:sz w:val="20"/>
          <w:szCs w:val="20"/>
        </w:rPr>
        <w:t xml:space="preserve"> (New York: Harper and Row, 1995).</w:t>
      </w:r>
    </w:p>
    <w:p w14:paraId="76C40A06" w14:textId="77777777" w:rsidR="002477F1" w:rsidRPr="0070526C" w:rsidRDefault="002477F1" w:rsidP="002477F1">
      <w:pPr>
        <w:pStyle w:val="ListParagraph"/>
        <w:numPr>
          <w:ilvl w:val="0"/>
          <w:numId w:val="3"/>
        </w:numPr>
        <w:spacing w:line="276" w:lineRule="auto"/>
        <w:ind w:left="360"/>
        <w:rPr>
          <w:sz w:val="20"/>
          <w:szCs w:val="20"/>
        </w:rPr>
      </w:pPr>
      <w:r w:rsidRPr="0070526C">
        <w:rPr>
          <w:sz w:val="20"/>
          <w:szCs w:val="20"/>
        </w:rPr>
        <w:t>Frake,</w:t>
      </w:r>
      <w:r>
        <w:rPr>
          <w:sz w:val="20"/>
          <w:szCs w:val="20"/>
        </w:rPr>
        <w:t xml:space="preserve"> Charles O.</w:t>
      </w:r>
      <w:r w:rsidRPr="0070526C">
        <w:rPr>
          <w:sz w:val="20"/>
          <w:szCs w:val="20"/>
        </w:rPr>
        <w:t xml:space="preserve"> ‘Cultural Ecology and Ethnography’ in </w:t>
      </w:r>
      <w:r w:rsidRPr="0070526C">
        <w:rPr>
          <w:i/>
          <w:iCs/>
          <w:sz w:val="20"/>
          <w:szCs w:val="20"/>
        </w:rPr>
        <w:t>American Anthropologist</w:t>
      </w:r>
      <w:r w:rsidRPr="0070526C">
        <w:rPr>
          <w:sz w:val="20"/>
          <w:szCs w:val="20"/>
        </w:rPr>
        <w:t>, Vol. 64/1 (1962).</w:t>
      </w:r>
    </w:p>
    <w:p w14:paraId="59C18F80" w14:textId="77777777" w:rsidR="002477F1" w:rsidRPr="0070526C" w:rsidRDefault="002477F1" w:rsidP="002477F1">
      <w:pPr>
        <w:pStyle w:val="ListParagraph"/>
        <w:numPr>
          <w:ilvl w:val="0"/>
          <w:numId w:val="3"/>
        </w:numPr>
        <w:spacing w:line="276" w:lineRule="auto"/>
        <w:ind w:left="360"/>
        <w:rPr>
          <w:sz w:val="20"/>
          <w:szCs w:val="20"/>
        </w:rPr>
      </w:pPr>
      <w:proofErr w:type="spellStart"/>
      <w:r w:rsidRPr="0070526C">
        <w:rPr>
          <w:sz w:val="20"/>
          <w:szCs w:val="20"/>
        </w:rPr>
        <w:t>Hunn</w:t>
      </w:r>
      <w:proofErr w:type="spellEnd"/>
      <w:r w:rsidRPr="0070526C">
        <w:rPr>
          <w:sz w:val="20"/>
          <w:szCs w:val="20"/>
        </w:rPr>
        <w:t>,</w:t>
      </w:r>
      <w:r>
        <w:rPr>
          <w:sz w:val="20"/>
          <w:szCs w:val="20"/>
        </w:rPr>
        <w:t xml:space="preserve"> Eugene.</w:t>
      </w:r>
      <w:r w:rsidRPr="0070526C">
        <w:rPr>
          <w:sz w:val="20"/>
          <w:szCs w:val="20"/>
        </w:rPr>
        <w:t xml:space="preserve"> ‘The Value of Subsistence for the Future of the World’ in </w:t>
      </w:r>
      <w:r w:rsidRPr="0070526C">
        <w:rPr>
          <w:i/>
          <w:iCs/>
          <w:sz w:val="20"/>
          <w:szCs w:val="20"/>
        </w:rPr>
        <w:t>Ethnoecology: Situated Knowledge/Located</w:t>
      </w:r>
      <w:r w:rsidRPr="0070526C">
        <w:rPr>
          <w:sz w:val="20"/>
          <w:szCs w:val="20"/>
        </w:rPr>
        <w:t xml:space="preserve"> Lives (Tucson: Arizona University Press, 1999) pages 23-36.</w:t>
      </w:r>
    </w:p>
    <w:p w14:paraId="71AAFD22" w14:textId="77777777" w:rsidR="002477F1" w:rsidRPr="0070526C" w:rsidRDefault="002477F1" w:rsidP="002477F1">
      <w:pPr>
        <w:pStyle w:val="ListParagraph"/>
        <w:numPr>
          <w:ilvl w:val="0"/>
          <w:numId w:val="3"/>
        </w:numPr>
        <w:spacing w:after="0" w:line="276" w:lineRule="auto"/>
        <w:ind w:left="360"/>
        <w:rPr>
          <w:sz w:val="20"/>
          <w:szCs w:val="20"/>
        </w:rPr>
      </w:pPr>
      <w:proofErr w:type="spellStart"/>
      <w:r w:rsidRPr="0070526C">
        <w:rPr>
          <w:sz w:val="20"/>
          <w:szCs w:val="20"/>
        </w:rPr>
        <w:t>Hymes</w:t>
      </w:r>
      <w:proofErr w:type="spellEnd"/>
      <w:r w:rsidRPr="0070526C">
        <w:rPr>
          <w:sz w:val="20"/>
          <w:szCs w:val="20"/>
        </w:rPr>
        <w:t>,</w:t>
      </w:r>
      <w:r>
        <w:rPr>
          <w:sz w:val="20"/>
          <w:szCs w:val="20"/>
        </w:rPr>
        <w:t xml:space="preserve"> Dell H.</w:t>
      </w:r>
      <w:r w:rsidRPr="0070526C">
        <w:rPr>
          <w:sz w:val="20"/>
          <w:szCs w:val="20"/>
        </w:rPr>
        <w:t xml:space="preserve"> ‘More on Lexicostatistics’ in </w:t>
      </w:r>
      <w:r w:rsidRPr="0070526C">
        <w:rPr>
          <w:i/>
          <w:iCs/>
          <w:sz w:val="20"/>
          <w:szCs w:val="20"/>
        </w:rPr>
        <w:t>Current Anthropology</w:t>
      </w:r>
      <w:r w:rsidRPr="0070526C">
        <w:rPr>
          <w:sz w:val="20"/>
          <w:szCs w:val="20"/>
        </w:rPr>
        <w:t>, Vol. 1/4. (1960) pages 338 – 345.</w:t>
      </w:r>
    </w:p>
    <w:p w14:paraId="47BE072C" w14:textId="77777777" w:rsidR="002477F1" w:rsidRPr="0070526C" w:rsidRDefault="002477F1" w:rsidP="002477F1">
      <w:pPr>
        <w:pStyle w:val="FootnoteText"/>
        <w:numPr>
          <w:ilvl w:val="0"/>
          <w:numId w:val="3"/>
        </w:numPr>
        <w:spacing w:line="276" w:lineRule="auto"/>
        <w:ind w:left="360"/>
        <w:rPr>
          <w:sz w:val="24"/>
          <w:szCs w:val="24"/>
        </w:rPr>
      </w:pPr>
      <w:r w:rsidRPr="0070526C">
        <w:t xml:space="preserve"> Kim</w:t>
      </w:r>
      <w:r>
        <w:t xml:space="preserve">, </w:t>
      </w:r>
      <w:proofErr w:type="spellStart"/>
      <w:r>
        <w:t>Eun</w:t>
      </w:r>
      <w:proofErr w:type="spellEnd"/>
      <w:r>
        <w:t>-Ji Amy</w:t>
      </w:r>
      <w:r w:rsidRPr="0070526C">
        <w:t xml:space="preserve"> et al</w:t>
      </w:r>
      <w:r>
        <w:t xml:space="preserve">. </w:t>
      </w:r>
      <w:r w:rsidRPr="0070526C">
        <w:t xml:space="preserve">‘A Critical Review of Traditional Ecological Knowledge (TEK) in Science Education’ in </w:t>
      </w:r>
      <w:r w:rsidRPr="0070526C">
        <w:rPr>
          <w:i/>
          <w:iCs/>
        </w:rPr>
        <w:t>Canadian Journal of Science, Mathematics and Technology Education</w:t>
      </w:r>
      <w:r w:rsidRPr="0070526C">
        <w:t>, Vol 17 (2017).</w:t>
      </w:r>
    </w:p>
    <w:p w14:paraId="60260CB5" w14:textId="77777777" w:rsidR="002477F1" w:rsidRPr="0070526C" w:rsidRDefault="002477F1" w:rsidP="002477F1">
      <w:pPr>
        <w:pStyle w:val="FootnoteText"/>
        <w:numPr>
          <w:ilvl w:val="0"/>
          <w:numId w:val="3"/>
        </w:numPr>
        <w:spacing w:before="100" w:beforeAutospacing="1" w:line="276" w:lineRule="auto"/>
        <w:ind w:left="360"/>
      </w:pPr>
      <w:r w:rsidRPr="0070526C">
        <w:t xml:space="preserve">Kimmerer, </w:t>
      </w:r>
      <w:r>
        <w:t xml:space="preserve">Robin Wall. </w:t>
      </w:r>
      <w:r w:rsidRPr="0070526C">
        <w:t xml:space="preserve">‘Weaving Traditional Knowledge into Biological Education: A Call to Action’ in </w:t>
      </w:r>
      <w:proofErr w:type="spellStart"/>
      <w:r w:rsidRPr="0070526C">
        <w:rPr>
          <w:i/>
          <w:iCs/>
        </w:rPr>
        <w:t>BioScience</w:t>
      </w:r>
      <w:proofErr w:type="spellEnd"/>
      <w:r w:rsidRPr="0070526C">
        <w:t>, Vol. 52/5 (2002).</w:t>
      </w:r>
    </w:p>
    <w:p w14:paraId="2EC260E9" w14:textId="77777777" w:rsidR="002477F1" w:rsidRPr="0070526C" w:rsidRDefault="002477F1" w:rsidP="002477F1">
      <w:pPr>
        <w:pStyle w:val="FootnoteText"/>
        <w:numPr>
          <w:ilvl w:val="0"/>
          <w:numId w:val="3"/>
        </w:numPr>
        <w:spacing w:line="276" w:lineRule="auto"/>
        <w:ind w:left="360"/>
        <w:rPr>
          <w:sz w:val="24"/>
          <w:szCs w:val="24"/>
        </w:rPr>
      </w:pPr>
      <w:r w:rsidRPr="0070526C">
        <w:t xml:space="preserve">Levy, </w:t>
      </w:r>
      <w:r>
        <w:t xml:space="preserve">Dawn. </w:t>
      </w:r>
      <w:r w:rsidRPr="0070526C">
        <w:t xml:space="preserve">Bridging Tribal, Technological Worlds’ in </w:t>
      </w:r>
      <w:r w:rsidRPr="0070526C">
        <w:rPr>
          <w:i/>
          <w:iCs/>
        </w:rPr>
        <w:t>Science</w:t>
      </w:r>
      <w:r w:rsidRPr="0070526C">
        <w:t>, Vol. 258 (1992) page 123</w:t>
      </w:r>
    </w:p>
    <w:p w14:paraId="720C865C" w14:textId="77777777" w:rsidR="002477F1" w:rsidRPr="0070526C" w:rsidRDefault="002477F1" w:rsidP="002477F1">
      <w:pPr>
        <w:pStyle w:val="ListParagraph"/>
        <w:numPr>
          <w:ilvl w:val="0"/>
          <w:numId w:val="3"/>
        </w:numPr>
        <w:spacing w:line="276" w:lineRule="auto"/>
        <w:ind w:left="360"/>
        <w:rPr>
          <w:sz w:val="20"/>
          <w:szCs w:val="20"/>
        </w:rPr>
      </w:pPr>
      <w:r w:rsidRPr="0070526C">
        <w:rPr>
          <w:sz w:val="20"/>
          <w:szCs w:val="20"/>
        </w:rPr>
        <w:t>Little,</w:t>
      </w:r>
      <w:r>
        <w:rPr>
          <w:sz w:val="20"/>
          <w:szCs w:val="20"/>
        </w:rPr>
        <w:t xml:space="preserve"> Paul Elliott.</w:t>
      </w:r>
      <w:r w:rsidRPr="0070526C">
        <w:rPr>
          <w:sz w:val="20"/>
          <w:szCs w:val="20"/>
        </w:rPr>
        <w:t xml:space="preserve"> </w:t>
      </w:r>
      <w:r w:rsidRPr="0070526C">
        <w:rPr>
          <w:i/>
          <w:iCs/>
          <w:sz w:val="20"/>
          <w:szCs w:val="20"/>
        </w:rPr>
        <w:t>Political ecology as ethnography: a theoretical and methodological guide</w:t>
      </w:r>
      <w:r w:rsidRPr="0070526C">
        <w:rPr>
          <w:sz w:val="20"/>
          <w:szCs w:val="20"/>
        </w:rPr>
        <w:t xml:space="preserve"> (Brazil:</w:t>
      </w:r>
      <w:r>
        <w:rPr>
          <w:sz w:val="20"/>
          <w:szCs w:val="20"/>
        </w:rPr>
        <w:t xml:space="preserve"> </w:t>
      </w:r>
      <w:proofErr w:type="spellStart"/>
      <w:r w:rsidRPr="0070526C">
        <w:rPr>
          <w:sz w:val="20"/>
          <w:szCs w:val="20"/>
        </w:rPr>
        <w:t>Univsersity</w:t>
      </w:r>
      <w:proofErr w:type="spellEnd"/>
      <w:r w:rsidRPr="0070526C">
        <w:rPr>
          <w:sz w:val="20"/>
          <w:szCs w:val="20"/>
        </w:rPr>
        <w:t xml:space="preserve"> of Brasilia, 2007).</w:t>
      </w:r>
    </w:p>
    <w:p w14:paraId="658B6EB5" w14:textId="77777777" w:rsidR="002477F1" w:rsidRPr="0070526C" w:rsidRDefault="002477F1" w:rsidP="002477F1">
      <w:pPr>
        <w:pStyle w:val="ListParagraph"/>
        <w:numPr>
          <w:ilvl w:val="0"/>
          <w:numId w:val="3"/>
        </w:numPr>
        <w:spacing w:line="276" w:lineRule="auto"/>
        <w:ind w:left="360"/>
        <w:rPr>
          <w:sz w:val="20"/>
          <w:szCs w:val="20"/>
        </w:rPr>
      </w:pPr>
      <w:r w:rsidRPr="0070526C">
        <w:rPr>
          <w:sz w:val="20"/>
          <w:szCs w:val="20"/>
        </w:rPr>
        <w:t>Mauro</w:t>
      </w:r>
      <w:r>
        <w:rPr>
          <w:sz w:val="20"/>
          <w:szCs w:val="20"/>
        </w:rPr>
        <w:t>, Francesco</w:t>
      </w:r>
      <w:r w:rsidRPr="0070526C">
        <w:rPr>
          <w:sz w:val="20"/>
          <w:szCs w:val="20"/>
        </w:rPr>
        <w:t xml:space="preserve"> &amp; Hardison,</w:t>
      </w:r>
      <w:r>
        <w:rPr>
          <w:sz w:val="20"/>
          <w:szCs w:val="20"/>
        </w:rPr>
        <w:t xml:space="preserve"> Preston D.</w:t>
      </w:r>
      <w:r w:rsidRPr="0070526C">
        <w:rPr>
          <w:sz w:val="20"/>
          <w:szCs w:val="20"/>
        </w:rPr>
        <w:t xml:space="preserve"> ‘Traditional Knowledge of Indigenous and Local Communities: International Debate and Policy Initiatives’ in </w:t>
      </w:r>
      <w:r w:rsidRPr="0070526C">
        <w:rPr>
          <w:i/>
          <w:iCs/>
          <w:sz w:val="20"/>
          <w:szCs w:val="20"/>
        </w:rPr>
        <w:t>Ecological Applications</w:t>
      </w:r>
      <w:r w:rsidRPr="0070526C">
        <w:rPr>
          <w:sz w:val="20"/>
          <w:szCs w:val="20"/>
        </w:rPr>
        <w:t xml:space="preserve"> (Wiley, 2000).</w:t>
      </w:r>
    </w:p>
    <w:p w14:paraId="3122F630" w14:textId="77777777" w:rsidR="002477F1" w:rsidRPr="0070526C" w:rsidRDefault="002477F1" w:rsidP="002477F1">
      <w:pPr>
        <w:pStyle w:val="ListParagraph"/>
        <w:numPr>
          <w:ilvl w:val="0"/>
          <w:numId w:val="3"/>
        </w:numPr>
        <w:spacing w:line="276" w:lineRule="auto"/>
        <w:ind w:left="360"/>
        <w:rPr>
          <w:sz w:val="20"/>
          <w:szCs w:val="20"/>
        </w:rPr>
      </w:pPr>
      <w:proofErr w:type="spellStart"/>
      <w:r w:rsidRPr="0070526C">
        <w:rPr>
          <w:sz w:val="20"/>
          <w:szCs w:val="20"/>
        </w:rPr>
        <w:t>Nabhan</w:t>
      </w:r>
      <w:proofErr w:type="spellEnd"/>
      <w:r w:rsidRPr="0070526C">
        <w:rPr>
          <w:sz w:val="20"/>
          <w:szCs w:val="20"/>
        </w:rPr>
        <w:t>,</w:t>
      </w:r>
      <w:r>
        <w:rPr>
          <w:sz w:val="20"/>
          <w:szCs w:val="20"/>
        </w:rPr>
        <w:t xml:space="preserve"> Gary Paul.</w:t>
      </w:r>
      <w:r w:rsidRPr="0070526C">
        <w:rPr>
          <w:sz w:val="20"/>
          <w:szCs w:val="20"/>
        </w:rPr>
        <w:t xml:space="preserve"> ‘Interspecific Relationships affecting endangered species recognized by </w:t>
      </w:r>
      <w:proofErr w:type="spellStart"/>
      <w:r w:rsidRPr="0070526C">
        <w:rPr>
          <w:sz w:val="20"/>
          <w:szCs w:val="20"/>
        </w:rPr>
        <w:t>O’Odham</w:t>
      </w:r>
      <w:proofErr w:type="spellEnd"/>
      <w:r w:rsidRPr="0070526C">
        <w:rPr>
          <w:sz w:val="20"/>
          <w:szCs w:val="20"/>
        </w:rPr>
        <w:t xml:space="preserve"> and Comcaac cultures’ in </w:t>
      </w:r>
      <w:r w:rsidRPr="0070526C">
        <w:rPr>
          <w:i/>
          <w:iCs/>
          <w:sz w:val="20"/>
          <w:szCs w:val="20"/>
        </w:rPr>
        <w:t>Ecological Applications</w:t>
      </w:r>
      <w:r w:rsidRPr="0070526C">
        <w:rPr>
          <w:sz w:val="20"/>
          <w:szCs w:val="20"/>
        </w:rPr>
        <w:t>, Vol 10/5 (2000) pages 1288-1295.</w:t>
      </w:r>
    </w:p>
    <w:p w14:paraId="254B6083" w14:textId="77777777" w:rsidR="002477F1" w:rsidRPr="0070526C" w:rsidRDefault="002477F1" w:rsidP="002477F1">
      <w:pPr>
        <w:pStyle w:val="ListParagraph"/>
        <w:numPr>
          <w:ilvl w:val="0"/>
          <w:numId w:val="3"/>
        </w:numPr>
        <w:spacing w:line="276" w:lineRule="auto"/>
        <w:ind w:left="360"/>
        <w:rPr>
          <w:sz w:val="20"/>
          <w:szCs w:val="20"/>
        </w:rPr>
      </w:pPr>
      <w:r w:rsidRPr="0070526C">
        <w:rPr>
          <w:sz w:val="20"/>
          <w:szCs w:val="20"/>
        </w:rPr>
        <w:t>Taylor,</w:t>
      </w:r>
      <w:r>
        <w:rPr>
          <w:sz w:val="20"/>
          <w:szCs w:val="20"/>
        </w:rPr>
        <w:t xml:space="preserve"> </w:t>
      </w:r>
      <w:proofErr w:type="spellStart"/>
      <w:r>
        <w:rPr>
          <w:sz w:val="20"/>
          <w:szCs w:val="20"/>
        </w:rPr>
        <w:t>Bron</w:t>
      </w:r>
      <w:proofErr w:type="spellEnd"/>
      <w:r>
        <w:rPr>
          <w:sz w:val="20"/>
          <w:szCs w:val="20"/>
        </w:rPr>
        <w:t>.</w:t>
      </w:r>
      <w:r w:rsidRPr="0070526C">
        <w:rPr>
          <w:sz w:val="20"/>
          <w:szCs w:val="20"/>
        </w:rPr>
        <w:t xml:space="preserve"> </w:t>
      </w:r>
      <w:r w:rsidRPr="0070526C">
        <w:rPr>
          <w:i/>
          <w:iCs/>
          <w:sz w:val="20"/>
          <w:szCs w:val="20"/>
        </w:rPr>
        <w:t>Dark Green Religion: Nature Spirituality and the Planetary Future</w:t>
      </w:r>
      <w:r w:rsidRPr="0070526C">
        <w:rPr>
          <w:sz w:val="20"/>
          <w:szCs w:val="20"/>
        </w:rPr>
        <w:t xml:space="preserve"> (California: University of California Press, 2010).</w:t>
      </w:r>
    </w:p>
    <w:p w14:paraId="57C24998" w14:textId="77777777" w:rsidR="002477F1" w:rsidRPr="0070526C" w:rsidRDefault="002477F1" w:rsidP="002477F1">
      <w:pPr>
        <w:pStyle w:val="ListParagraph"/>
        <w:numPr>
          <w:ilvl w:val="0"/>
          <w:numId w:val="3"/>
        </w:numPr>
        <w:spacing w:after="0" w:line="276" w:lineRule="auto"/>
        <w:ind w:left="360"/>
        <w:rPr>
          <w:sz w:val="20"/>
          <w:szCs w:val="20"/>
        </w:rPr>
      </w:pPr>
      <w:r w:rsidRPr="0070526C">
        <w:rPr>
          <w:sz w:val="20"/>
          <w:szCs w:val="20"/>
        </w:rPr>
        <w:t xml:space="preserve">United Nations Environment Programme (UNEP), </w:t>
      </w:r>
      <w:r w:rsidRPr="0070526C">
        <w:rPr>
          <w:i/>
          <w:iCs/>
          <w:sz w:val="20"/>
          <w:szCs w:val="20"/>
        </w:rPr>
        <w:t>Report of the Fourth Meeting of the Parties to the Convention on Biodiversity</w:t>
      </w:r>
      <w:r w:rsidRPr="0070526C">
        <w:rPr>
          <w:sz w:val="20"/>
          <w:szCs w:val="20"/>
        </w:rPr>
        <w:t xml:space="preserve"> (Nairobi: UNEP, 1998).</w:t>
      </w:r>
    </w:p>
    <w:p w14:paraId="538E3B69" w14:textId="77777777" w:rsidR="002477F1" w:rsidRPr="0070526C" w:rsidRDefault="002477F1" w:rsidP="002477F1">
      <w:pPr>
        <w:pStyle w:val="FootnoteText"/>
        <w:numPr>
          <w:ilvl w:val="0"/>
          <w:numId w:val="3"/>
        </w:numPr>
        <w:spacing w:line="276" w:lineRule="auto"/>
        <w:ind w:left="360"/>
        <w:rPr>
          <w:sz w:val="22"/>
          <w:szCs w:val="22"/>
        </w:rPr>
      </w:pPr>
      <w:r w:rsidRPr="0070526C">
        <w:t>Wenzel,</w:t>
      </w:r>
      <w:r>
        <w:t xml:space="preserve"> George W.</w:t>
      </w:r>
      <w:r w:rsidRPr="0070526C">
        <w:t xml:space="preserve"> ‘Traditional Ecological Knowledge and Inuit: Reflections of TEK Research and Ethics’ in </w:t>
      </w:r>
      <w:r w:rsidRPr="0070526C">
        <w:rPr>
          <w:i/>
          <w:iCs/>
        </w:rPr>
        <w:t>Arctic</w:t>
      </w:r>
      <w:r w:rsidRPr="0070526C">
        <w:t>, Vol. 52/2 (1999) pages 113-124.</w:t>
      </w:r>
    </w:p>
    <w:p w14:paraId="7E8C894E" w14:textId="2D17A60D" w:rsidR="00986155" w:rsidRDefault="00986155" w:rsidP="00CE6ACF"/>
    <w:p w14:paraId="378524C1" w14:textId="77777777" w:rsidR="00BF11A8" w:rsidRPr="00F7320B" w:rsidRDefault="00BF11A8" w:rsidP="00621494"/>
    <w:p w14:paraId="5D4FCFD9" w14:textId="4C724379" w:rsidR="004F358B" w:rsidRDefault="004F358B" w:rsidP="002118B9"/>
    <w:p w14:paraId="3A8817FB" w14:textId="3C24CC5A" w:rsidR="00C660E4" w:rsidRDefault="00C660E4" w:rsidP="00225E8D"/>
    <w:p w14:paraId="64D6B6C3" w14:textId="334AC7CB" w:rsidR="00F93B29" w:rsidRDefault="00F93B29"/>
    <w:sectPr w:rsidR="00F93B29">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5F17802" w14:textId="77777777" w:rsidR="004A756C" w:rsidRDefault="004A756C" w:rsidP="002A575B">
      <w:pPr>
        <w:spacing w:after="0" w:line="240" w:lineRule="auto"/>
      </w:pPr>
      <w:r>
        <w:separator/>
      </w:r>
    </w:p>
  </w:endnote>
  <w:endnote w:type="continuationSeparator" w:id="0">
    <w:p w14:paraId="1B9FA822" w14:textId="77777777" w:rsidR="004A756C" w:rsidRDefault="004A756C" w:rsidP="002A57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87182406"/>
      <w:docPartObj>
        <w:docPartGallery w:val="Page Numbers (Bottom of Page)"/>
        <w:docPartUnique/>
      </w:docPartObj>
    </w:sdtPr>
    <w:sdtEndPr/>
    <w:sdtContent>
      <w:sdt>
        <w:sdtPr>
          <w:id w:val="-1705238520"/>
          <w:docPartObj>
            <w:docPartGallery w:val="Page Numbers (Top of Page)"/>
            <w:docPartUnique/>
          </w:docPartObj>
        </w:sdtPr>
        <w:sdtEndPr/>
        <w:sdtContent>
          <w:p w14:paraId="5B8B183D" w14:textId="325225A4" w:rsidR="00190730" w:rsidRDefault="00190730">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6FBC3A7" w14:textId="77777777" w:rsidR="00190730" w:rsidRDefault="001907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96FAC0C" w14:textId="77777777" w:rsidR="004A756C" w:rsidRDefault="004A756C" w:rsidP="002A575B">
      <w:pPr>
        <w:spacing w:after="0" w:line="240" w:lineRule="auto"/>
      </w:pPr>
      <w:r>
        <w:separator/>
      </w:r>
    </w:p>
  </w:footnote>
  <w:footnote w:type="continuationSeparator" w:id="0">
    <w:p w14:paraId="40E1C925" w14:textId="77777777" w:rsidR="004A756C" w:rsidRDefault="004A756C" w:rsidP="002A575B">
      <w:pPr>
        <w:spacing w:after="0" w:line="240" w:lineRule="auto"/>
      </w:pPr>
      <w:r>
        <w:continuationSeparator/>
      </w:r>
    </w:p>
  </w:footnote>
  <w:footnote w:id="1">
    <w:p w14:paraId="7818734B" w14:textId="522D9C32" w:rsidR="00A53ABF" w:rsidRDefault="00A53ABF">
      <w:pPr>
        <w:pStyle w:val="FootnoteText"/>
      </w:pPr>
      <w:r>
        <w:rPr>
          <w:rStyle w:val="FootnoteReference"/>
        </w:rPr>
        <w:footnoteRef/>
      </w:r>
      <w:r>
        <w:t xml:space="preserve"> Francesco Mauro &amp; Prest</w:t>
      </w:r>
      <w:r w:rsidR="00661810">
        <w:t>o</w:t>
      </w:r>
      <w:r>
        <w:t xml:space="preserve">n D. Hardison, ‘Traditional Knowledge of Indigenous and Local Communities: International Debate and Policy Initiatives’ in </w:t>
      </w:r>
      <w:r w:rsidRPr="002A575B">
        <w:rPr>
          <w:i/>
          <w:iCs/>
        </w:rPr>
        <w:t>Ecological Applications</w:t>
      </w:r>
      <w:r>
        <w:t xml:space="preserve"> (Wiley, 2000)</w:t>
      </w:r>
    </w:p>
  </w:footnote>
  <w:footnote w:id="2">
    <w:p w14:paraId="1CAAB8D6" w14:textId="74EE66D7" w:rsidR="008E3362" w:rsidRDefault="008E3362">
      <w:pPr>
        <w:pStyle w:val="FootnoteText"/>
      </w:pPr>
      <w:r>
        <w:rPr>
          <w:rStyle w:val="FootnoteReference"/>
        </w:rPr>
        <w:footnoteRef/>
      </w:r>
      <w:r>
        <w:t xml:space="preserve"> Vine </w:t>
      </w:r>
      <w:proofErr w:type="spellStart"/>
      <w:r>
        <w:t>DeLoria</w:t>
      </w:r>
      <w:proofErr w:type="spellEnd"/>
      <w:r>
        <w:t xml:space="preserve"> Jr, </w:t>
      </w:r>
      <w:r w:rsidRPr="008E3362">
        <w:rPr>
          <w:i/>
          <w:iCs/>
        </w:rPr>
        <w:t>Red Earth, White Lies</w:t>
      </w:r>
      <w:r>
        <w:t xml:space="preserve"> (New York: Harper and Row, 1995)</w:t>
      </w:r>
    </w:p>
  </w:footnote>
  <w:footnote w:id="3">
    <w:p w14:paraId="1AA2BE6A" w14:textId="27DBDF70" w:rsidR="008E3362" w:rsidRDefault="008E3362">
      <w:pPr>
        <w:pStyle w:val="FootnoteText"/>
      </w:pPr>
      <w:r>
        <w:rPr>
          <w:rStyle w:val="FootnoteReference"/>
        </w:rPr>
        <w:footnoteRef/>
      </w:r>
      <w:r>
        <w:t xml:space="preserve"> United Nations Environment Programme (UNEP), </w:t>
      </w:r>
      <w:r w:rsidRPr="008E3362">
        <w:rPr>
          <w:i/>
          <w:iCs/>
        </w:rPr>
        <w:t>Report of the Fourth Meeting of the Parties to the Convention on Biodiversity</w:t>
      </w:r>
      <w:r>
        <w:t xml:space="preserve"> (Nairobi: UNEP, 1998)</w:t>
      </w:r>
    </w:p>
  </w:footnote>
  <w:footnote w:id="4">
    <w:p w14:paraId="6CC53C70" w14:textId="40946ABA" w:rsidR="00A53ABF" w:rsidRDefault="00A53ABF">
      <w:pPr>
        <w:pStyle w:val="FootnoteText"/>
      </w:pPr>
      <w:r>
        <w:rPr>
          <w:rStyle w:val="FootnoteReference"/>
        </w:rPr>
        <w:footnoteRef/>
      </w:r>
      <w:r>
        <w:t xml:space="preserve"> Robin Wall Kimmerer, ‘Weaving Traditional Knowledge into Biological Education: A Call to Action’ in </w:t>
      </w:r>
      <w:proofErr w:type="spellStart"/>
      <w:r w:rsidRPr="004563C4">
        <w:rPr>
          <w:i/>
          <w:iCs/>
        </w:rPr>
        <w:t>BioScience</w:t>
      </w:r>
      <w:proofErr w:type="spellEnd"/>
      <w:r>
        <w:t>, Vol. 52/5 (2002) page 433.</w:t>
      </w:r>
    </w:p>
  </w:footnote>
  <w:footnote w:id="5">
    <w:p w14:paraId="35EED7EF" w14:textId="35AC4BDD" w:rsidR="00A53ABF" w:rsidRDefault="00A53ABF">
      <w:pPr>
        <w:pStyle w:val="FootnoteText"/>
      </w:pPr>
      <w:r>
        <w:rPr>
          <w:rStyle w:val="FootnoteReference"/>
        </w:rPr>
        <w:footnoteRef/>
      </w:r>
      <w:r>
        <w:t xml:space="preserve"> Ibid.</w:t>
      </w:r>
    </w:p>
  </w:footnote>
  <w:footnote w:id="6">
    <w:p w14:paraId="5CC9222F" w14:textId="3A86C59C" w:rsidR="00A53ABF" w:rsidRDefault="00A53ABF">
      <w:pPr>
        <w:pStyle w:val="FootnoteText"/>
      </w:pPr>
      <w:r>
        <w:rPr>
          <w:rStyle w:val="FootnoteReference"/>
        </w:rPr>
        <w:footnoteRef/>
      </w:r>
      <w:r>
        <w:t xml:space="preserve"> Ibid.</w:t>
      </w:r>
    </w:p>
  </w:footnote>
  <w:footnote w:id="7">
    <w:p w14:paraId="1EA2D49E" w14:textId="4A18B4C7" w:rsidR="00A53ABF" w:rsidRDefault="00A53ABF">
      <w:pPr>
        <w:pStyle w:val="FootnoteText"/>
      </w:pPr>
      <w:r>
        <w:rPr>
          <w:rStyle w:val="FootnoteReference"/>
        </w:rPr>
        <w:footnoteRef/>
      </w:r>
      <w:r>
        <w:t xml:space="preserve"> </w:t>
      </w:r>
      <w:bookmarkStart w:id="1" w:name="_Hlk56419832"/>
      <w:r>
        <w:t xml:space="preserve">Robin Wall Kimmerer, ‘Weaving Traditional Knowledge into Biological Education: A Call to Action’ in </w:t>
      </w:r>
      <w:proofErr w:type="spellStart"/>
      <w:r w:rsidRPr="004563C4">
        <w:rPr>
          <w:i/>
          <w:iCs/>
        </w:rPr>
        <w:t>BioScience</w:t>
      </w:r>
      <w:proofErr w:type="spellEnd"/>
      <w:r>
        <w:t>, Vol. 52/5 (2002) page 434.</w:t>
      </w:r>
      <w:bookmarkEnd w:id="1"/>
    </w:p>
  </w:footnote>
  <w:footnote w:id="8">
    <w:p w14:paraId="5802A428" w14:textId="2E9399C6" w:rsidR="00764DA1" w:rsidRDefault="00764DA1">
      <w:pPr>
        <w:pStyle w:val="FootnoteText"/>
      </w:pPr>
      <w:r>
        <w:rPr>
          <w:rStyle w:val="FootnoteReference"/>
        </w:rPr>
        <w:footnoteRef/>
      </w:r>
      <w:r>
        <w:t xml:space="preserve"> </w:t>
      </w:r>
      <w:proofErr w:type="spellStart"/>
      <w:r w:rsidR="00006168">
        <w:t>Fikret</w:t>
      </w:r>
      <w:proofErr w:type="spellEnd"/>
      <w:r w:rsidR="00006168">
        <w:t xml:space="preserve"> </w:t>
      </w:r>
      <w:proofErr w:type="spellStart"/>
      <w:r w:rsidR="00006168">
        <w:t>Berkes</w:t>
      </w:r>
      <w:proofErr w:type="spellEnd"/>
      <w:r w:rsidR="00006168">
        <w:t xml:space="preserve">, </w:t>
      </w:r>
      <w:r w:rsidR="00EC1115" w:rsidRPr="00BC6A35">
        <w:rPr>
          <w:i/>
          <w:iCs/>
        </w:rPr>
        <w:t>Sacred Ecology: Traditional Ecological Knowledge and Resource Management</w:t>
      </w:r>
      <w:r w:rsidR="0074579C">
        <w:t xml:space="preserve"> (</w:t>
      </w:r>
      <w:r w:rsidR="007E7DAE">
        <w:t>Philadelphia</w:t>
      </w:r>
      <w:r w:rsidR="00BC6A35">
        <w:t xml:space="preserve">: </w:t>
      </w:r>
      <w:r w:rsidR="007E7DAE">
        <w:t>Taylor and Francis</w:t>
      </w:r>
      <w:r w:rsidR="00BC6A35">
        <w:t xml:space="preserve">, 1999) </w:t>
      </w:r>
    </w:p>
  </w:footnote>
  <w:footnote w:id="9">
    <w:p w14:paraId="7977F1A4" w14:textId="63DA7904" w:rsidR="00BC6A35" w:rsidRDefault="00BC6A35">
      <w:pPr>
        <w:pStyle w:val="FootnoteText"/>
      </w:pPr>
      <w:r>
        <w:rPr>
          <w:rStyle w:val="FootnoteReference"/>
        </w:rPr>
        <w:footnoteRef/>
      </w:r>
      <w:r>
        <w:t xml:space="preserve"> </w:t>
      </w:r>
      <w:r w:rsidR="001C3E6C">
        <w:t xml:space="preserve">Eugene </w:t>
      </w:r>
      <w:proofErr w:type="spellStart"/>
      <w:r w:rsidR="001C3E6C">
        <w:t>Hunn</w:t>
      </w:r>
      <w:proofErr w:type="spellEnd"/>
      <w:r w:rsidR="001C3E6C">
        <w:t xml:space="preserve">, </w:t>
      </w:r>
      <w:r w:rsidR="004948AB">
        <w:t>‘</w:t>
      </w:r>
      <w:r w:rsidR="000569E8">
        <w:t>The Value of Subsistence for the Future of the World</w:t>
      </w:r>
      <w:r w:rsidR="004948AB">
        <w:t>’</w:t>
      </w:r>
      <w:r w:rsidR="004C1144">
        <w:t xml:space="preserve"> in </w:t>
      </w:r>
      <w:r w:rsidR="004948AB" w:rsidRPr="004948AB">
        <w:rPr>
          <w:i/>
          <w:iCs/>
        </w:rPr>
        <w:t>Ethnoecology: Situated Knowledge/Located</w:t>
      </w:r>
      <w:r w:rsidR="004948AB">
        <w:t xml:space="preserve"> Lives</w:t>
      </w:r>
      <w:r w:rsidR="000569E8">
        <w:t xml:space="preserve"> (Tu</w:t>
      </w:r>
      <w:r w:rsidR="004C1144">
        <w:t>cson: Arizona University Press, 1999)</w:t>
      </w:r>
      <w:r w:rsidR="004948AB">
        <w:t xml:space="preserve"> pages </w:t>
      </w:r>
      <w:r w:rsidR="00E4031B">
        <w:t>23-36</w:t>
      </w:r>
    </w:p>
  </w:footnote>
  <w:footnote w:id="10">
    <w:p w14:paraId="54378F17" w14:textId="31D912E8" w:rsidR="00A823EB" w:rsidRDefault="00A823EB">
      <w:pPr>
        <w:pStyle w:val="FootnoteText"/>
      </w:pPr>
      <w:r>
        <w:rPr>
          <w:rStyle w:val="FootnoteReference"/>
        </w:rPr>
        <w:footnoteRef/>
      </w:r>
      <w:r>
        <w:t xml:space="preserve"> </w:t>
      </w:r>
      <w:bookmarkStart w:id="2" w:name="_Hlk56420811"/>
      <w:r>
        <w:t xml:space="preserve">Robin Wall Kimmerer, ‘Weaving Traditional Knowledge into Biological Education: A Call to Action’ in </w:t>
      </w:r>
      <w:proofErr w:type="spellStart"/>
      <w:r w:rsidRPr="004563C4">
        <w:rPr>
          <w:i/>
          <w:iCs/>
        </w:rPr>
        <w:t>BioScience</w:t>
      </w:r>
      <w:proofErr w:type="spellEnd"/>
      <w:r>
        <w:t>, Vol. 52/5 (2002) page 434.</w:t>
      </w:r>
      <w:bookmarkEnd w:id="2"/>
    </w:p>
  </w:footnote>
  <w:footnote w:id="11">
    <w:p w14:paraId="1DC73C4B" w14:textId="1D5B71F7" w:rsidR="00120262" w:rsidRDefault="00120262">
      <w:pPr>
        <w:pStyle w:val="FootnoteText"/>
      </w:pPr>
      <w:r>
        <w:rPr>
          <w:rStyle w:val="FootnoteReference"/>
        </w:rPr>
        <w:footnoteRef/>
      </w:r>
      <w:r>
        <w:t xml:space="preserve"> Ibid.</w:t>
      </w:r>
    </w:p>
  </w:footnote>
  <w:footnote w:id="12">
    <w:p w14:paraId="7431C3F6" w14:textId="44F7DFCD" w:rsidR="00AF38C8" w:rsidRDefault="00AF38C8">
      <w:pPr>
        <w:pStyle w:val="FootnoteText"/>
      </w:pPr>
      <w:r>
        <w:rPr>
          <w:rStyle w:val="FootnoteReference"/>
        </w:rPr>
        <w:footnoteRef/>
      </w:r>
      <w:r>
        <w:t xml:space="preserve"> Robin Wall Kimmerer, ‘Weaving Traditional Knowledge into Biological Education: A Call to Action’ in </w:t>
      </w:r>
      <w:proofErr w:type="spellStart"/>
      <w:r w:rsidRPr="004563C4">
        <w:rPr>
          <w:i/>
          <w:iCs/>
        </w:rPr>
        <w:t>BioScience</w:t>
      </w:r>
      <w:proofErr w:type="spellEnd"/>
      <w:r>
        <w:t>, Vol. 52/5 (2002) page 435.</w:t>
      </w:r>
    </w:p>
  </w:footnote>
  <w:footnote w:id="13">
    <w:p w14:paraId="663D31E8" w14:textId="76837C43" w:rsidR="0054682E" w:rsidRDefault="0054682E">
      <w:pPr>
        <w:pStyle w:val="FootnoteText"/>
      </w:pPr>
      <w:r>
        <w:rPr>
          <w:rStyle w:val="FootnoteReference"/>
        </w:rPr>
        <w:footnoteRef/>
      </w:r>
      <w:r>
        <w:t xml:space="preserve"> </w:t>
      </w:r>
      <w:r w:rsidR="00260174">
        <w:t xml:space="preserve">Gregory </w:t>
      </w:r>
      <w:proofErr w:type="spellStart"/>
      <w:r w:rsidR="00260174">
        <w:t>Cajete</w:t>
      </w:r>
      <w:proofErr w:type="spellEnd"/>
      <w:r w:rsidR="00260174">
        <w:t xml:space="preserve">, </w:t>
      </w:r>
      <w:r w:rsidR="00260174" w:rsidRPr="005D4FCE">
        <w:rPr>
          <w:i/>
          <w:iCs/>
        </w:rPr>
        <w:t xml:space="preserve">Look to the Mountain: An Ecology of Indigenous </w:t>
      </w:r>
      <w:r w:rsidR="00570B15" w:rsidRPr="005D4FCE">
        <w:rPr>
          <w:i/>
          <w:iCs/>
        </w:rPr>
        <w:t>Education</w:t>
      </w:r>
      <w:r w:rsidR="00570B15">
        <w:t xml:space="preserve"> (</w:t>
      </w:r>
      <w:r w:rsidR="00200453">
        <w:t>Skyland:</w:t>
      </w:r>
      <w:r w:rsidR="00780F50">
        <w:t xml:space="preserve"> </w:t>
      </w:r>
      <w:proofErr w:type="spellStart"/>
      <w:r w:rsidR="00780F50">
        <w:t>Kivaki</w:t>
      </w:r>
      <w:proofErr w:type="spellEnd"/>
      <w:r w:rsidR="00780F50">
        <w:t xml:space="preserve"> Press, 1994)</w:t>
      </w:r>
    </w:p>
  </w:footnote>
  <w:footnote w:id="14">
    <w:p w14:paraId="3AF181E4" w14:textId="2F53307E" w:rsidR="00722CCF" w:rsidRDefault="00722CCF">
      <w:pPr>
        <w:pStyle w:val="FootnoteText"/>
      </w:pPr>
      <w:r>
        <w:rPr>
          <w:rStyle w:val="FootnoteReference"/>
        </w:rPr>
        <w:footnoteRef/>
      </w:r>
      <w:r>
        <w:t xml:space="preserve"> </w:t>
      </w:r>
      <w:r w:rsidR="006F122D">
        <w:t xml:space="preserve">Robin Wall Kimmerer, ‘Weaving Traditional Knowledge into Biological Education: A Call to Action’ in </w:t>
      </w:r>
      <w:proofErr w:type="spellStart"/>
      <w:r w:rsidR="006F122D" w:rsidRPr="004563C4">
        <w:rPr>
          <w:i/>
          <w:iCs/>
        </w:rPr>
        <w:t>BioScience</w:t>
      </w:r>
      <w:proofErr w:type="spellEnd"/>
      <w:r w:rsidR="006F122D">
        <w:t>, Vol. 52/5 (2002) page 434.</w:t>
      </w:r>
    </w:p>
  </w:footnote>
  <w:footnote w:id="15">
    <w:p w14:paraId="188680B2" w14:textId="571C3BDA" w:rsidR="00FE7FC4" w:rsidRDefault="00FE7FC4">
      <w:pPr>
        <w:pStyle w:val="FootnoteText"/>
      </w:pPr>
      <w:r>
        <w:rPr>
          <w:rStyle w:val="FootnoteReference"/>
        </w:rPr>
        <w:footnoteRef/>
      </w:r>
      <w:r>
        <w:t xml:space="preserve"> </w:t>
      </w:r>
      <w:r w:rsidR="00DC6FAF">
        <w:t xml:space="preserve">Gary Paul </w:t>
      </w:r>
      <w:proofErr w:type="spellStart"/>
      <w:r w:rsidR="00DC6FAF">
        <w:t>Nabhan</w:t>
      </w:r>
      <w:proofErr w:type="spellEnd"/>
      <w:r w:rsidR="00DC6FAF">
        <w:t xml:space="preserve">, </w:t>
      </w:r>
      <w:r w:rsidR="000B0389">
        <w:t xml:space="preserve">‘Interspecific Relationships affecting endangered species </w:t>
      </w:r>
      <w:r w:rsidR="002E499B">
        <w:t xml:space="preserve">recognized by </w:t>
      </w:r>
      <w:proofErr w:type="spellStart"/>
      <w:r w:rsidR="002E499B">
        <w:t>O’Odham</w:t>
      </w:r>
      <w:proofErr w:type="spellEnd"/>
      <w:r w:rsidR="002E499B">
        <w:t xml:space="preserve"> and Comcaac cultures’ in </w:t>
      </w:r>
      <w:r w:rsidR="002E499B" w:rsidRPr="00CB4542">
        <w:rPr>
          <w:i/>
          <w:iCs/>
        </w:rPr>
        <w:t>Ecological Applications</w:t>
      </w:r>
      <w:r w:rsidR="00D155FE">
        <w:t>, Vol 10</w:t>
      </w:r>
      <w:r w:rsidR="00CB4542">
        <w:t>/5</w:t>
      </w:r>
      <w:r w:rsidR="002E499B">
        <w:t xml:space="preserve"> (</w:t>
      </w:r>
      <w:r w:rsidR="00CB4542">
        <w:t>2000) pages 1288-1295.</w:t>
      </w:r>
    </w:p>
  </w:footnote>
  <w:footnote w:id="16">
    <w:p w14:paraId="78F8DB7B" w14:textId="6BB3B7F9" w:rsidR="00DC6FAF" w:rsidRDefault="00DC6FAF">
      <w:pPr>
        <w:pStyle w:val="FootnoteText"/>
      </w:pPr>
      <w:r>
        <w:rPr>
          <w:rStyle w:val="FootnoteReference"/>
        </w:rPr>
        <w:footnoteRef/>
      </w:r>
      <w:r>
        <w:t xml:space="preserve"> </w:t>
      </w:r>
      <w:r w:rsidR="00CB4542">
        <w:t xml:space="preserve">Robin Wall Kimmerer, ‘Weaving Traditional Knowledge into Biological Education: A Call to Action’ in </w:t>
      </w:r>
      <w:proofErr w:type="spellStart"/>
      <w:r w:rsidR="00CB4542" w:rsidRPr="004563C4">
        <w:rPr>
          <w:i/>
          <w:iCs/>
        </w:rPr>
        <w:t>BioScience</w:t>
      </w:r>
      <w:proofErr w:type="spellEnd"/>
      <w:r w:rsidR="00CB4542">
        <w:t>, Vol. 52/5 (2002) page 434.</w:t>
      </w:r>
    </w:p>
  </w:footnote>
  <w:footnote w:id="17">
    <w:p w14:paraId="4D783501" w14:textId="7E2769C8" w:rsidR="00DF5B3F" w:rsidRDefault="00DF5B3F">
      <w:pPr>
        <w:pStyle w:val="FootnoteText"/>
      </w:pPr>
      <w:r>
        <w:rPr>
          <w:rStyle w:val="FootnoteReference"/>
        </w:rPr>
        <w:footnoteRef/>
      </w:r>
      <w:r>
        <w:t xml:space="preserve"> </w:t>
      </w:r>
      <w:bookmarkStart w:id="3" w:name="_Hlk56425085"/>
      <w:proofErr w:type="spellStart"/>
      <w:r>
        <w:t>Eun</w:t>
      </w:r>
      <w:proofErr w:type="spellEnd"/>
      <w:r>
        <w:t>-Ji Amy Kim</w:t>
      </w:r>
      <w:r w:rsidR="00073176">
        <w:t xml:space="preserve"> et al, ‘A Critical Review of Traditional Ecological Knowledge (TEK) in Science Education</w:t>
      </w:r>
      <w:r w:rsidR="00E0268A">
        <w:t xml:space="preserve">’ in </w:t>
      </w:r>
      <w:r w:rsidR="00E0268A" w:rsidRPr="00E96DF8">
        <w:rPr>
          <w:i/>
          <w:iCs/>
        </w:rPr>
        <w:t>Canadian Journal of Science</w:t>
      </w:r>
      <w:r w:rsidR="00AD73C6" w:rsidRPr="00E96DF8">
        <w:rPr>
          <w:i/>
          <w:iCs/>
        </w:rPr>
        <w:t>, Mathematics and Technology Education</w:t>
      </w:r>
      <w:r w:rsidR="00AD73C6">
        <w:t xml:space="preserve">, Vol </w:t>
      </w:r>
      <w:r w:rsidR="00117120">
        <w:t>17</w:t>
      </w:r>
      <w:r w:rsidR="00E96DF8">
        <w:t xml:space="preserve"> (2017) page 262</w:t>
      </w:r>
      <w:r w:rsidR="006C2CC3">
        <w:t>.</w:t>
      </w:r>
      <w:bookmarkEnd w:id="3"/>
    </w:p>
  </w:footnote>
  <w:footnote w:id="18">
    <w:p w14:paraId="218553E1" w14:textId="3014AB5E" w:rsidR="006C2CC3" w:rsidRDefault="006C2CC3">
      <w:pPr>
        <w:pStyle w:val="FootnoteText"/>
      </w:pPr>
      <w:r>
        <w:rPr>
          <w:rStyle w:val="FootnoteReference"/>
        </w:rPr>
        <w:footnoteRef/>
      </w:r>
      <w:r>
        <w:t xml:space="preserve"> </w:t>
      </w:r>
      <w:bookmarkStart w:id="4" w:name="_Hlk56428363"/>
      <w:proofErr w:type="spellStart"/>
      <w:r>
        <w:t>Eun</w:t>
      </w:r>
      <w:proofErr w:type="spellEnd"/>
      <w:r>
        <w:t xml:space="preserve">-Ji Amy Kim et al, ‘A Critical Review of Traditional Ecological Knowledge (TEK) in Science Education’ in </w:t>
      </w:r>
      <w:r w:rsidRPr="00E96DF8">
        <w:rPr>
          <w:i/>
          <w:iCs/>
        </w:rPr>
        <w:t>Canadian Journal of Science, Mathematics and Technology Education</w:t>
      </w:r>
      <w:r>
        <w:t>, Vol 17 (2017) page 263.</w:t>
      </w:r>
    </w:p>
    <w:bookmarkEnd w:id="4"/>
  </w:footnote>
  <w:footnote w:id="19">
    <w:p w14:paraId="1D4CAC8F" w14:textId="59098ECB" w:rsidR="006268C2" w:rsidRDefault="006268C2">
      <w:pPr>
        <w:pStyle w:val="FootnoteText"/>
      </w:pPr>
      <w:r>
        <w:rPr>
          <w:rStyle w:val="FootnoteReference"/>
        </w:rPr>
        <w:footnoteRef/>
      </w:r>
      <w:r>
        <w:t xml:space="preserve"> </w:t>
      </w:r>
      <w:bookmarkStart w:id="5" w:name="_Hlk56504108"/>
      <w:proofErr w:type="spellStart"/>
      <w:r w:rsidR="00D57588">
        <w:t>Bron</w:t>
      </w:r>
      <w:proofErr w:type="spellEnd"/>
      <w:r w:rsidR="00D57588">
        <w:t xml:space="preserve"> Taylor, </w:t>
      </w:r>
      <w:r w:rsidR="00D57588" w:rsidRPr="00C502E9">
        <w:rPr>
          <w:i/>
          <w:iCs/>
        </w:rPr>
        <w:t>Dark Green Religion: Nature Spirituality and the Planetary Future</w:t>
      </w:r>
      <w:r w:rsidR="00331B18">
        <w:t xml:space="preserve"> (</w:t>
      </w:r>
      <w:r w:rsidR="00145F35">
        <w:t>California: University of California Press</w:t>
      </w:r>
      <w:r w:rsidR="00C502E9">
        <w:t>, 2010) page 154</w:t>
      </w:r>
      <w:bookmarkEnd w:id="5"/>
    </w:p>
  </w:footnote>
  <w:footnote w:id="20">
    <w:p w14:paraId="40187552" w14:textId="1000B462" w:rsidR="00621494" w:rsidRDefault="00621494">
      <w:pPr>
        <w:pStyle w:val="FootnoteText"/>
      </w:pPr>
      <w:r>
        <w:rPr>
          <w:rStyle w:val="FootnoteReference"/>
        </w:rPr>
        <w:footnoteRef/>
      </w:r>
      <w:r>
        <w:t xml:space="preserve"> Robin Wall Kimmerer, ‘Weaving Traditional Knowledge into Biological Education: A Call to Action’ in </w:t>
      </w:r>
      <w:proofErr w:type="spellStart"/>
      <w:r w:rsidRPr="004563C4">
        <w:rPr>
          <w:i/>
          <w:iCs/>
        </w:rPr>
        <w:t>BioScience</w:t>
      </w:r>
      <w:proofErr w:type="spellEnd"/>
      <w:r>
        <w:t>, Vol. 52/5 (2002) page 435.</w:t>
      </w:r>
    </w:p>
  </w:footnote>
  <w:footnote w:id="21">
    <w:p w14:paraId="5087F6F6" w14:textId="21501375" w:rsidR="00621494" w:rsidRDefault="00621494">
      <w:pPr>
        <w:pStyle w:val="FootnoteText"/>
      </w:pPr>
      <w:r>
        <w:rPr>
          <w:rStyle w:val="FootnoteReference"/>
        </w:rPr>
        <w:footnoteRef/>
      </w:r>
      <w:r>
        <w:t xml:space="preserve"> Ibid.</w:t>
      </w:r>
    </w:p>
  </w:footnote>
  <w:footnote w:id="22">
    <w:p w14:paraId="45EE08CA" w14:textId="230A453F" w:rsidR="00460F0C" w:rsidRDefault="00460F0C">
      <w:pPr>
        <w:pStyle w:val="FootnoteText"/>
      </w:pPr>
      <w:r>
        <w:rPr>
          <w:rStyle w:val="FootnoteReference"/>
        </w:rPr>
        <w:footnoteRef/>
      </w:r>
      <w:r>
        <w:t xml:space="preserve"> Ibid.</w:t>
      </w:r>
    </w:p>
  </w:footnote>
  <w:footnote w:id="23">
    <w:p w14:paraId="7446D3C2" w14:textId="1CC678CE" w:rsidR="004729B1" w:rsidRDefault="004729B1">
      <w:pPr>
        <w:pStyle w:val="FootnoteText"/>
      </w:pPr>
      <w:r>
        <w:rPr>
          <w:rStyle w:val="FootnoteReference"/>
        </w:rPr>
        <w:footnoteRef/>
      </w:r>
      <w:r>
        <w:t xml:space="preserve"> </w:t>
      </w:r>
      <w:r w:rsidR="00716637">
        <w:t xml:space="preserve">Dawn Levy, Bridging Tribal, </w:t>
      </w:r>
      <w:r w:rsidR="00623E36">
        <w:t xml:space="preserve">Technological Worlds’ in Science, Vol. </w:t>
      </w:r>
      <w:r w:rsidR="00433CF5">
        <w:t>258 (1992) page 1231</w:t>
      </w:r>
    </w:p>
  </w:footnote>
  <w:footnote w:id="24">
    <w:p w14:paraId="40495D09" w14:textId="61607E75" w:rsidR="003149B7" w:rsidRDefault="003149B7">
      <w:pPr>
        <w:pStyle w:val="FootnoteText"/>
      </w:pPr>
      <w:r>
        <w:rPr>
          <w:rStyle w:val="FootnoteReference"/>
        </w:rPr>
        <w:footnoteRef/>
      </w:r>
      <w:r>
        <w:t xml:space="preserve"> </w:t>
      </w:r>
      <w:r w:rsidR="00F200E0">
        <w:t xml:space="preserve">Marc </w:t>
      </w:r>
      <w:proofErr w:type="spellStart"/>
      <w:r w:rsidR="00F200E0">
        <w:t>Bekoff</w:t>
      </w:r>
      <w:proofErr w:type="spellEnd"/>
      <w:r w:rsidR="00F200E0">
        <w:t>, ‘Redecorating Nature</w:t>
      </w:r>
      <w:r w:rsidR="00923D08">
        <w:t xml:space="preserve">: Deep science, holism, feeling, and heart’ in </w:t>
      </w:r>
      <w:proofErr w:type="spellStart"/>
      <w:r w:rsidR="00923D08" w:rsidRPr="00D25DAC">
        <w:rPr>
          <w:i/>
          <w:iCs/>
        </w:rPr>
        <w:t>BioScience</w:t>
      </w:r>
      <w:proofErr w:type="spellEnd"/>
      <w:r w:rsidR="00923D08">
        <w:t>,</w:t>
      </w:r>
      <w:r w:rsidR="00D25DAC">
        <w:t xml:space="preserve"> Vol</w:t>
      </w:r>
      <w:r w:rsidR="00623E36">
        <w:t>.</w:t>
      </w:r>
      <w:r w:rsidR="00D25DAC">
        <w:t xml:space="preserve"> 50 (2000) page 635.</w:t>
      </w:r>
    </w:p>
  </w:footnote>
  <w:footnote w:id="25">
    <w:p w14:paraId="6EB83533" w14:textId="4F820F12" w:rsidR="00C56153" w:rsidRDefault="00C56153">
      <w:pPr>
        <w:pStyle w:val="FootnoteText"/>
      </w:pPr>
      <w:r>
        <w:rPr>
          <w:rStyle w:val="FootnoteReference"/>
        </w:rPr>
        <w:footnoteRef/>
      </w:r>
      <w:r>
        <w:t xml:space="preserve"> </w:t>
      </w:r>
      <w:proofErr w:type="spellStart"/>
      <w:r>
        <w:t>Eun</w:t>
      </w:r>
      <w:proofErr w:type="spellEnd"/>
      <w:r>
        <w:t xml:space="preserve">-Ji Amy Kim et al, ‘A Critical Review of Traditional Ecological Knowledge (TEK) in Science Education’ in </w:t>
      </w:r>
      <w:r w:rsidRPr="00E96DF8">
        <w:rPr>
          <w:i/>
          <w:iCs/>
        </w:rPr>
        <w:t>Canadian Journal of Science, Mathematics and Technology Education</w:t>
      </w:r>
      <w:r>
        <w:t>, Vol 17 (2017) page 261.</w:t>
      </w:r>
    </w:p>
  </w:footnote>
  <w:footnote w:id="26">
    <w:p w14:paraId="5C35B00E" w14:textId="2A013649" w:rsidR="0094441C" w:rsidRDefault="0094441C">
      <w:pPr>
        <w:pStyle w:val="FootnoteText"/>
      </w:pPr>
      <w:r>
        <w:rPr>
          <w:rStyle w:val="FootnoteReference"/>
        </w:rPr>
        <w:footnoteRef/>
      </w:r>
      <w:r>
        <w:t xml:space="preserve"> Robin Wall Kimmerer, ‘Weaving Traditional Knowledge into Biological Education: A Call to Action’ in </w:t>
      </w:r>
      <w:proofErr w:type="spellStart"/>
      <w:r w:rsidRPr="004563C4">
        <w:rPr>
          <w:i/>
          <w:iCs/>
        </w:rPr>
        <w:t>BioScience</w:t>
      </w:r>
      <w:proofErr w:type="spellEnd"/>
      <w:r>
        <w:t>, Vol. 52/5 (2002) page 437.</w:t>
      </w:r>
    </w:p>
  </w:footnote>
  <w:footnote w:id="27">
    <w:p w14:paraId="1B0F60C9" w14:textId="61A33839" w:rsidR="00A24336" w:rsidRDefault="00A24336">
      <w:pPr>
        <w:pStyle w:val="FootnoteText"/>
      </w:pPr>
      <w:r>
        <w:rPr>
          <w:rStyle w:val="FootnoteReference"/>
        </w:rPr>
        <w:footnoteRef/>
      </w:r>
      <w:r>
        <w:t xml:space="preserve"> George W. Wenzel</w:t>
      </w:r>
      <w:r w:rsidR="00680DAA">
        <w:t xml:space="preserve">, ‘Traditional Ecological Knowledge and Inuit: Reflections of TEK Research and Ethics’ in </w:t>
      </w:r>
      <w:r w:rsidR="00680DAA" w:rsidRPr="00680DAA">
        <w:rPr>
          <w:i/>
          <w:iCs/>
        </w:rPr>
        <w:t>Arctic</w:t>
      </w:r>
      <w:r w:rsidR="00680DAA">
        <w:t>, Vol. 52/2 (1999) pages 113-124.</w:t>
      </w:r>
    </w:p>
  </w:footnote>
  <w:footnote w:id="28">
    <w:p w14:paraId="49F09596" w14:textId="3F6FA9D5" w:rsidR="00E31BFC" w:rsidRDefault="00E31BFC">
      <w:pPr>
        <w:pStyle w:val="FootnoteText"/>
      </w:pPr>
      <w:r>
        <w:rPr>
          <w:rStyle w:val="FootnoteReference"/>
        </w:rPr>
        <w:footnoteRef/>
      </w:r>
      <w:r>
        <w:t xml:space="preserve"> Charles O. Frake, ‘Cultura</w:t>
      </w:r>
      <w:r w:rsidR="008743BF">
        <w:t>l</w:t>
      </w:r>
      <w:r>
        <w:t xml:space="preserve"> Ecology and Ethnography</w:t>
      </w:r>
      <w:r w:rsidR="00582404">
        <w:t xml:space="preserve">’ in </w:t>
      </w:r>
      <w:r w:rsidR="00582404" w:rsidRPr="00EC1019">
        <w:rPr>
          <w:i/>
          <w:iCs/>
        </w:rPr>
        <w:t>American Anthropologist</w:t>
      </w:r>
      <w:r w:rsidR="00582404">
        <w:t>, Vol. 64/1 (</w:t>
      </w:r>
      <w:r w:rsidR="007B1997">
        <w:t>1962) page 53.</w:t>
      </w:r>
    </w:p>
  </w:footnote>
  <w:footnote w:id="29">
    <w:p w14:paraId="29D3E873" w14:textId="5E0FA1AD" w:rsidR="00EC1019" w:rsidRDefault="00EC1019">
      <w:pPr>
        <w:pStyle w:val="FootnoteText"/>
      </w:pPr>
      <w:r>
        <w:rPr>
          <w:rStyle w:val="FootnoteReference"/>
        </w:rPr>
        <w:footnoteRef/>
      </w:r>
      <w:r>
        <w:t xml:space="preserve"> </w:t>
      </w:r>
      <w:r w:rsidR="00671DE0">
        <w:t>Charles O. Frake, ‘Cultura</w:t>
      </w:r>
      <w:r w:rsidR="008743BF">
        <w:t>l</w:t>
      </w:r>
      <w:r w:rsidR="00671DE0">
        <w:t xml:space="preserve"> Ecology and Ethnography’ in </w:t>
      </w:r>
      <w:r w:rsidR="00671DE0" w:rsidRPr="00EC1019">
        <w:rPr>
          <w:i/>
          <w:iCs/>
        </w:rPr>
        <w:t>American Anthropologist</w:t>
      </w:r>
      <w:r w:rsidR="00671DE0">
        <w:t>, Vol. 64/1 (1962) page 54.</w:t>
      </w:r>
    </w:p>
  </w:footnote>
  <w:footnote w:id="30">
    <w:p w14:paraId="44127C07" w14:textId="74788330" w:rsidR="00277B0A" w:rsidRDefault="00277B0A">
      <w:pPr>
        <w:pStyle w:val="FootnoteText"/>
      </w:pPr>
      <w:r>
        <w:rPr>
          <w:rStyle w:val="FootnoteReference"/>
        </w:rPr>
        <w:footnoteRef/>
      </w:r>
      <w:r>
        <w:t xml:space="preserve"> </w:t>
      </w:r>
      <w:r w:rsidR="00FE383F">
        <w:t xml:space="preserve">Dell H. </w:t>
      </w:r>
      <w:proofErr w:type="spellStart"/>
      <w:r w:rsidR="00FE383F">
        <w:t>Hymes</w:t>
      </w:r>
      <w:proofErr w:type="spellEnd"/>
      <w:r w:rsidR="00FE383F">
        <w:t xml:space="preserve">, </w:t>
      </w:r>
      <w:r w:rsidR="00E537EE">
        <w:t>‘</w:t>
      </w:r>
      <w:r w:rsidR="00FE383F">
        <w:t>More on Lexicostatistics</w:t>
      </w:r>
      <w:r w:rsidR="00E537EE">
        <w:t xml:space="preserve">’ in </w:t>
      </w:r>
      <w:r w:rsidR="00E537EE" w:rsidRPr="00D7570C">
        <w:rPr>
          <w:i/>
          <w:iCs/>
        </w:rPr>
        <w:t>Current Anthropology</w:t>
      </w:r>
      <w:r w:rsidR="00E537EE">
        <w:t xml:space="preserve">, Vol. </w:t>
      </w:r>
      <w:r w:rsidR="00D7570C">
        <w:t>1/4. (1960) pages 338 – 345.</w:t>
      </w:r>
    </w:p>
  </w:footnote>
  <w:footnote w:id="31">
    <w:p w14:paraId="5EBDC1CC" w14:textId="458CD32F" w:rsidR="00280B57" w:rsidRDefault="00280B57">
      <w:pPr>
        <w:pStyle w:val="FootnoteText"/>
      </w:pPr>
      <w:r>
        <w:rPr>
          <w:rStyle w:val="FootnoteReference"/>
        </w:rPr>
        <w:footnoteRef/>
      </w:r>
      <w:r>
        <w:t xml:space="preserve"> </w:t>
      </w:r>
      <w:bookmarkStart w:id="6" w:name="_Hlk56434744"/>
      <w:r>
        <w:t xml:space="preserve">Charles O. Frake, ‘Cultural Ecology and Ethnography’ in </w:t>
      </w:r>
      <w:r w:rsidRPr="00EC1019">
        <w:rPr>
          <w:i/>
          <w:iCs/>
        </w:rPr>
        <w:t>American Anthropologist</w:t>
      </w:r>
      <w:r>
        <w:t>, Vol. 64/1 (1962) page 54.</w:t>
      </w:r>
      <w:bookmarkEnd w:id="6"/>
    </w:p>
  </w:footnote>
  <w:footnote w:id="32">
    <w:p w14:paraId="6519077F" w14:textId="45C3CDB0" w:rsidR="00280B57" w:rsidRDefault="00280B57">
      <w:pPr>
        <w:pStyle w:val="FootnoteText"/>
      </w:pPr>
      <w:r>
        <w:rPr>
          <w:rStyle w:val="FootnoteReference"/>
        </w:rPr>
        <w:footnoteRef/>
      </w:r>
      <w:r>
        <w:t xml:space="preserve"> Ibid.</w:t>
      </w:r>
    </w:p>
  </w:footnote>
  <w:footnote w:id="33">
    <w:p w14:paraId="45548BD1" w14:textId="72A30576" w:rsidR="00B26157" w:rsidRDefault="00B26157">
      <w:pPr>
        <w:pStyle w:val="FootnoteText"/>
      </w:pPr>
      <w:r>
        <w:rPr>
          <w:rStyle w:val="FootnoteReference"/>
        </w:rPr>
        <w:footnoteRef/>
      </w:r>
      <w:r>
        <w:t xml:space="preserve"> </w:t>
      </w:r>
      <w:r w:rsidR="006318F1" w:rsidRPr="006318F1">
        <w:t>John Brewer, Ethnography (Buckingham: Open University Press, 2000) p. 10.</w:t>
      </w:r>
    </w:p>
  </w:footnote>
  <w:footnote w:id="34">
    <w:p w14:paraId="54B15832" w14:textId="5638B6E3" w:rsidR="00B26157" w:rsidRDefault="00B26157">
      <w:pPr>
        <w:pStyle w:val="FootnoteText"/>
      </w:pPr>
      <w:r>
        <w:rPr>
          <w:rStyle w:val="FootnoteReference"/>
        </w:rPr>
        <w:footnoteRef/>
      </w:r>
      <w:r>
        <w:t xml:space="preserve"> </w:t>
      </w:r>
      <w:bookmarkStart w:id="7" w:name="_Hlk56436277"/>
      <w:r w:rsidRPr="00B26157">
        <w:t xml:space="preserve">Paul Elliott Little, </w:t>
      </w:r>
      <w:r w:rsidRPr="00B26157">
        <w:rPr>
          <w:i/>
          <w:iCs/>
        </w:rPr>
        <w:t>Political ecology as ethnography: a theoretical and methodological guide</w:t>
      </w:r>
      <w:r w:rsidRPr="00B26157">
        <w:t xml:space="preserve"> (Brazil: </w:t>
      </w:r>
      <w:proofErr w:type="spellStart"/>
      <w:r w:rsidRPr="00B26157">
        <w:t>Univsersity</w:t>
      </w:r>
      <w:proofErr w:type="spellEnd"/>
      <w:r w:rsidRPr="00B26157">
        <w:t xml:space="preserve"> of Brasilia, 2007).</w:t>
      </w:r>
      <w:bookmarkEnd w:id="7"/>
    </w:p>
  </w:footnote>
  <w:footnote w:id="35">
    <w:p w14:paraId="5612D47A" w14:textId="15B15536" w:rsidR="0059051F" w:rsidRDefault="0059051F">
      <w:pPr>
        <w:pStyle w:val="FootnoteText"/>
      </w:pPr>
      <w:r>
        <w:rPr>
          <w:rStyle w:val="FootnoteReference"/>
        </w:rPr>
        <w:footnoteRef/>
      </w:r>
      <w:r>
        <w:t xml:space="preserve"> </w:t>
      </w:r>
      <w:r w:rsidRPr="0059051F">
        <w:t xml:space="preserve">Paul Atkinson &amp; Martyn </w:t>
      </w:r>
      <w:proofErr w:type="spellStart"/>
      <w:r w:rsidRPr="0059051F">
        <w:t>Hammersely</w:t>
      </w:r>
      <w:proofErr w:type="spellEnd"/>
      <w:r w:rsidRPr="0059051F">
        <w:t xml:space="preserve">, ‘Ethnography and Participant Observation’, </w:t>
      </w:r>
      <w:r w:rsidRPr="00B74811">
        <w:rPr>
          <w:i/>
          <w:iCs/>
        </w:rPr>
        <w:t>in Strategies of Qualitative Inquiry</w:t>
      </w:r>
      <w:r w:rsidRPr="0059051F">
        <w:t xml:space="preserve"> by Norman K. Denzin &amp; </w:t>
      </w:r>
      <w:proofErr w:type="spellStart"/>
      <w:r w:rsidRPr="0059051F">
        <w:t>Yvonna</w:t>
      </w:r>
      <w:proofErr w:type="spellEnd"/>
      <w:r w:rsidRPr="0059051F">
        <w:t xml:space="preserve"> S. Lincoln (London: Sage, 1998) p</w:t>
      </w:r>
      <w:r w:rsidR="00B74811">
        <w:t>age</w:t>
      </w:r>
      <w:r w:rsidRPr="0059051F">
        <w:t xml:space="preserve"> 249</w:t>
      </w:r>
    </w:p>
  </w:footnote>
  <w:footnote w:id="36">
    <w:p w14:paraId="1B793AF4" w14:textId="568C24CC" w:rsidR="00E3072E" w:rsidRDefault="00E3072E">
      <w:pPr>
        <w:pStyle w:val="FootnoteText"/>
      </w:pPr>
      <w:r>
        <w:rPr>
          <w:rStyle w:val="FootnoteReference"/>
        </w:rPr>
        <w:footnoteRef/>
      </w:r>
      <w:r>
        <w:t xml:space="preserve"> Charles O. Frake, ‘Cultural Ecology and Ethnography’ in </w:t>
      </w:r>
      <w:r w:rsidRPr="00EC1019">
        <w:rPr>
          <w:i/>
          <w:iCs/>
        </w:rPr>
        <w:t>American Anthropologist</w:t>
      </w:r>
      <w:r>
        <w:t>, Vol. 64/1 (1962) page 58.</w:t>
      </w:r>
    </w:p>
  </w:footnote>
  <w:footnote w:id="37">
    <w:p w14:paraId="0FD79139" w14:textId="6987DF6A" w:rsidR="0020707A" w:rsidRDefault="0020707A">
      <w:pPr>
        <w:pStyle w:val="FootnoteText"/>
      </w:pPr>
      <w:r>
        <w:rPr>
          <w:rStyle w:val="FootnoteReference"/>
        </w:rPr>
        <w:footnoteRef/>
      </w:r>
      <w:r>
        <w:t xml:space="preserve"> </w:t>
      </w:r>
      <w:bookmarkStart w:id="8" w:name="_Hlk56440073"/>
      <w:r>
        <w:t xml:space="preserve">Charles O. Frake, ‘Cultural Ecology and Ethnography’ in </w:t>
      </w:r>
      <w:r w:rsidRPr="00EC1019">
        <w:rPr>
          <w:i/>
          <w:iCs/>
        </w:rPr>
        <w:t>American Anthropologist</w:t>
      </w:r>
      <w:r>
        <w:t>, Vol. 64/1 (1962) page 55.</w:t>
      </w:r>
      <w:bookmarkEnd w:id="8"/>
    </w:p>
  </w:footnote>
  <w:footnote w:id="38">
    <w:p w14:paraId="498371BB" w14:textId="6079CDEA" w:rsidR="007B6CEF" w:rsidRDefault="007B6CEF">
      <w:pPr>
        <w:pStyle w:val="FootnoteText"/>
      </w:pPr>
      <w:r>
        <w:rPr>
          <w:rStyle w:val="FootnoteReference"/>
        </w:rPr>
        <w:footnoteRef/>
      </w:r>
      <w:r>
        <w:t xml:space="preserve"> Ibid.</w:t>
      </w:r>
    </w:p>
  </w:footnote>
  <w:footnote w:id="39">
    <w:p w14:paraId="5743414B" w14:textId="1EC90FBC" w:rsidR="00B15491" w:rsidRDefault="00B15491">
      <w:pPr>
        <w:pStyle w:val="FootnoteText"/>
      </w:pPr>
      <w:r>
        <w:rPr>
          <w:rStyle w:val="FootnoteReference"/>
        </w:rPr>
        <w:footnoteRef/>
      </w:r>
      <w:r>
        <w:t xml:space="preserve"> </w:t>
      </w:r>
      <w:bookmarkStart w:id="9" w:name="_Hlk56440063"/>
      <w:r w:rsidRPr="00B26157">
        <w:t xml:space="preserve">Paul Elliott Little, </w:t>
      </w:r>
      <w:r w:rsidRPr="00B26157">
        <w:rPr>
          <w:i/>
          <w:iCs/>
        </w:rPr>
        <w:t>Political ecology as ethnography: a theoretical and methodological guide</w:t>
      </w:r>
      <w:r w:rsidRPr="00B26157">
        <w:t xml:space="preserve"> (Brazil: </w:t>
      </w:r>
      <w:proofErr w:type="spellStart"/>
      <w:r w:rsidRPr="00B26157">
        <w:t>Univsersity</w:t>
      </w:r>
      <w:proofErr w:type="spellEnd"/>
      <w:r w:rsidRPr="00B26157">
        <w:t xml:space="preserve"> of Brasilia, 2007).</w:t>
      </w:r>
      <w:bookmarkEnd w:id="9"/>
    </w:p>
  </w:footnote>
  <w:footnote w:id="40">
    <w:p w14:paraId="5C03CE70" w14:textId="23DDA597" w:rsidR="00B15491" w:rsidRDefault="00B15491">
      <w:pPr>
        <w:pStyle w:val="FootnoteText"/>
      </w:pPr>
      <w:r>
        <w:rPr>
          <w:rStyle w:val="FootnoteReference"/>
        </w:rPr>
        <w:footnoteRef/>
      </w:r>
      <w:r>
        <w:t xml:space="preserve"> Ibid.</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160FDA6" w14:textId="3C61BE0A" w:rsidR="00190730" w:rsidRDefault="00190730">
    <w:pPr>
      <w:pStyle w:val="Header"/>
    </w:pPr>
    <w:r>
      <w:t>Eleanor Thompson</w:t>
    </w:r>
  </w:p>
  <w:p w14:paraId="0CC4664B" w14:textId="4B97B134" w:rsidR="00190730" w:rsidRDefault="00190730">
    <w:pPr>
      <w:pStyle w:val="Header"/>
    </w:pPr>
    <w:r>
      <w:t>2013469</w:t>
    </w:r>
  </w:p>
  <w:p w14:paraId="5CC505A4" w14:textId="77777777" w:rsidR="00190730" w:rsidRDefault="0019073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6805EAA"/>
    <w:multiLevelType w:val="hybridMultilevel"/>
    <w:tmpl w:val="C2441DB4"/>
    <w:lvl w:ilvl="0" w:tplc="44D64E7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087A9D"/>
    <w:multiLevelType w:val="hybridMultilevel"/>
    <w:tmpl w:val="A2FAC8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2653FC0"/>
    <w:multiLevelType w:val="hybridMultilevel"/>
    <w:tmpl w:val="EB9AF728"/>
    <w:lvl w:ilvl="0" w:tplc="412ED6B6">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9BA0507"/>
    <w:multiLevelType w:val="hybridMultilevel"/>
    <w:tmpl w:val="1F2071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2B7226C"/>
    <w:multiLevelType w:val="hybridMultilevel"/>
    <w:tmpl w:val="A2FAC8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B3F05CD"/>
    <w:multiLevelType w:val="hybridMultilevel"/>
    <w:tmpl w:val="A2FAC8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2"/>
  </w:num>
  <w:num w:numId="4">
    <w:abstractNumId w:val="5"/>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575B"/>
    <w:rsid w:val="00002129"/>
    <w:rsid w:val="00002D32"/>
    <w:rsid w:val="00006168"/>
    <w:rsid w:val="00014447"/>
    <w:rsid w:val="00022FED"/>
    <w:rsid w:val="0003300B"/>
    <w:rsid w:val="0003455F"/>
    <w:rsid w:val="000369D4"/>
    <w:rsid w:val="00041251"/>
    <w:rsid w:val="000512A4"/>
    <w:rsid w:val="000569E8"/>
    <w:rsid w:val="00063B52"/>
    <w:rsid w:val="00064DA7"/>
    <w:rsid w:val="00073176"/>
    <w:rsid w:val="00074BAB"/>
    <w:rsid w:val="00091064"/>
    <w:rsid w:val="00091832"/>
    <w:rsid w:val="000A3387"/>
    <w:rsid w:val="000B0389"/>
    <w:rsid w:val="000B63F3"/>
    <w:rsid w:val="000C5720"/>
    <w:rsid w:val="000C5E9A"/>
    <w:rsid w:val="000F5905"/>
    <w:rsid w:val="000F595B"/>
    <w:rsid w:val="000F7C8A"/>
    <w:rsid w:val="00107A91"/>
    <w:rsid w:val="00110804"/>
    <w:rsid w:val="00117120"/>
    <w:rsid w:val="00120262"/>
    <w:rsid w:val="00121D46"/>
    <w:rsid w:val="00137689"/>
    <w:rsid w:val="00143E00"/>
    <w:rsid w:val="00145F35"/>
    <w:rsid w:val="00163535"/>
    <w:rsid w:val="00164F4B"/>
    <w:rsid w:val="0017012D"/>
    <w:rsid w:val="0018167F"/>
    <w:rsid w:val="00187A9C"/>
    <w:rsid w:val="00190730"/>
    <w:rsid w:val="001908FB"/>
    <w:rsid w:val="00191316"/>
    <w:rsid w:val="00195BA4"/>
    <w:rsid w:val="001964C3"/>
    <w:rsid w:val="001A0F57"/>
    <w:rsid w:val="001B169C"/>
    <w:rsid w:val="001B519E"/>
    <w:rsid w:val="001C3E6C"/>
    <w:rsid w:val="001C50C1"/>
    <w:rsid w:val="001C70F9"/>
    <w:rsid w:val="001D1B0A"/>
    <w:rsid w:val="001F3875"/>
    <w:rsid w:val="001F397B"/>
    <w:rsid w:val="001F4492"/>
    <w:rsid w:val="00200453"/>
    <w:rsid w:val="0020707A"/>
    <w:rsid w:val="002118B9"/>
    <w:rsid w:val="00225E8D"/>
    <w:rsid w:val="0022693B"/>
    <w:rsid w:val="00230150"/>
    <w:rsid w:val="0023111F"/>
    <w:rsid w:val="002477F1"/>
    <w:rsid w:val="00256989"/>
    <w:rsid w:val="00260174"/>
    <w:rsid w:val="00261DA8"/>
    <w:rsid w:val="00273A2F"/>
    <w:rsid w:val="002747C6"/>
    <w:rsid w:val="00276706"/>
    <w:rsid w:val="00277B0A"/>
    <w:rsid w:val="00280B57"/>
    <w:rsid w:val="002828E9"/>
    <w:rsid w:val="002847F9"/>
    <w:rsid w:val="00287EF7"/>
    <w:rsid w:val="00290A49"/>
    <w:rsid w:val="00294934"/>
    <w:rsid w:val="00296730"/>
    <w:rsid w:val="002A0C3A"/>
    <w:rsid w:val="002A575B"/>
    <w:rsid w:val="002B6087"/>
    <w:rsid w:val="002B6135"/>
    <w:rsid w:val="002D00B9"/>
    <w:rsid w:val="002E2962"/>
    <w:rsid w:val="002E499B"/>
    <w:rsid w:val="003039F8"/>
    <w:rsid w:val="00306E75"/>
    <w:rsid w:val="0031054B"/>
    <w:rsid w:val="00310854"/>
    <w:rsid w:val="00312C30"/>
    <w:rsid w:val="003149B7"/>
    <w:rsid w:val="003217DD"/>
    <w:rsid w:val="00324A62"/>
    <w:rsid w:val="00331B18"/>
    <w:rsid w:val="003420BE"/>
    <w:rsid w:val="00350E6C"/>
    <w:rsid w:val="003517F8"/>
    <w:rsid w:val="003545F4"/>
    <w:rsid w:val="003606C3"/>
    <w:rsid w:val="00380076"/>
    <w:rsid w:val="00382E34"/>
    <w:rsid w:val="003A49F0"/>
    <w:rsid w:val="003A4CF4"/>
    <w:rsid w:val="003A60FF"/>
    <w:rsid w:val="003D1F8A"/>
    <w:rsid w:val="003E0409"/>
    <w:rsid w:val="003F7C65"/>
    <w:rsid w:val="00400BE8"/>
    <w:rsid w:val="00402F12"/>
    <w:rsid w:val="00417A34"/>
    <w:rsid w:val="00432575"/>
    <w:rsid w:val="00433CDE"/>
    <w:rsid w:val="00433CF5"/>
    <w:rsid w:val="00436E6E"/>
    <w:rsid w:val="00441947"/>
    <w:rsid w:val="004535D7"/>
    <w:rsid w:val="004563C4"/>
    <w:rsid w:val="00460F0C"/>
    <w:rsid w:val="00463012"/>
    <w:rsid w:val="0047106F"/>
    <w:rsid w:val="0047174A"/>
    <w:rsid w:val="004729B1"/>
    <w:rsid w:val="004807B5"/>
    <w:rsid w:val="00481CD9"/>
    <w:rsid w:val="004948AB"/>
    <w:rsid w:val="00496B1A"/>
    <w:rsid w:val="00496E13"/>
    <w:rsid w:val="004A2186"/>
    <w:rsid w:val="004A756C"/>
    <w:rsid w:val="004B5211"/>
    <w:rsid w:val="004C1144"/>
    <w:rsid w:val="004E0789"/>
    <w:rsid w:val="004E4D30"/>
    <w:rsid w:val="004F358B"/>
    <w:rsid w:val="005014F6"/>
    <w:rsid w:val="00503860"/>
    <w:rsid w:val="00514DCE"/>
    <w:rsid w:val="0052788F"/>
    <w:rsid w:val="00541D64"/>
    <w:rsid w:val="005432DE"/>
    <w:rsid w:val="0054500E"/>
    <w:rsid w:val="0054682E"/>
    <w:rsid w:val="00556056"/>
    <w:rsid w:val="00560104"/>
    <w:rsid w:val="00570B15"/>
    <w:rsid w:val="0057551E"/>
    <w:rsid w:val="00582404"/>
    <w:rsid w:val="0059051F"/>
    <w:rsid w:val="00593407"/>
    <w:rsid w:val="005D4FCE"/>
    <w:rsid w:val="005D6215"/>
    <w:rsid w:val="005E4D9E"/>
    <w:rsid w:val="005F2270"/>
    <w:rsid w:val="005F373C"/>
    <w:rsid w:val="005F3F58"/>
    <w:rsid w:val="00604565"/>
    <w:rsid w:val="00607185"/>
    <w:rsid w:val="00621494"/>
    <w:rsid w:val="00623E36"/>
    <w:rsid w:val="006243DD"/>
    <w:rsid w:val="006268C2"/>
    <w:rsid w:val="00627329"/>
    <w:rsid w:val="00630FB2"/>
    <w:rsid w:val="006318F1"/>
    <w:rsid w:val="006332E6"/>
    <w:rsid w:val="00635F6C"/>
    <w:rsid w:val="00641E0D"/>
    <w:rsid w:val="00661810"/>
    <w:rsid w:val="00670ACA"/>
    <w:rsid w:val="00671DE0"/>
    <w:rsid w:val="00673076"/>
    <w:rsid w:val="006743DF"/>
    <w:rsid w:val="00680DAA"/>
    <w:rsid w:val="00681C35"/>
    <w:rsid w:val="00686A2C"/>
    <w:rsid w:val="00696283"/>
    <w:rsid w:val="006966B3"/>
    <w:rsid w:val="00696D32"/>
    <w:rsid w:val="006B1622"/>
    <w:rsid w:val="006C22AA"/>
    <w:rsid w:val="006C2CC3"/>
    <w:rsid w:val="006E17AD"/>
    <w:rsid w:val="006E5134"/>
    <w:rsid w:val="006E5F42"/>
    <w:rsid w:val="006E7EE1"/>
    <w:rsid w:val="006F122D"/>
    <w:rsid w:val="0070177E"/>
    <w:rsid w:val="0070526C"/>
    <w:rsid w:val="007135F7"/>
    <w:rsid w:val="00716637"/>
    <w:rsid w:val="00722CCF"/>
    <w:rsid w:val="00723E98"/>
    <w:rsid w:val="0073617C"/>
    <w:rsid w:val="00736EAE"/>
    <w:rsid w:val="0074368A"/>
    <w:rsid w:val="00743C42"/>
    <w:rsid w:val="007449AE"/>
    <w:rsid w:val="0074579C"/>
    <w:rsid w:val="0074678E"/>
    <w:rsid w:val="007469A0"/>
    <w:rsid w:val="00751139"/>
    <w:rsid w:val="0075510D"/>
    <w:rsid w:val="007627DB"/>
    <w:rsid w:val="00764DA1"/>
    <w:rsid w:val="00765759"/>
    <w:rsid w:val="00780F50"/>
    <w:rsid w:val="007A5AB1"/>
    <w:rsid w:val="007B1997"/>
    <w:rsid w:val="007B238A"/>
    <w:rsid w:val="007B6CEF"/>
    <w:rsid w:val="007C11C3"/>
    <w:rsid w:val="007D130F"/>
    <w:rsid w:val="007D349F"/>
    <w:rsid w:val="007D59F5"/>
    <w:rsid w:val="007E0EE2"/>
    <w:rsid w:val="007E1F32"/>
    <w:rsid w:val="007E3373"/>
    <w:rsid w:val="007E7DAE"/>
    <w:rsid w:val="007F15C7"/>
    <w:rsid w:val="00802A4E"/>
    <w:rsid w:val="008046FF"/>
    <w:rsid w:val="00804D40"/>
    <w:rsid w:val="00814FB7"/>
    <w:rsid w:val="0082495F"/>
    <w:rsid w:val="00830603"/>
    <w:rsid w:val="00830AA3"/>
    <w:rsid w:val="008322B4"/>
    <w:rsid w:val="0083690C"/>
    <w:rsid w:val="0083772E"/>
    <w:rsid w:val="00843B0C"/>
    <w:rsid w:val="00850D02"/>
    <w:rsid w:val="00851A40"/>
    <w:rsid w:val="00851C77"/>
    <w:rsid w:val="00851EAC"/>
    <w:rsid w:val="008566D4"/>
    <w:rsid w:val="00860257"/>
    <w:rsid w:val="00867FBE"/>
    <w:rsid w:val="00870018"/>
    <w:rsid w:val="008743BF"/>
    <w:rsid w:val="00877613"/>
    <w:rsid w:val="00892B0D"/>
    <w:rsid w:val="008A1A30"/>
    <w:rsid w:val="008A6E70"/>
    <w:rsid w:val="008B1C80"/>
    <w:rsid w:val="008B2F51"/>
    <w:rsid w:val="008C08AF"/>
    <w:rsid w:val="008C2ACB"/>
    <w:rsid w:val="008C77DD"/>
    <w:rsid w:val="008D575E"/>
    <w:rsid w:val="008E1652"/>
    <w:rsid w:val="008E1827"/>
    <w:rsid w:val="008E3362"/>
    <w:rsid w:val="008F21EC"/>
    <w:rsid w:val="0091587A"/>
    <w:rsid w:val="00923D08"/>
    <w:rsid w:val="00936F49"/>
    <w:rsid w:val="0094441C"/>
    <w:rsid w:val="00971E17"/>
    <w:rsid w:val="00975890"/>
    <w:rsid w:val="00981EEB"/>
    <w:rsid w:val="00986155"/>
    <w:rsid w:val="00995CD2"/>
    <w:rsid w:val="00996069"/>
    <w:rsid w:val="009A3392"/>
    <w:rsid w:val="009D3177"/>
    <w:rsid w:val="009F7CDC"/>
    <w:rsid w:val="00A0034A"/>
    <w:rsid w:val="00A02530"/>
    <w:rsid w:val="00A06029"/>
    <w:rsid w:val="00A13DBE"/>
    <w:rsid w:val="00A24336"/>
    <w:rsid w:val="00A2516B"/>
    <w:rsid w:val="00A25EF8"/>
    <w:rsid w:val="00A41428"/>
    <w:rsid w:val="00A53ABF"/>
    <w:rsid w:val="00A540CB"/>
    <w:rsid w:val="00A554D3"/>
    <w:rsid w:val="00A70B65"/>
    <w:rsid w:val="00A823EB"/>
    <w:rsid w:val="00A85B2E"/>
    <w:rsid w:val="00A906F2"/>
    <w:rsid w:val="00A95C70"/>
    <w:rsid w:val="00A96139"/>
    <w:rsid w:val="00AA4566"/>
    <w:rsid w:val="00AA4CE3"/>
    <w:rsid w:val="00AA5A02"/>
    <w:rsid w:val="00AB4621"/>
    <w:rsid w:val="00AB47D7"/>
    <w:rsid w:val="00AC6FE1"/>
    <w:rsid w:val="00AD0DC6"/>
    <w:rsid w:val="00AD73C6"/>
    <w:rsid w:val="00AD7514"/>
    <w:rsid w:val="00AE299E"/>
    <w:rsid w:val="00AE3AA2"/>
    <w:rsid w:val="00AE5297"/>
    <w:rsid w:val="00AE6197"/>
    <w:rsid w:val="00AE7BB2"/>
    <w:rsid w:val="00AF00F9"/>
    <w:rsid w:val="00AF33B5"/>
    <w:rsid w:val="00AF38C8"/>
    <w:rsid w:val="00AF470E"/>
    <w:rsid w:val="00B07BE5"/>
    <w:rsid w:val="00B11121"/>
    <w:rsid w:val="00B14D23"/>
    <w:rsid w:val="00B15491"/>
    <w:rsid w:val="00B16948"/>
    <w:rsid w:val="00B17F55"/>
    <w:rsid w:val="00B26157"/>
    <w:rsid w:val="00B3568F"/>
    <w:rsid w:val="00B36541"/>
    <w:rsid w:val="00B40638"/>
    <w:rsid w:val="00B53814"/>
    <w:rsid w:val="00B74811"/>
    <w:rsid w:val="00B757AB"/>
    <w:rsid w:val="00B76A83"/>
    <w:rsid w:val="00B84755"/>
    <w:rsid w:val="00B900A0"/>
    <w:rsid w:val="00BB59F4"/>
    <w:rsid w:val="00BC1C2D"/>
    <w:rsid w:val="00BC5DC5"/>
    <w:rsid w:val="00BC6A35"/>
    <w:rsid w:val="00BD34BF"/>
    <w:rsid w:val="00BD50F7"/>
    <w:rsid w:val="00BE274D"/>
    <w:rsid w:val="00BE6787"/>
    <w:rsid w:val="00BE781A"/>
    <w:rsid w:val="00BF11A8"/>
    <w:rsid w:val="00BF276E"/>
    <w:rsid w:val="00C02054"/>
    <w:rsid w:val="00C05CD1"/>
    <w:rsid w:val="00C07FEB"/>
    <w:rsid w:val="00C1002A"/>
    <w:rsid w:val="00C1410F"/>
    <w:rsid w:val="00C212BB"/>
    <w:rsid w:val="00C26783"/>
    <w:rsid w:val="00C30434"/>
    <w:rsid w:val="00C3464A"/>
    <w:rsid w:val="00C502E9"/>
    <w:rsid w:val="00C56153"/>
    <w:rsid w:val="00C563EA"/>
    <w:rsid w:val="00C660E4"/>
    <w:rsid w:val="00C73E23"/>
    <w:rsid w:val="00C834FA"/>
    <w:rsid w:val="00C83750"/>
    <w:rsid w:val="00C87BE5"/>
    <w:rsid w:val="00CA097A"/>
    <w:rsid w:val="00CA7A14"/>
    <w:rsid w:val="00CB017F"/>
    <w:rsid w:val="00CB18F4"/>
    <w:rsid w:val="00CB4542"/>
    <w:rsid w:val="00CC230E"/>
    <w:rsid w:val="00CD57BE"/>
    <w:rsid w:val="00CE18D5"/>
    <w:rsid w:val="00CE2924"/>
    <w:rsid w:val="00CE6ACF"/>
    <w:rsid w:val="00CE6CB6"/>
    <w:rsid w:val="00CF5EE7"/>
    <w:rsid w:val="00CF6AD2"/>
    <w:rsid w:val="00D05D53"/>
    <w:rsid w:val="00D11087"/>
    <w:rsid w:val="00D155FE"/>
    <w:rsid w:val="00D25DAC"/>
    <w:rsid w:val="00D32125"/>
    <w:rsid w:val="00D33221"/>
    <w:rsid w:val="00D35092"/>
    <w:rsid w:val="00D37A52"/>
    <w:rsid w:val="00D42749"/>
    <w:rsid w:val="00D42865"/>
    <w:rsid w:val="00D57588"/>
    <w:rsid w:val="00D64830"/>
    <w:rsid w:val="00D7570C"/>
    <w:rsid w:val="00D83D59"/>
    <w:rsid w:val="00D845AF"/>
    <w:rsid w:val="00D85642"/>
    <w:rsid w:val="00D85E21"/>
    <w:rsid w:val="00D920AC"/>
    <w:rsid w:val="00D95435"/>
    <w:rsid w:val="00D97316"/>
    <w:rsid w:val="00DB57C5"/>
    <w:rsid w:val="00DC6FAF"/>
    <w:rsid w:val="00DD0200"/>
    <w:rsid w:val="00DD440A"/>
    <w:rsid w:val="00DF5B3F"/>
    <w:rsid w:val="00E00D7A"/>
    <w:rsid w:val="00E01E3D"/>
    <w:rsid w:val="00E0268A"/>
    <w:rsid w:val="00E044FF"/>
    <w:rsid w:val="00E126A1"/>
    <w:rsid w:val="00E13CFF"/>
    <w:rsid w:val="00E3072E"/>
    <w:rsid w:val="00E31BFC"/>
    <w:rsid w:val="00E35D36"/>
    <w:rsid w:val="00E4031B"/>
    <w:rsid w:val="00E44591"/>
    <w:rsid w:val="00E537EE"/>
    <w:rsid w:val="00E75D3E"/>
    <w:rsid w:val="00E8237A"/>
    <w:rsid w:val="00E867CB"/>
    <w:rsid w:val="00E8769D"/>
    <w:rsid w:val="00E96DF8"/>
    <w:rsid w:val="00EA3649"/>
    <w:rsid w:val="00EB5AA0"/>
    <w:rsid w:val="00EC1019"/>
    <w:rsid w:val="00EC1115"/>
    <w:rsid w:val="00EC3EB5"/>
    <w:rsid w:val="00EC590D"/>
    <w:rsid w:val="00ED4CC8"/>
    <w:rsid w:val="00EE1A8A"/>
    <w:rsid w:val="00EF3C02"/>
    <w:rsid w:val="00F03A91"/>
    <w:rsid w:val="00F06D73"/>
    <w:rsid w:val="00F14D15"/>
    <w:rsid w:val="00F200E0"/>
    <w:rsid w:val="00F30484"/>
    <w:rsid w:val="00F35EC1"/>
    <w:rsid w:val="00F371CA"/>
    <w:rsid w:val="00F51BBD"/>
    <w:rsid w:val="00F55147"/>
    <w:rsid w:val="00F603D5"/>
    <w:rsid w:val="00F71FCF"/>
    <w:rsid w:val="00F7320B"/>
    <w:rsid w:val="00F82AA1"/>
    <w:rsid w:val="00F83FD1"/>
    <w:rsid w:val="00F93B29"/>
    <w:rsid w:val="00F94030"/>
    <w:rsid w:val="00FA3586"/>
    <w:rsid w:val="00FA4BA0"/>
    <w:rsid w:val="00FA67EA"/>
    <w:rsid w:val="00FB007B"/>
    <w:rsid w:val="00FB6EE0"/>
    <w:rsid w:val="00FC7314"/>
    <w:rsid w:val="00FC7556"/>
    <w:rsid w:val="00FE2CFB"/>
    <w:rsid w:val="00FE383F"/>
    <w:rsid w:val="00FE7FC4"/>
    <w:rsid w:val="00FF46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D696420"/>
  <w15:chartTrackingRefBased/>
  <w15:docId w15:val="{6841E4AE-24D1-47A9-BAF7-440374A867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qFormat/>
    <w:rsid w:val="00D95435"/>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2A575B"/>
    <w:pPr>
      <w:spacing w:after="0" w:line="240" w:lineRule="auto"/>
    </w:pPr>
    <w:rPr>
      <w:sz w:val="20"/>
      <w:szCs w:val="20"/>
    </w:rPr>
  </w:style>
  <w:style w:type="character" w:customStyle="1" w:styleId="FootnoteTextChar">
    <w:name w:val="Footnote Text Char"/>
    <w:basedOn w:val="DefaultParagraphFont"/>
    <w:link w:val="FootnoteText"/>
    <w:uiPriority w:val="99"/>
    <w:rsid w:val="002A575B"/>
    <w:rPr>
      <w:sz w:val="20"/>
      <w:szCs w:val="20"/>
    </w:rPr>
  </w:style>
  <w:style w:type="character" w:styleId="FootnoteReference">
    <w:name w:val="footnote reference"/>
    <w:basedOn w:val="DefaultParagraphFont"/>
    <w:uiPriority w:val="99"/>
    <w:semiHidden/>
    <w:unhideWhenUsed/>
    <w:rsid w:val="002A575B"/>
    <w:rPr>
      <w:vertAlign w:val="superscript"/>
    </w:rPr>
  </w:style>
  <w:style w:type="paragraph" w:styleId="ListParagraph">
    <w:name w:val="List Paragraph"/>
    <w:basedOn w:val="Normal"/>
    <w:uiPriority w:val="34"/>
    <w:qFormat/>
    <w:rsid w:val="00225E8D"/>
    <w:pPr>
      <w:ind w:left="720"/>
      <w:contextualSpacing/>
    </w:pPr>
  </w:style>
  <w:style w:type="paragraph" w:styleId="Header">
    <w:name w:val="header"/>
    <w:basedOn w:val="Normal"/>
    <w:link w:val="HeaderChar"/>
    <w:uiPriority w:val="99"/>
    <w:unhideWhenUsed/>
    <w:rsid w:val="001907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0730"/>
  </w:style>
  <w:style w:type="paragraph" w:styleId="Footer">
    <w:name w:val="footer"/>
    <w:basedOn w:val="Normal"/>
    <w:link w:val="FooterChar"/>
    <w:uiPriority w:val="99"/>
    <w:unhideWhenUsed/>
    <w:rsid w:val="001907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0730"/>
  </w:style>
  <w:style w:type="character" w:customStyle="1" w:styleId="Heading3Char">
    <w:name w:val="Heading 3 Char"/>
    <w:basedOn w:val="DefaultParagraphFont"/>
    <w:link w:val="Heading3"/>
    <w:rsid w:val="00D95435"/>
    <w:rPr>
      <w:rFonts w:ascii="Tahoma" w:eastAsia="SimSun" w:hAnsi="Tahoma" w:cs="Tahoma"/>
      <w:b/>
      <w:bCs/>
      <w:sz w:val="20"/>
      <w:szCs w:val="20"/>
      <w:lang w:eastAsia="zh-CN"/>
    </w:rPr>
  </w:style>
  <w:style w:type="paragraph" w:styleId="NormalWeb">
    <w:name w:val="Normal (Web)"/>
    <w:basedOn w:val="Normal"/>
    <w:rsid w:val="00D95435"/>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oleObject" Target="embeddings/Microsoft_Word_97_-_2003_Document.doc"/></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ABD7EC-88A1-47B2-B4B8-73C3B695A2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1228</TotalTime>
  <Pages>10</Pages>
  <Words>2993</Words>
  <Characters>17064</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Eleanor Thompson</dc:creator>
  <cp:keywords/>
  <dc:description/>
  <cp:lastModifiedBy>Eleanor Thompson</cp:lastModifiedBy>
  <cp:revision>426</cp:revision>
  <dcterms:created xsi:type="dcterms:W3CDTF">2020-11-15T12:08:00Z</dcterms:created>
  <dcterms:modified xsi:type="dcterms:W3CDTF">2020-11-18T11:35:00Z</dcterms:modified>
</cp:coreProperties>
</file>