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F9C4EC" w14:textId="6461B495" w:rsidR="0FF45285" w:rsidRDefault="595CB810" w:rsidP="0FF45285">
      <w:pPr>
        <w:jc w:val="center"/>
        <w:rPr>
          <w:rFonts w:ascii="Arial" w:eastAsia="Arial" w:hAnsi="Arial" w:cs="Arial"/>
          <w:sz w:val="32"/>
          <w:szCs w:val="32"/>
        </w:rPr>
      </w:pPr>
      <w:r w:rsidRPr="595CB810">
        <w:rPr>
          <w:rFonts w:ascii="Arial" w:eastAsia="Arial" w:hAnsi="Arial" w:cs="Arial"/>
          <w:b/>
          <w:bCs/>
          <w:sz w:val="32"/>
          <w:szCs w:val="32"/>
          <w:u w:val="single"/>
          <w:lang w:val="en-GB"/>
        </w:rPr>
        <w:t>Source Analyses</w:t>
      </w:r>
    </w:p>
    <w:p w14:paraId="17112773" w14:textId="0598AA2A" w:rsidR="0FF45285" w:rsidRDefault="595CB810" w:rsidP="0FF45285">
      <w:pPr>
        <w:rPr>
          <w:rFonts w:ascii="Arial" w:eastAsia="Arial" w:hAnsi="Arial" w:cs="Arial"/>
          <w:sz w:val="24"/>
          <w:szCs w:val="24"/>
        </w:rPr>
      </w:pPr>
      <w:r w:rsidRPr="595CB810">
        <w:rPr>
          <w:rFonts w:ascii="Arial" w:eastAsia="Arial" w:hAnsi="Arial" w:cs="Arial"/>
          <w:sz w:val="24"/>
          <w:szCs w:val="24"/>
          <w:lang w:val="en-GB"/>
        </w:rPr>
        <w:t>I have chosen two very different sources about the colours used in Ancient Egypt, specifically I will be critically analysing the possible meanings for the colour choices. It will focus on the use of blue and red however the colour ‘blue’ covers all varying shades with pale greens or turquoise also included; while ‘red’ covers its shades include dark browns or oranges. Both sources are from 11</w:t>
      </w:r>
      <w:r w:rsidRPr="595CB810">
        <w:rPr>
          <w:rFonts w:ascii="Arial" w:eastAsia="Arial" w:hAnsi="Arial" w:cs="Arial"/>
          <w:sz w:val="24"/>
          <w:szCs w:val="24"/>
          <w:vertAlign w:val="superscript"/>
          <w:lang w:val="en-GB"/>
        </w:rPr>
        <w:t>th</w:t>
      </w:r>
      <w:r w:rsidRPr="595CB810">
        <w:rPr>
          <w:rFonts w:ascii="Arial" w:eastAsia="Arial" w:hAnsi="Arial" w:cs="Arial"/>
          <w:sz w:val="24"/>
          <w:szCs w:val="24"/>
          <w:lang w:val="en-GB"/>
        </w:rPr>
        <w:t xml:space="preserve"> to 12</w:t>
      </w:r>
      <w:r w:rsidRPr="595CB810">
        <w:rPr>
          <w:rFonts w:ascii="Arial" w:eastAsia="Arial" w:hAnsi="Arial" w:cs="Arial"/>
          <w:sz w:val="24"/>
          <w:szCs w:val="24"/>
          <w:vertAlign w:val="superscript"/>
          <w:lang w:val="en-GB"/>
        </w:rPr>
        <w:t>th</w:t>
      </w:r>
      <w:r w:rsidRPr="595CB810">
        <w:rPr>
          <w:rFonts w:ascii="Arial" w:eastAsia="Arial" w:hAnsi="Arial" w:cs="Arial"/>
          <w:sz w:val="24"/>
          <w:szCs w:val="24"/>
          <w:lang w:val="en-GB"/>
        </w:rPr>
        <w:t xml:space="preserve"> Dynasty Egypt, also known as the middle Kingdom</w:t>
      </w:r>
      <w:r w:rsidR="00FC7CB9">
        <w:rPr>
          <w:rStyle w:val="FootnoteReference"/>
          <w:rFonts w:ascii="Arial" w:eastAsia="Arial" w:hAnsi="Arial" w:cs="Arial"/>
          <w:sz w:val="24"/>
          <w:szCs w:val="24"/>
          <w:lang w:val="en-GB"/>
        </w:rPr>
        <w:footnoteReference w:id="1"/>
      </w:r>
      <w:r w:rsidRPr="595CB810">
        <w:rPr>
          <w:rFonts w:ascii="Arial" w:eastAsia="Arial" w:hAnsi="Arial" w:cs="Arial"/>
          <w:sz w:val="24"/>
          <w:szCs w:val="24"/>
          <w:lang w:val="en-GB"/>
        </w:rPr>
        <w:t xml:space="preserve">. My first source is a relief of </w:t>
      </w:r>
      <w:proofErr w:type="spellStart"/>
      <w:r w:rsidRPr="595CB810">
        <w:rPr>
          <w:rFonts w:ascii="Arial" w:eastAsia="Arial" w:hAnsi="Arial" w:cs="Arial"/>
          <w:sz w:val="24"/>
          <w:szCs w:val="24"/>
          <w:lang w:val="en-GB"/>
        </w:rPr>
        <w:t>Nebhepetre</w:t>
      </w:r>
      <w:proofErr w:type="spellEnd"/>
      <w:r w:rsidRPr="595CB810">
        <w:rPr>
          <w:rFonts w:ascii="Arial" w:eastAsia="Arial" w:hAnsi="Arial" w:cs="Arial"/>
          <w:sz w:val="24"/>
          <w:szCs w:val="24"/>
          <w:lang w:val="en-GB"/>
        </w:rPr>
        <w:t xml:space="preserve"> Mentuhotep II and Hathor, </w:t>
      </w:r>
      <w:proofErr w:type="spellStart"/>
      <w:r w:rsidRPr="595CB810">
        <w:rPr>
          <w:rFonts w:ascii="Arial" w:eastAsia="Arial" w:hAnsi="Arial" w:cs="Arial"/>
          <w:sz w:val="24"/>
          <w:szCs w:val="24"/>
          <w:lang w:val="en-GB"/>
        </w:rPr>
        <w:t>Nebheptre</w:t>
      </w:r>
      <w:proofErr w:type="spellEnd"/>
      <w:r w:rsidRPr="595CB810">
        <w:rPr>
          <w:rFonts w:ascii="Arial" w:eastAsia="Arial" w:hAnsi="Arial" w:cs="Arial"/>
          <w:sz w:val="24"/>
          <w:szCs w:val="24"/>
          <w:lang w:val="en-GB"/>
        </w:rPr>
        <w:t xml:space="preserve"> Mentuhotep II was the first Pharaoh of the Middle Kingdom and the one to once more unite Egypt</w:t>
      </w:r>
      <w:r w:rsidR="001C27D6">
        <w:rPr>
          <w:rStyle w:val="FootnoteReference"/>
          <w:rFonts w:ascii="Arial" w:eastAsia="Arial" w:hAnsi="Arial" w:cs="Arial"/>
          <w:sz w:val="24"/>
          <w:szCs w:val="24"/>
          <w:lang w:val="en-GB"/>
        </w:rPr>
        <w:footnoteReference w:id="2"/>
      </w:r>
      <w:r w:rsidRPr="595CB810">
        <w:rPr>
          <w:rFonts w:ascii="Arial" w:eastAsia="Arial" w:hAnsi="Arial" w:cs="Arial"/>
          <w:sz w:val="24"/>
          <w:szCs w:val="24"/>
          <w:lang w:val="en-GB"/>
        </w:rPr>
        <w:t>; the relief can be found at the Metropolitan Museum of Art in New York (number 07.230.2)</w:t>
      </w:r>
      <w:r w:rsidR="001C27D6">
        <w:rPr>
          <w:rStyle w:val="FootnoteReference"/>
          <w:rFonts w:ascii="Arial" w:eastAsia="Arial" w:hAnsi="Arial" w:cs="Arial"/>
          <w:sz w:val="24"/>
          <w:szCs w:val="24"/>
          <w:lang w:val="en-GB"/>
        </w:rPr>
        <w:footnoteReference w:id="3"/>
      </w:r>
      <w:r w:rsidRPr="595CB810">
        <w:rPr>
          <w:rFonts w:ascii="Arial" w:eastAsia="Arial" w:hAnsi="Arial" w:cs="Arial"/>
          <w:sz w:val="24"/>
          <w:szCs w:val="24"/>
          <w:lang w:val="en-GB"/>
        </w:rPr>
        <w:t>. My second source however is a group of bead necklaces from the British Museum (number EA30336, EA30338)</w:t>
      </w:r>
      <w:r w:rsidR="001C27D6">
        <w:rPr>
          <w:rStyle w:val="FootnoteReference"/>
          <w:rFonts w:ascii="Arial" w:eastAsia="Arial" w:hAnsi="Arial" w:cs="Arial"/>
          <w:sz w:val="24"/>
          <w:szCs w:val="24"/>
          <w:lang w:val="en-GB"/>
        </w:rPr>
        <w:footnoteReference w:id="4"/>
      </w:r>
      <w:r w:rsidRPr="595CB810">
        <w:rPr>
          <w:rFonts w:ascii="Arial" w:eastAsia="Arial" w:hAnsi="Arial" w:cs="Arial"/>
          <w:sz w:val="24"/>
          <w:szCs w:val="24"/>
          <w:lang w:val="en-GB"/>
        </w:rPr>
        <w:t>.</w:t>
      </w:r>
    </w:p>
    <w:p w14:paraId="51951456" w14:textId="6ADF8967" w:rsidR="0FF45285" w:rsidRDefault="595CB810" w:rsidP="0FF45285">
      <w:pPr>
        <w:rPr>
          <w:rFonts w:ascii="Arial" w:eastAsia="Arial" w:hAnsi="Arial" w:cs="Arial"/>
          <w:sz w:val="24"/>
          <w:szCs w:val="24"/>
        </w:rPr>
      </w:pPr>
      <w:r w:rsidRPr="595CB810">
        <w:rPr>
          <w:rFonts w:ascii="Arial" w:eastAsia="Arial" w:hAnsi="Arial" w:cs="Arial"/>
          <w:i/>
          <w:iCs/>
          <w:sz w:val="24"/>
          <w:szCs w:val="24"/>
          <w:lang w:val="en-GB"/>
        </w:rPr>
        <w:t>Figure 1</w:t>
      </w:r>
    </w:p>
    <w:p w14:paraId="121188D4" w14:textId="1E8FE902" w:rsidR="0FF45285" w:rsidRDefault="0FF45285" w:rsidP="0FF45285">
      <w:pPr>
        <w:rPr>
          <w:rFonts w:ascii="Arial" w:eastAsia="Arial" w:hAnsi="Arial" w:cs="Arial"/>
          <w:sz w:val="24"/>
          <w:szCs w:val="24"/>
        </w:rPr>
      </w:pPr>
      <w:r>
        <w:rPr>
          <w:noProof/>
        </w:rPr>
        <w:drawing>
          <wp:inline distT="0" distB="0" distL="0" distR="0" wp14:anchorId="406315C4" wp14:editId="0C18ABB4">
            <wp:extent cx="5943600" cy="2343150"/>
            <wp:effectExtent l="133350" t="114300" r="114300" b="152400"/>
            <wp:docPr id="134619275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8">
                      <a:extLst>
                        <a:ext uri="{28A0092B-C50C-407E-A947-70E740481C1C}">
                          <a14:useLocalDpi xmlns:a14="http://schemas.microsoft.com/office/drawing/2010/main" val="0"/>
                        </a:ext>
                      </a:extLst>
                    </a:blip>
                    <a:srcRect/>
                    <a:stretch>
                      <a:fillRect/>
                    </a:stretch>
                  </pic:blipFill>
                  <pic:spPr>
                    <a:xfrm>
                      <a:off x="0" y="0"/>
                      <a:ext cx="5943600" cy="23431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6DC2785B" w14:textId="6BE1FE2A" w:rsidR="0FF45285" w:rsidRDefault="595CB810" w:rsidP="0FF45285">
      <w:pPr>
        <w:rPr>
          <w:rFonts w:ascii="Arial" w:eastAsia="Arial" w:hAnsi="Arial" w:cs="Arial"/>
          <w:sz w:val="24"/>
          <w:szCs w:val="24"/>
        </w:rPr>
      </w:pPr>
      <w:r w:rsidRPr="595CB810">
        <w:rPr>
          <w:rFonts w:ascii="Arial" w:eastAsia="Arial" w:hAnsi="Arial" w:cs="Arial"/>
          <w:sz w:val="24"/>
          <w:szCs w:val="24"/>
          <w:lang w:val="en-GB"/>
        </w:rPr>
        <w:t>The image above is of my first source, it is 36cm high and 98cm wide and is from Deir el-Bahir temple</w:t>
      </w:r>
      <w:r w:rsidR="001C27D6">
        <w:rPr>
          <w:rStyle w:val="FootnoteReference"/>
          <w:rFonts w:ascii="Arial" w:eastAsia="Arial" w:hAnsi="Arial" w:cs="Arial"/>
          <w:sz w:val="24"/>
          <w:szCs w:val="24"/>
          <w:lang w:val="en-GB"/>
        </w:rPr>
        <w:footnoteReference w:id="5"/>
      </w:r>
      <w:r w:rsidRPr="595CB810">
        <w:rPr>
          <w:rFonts w:ascii="Arial" w:eastAsia="Arial" w:hAnsi="Arial" w:cs="Arial"/>
          <w:sz w:val="24"/>
          <w:szCs w:val="24"/>
          <w:lang w:val="en-GB"/>
        </w:rPr>
        <w:t>. The relief is made from limestone with imbedded hieroglyphs then painted</w:t>
      </w:r>
      <w:r w:rsidR="001C27D6">
        <w:rPr>
          <w:rStyle w:val="FootnoteReference"/>
          <w:rFonts w:ascii="Arial" w:eastAsia="Arial" w:hAnsi="Arial" w:cs="Arial"/>
          <w:sz w:val="24"/>
          <w:szCs w:val="24"/>
          <w:lang w:val="en-GB"/>
        </w:rPr>
        <w:footnoteReference w:id="6"/>
      </w:r>
      <w:r w:rsidRPr="595CB810">
        <w:rPr>
          <w:rFonts w:ascii="Arial" w:eastAsia="Arial" w:hAnsi="Arial" w:cs="Arial"/>
          <w:sz w:val="24"/>
          <w:szCs w:val="24"/>
          <w:lang w:val="en-GB"/>
        </w:rPr>
        <w:t>. Most of the hieroglyphs are reflecting their colours from real life, if we take this further, we can expect that in the archaeological record has bowls and other pottery in either faience or red clay, painted blue. The problem with using this relief to look at the meanings of Middle Kingdom Egypt is that over time paint will fade or change due to environmental conditions, for example blue becoming green because of damp conditions</w:t>
      </w:r>
      <w:r w:rsidR="001C27D6">
        <w:rPr>
          <w:rStyle w:val="FootnoteReference"/>
          <w:rFonts w:ascii="Arial" w:eastAsia="Arial" w:hAnsi="Arial" w:cs="Arial"/>
          <w:sz w:val="24"/>
          <w:szCs w:val="24"/>
          <w:lang w:val="en-GB"/>
        </w:rPr>
        <w:footnoteReference w:id="7"/>
      </w:r>
      <w:r w:rsidRPr="595CB810">
        <w:rPr>
          <w:rFonts w:ascii="Arial" w:eastAsia="Arial" w:hAnsi="Arial" w:cs="Arial"/>
          <w:sz w:val="24"/>
          <w:szCs w:val="24"/>
          <w:lang w:val="en-GB"/>
        </w:rPr>
        <w:t xml:space="preserve">. The gendering of </w:t>
      </w:r>
      <w:proofErr w:type="spellStart"/>
      <w:r w:rsidRPr="595CB810">
        <w:rPr>
          <w:rFonts w:ascii="Arial" w:eastAsia="Arial" w:hAnsi="Arial" w:cs="Arial"/>
          <w:sz w:val="24"/>
          <w:szCs w:val="24"/>
          <w:lang w:val="en-GB"/>
        </w:rPr>
        <w:t>Nebhepetre</w:t>
      </w:r>
      <w:proofErr w:type="spellEnd"/>
      <w:r w:rsidRPr="595CB810">
        <w:rPr>
          <w:rFonts w:ascii="Arial" w:eastAsia="Arial" w:hAnsi="Arial" w:cs="Arial"/>
          <w:sz w:val="24"/>
          <w:szCs w:val="24"/>
          <w:lang w:val="en-GB"/>
        </w:rPr>
        <w:t xml:space="preserve"> in Red while Hathor is Yellow show that the </w:t>
      </w:r>
      <w:r w:rsidRPr="595CB810">
        <w:rPr>
          <w:rFonts w:ascii="Arial" w:eastAsia="Arial" w:hAnsi="Arial" w:cs="Arial"/>
          <w:sz w:val="24"/>
          <w:szCs w:val="24"/>
          <w:lang w:val="en-GB"/>
        </w:rPr>
        <w:lastRenderedPageBreak/>
        <w:t>Egyptians weren’t just using the colours of reality but also using them to show differences in people or objects, if we use this, we can say that the yellow colour hieroglyphs are more feminine that those coloured red. Blues importance in this relief is minimal like its usage, that the Pharaoh is wearing a blue necklace or collar brings importance to the colour as a symbol of royalty. This idea is further supported by the fact Hathor’s red sun disk is cradled in a blue headdress, in turn this may be symbolism for the red sun in the blue sky. Following this though the colour choices may be reflecting the important colours in the natural world with water and sky being blue while the sand and the sun are red.</w:t>
      </w:r>
    </w:p>
    <w:p w14:paraId="51FCA3B4" w14:textId="72B1A246" w:rsidR="0FF45285" w:rsidRDefault="595CB810" w:rsidP="0FF45285">
      <w:pPr>
        <w:ind w:left="5040" w:firstLine="720"/>
        <w:rPr>
          <w:rFonts w:ascii="Arial" w:eastAsia="Arial" w:hAnsi="Arial" w:cs="Arial"/>
          <w:sz w:val="24"/>
          <w:szCs w:val="24"/>
        </w:rPr>
      </w:pPr>
      <w:r w:rsidRPr="595CB810">
        <w:rPr>
          <w:rFonts w:ascii="Arial" w:eastAsia="Arial" w:hAnsi="Arial" w:cs="Arial"/>
          <w:i/>
          <w:iCs/>
          <w:sz w:val="24"/>
          <w:szCs w:val="24"/>
          <w:lang w:val="en-GB"/>
        </w:rPr>
        <w:t>Figure 2</w:t>
      </w:r>
    </w:p>
    <w:p w14:paraId="506A3897" w14:textId="7BBFCF6D" w:rsidR="0FF45285" w:rsidRDefault="0FF45285" w:rsidP="0FF45285">
      <w:pPr>
        <w:rPr>
          <w:rFonts w:ascii="Arial" w:eastAsia="Arial" w:hAnsi="Arial" w:cs="Arial"/>
          <w:sz w:val="24"/>
          <w:szCs w:val="24"/>
        </w:rPr>
      </w:pPr>
      <w:r>
        <w:rPr>
          <w:noProof/>
        </w:rPr>
        <w:drawing>
          <wp:anchor distT="0" distB="0" distL="114300" distR="114300" simplePos="0" relativeHeight="251658240" behindDoc="0" locked="0" layoutInCell="1" allowOverlap="1" wp14:anchorId="33A89155" wp14:editId="46F3B476">
            <wp:simplePos x="0" y="0"/>
            <wp:positionH relativeFrom="column">
              <wp:align>right</wp:align>
            </wp:positionH>
            <wp:positionV relativeFrom="paragraph">
              <wp:posOffset>0</wp:posOffset>
            </wp:positionV>
            <wp:extent cx="2600325" cy="4057650"/>
            <wp:effectExtent l="0" t="0" r="0" b="0"/>
            <wp:wrapSquare wrapText="bothSides"/>
            <wp:docPr id="189426391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9">
                      <a:extLst>
                        <a:ext uri="{28A0092B-C50C-407E-A947-70E740481C1C}">
                          <a14:useLocalDpi xmlns:a14="http://schemas.microsoft.com/office/drawing/2010/main" val="0"/>
                        </a:ext>
                      </a:extLst>
                    </a:blip>
                    <a:srcRect/>
                    <a:stretch>
                      <a:fillRect/>
                    </a:stretch>
                  </pic:blipFill>
                  <pic:spPr>
                    <a:xfrm>
                      <a:off x="0" y="0"/>
                      <a:ext cx="2600325" cy="405765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Pr="0FF45285">
        <w:rPr>
          <w:rFonts w:ascii="Arial" w:eastAsia="Arial" w:hAnsi="Arial" w:cs="Arial"/>
          <w:sz w:val="24"/>
          <w:szCs w:val="24"/>
          <w:lang w:val="en-GB"/>
        </w:rPr>
        <w:t>My second source is in the image to the right, four necklaces of beads, red of cornelian and blue of a glazed material</w:t>
      </w:r>
      <w:r w:rsidR="001C27D6">
        <w:rPr>
          <w:rStyle w:val="FootnoteReference"/>
          <w:rFonts w:ascii="Arial" w:eastAsia="Arial" w:hAnsi="Arial" w:cs="Arial"/>
          <w:sz w:val="24"/>
          <w:szCs w:val="24"/>
          <w:lang w:val="en-GB"/>
        </w:rPr>
        <w:footnoteReference w:id="8"/>
      </w:r>
      <w:r w:rsidRPr="0FF45285">
        <w:rPr>
          <w:rFonts w:ascii="Arial" w:eastAsia="Arial" w:hAnsi="Arial" w:cs="Arial"/>
          <w:sz w:val="24"/>
          <w:szCs w:val="24"/>
          <w:lang w:val="en-GB"/>
        </w:rPr>
        <w:t>. The blue-green beads have more shine but are rougher to the touch in comparison to the lighter blue</w:t>
      </w:r>
      <w:r w:rsidR="00177CD2">
        <w:rPr>
          <w:rStyle w:val="FootnoteReference"/>
          <w:rFonts w:ascii="Arial" w:eastAsia="Arial" w:hAnsi="Arial" w:cs="Arial"/>
          <w:sz w:val="24"/>
          <w:szCs w:val="24"/>
          <w:lang w:val="en-GB"/>
        </w:rPr>
        <w:footnoteReference w:id="9"/>
      </w:r>
      <w:r w:rsidRPr="0FF45285">
        <w:rPr>
          <w:rFonts w:ascii="Arial" w:eastAsia="Arial" w:hAnsi="Arial" w:cs="Arial"/>
          <w:sz w:val="24"/>
          <w:szCs w:val="24"/>
          <w:lang w:val="en-GB"/>
        </w:rPr>
        <w:t>. I expected the beads to be made from faience as a substitute for Lapis Lazuli stones as a less expensive alternative. Due to the less expensive materials we can expect this object to belong to someone without access to funds necessary to get rare lapis from the Aegean (modern day Afghanistan)</w:t>
      </w:r>
      <w:r w:rsidR="00177CD2">
        <w:rPr>
          <w:rStyle w:val="FootnoteReference"/>
          <w:rFonts w:ascii="Arial" w:eastAsia="Arial" w:hAnsi="Arial" w:cs="Arial"/>
          <w:sz w:val="24"/>
          <w:szCs w:val="24"/>
          <w:lang w:val="en-GB"/>
        </w:rPr>
        <w:footnoteReference w:id="10"/>
      </w:r>
      <w:r w:rsidRPr="0FF45285">
        <w:rPr>
          <w:rFonts w:ascii="Arial" w:eastAsia="Arial" w:hAnsi="Arial" w:cs="Arial"/>
          <w:sz w:val="24"/>
          <w:szCs w:val="24"/>
          <w:lang w:val="en-GB"/>
        </w:rPr>
        <w:t>, though with a length of 93.4cm</w:t>
      </w:r>
      <w:r w:rsidR="001C27D6">
        <w:rPr>
          <w:rStyle w:val="FootnoteReference"/>
          <w:rFonts w:ascii="Arial" w:eastAsia="Arial" w:hAnsi="Arial" w:cs="Arial"/>
          <w:sz w:val="24"/>
          <w:szCs w:val="24"/>
          <w:lang w:val="en-GB"/>
        </w:rPr>
        <w:footnoteReference w:id="11"/>
      </w:r>
      <w:r w:rsidRPr="0FF45285">
        <w:rPr>
          <w:rFonts w:ascii="Arial" w:eastAsia="Arial" w:hAnsi="Arial" w:cs="Arial"/>
          <w:sz w:val="24"/>
          <w:szCs w:val="24"/>
          <w:lang w:val="en-GB"/>
        </w:rPr>
        <w:t xml:space="preserve"> I doubt it was for daily use. The cornelian beads of the other necklaces in the image range though shades of red along with have more variety in shape than the blue beads, though all are still typical of Middle Kingdom Egypt. Being around 89.2cm</w:t>
      </w:r>
      <w:r w:rsidR="001C27D6">
        <w:rPr>
          <w:rStyle w:val="FootnoteReference"/>
          <w:rFonts w:ascii="Arial" w:eastAsia="Arial" w:hAnsi="Arial" w:cs="Arial"/>
          <w:sz w:val="24"/>
          <w:szCs w:val="24"/>
          <w:lang w:val="en-GB"/>
        </w:rPr>
        <w:footnoteReference w:id="12"/>
      </w:r>
      <w:r w:rsidRPr="0FF45285">
        <w:rPr>
          <w:rFonts w:ascii="Arial" w:eastAsia="Arial" w:hAnsi="Arial" w:cs="Arial"/>
          <w:sz w:val="24"/>
          <w:szCs w:val="24"/>
          <w:lang w:val="en-GB"/>
        </w:rPr>
        <w:t xml:space="preserve"> long it has a similar problem to the blue though due to the polish and need to import the stone I doubt that these necklaces were found in the same location but due to when the British museum purchase them in 1898</w:t>
      </w:r>
      <w:r w:rsidR="001C27D6">
        <w:rPr>
          <w:rStyle w:val="FootnoteReference"/>
          <w:rFonts w:ascii="Arial" w:eastAsia="Arial" w:hAnsi="Arial" w:cs="Arial"/>
          <w:sz w:val="24"/>
          <w:szCs w:val="24"/>
          <w:lang w:val="en-GB"/>
        </w:rPr>
        <w:footnoteReference w:id="13"/>
      </w:r>
      <w:r w:rsidRPr="0FF45285">
        <w:rPr>
          <w:rFonts w:ascii="Arial" w:eastAsia="Arial" w:hAnsi="Arial" w:cs="Arial"/>
          <w:sz w:val="24"/>
          <w:szCs w:val="24"/>
          <w:lang w:val="en-GB"/>
        </w:rPr>
        <w:t>.</w:t>
      </w:r>
    </w:p>
    <w:p w14:paraId="25166A88" w14:textId="425F0BFA" w:rsidR="00FC7CB9" w:rsidRDefault="595CB810" w:rsidP="001C27D6">
      <w:pPr>
        <w:rPr>
          <w:rFonts w:ascii="Arial" w:eastAsia="Arial" w:hAnsi="Arial" w:cs="Arial"/>
          <w:sz w:val="24"/>
          <w:szCs w:val="24"/>
          <w:lang w:val="en-GB"/>
        </w:rPr>
      </w:pPr>
      <w:r w:rsidRPr="595CB810">
        <w:rPr>
          <w:rFonts w:ascii="Arial" w:eastAsia="Arial" w:hAnsi="Arial" w:cs="Arial"/>
          <w:sz w:val="24"/>
          <w:szCs w:val="24"/>
          <w:lang w:val="en-GB"/>
        </w:rPr>
        <w:t xml:space="preserve">Overall, both sources display my chosen colours but in different materials. The relief’s colours are painted onto the limestone surface while the glazed material of the beads or chosen stones are already that colour. By having the colours represented in different </w:t>
      </w:r>
      <w:r w:rsidRPr="595CB810">
        <w:rPr>
          <w:rFonts w:ascii="Arial" w:eastAsia="Arial" w:hAnsi="Arial" w:cs="Arial"/>
          <w:sz w:val="24"/>
          <w:szCs w:val="24"/>
          <w:lang w:val="en-GB"/>
        </w:rPr>
        <w:lastRenderedPageBreak/>
        <w:t>ways we can observe the variety open to the people of Egypt to display colours. The fact that the relief was made by a Pharaoh out of one material and painted shows how painting must have not been available to those without wealth along with the availability of raw materials to make the paints</w:t>
      </w:r>
      <w:r w:rsidR="001C27D6">
        <w:rPr>
          <w:rStyle w:val="FootnoteReference"/>
          <w:rFonts w:ascii="Arial" w:eastAsia="Arial" w:hAnsi="Arial" w:cs="Arial"/>
          <w:sz w:val="24"/>
          <w:szCs w:val="24"/>
          <w:lang w:val="en-GB"/>
        </w:rPr>
        <w:footnoteReference w:id="14"/>
      </w:r>
      <w:r w:rsidRPr="595CB810">
        <w:rPr>
          <w:rFonts w:ascii="Arial" w:eastAsia="Arial" w:hAnsi="Arial" w:cs="Arial"/>
          <w:sz w:val="24"/>
          <w:szCs w:val="24"/>
          <w:lang w:val="en-GB"/>
        </w:rPr>
        <w:t>. The relief was the most useful to look at between the two despite the colours being used in the hieroglyphics, and parts depleted by time and graffiti. The necklaces are not as clear source to use because their size, but the fact materials were either made or imported plays apart in their purpose.</w:t>
      </w:r>
    </w:p>
    <w:p w14:paraId="535B4C49" w14:textId="77777777" w:rsidR="001C27D6" w:rsidRDefault="001C27D6" w:rsidP="001C27D6">
      <w:pPr>
        <w:rPr>
          <w:rFonts w:ascii="Arial" w:eastAsia="Arial" w:hAnsi="Arial" w:cs="Arial"/>
          <w:b/>
          <w:bCs/>
          <w:sz w:val="24"/>
          <w:szCs w:val="24"/>
          <w:u w:val="single"/>
          <w:lang w:val="en-GB"/>
        </w:rPr>
      </w:pPr>
    </w:p>
    <w:p w14:paraId="1E4635E6" w14:textId="7F6D745F" w:rsidR="0FF45285" w:rsidRDefault="595CB810" w:rsidP="0FF45285">
      <w:pPr>
        <w:jc w:val="center"/>
        <w:rPr>
          <w:rFonts w:ascii="Arial" w:eastAsia="Arial" w:hAnsi="Arial" w:cs="Arial"/>
          <w:sz w:val="24"/>
          <w:szCs w:val="24"/>
        </w:rPr>
      </w:pPr>
      <w:r w:rsidRPr="595CB810">
        <w:rPr>
          <w:rFonts w:ascii="Arial" w:eastAsia="Arial" w:hAnsi="Arial" w:cs="Arial"/>
          <w:b/>
          <w:bCs/>
          <w:sz w:val="24"/>
          <w:szCs w:val="24"/>
          <w:u w:val="single"/>
          <w:lang w:val="en-GB"/>
        </w:rPr>
        <w:t>Annotated Bibliography</w:t>
      </w:r>
    </w:p>
    <w:p w14:paraId="7C22E6DF" w14:textId="0B9819A8" w:rsidR="0FF45285" w:rsidRDefault="595CB810" w:rsidP="0FF45285">
      <w:pPr>
        <w:rPr>
          <w:rFonts w:ascii="Arial" w:eastAsia="Arial" w:hAnsi="Arial" w:cs="Arial"/>
          <w:sz w:val="24"/>
          <w:szCs w:val="24"/>
        </w:rPr>
      </w:pPr>
      <w:r w:rsidRPr="595CB810">
        <w:rPr>
          <w:rFonts w:ascii="Arial" w:eastAsia="Arial" w:hAnsi="Arial" w:cs="Arial"/>
          <w:i/>
          <w:iCs/>
          <w:sz w:val="24"/>
          <w:szCs w:val="24"/>
          <w:lang w:val="en-GB"/>
        </w:rPr>
        <w:t>1.Gage, J. 1993. Colour and Culture: Practice and meaning from Antiquity to Abstraction. Los Angeles. University of California Press.</w:t>
      </w:r>
    </w:p>
    <w:p w14:paraId="32FDD209" w14:textId="3926166E" w:rsidR="0FF45285" w:rsidRDefault="595CB810" w:rsidP="0FF45285">
      <w:pPr>
        <w:rPr>
          <w:rFonts w:ascii="Arial" w:eastAsia="Arial" w:hAnsi="Arial" w:cs="Arial"/>
          <w:sz w:val="24"/>
          <w:szCs w:val="24"/>
        </w:rPr>
      </w:pPr>
      <w:r w:rsidRPr="595CB810">
        <w:rPr>
          <w:rFonts w:ascii="Arial" w:eastAsia="Arial" w:hAnsi="Arial" w:cs="Arial"/>
          <w:sz w:val="24"/>
          <w:szCs w:val="24"/>
          <w:lang w:val="en-GB"/>
        </w:rPr>
        <w:t>This book examines colour choices and meanings throughout time, with each chapter introducing either a new arts style or period. I chose this source because combines perspectives on colour in historic perspective and well written. While it was useful for possible meanings, Gage mainly looked at colours used by the Ancient Greeks and more contemporary artists than Egypt. Following this he mainly used Western interpretations of colour meanings, this contradicts what I’m looking at because the western world doesn’t have the and cultural experiences to have the same choices. He talks of ‘colour languages’ which allows me to use sources on semiotics to understand the development into todays ‘language</w:t>
      </w:r>
      <w:proofErr w:type="gramStart"/>
      <w:r w:rsidRPr="595CB810">
        <w:rPr>
          <w:rFonts w:ascii="Arial" w:eastAsia="Arial" w:hAnsi="Arial" w:cs="Arial"/>
          <w:sz w:val="24"/>
          <w:szCs w:val="24"/>
          <w:lang w:val="en-GB"/>
        </w:rPr>
        <w:t>’</w:t>
      </w:r>
      <w:proofErr w:type="gramEnd"/>
      <w:r w:rsidRPr="595CB810">
        <w:rPr>
          <w:rFonts w:ascii="Arial" w:eastAsia="Arial" w:hAnsi="Arial" w:cs="Arial"/>
          <w:sz w:val="24"/>
          <w:szCs w:val="24"/>
          <w:lang w:val="en-GB"/>
        </w:rPr>
        <w:t xml:space="preserve"> but the experiences of the interpreter play a large part in individual understanding of colour.</w:t>
      </w:r>
    </w:p>
    <w:p w14:paraId="0DE44EF4" w14:textId="629C30C9" w:rsidR="0FF45285" w:rsidRDefault="0FF45285" w:rsidP="0FF45285">
      <w:pPr>
        <w:rPr>
          <w:rFonts w:ascii="Arial" w:eastAsia="Arial" w:hAnsi="Arial" w:cs="Arial"/>
          <w:sz w:val="24"/>
          <w:szCs w:val="24"/>
        </w:rPr>
      </w:pPr>
    </w:p>
    <w:p w14:paraId="33D45356" w14:textId="084DAFFB" w:rsidR="0FF45285" w:rsidRDefault="595CB810" w:rsidP="595CB810">
      <w:pPr>
        <w:rPr>
          <w:rFonts w:ascii="Arial" w:eastAsia="Arial" w:hAnsi="Arial" w:cs="Arial"/>
          <w:sz w:val="24"/>
          <w:szCs w:val="24"/>
        </w:rPr>
      </w:pPr>
      <w:r w:rsidRPr="595CB810">
        <w:rPr>
          <w:rFonts w:ascii="Arial" w:eastAsia="Arial" w:hAnsi="Arial" w:cs="Arial"/>
          <w:i/>
          <w:iCs/>
          <w:sz w:val="24"/>
          <w:szCs w:val="24"/>
          <w:lang w:val="en-GB"/>
        </w:rPr>
        <w:t xml:space="preserve">2.The British Museum Collection- middle Egyptian objects with online images   </w:t>
      </w:r>
      <w:hyperlink r:id="rId10">
        <w:r w:rsidRPr="595CB810">
          <w:rPr>
            <w:rStyle w:val="Hyperlink"/>
            <w:rFonts w:ascii="Arial" w:eastAsia="Arial" w:hAnsi="Arial" w:cs="Arial"/>
            <w:i/>
            <w:iCs/>
            <w:color w:val="0563C1"/>
            <w:sz w:val="24"/>
            <w:szCs w:val="24"/>
            <w:lang w:val="en-GB"/>
          </w:rPr>
          <w:t>https://www.britishmuseum.org/research/collection_online/collection_object_details.aspx?objectId=170417&amp;partId=1&amp;searchText=Middle+Kingdom+Egypt&amp;images=true&amp;page=3</w:t>
        </w:r>
      </w:hyperlink>
      <w:r w:rsidRPr="595CB810">
        <w:rPr>
          <w:rFonts w:ascii="Arial" w:eastAsia="Arial" w:hAnsi="Arial" w:cs="Arial"/>
          <w:i/>
          <w:iCs/>
          <w:color w:val="0563C1"/>
          <w:sz w:val="24"/>
          <w:szCs w:val="24"/>
          <w:u w:val="single"/>
          <w:lang w:val="en-GB"/>
        </w:rPr>
        <w:t xml:space="preserve"> </w:t>
      </w:r>
      <w:r w:rsidRPr="595CB810">
        <w:rPr>
          <w:rFonts w:ascii="Arial" w:eastAsia="Arial" w:hAnsi="Arial" w:cs="Arial"/>
          <w:i/>
          <w:iCs/>
          <w:sz w:val="24"/>
          <w:szCs w:val="24"/>
          <w:lang w:val="en-GB"/>
        </w:rPr>
        <w:t>accessed 05.03.19</w:t>
      </w:r>
    </w:p>
    <w:p w14:paraId="36B01BAD" w14:textId="33D8F836" w:rsidR="0FF45285" w:rsidRDefault="595CB810" w:rsidP="595CB810">
      <w:pPr>
        <w:rPr>
          <w:rFonts w:ascii="Arial" w:eastAsia="Arial" w:hAnsi="Arial" w:cs="Arial"/>
          <w:sz w:val="24"/>
          <w:szCs w:val="24"/>
        </w:rPr>
      </w:pPr>
      <w:r w:rsidRPr="595CB810">
        <w:rPr>
          <w:rFonts w:ascii="Arial" w:eastAsia="Arial" w:hAnsi="Arial" w:cs="Arial"/>
          <w:sz w:val="24"/>
          <w:szCs w:val="24"/>
          <w:lang w:val="en-GB"/>
        </w:rPr>
        <w:t xml:space="preserve">This site is a digitised collection of archaeological artefacts that have been placed into the same museum, this doesn’t mean that there are not more pieces of historical importance elsewhere. I include this source because it was the most accessible for me to use and understand, this is because it was set out with the ability to search for items relevant to my time period with an uploaded image that I could use to interpret the colours. While being useful for this there was barely any information on further sources or detail on the objects themselves. The website is very good at showing what is at the British museum and what the curator's thought were important for understanding Ancient Egypt. Other Museums such as the MET in America have similar online versions of the items on display, however because the MET is an art museum it </w:t>
      </w:r>
      <w:r w:rsidRPr="595CB810">
        <w:rPr>
          <w:rFonts w:ascii="Arial" w:eastAsia="Arial" w:hAnsi="Arial" w:cs="Arial"/>
          <w:sz w:val="24"/>
          <w:szCs w:val="24"/>
          <w:lang w:val="en-GB"/>
        </w:rPr>
        <w:lastRenderedPageBreak/>
        <w:t xml:space="preserve">focusses more on the artistic side of Egypt. This site is the gateway site to each individual object available in the online collection. </w:t>
      </w:r>
    </w:p>
    <w:p w14:paraId="083809AF" w14:textId="3DEBABF6" w:rsidR="0FF45285" w:rsidRDefault="0FF45285" w:rsidP="0FF45285">
      <w:pPr>
        <w:rPr>
          <w:rFonts w:ascii="Arial" w:eastAsia="Arial" w:hAnsi="Arial" w:cs="Arial"/>
          <w:sz w:val="24"/>
          <w:szCs w:val="24"/>
        </w:rPr>
      </w:pPr>
    </w:p>
    <w:p w14:paraId="605DC40B" w14:textId="146DF814" w:rsidR="0FF45285" w:rsidRDefault="595CB810" w:rsidP="0FF45285">
      <w:pPr>
        <w:rPr>
          <w:rFonts w:ascii="Arial" w:eastAsia="Arial" w:hAnsi="Arial" w:cs="Arial"/>
          <w:sz w:val="24"/>
          <w:szCs w:val="24"/>
        </w:rPr>
      </w:pPr>
      <w:r w:rsidRPr="595CB810">
        <w:rPr>
          <w:rFonts w:ascii="Arial" w:eastAsia="Arial" w:hAnsi="Arial" w:cs="Arial"/>
          <w:i/>
          <w:iCs/>
          <w:sz w:val="24"/>
          <w:szCs w:val="24"/>
          <w:lang w:val="en-GB"/>
        </w:rPr>
        <w:t>3.Preucel, R. 2010. Archaeological Semiotics. Chichester. Wiley-Blackwell.</w:t>
      </w:r>
    </w:p>
    <w:p w14:paraId="4D8B7FD4" w14:textId="5B119AB7" w:rsidR="0FF45285" w:rsidRDefault="595CB810" w:rsidP="0FF45285">
      <w:pPr>
        <w:rPr>
          <w:rFonts w:ascii="Arial" w:eastAsia="Arial" w:hAnsi="Arial" w:cs="Arial"/>
          <w:sz w:val="24"/>
          <w:szCs w:val="24"/>
          <w:lang w:val="en-GB"/>
        </w:rPr>
      </w:pPr>
      <w:r w:rsidRPr="595CB810">
        <w:rPr>
          <w:rFonts w:ascii="Arial" w:eastAsia="Arial" w:hAnsi="Arial" w:cs="Arial"/>
          <w:sz w:val="24"/>
          <w:szCs w:val="24"/>
          <w:lang w:val="en-GB"/>
        </w:rPr>
        <w:t xml:space="preserve">In this text </w:t>
      </w:r>
      <w:proofErr w:type="spellStart"/>
      <w:r w:rsidRPr="595CB810">
        <w:rPr>
          <w:rFonts w:ascii="Arial" w:eastAsia="Arial" w:hAnsi="Arial" w:cs="Arial"/>
          <w:sz w:val="24"/>
          <w:szCs w:val="24"/>
          <w:lang w:val="en-GB"/>
        </w:rPr>
        <w:t>Preucel</w:t>
      </w:r>
      <w:proofErr w:type="spellEnd"/>
      <w:r w:rsidRPr="595CB810">
        <w:rPr>
          <w:rFonts w:ascii="Arial" w:eastAsia="Arial" w:hAnsi="Arial" w:cs="Arial"/>
          <w:sz w:val="24"/>
          <w:szCs w:val="24"/>
          <w:lang w:val="en-GB"/>
        </w:rPr>
        <w:t xml:space="preserve"> explains what archaeological semiotics are and how they can be used to interpret the archaeological record. He does this by explaining the two main people behind the theory and the difference in their individual approaches to semiotics. The main problem I had with this text was the fact it focused on linguistic uses for semiotic interpretations. I chose this source because I thought semiotics would be a good way to change how I looked at the colours used in Egypt and explain why they would have different meaning in modern society than that of middle kingdom Egypt. This book also summarises the arguments held by academics on how worthwhile it is to use semiotic ideologies on material culture and not just text sources. While useful for understanding and how to apply semiotic theories, I found the text difficult to put into practice during my research.</w:t>
      </w:r>
    </w:p>
    <w:p w14:paraId="4D6938C5" w14:textId="58B3B2AF" w:rsidR="00FC7CB9" w:rsidRDefault="00FC7CB9" w:rsidP="0FF45285">
      <w:pPr>
        <w:rPr>
          <w:rFonts w:ascii="Arial" w:eastAsia="Arial" w:hAnsi="Arial" w:cs="Arial"/>
          <w:sz w:val="24"/>
          <w:szCs w:val="24"/>
          <w:lang w:val="en-GB"/>
        </w:rPr>
      </w:pPr>
    </w:p>
    <w:p w14:paraId="00DACA9B" w14:textId="649B466B" w:rsidR="00FC7CB9" w:rsidRDefault="00FC7CB9" w:rsidP="0FF45285">
      <w:pPr>
        <w:rPr>
          <w:rFonts w:ascii="Arial" w:eastAsia="Arial" w:hAnsi="Arial" w:cs="Arial"/>
          <w:sz w:val="24"/>
          <w:szCs w:val="24"/>
          <w:lang w:val="en-GB"/>
        </w:rPr>
      </w:pPr>
    </w:p>
    <w:p w14:paraId="33E953DC" w14:textId="1942EDD3" w:rsidR="00FC7CB9" w:rsidRDefault="00FC7CB9" w:rsidP="0FF45285">
      <w:pPr>
        <w:rPr>
          <w:rFonts w:ascii="Arial" w:eastAsia="Arial" w:hAnsi="Arial" w:cs="Arial"/>
          <w:sz w:val="24"/>
          <w:szCs w:val="24"/>
          <w:lang w:val="en-GB"/>
        </w:rPr>
      </w:pPr>
    </w:p>
    <w:p w14:paraId="37AA7565" w14:textId="216670F2" w:rsidR="00FC7CB9" w:rsidRDefault="00FC7CB9" w:rsidP="0FF45285">
      <w:pPr>
        <w:rPr>
          <w:rFonts w:ascii="Arial" w:eastAsia="Arial" w:hAnsi="Arial" w:cs="Arial"/>
          <w:sz w:val="24"/>
          <w:szCs w:val="24"/>
          <w:lang w:val="en-GB"/>
        </w:rPr>
      </w:pPr>
    </w:p>
    <w:p w14:paraId="7207B1CD" w14:textId="2C3D0706" w:rsidR="00FC7CB9" w:rsidRDefault="00FC7CB9" w:rsidP="0FF45285">
      <w:pPr>
        <w:rPr>
          <w:rFonts w:ascii="Arial" w:eastAsia="Arial" w:hAnsi="Arial" w:cs="Arial"/>
          <w:sz w:val="24"/>
          <w:szCs w:val="24"/>
          <w:lang w:val="en-GB"/>
        </w:rPr>
      </w:pPr>
    </w:p>
    <w:p w14:paraId="3C434D44" w14:textId="7CF80C9B" w:rsidR="00FC7CB9" w:rsidRDefault="00FC7CB9" w:rsidP="0FF45285">
      <w:pPr>
        <w:rPr>
          <w:rFonts w:ascii="Arial" w:eastAsia="Arial" w:hAnsi="Arial" w:cs="Arial"/>
          <w:sz w:val="24"/>
          <w:szCs w:val="24"/>
          <w:lang w:val="en-GB"/>
        </w:rPr>
      </w:pPr>
    </w:p>
    <w:p w14:paraId="53088D85" w14:textId="0A2A00DC" w:rsidR="00FC7CB9" w:rsidRDefault="00FC7CB9" w:rsidP="0FF45285">
      <w:pPr>
        <w:rPr>
          <w:rFonts w:ascii="Arial" w:eastAsia="Arial" w:hAnsi="Arial" w:cs="Arial"/>
          <w:sz w:val="24"/>
          <w:szCs w:val="24"/>
          <w:lang w:val="en-GB"/>
        </w:rPr>
      </w:pPr>
    </w:p>
    <w:p w14:paraId="086FADB9" w14:textId="3F6855B8" w:rsidR="00FC7CB9" w:rsidRDefault="00FC7CB9" w:rsidP="0FF45285">
      <w:pPr>
        <w:rPr>
          <w:rFonts w:ascii="Arial" w:eastAsia="Arial" w:hAnsi="Arial" w:cs="Arial"/>
          <w:sz w:val="24"/>
          <w:szCs w:val="24"/>
          <w:lang w:val="en-GB"/>
        </w:rPr>
      </w:pPr>
    </w:p>
    <w:p w14:paraId="20AD4093" w14:textId="3192FAE1" w:rsidR="00FC7CB9" w:rsidRDefault="00FC7CB9" w:rsidP="0FF45285">
      <w:pPr>
        <w:rPr>
          <w:rFonts w:ascii="Arial" w:eastAsia="Arial" w:hAnsi="Arial" w:cs="Arial"/>
          <w:sz w:val="24"/>
          <w:szCs w:val="24"/>
          <w:lang w:val="en-GB"/>
        </w:rPr>
      </w:pPr>
    </w:p>
    <w:p w14:paraId="6EAF5B68" w14:textId="5852A488" w:rsidR="00FC7CB9" w:rsidRDefault="00FC7CB9" w:rsidP="0FF45285">
      <w:pPr>
        <w:rPr>
          <w:rFonts w:ascii="Arial" w:eastAsia="Arial" w:hAnsi="Arial" w:cs="Arial"/>
          <w:sz w:val="24"/>
          <w:szCs w:val="24"/>
          <w:lang w:val="en-GB"/>
        </w:rPr>
      </w:pPr>
    </w:p>
    <w:p w14:paraId="757EEA11" w14:textId="20E68743" w:rsidR="00FC7CB9" w:rsidRDefault="00FC7CB9" w:rsidP="0FF45285">
      <w:pPr>
        <w:rPr>
          <w:rFonts w:ascii="Arial" w:eastAsia="Arial" w:hAnsi="Arial" w:cs="Arial"/>
          <w:sz w:val="24"/>
          <w:szCs w:val="24"/>
          <w:lang w:val="en-GB"/>
        </w:rPr>
      </w:pPr>
    </w:p>
    <w:p w14:paraId="46DFDD32" w14:textId="1535A86D" w:rsidR="00FC7CB9" w:rsidRDefault="00FC7CB9" w:rsidP="0FF45285">
      <w:pPr>
        <w:rPr>
          <w:rFonts w:ascii="Arial" w:eastAsia="Arial" w:hAnsi="Arial" w:cs="Arial"/>
          <w:sz w:val="24"/>
          <w:szCs w:val="24"/>
          <w:lang w:val="en-GB"/>
        </w:rPr>
      </w:pPr>
    </w:p>
    <w:p w14:paraId="468B083B" w14:textId="5EC7A6D5" w:rsidR="00FC7CB9" w:rsidRDefault="00FC7CB9" w:rsidP="0FF45285">
      <w:pPr>
        <w:rPr>
          <w:rFonts w:ascii="Arial" w:eastAsia="Arial" w:hAnsi="Arial" w:cs="Arial"/>
          <w:sz w:val="24"/>
          <w:szCs w:val="24"/>
          <w:lang w:val="en-GB"/>
        </w:rPr>
      </w:pPr>
    </w:p>
    <w:p w14:paraId="2C582CB2" w14:textId="4DB7710B" w:rsidR="00FC7CB9" w:rsidRDefault="00FC7CB9" w:rsidP="0FF45285">
      <w:pPr>
        <w:rPr>
          <w:rFonts w:ascii="Arial" w:eastAsia="Arial" w:hAnsi="Arial" w:cs="Arial"/>
          <w:sz w:val="24"/>
          <w:szCs w:val="24"/>
          <w:lang w:val="en-GB"/>
        </w:rPr>
      </w:pPr>
    </w:p>
    <w:p w14:paraId="0BDA8BC9" w14:textId="572D5662" w:rsidR="00177CD2" w:rsidRDefault="00177CD2" w:rsidP="0FF45285">
      <w:pPr>
        <w:rPr>
          <w:rFonts w:ascii="Arial" w:eastAsia="Arial" w:hAnsi="Arial" w:cs="Arial"/>
          <w:sz w:val="24"/>
          <w:szCs w:val="24"/>
          <w:lang w:val="en-GB"/>
        </w:rPr>
      </w:pPr>
    </w:p>
    <w:p w14:paraId="0157E09F" w14:textId="77777777" w:rsidR="008B55EC" w:rsidRDefault="008B55EC" w:rsidP="0FF45285">
      <w:pPr>
        <w:rPr>
          <w:rFonts w:ascii="Arial" w:eastAsia="Arial" w:hAnsi="Arial" w:cs="Arial"/>
          <w:sz w:val="24"/>
          <w:szCs w:val="24"/>
        </w:rPr>
      </w:pPr>
    </w:p>
    <w:p w14:paraId="7E3067EC" w14:textId="037B31F6" w:rsidR="00FC7CB9" w:rsidRPr="00FC7CB9" w:rsidRDefault="595CB810" w:rsidP="00FC7CB9">
      <w:pPr>
        <w:jc w:val="center"/>
        <w:rPr>
          <w:rFonts w:ascii="Arial" w:eastAsia="Arial" w:hAnsi="Arial" w:cs="Arial"/>
          <w:sz w:val="32"/>
          <w:szCs w:val="32"/>
        </w:rPr>
      </w:pPr>
      <w:r w:rsidRPr="595CB810">
        <w:rPr>
          <w:rFonts w:ascii="Arial" w:eastAsia="Arial" w:hAnsi="Arial" w:cs="Arial"/>
          <w:b/>
          <w:bCs/>
          <w:sz w:val="32"/>
          <w:szCs w:val="32"/>
          <w:u w:val="single"/>
          <w:lang w:val="en-GB"/>
        </w:rPr>
        <w:lastRenderedPageBreak/>
        <w:t>Summary of Research into the meanings of colours in Middle Kingdom Egypt</w:t>
      </w:r>
    </w:p>
    <w:p w14:paraId="3AD1DB01" w14:textId="228C2748" w:rsidR="595CB810" w:rsidRDefault="595CB810" w:rsidP="595CB810">
      <w:pPr>
        <w:ind w:left="3600" w:firstLine="720"/>
        <w:rPr>
          <w:rFonts w:ascii="Arial" w:eastAsia="Arial" w:hAnsi="Arial" w:cs="Arial"/>
          <w:sz w:val="28"/>
          <w:szCs w:val="28"/>
        </w:rPr>
      </w:pPr>
      <w:r w:rsidRPr="595CB810">
        <w:rPr>
          <w:rFonts w:ascii="Arial" w:eastAsia="Arial" w:hAnsi="Arial" w:cs="Arial"/>
          <w:b/>
          <w:bCs/>
          <w:sz w:val="28"/>
          <w:szCs w:val="28"/>
          <w:lang w:val="en-GB"/>
        </w:rPr>
        <w:t>Contents</w:t>
      </w:r>
    </w:p>
    <w:p w14:paraId="4E22899E" w14:textId="1CD5C61C" w:rsidR="595CB810" w:rsidRDefault="595CB810" w:rsidP="595CB810">
      <w:pPr>
        <w:pStyle w:val="ListParagraph"/>
        <w:numPr>
          <w:ilvl w:val="4"/>
          <w:numId w:val="2"/>
        </w:numPr>
        <w:rPr>
          <w:b/>
          <w:bCs/>
          <w:sz w:val="24"/>
          <w:szCs w:val="24"/>
        </w:rPr>
      </w:pPr>
      <w:r w:rsidRPr="595CB810">
        <w:rPr>
          <w:rFonts w:ascii="Arial" w:eastAsia="Arial" w:hAnsi="Arial" w:cs="Arial"/>
          <w:b/>
          <w:bCs/>
          <w:sz w:val="24"/>
          <w:szCs w:val="24"/>
          <w:lang w:val="en-GB"/>
        </w:rPr>
        <w:t>Introduction</w:t>
      </w:r>
    </w:p>
    <w:p w14:paraId="4A75D42F" w14:textId="657723C5" w:rsidR="595CB810" w:rsidRDefault="595CB810" w:rsidP="595CB810">
      <w:pPr>
        <w:pStyle w:val="ListParagraph"/>
        <w:numPr>
          <w:ilvl w:val="4"/>
          <w:numId w:val="2"/>
        </w:numPr>
        <w:rPr>
          <w:b/>
          <w:bCs/>
          <w:sz w:val="24"/>
          <w:szCs w:val="24"/>
        </w:rPr>
      </w:pPr>
      <w:r w:rsidRPr="595CB810">
        <w:rPr>
          <w:rFonts w:ascii="Arial" w:eastAsia="Arial" w:hAnsi="Arial" w:cs="Arial"/>
          <w:b/>
          <w:bCs/>
          <w:sz w:val="24"/>
          <w:szCs w:val="24"/>
          <w:lang w:val="en-GB"/>
        </w:rPr>
        <w:t>Methodology and Literature review</w:t>
      </w:r>
    </w:p>
    <w:p w14:paraId="57BD8FF4" w14:textId="76CF3469" w:rsidR="595CB810" w:rsidRDefault="595CB810" w:rsidP="595CB810">
      <w:pPr>
        <w:pStyle w:val="ListParagraph"/>
        <w:numPr>
          <w:ilvl w:val="4"/>
          <w:numId w:val="2"/>
        </w:numPr>
        <w:rPr>
          <w:b/>
          <w:bCs/>
          <w:sz w:val="24"/>
          <w:szCs w:val="24"/>
        </w:rPr>
      </w:pPr>
      <w:r w:rsidRPr="595CB810">
        <w:rPr>
          <w:rFonts w:ascii="Arial" w:eastAsia="Arial" w:hAnsi="Arial" w:cs="Arial"/>
          <w:b/>
          <w:bCs/>
          <w:sz w:val="24"/>
          <w:szCs w:val="24"/>
          <w:lang w:val="en-GB"/>
        </w:rPr>
        <w:t xml:space="preserve">Discussion </w:t>
      </w:r>
    </w:p>
    <w:p w14:paraId="3B921A04" w14:textId="7C064AB5" w:rsidR="595CB810" w:rsidRDefault="595CB810" w:rsidP="595CB810">
      <w:pPr>
        <w:ind w:left="2880" w:firstLine="720"/>
        <w:rPr>
          <w:rFonts w:ascii="Arial" w:eastAsia="Arial" w:hAnsi="Arial" w:cs="Arial"/>
          <w:sz w:val="24"/>
          <w:szCs w:val="24"/>
        </w:rPr>
      </w:pPr>
      <w:r w:rsidRPr="595CB810">
        <w:rPr>
          <w:rFonts w:ascii="Arial" w:eastAsia="Arial" w:hAnsi="Arial" w:cs="Arial"/>
          <w:b/>
          <w:bCs/>
          <w:sz w:val="24"/>
          <w:szCs w:val="24"/>
          <w:lang w:val="en-GB"/>
        </w:rPr>
        <w:t>3.1. The colour ‘Red’</w:t>
      </w:r>
    </w:p>
    <w:p w14:paraId="01B679D5" w14:textId="6F44AE19" w:rsidR="595CB810" w:rsidRDefault="595CB810" w:rsidP="595CB810">
      <w:pPr>
        <w:ind w:left="2880" w:firstLine="720"/>
        <w:rPr>
          <w:rFonts w:ascii="Arial" w:eastAsia="Arial" w:hAnsi="Arial" w:cs="Arial"/>
          <w:sz w:val="24"/>
          <w:szCs w:val="24"/>
        </w:rPr>
      </w:pPr>
      <w:r w:rsidRPr="595CB810">
        <w:rPr>
          <w:rFonts w:ascii="Arial" w:eastAsia="Arial" w:hAnsi="Arial" w:cs="Arial"/>
          <w:b/>
          <w:bCs/>
          <w:sz w:val="24"/>
          <w:szCs w:val="24"/>
          <w:lang w:val="en-GB"/>
        </w:rPr>
        <w:t>3.2. The colour ‘Blue’</w:t>
      </w:r>
    </w:p>
    <w:p w14:paraId="2C880B0F" w14:textId="69BC3A2A" w:rsidR="595CB810" w:rsidRDefault="595CB810" w:rsidP="595CB810">
      <w:pPr>
        <w:pStyle w:val="ListParagraph"/>
        <w:numPr>
          <w:ilvl w:val="4"/>
          <w:numId w:val="2"/>
        </w:numPr>
        <w:rPr>
          <w:b/>
          <w:bCs/>
          <w:sz w:val="24"/>
          <w:szCs w:val="24"/>
        </w:rPr>
      </w:pPr>
      <w:r w:rsidRPr="595CB810">
        <w:rPr>
          <w:rFonts w:ascii="Arial" w:eastAsia="Arial" w:hAnsi="Arial" w:cs="Arial"/>
          <w:b/>
          <w:bCs/>
          <w:sz w:val="24"/>
          <w:szCs w:val="24"/>
          <w:lang w:val="en-GB"/>
        </w:rPr>
        <w:t xml:space="preserve">Conclusion </w:t>
      </w:r>
    </w:p>
    <w:p w14:paraId="11010BF7" w14:textId="70FC26F3" w:rsidR="595CB810" w:rsidRDefault="595CB810" w:rsidP="595CB810">
      <w:pPr>
        <w:pStyle w:val="ListParagraph"/>
        <w:numPr>
          <w:ilvl w:val="4"/>
          <w:numId w:val="2"/>
        </w:numPr>
        <w:rPr>
          <w:b/>
          <w:bCs/>
          <w:sz w:val="24"/>
          <w:szCs w:val="24"/>
        </w:rPr>
      </w:pPr>
      <w:r w:rsidRPr="595CB810">
        <w:rPr>
          <w:rFonts w:ascii="Arial" w:eastAsia="Arial" w:hAnsi="Arial" w:cs="Arial"/>
          <w:b/>
          <w:bCs/>
          <w:sz w:val="24"/>
          <w:szCs w:val="24"/>
          <w:lang w:val="en-GB"/>
        </w:rPr>
        <w:t>Bibliography</w:t>
      </w:r>
    </w:p>
    <w:p w14:paraId="7E045A13" w14:textId="79D4AF6E" w:rsidR="595CB810" w:rsidRDefault="595CB810" w:rsidP="595CB810">
      <w:pPr>
        <w:rPr>
          <w:rFonts w:ascii="Arial" w:eastAsia="Arial" w:hAnsi="Arial" w:cs="Arial"/>
          <w:sz w:val="28"/>
          <w:szCs w:val="28"/>
        </w:rPr>
      </w:pPr>
    </w:p>
    <w:p w14:paraId="066C0827" w14:textId="3BEF85C1" w:rsidR="595CB810" w:rsidRDefault="595CB810" w:rsidP="595CB810">
      <w:pPr>
        <w:rPr>
          <w:rFonts w:ascii="Arial" w:eastAsia="Arial" w:hAnsi="Arial" w:cs="Arial"/>
          <w:sz w:val="28"/>
          <w:szCs w:val="28"/>
        </w:rPr>
      </w:pPr>
      <w:r w:rsidRPr="595CB810">
        <w:rPr>
          <w:rFonts w:ascii="Arial" w:eastAsia="Arial" w:hAnsi="Arial" w:cs="Arial"/>
          <w:b/>
          <w:bCs/>
          <w:sz w:val="28"/>
          <w:szCs w:val="28"/>
          <w:lang w:val="en-GB"/>
        </w:rPr>
        <w:t>1.Introduction</w:t>
      </w:r>
    </w:p>
    <w:p w14:paraId="65A1451A" w14:textId="246AFA74"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My research question is “What meaning do the colours red and blue have in Middle Kingdom Egyptian culture?” it focuses on the possible meanings of colours in Egypt. By understanding what the colours mean we can gain further understanding of colour choices in Egypt, along with why certain colours held greater importance in society. These meanings are drawn from the object’s materiality and phenomenological impression, though I</w:t>
      </w:r>
      <w:r w:rsidR="00177CD2">
        <w:rPr>
          <w:rFonts w:ascii="Arial" w:eastAsia="Arial" w:hAnsi="Arial" w:cs="Arial"/>
          <w:sz w:val="24"/>
          <w:szCs w:val="24"/>
          <w:lang w:val="en-GB"/>
        </w:rPr>
        <w:t xml:space="preserve"> a</w:t>
      </w:r>
      <w:r w:rsidRPr="595CB810">
        <w:rPr>
          <w:rFonts w:ascii="Arial" w:eastAsia="Arial" w:hAnsi="Arial" w:cs="Arial"/>
          <w:sz w:val="24"/>
          <w:szCs w:val="24"/>
          <w:lang w:val="en-GB"/>
        </w:rPr>
        <w:t xml:space="preserve">m limited in my interpretations because I cannot handle the objects I chose to look at. I also do not have the same perspective as the Egyptians at the time due to different in culture and experiences, this mean it is unlikely the meanings I drawn from the object initially are the same as </w:t>
      </w:r>
      <w:r w:rsidR="00177CD2">
        <w:rPr>
          <w:rFonts w:ascii="Arial" w:eastAsia="Arial" w:hAnsi="Arial" w:cs="Arial"/>
          <w:sz w:val="24"/>
          <w:szCs w:val="24"/>
          <w:lang w:val="en-GB"/>
        </w:rPr>
        <w:t>a citizen of middle kingdom E</w:t>
      </w:r>
      <w:r w:rsidRPr="595CB810">
        <w:rPr>
          <w:rFonts w:ascii="Arial" w:eastAsia="Arial" w:hAnsi="Arial" w:cs="Arial"/>
          <w:sz w:val="24"/>
          <w:szCs w:val="24"/>
          <w:lang w:val="en-GB"/>
        </w:rPr>
        <w:t>gypt</w:t>
      </w:r>
      <w:r w:rsidR="00177CD2">
        <w:rPr>
          <w:rFonts w:ascii="Arial" w:eastAsia="Arial" w:hAnsi="Arial" w:cs="Arial"/>
          <w:sz w:val="24"/>
          <w:szCs w:val="24"/>
          <w:lang w:val="en-GB"/>
        </w:rPr>
        <w:t xml:space="preserve"> would</w:t>
      </w:r>
      <w:r w:rsidRPr="595CB810">
        <w:rPr>
          <w:rFonts w:ascii="Arial" w:eastAsia="Arial" w:hAnsi="Arial" w:cs="Arial"/>
          <w:sz w:val="24"/>
          <w:szCs w:val="24"/>
          <w:lang w:val="en-GB"/>
        </w:rPr>
        <w:t xml:space="preserve">. </w:t>
      </w:r>
    </w:p>
    <w:p w14:paraId="1555CF28" w14:textId="5C574FCC"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All the objects I am using in my research of from the Middle Kingdom, which is the second period of unification of Upper and Lower Egypt under a single Pharaoh. It runs from 2050BC to 1550BC, which cover the 11</w:t>
      </w:r>
      <w:r w:rsidRPr="595CB810">
        <w:rPr>
          <w:rFonts w:ascii="Arial" w:eastAsia="Arial" w:hAnsi="Arial" w:cs="Arial"/>
          <w:sz w:val="24"/>
          <w:szCs w:val="24"/>
          <w:vertAlign w:val="superscript"/>
          <w:lang w:val="en-GB"/>
        </w:rPr>
        <w:t>th</w:t>
      </w:r>
      <w:r w:rsidRPr="595CB810">
        <w:rPr>
          <w:rFonts w:ascii="Arial" w:eastAsia="Arial" w:hAnsi="Arial" w:cs="Arial"/>
          <w:sz w:val="24"/>
          <w:szCs w:val="24"/>
          <w:lang w:val="en-GB"/>
        </w:rPr>
        <w:t xml:space="preserve"> and 12</w:t>
      </w:r>
      <w:r w:rsidRPr="595CB810">
        <w:rPr>
          <w:rFonts w:ascii="Arial" w:eastAsia="Arial" w:hAnsi="Arial" w:cs="Arial"/>
          <w:sz w:val="24"/>
          <w:szCs w:val="24"/>
          <w:vertAlign w:val="superscript"/>
          <w:lang w:val="en-GB"/>
        </w:rPr>
        <w:t>th</w:t>
      </w:r>
      <w:r w:rsidRPr="595CB810">
        <w:rPr>
          <w:rFonts w:ascii="Arial" w:eastAsia="Arial" w:hAnsi="Arial" w:cs="Arial"/>
          <w:sz w:val="24"/>
          <w:szCs w:val="24"/>
          <w:lang w:val="en-GB"/>
        </w:rPr>
        <w:t xml:space="preserve"> dynasties</w:t>
      </w:r>
      <w:r w:rsidR="001C27D6">
        <w:rPr>
          <w:rStyle w:val="FootnoteReference"/>
          <w:rFonts w:ascii="Arial" w:eastAsia="Arial" w:hAnsi="Arial" w:cs="Arial"/>
          <w:sz w:val="24"/>
          <w:szCs w:val="24"/>
          <w:lang w:val="en-GB"/>
        </w:rPr>
        <w:footnoteReference w:id="15"/>
      </w:r>
      <w:r w:rsidRPr="595CB810">
        <w:rPr>
          <w:rFonts w:ascii="Arial" w:eastAsia="Arial" w:hAnsi="Arial" w:cs="Arial"/>
          <w:sz w:val="24"/>
          <w:szCs w:val="24"/>
          <w:lang w:val="en-GB"/>
        </w:rPr>
        <w:t xml:space="preserve">. The Pharaoh credited with unifying Egypt is </w:t>
      </w:r>
      <w:proofErr w:type="spellStart"/>
      <w:r w:rsidRPr="595CB810">
        <w:rPr>
          <w:rFonts w:ascii="Arial" w:eastAsia="Arial" w:hAnsi="Arial" w:cs="Arial"/>
          <w:sz w:val="24"/>
          <w:szCs w:val="24"/>
          <w:lang w:val="en-GB"/>
        </w:rPr>
        <w:t>Nebhepetre</w:t>
      </w:r>
      <w:proofErr w:type="spellEnd"/>
      <w:r w:rsidRPr="595CB810">
        <w:rPr>
          <w:rFonts w:ascii="Arial" w:eastAsia="Arial" w:hAnsi="Arial" w:cs="Arial"/>
          <w:sz w:val="24"/>
          <w:szCs w:val="24"/>
          <w:lang w:val="en-GB"/>
        </w:rPr>
        <w:t xml:space="preserve"> Mentuhotep II, a relief of dedicated to him will be discussed in relation to painted colours and hieroglyphs</w:t>
      </w:r>
      <w:r w:rsidR="001C27D6">
        <w:rPr>
          <w:rStyle w:val="FootnoteReference"/>
          <w:rFonts w:ascii="Arial" w:eastAsia="Arial" w:hAnsi="Arial" w:cs="Arial"/>
          <w:sz w:val="24"/>
          <w:szCs w:val="24"/>
          <w:lang w:val="en-GB"/>
        </w:rPr>
        <w:footnoteReference w:id="16"/>
      </w:r>
      <w:r w:rsidRPr="595CB810">
        <w:rPr>
          <w:rFonts w:ascii="Arial" w:eastAsia="Arial" w:hAnsi="Arial" w:cs="Arial"/>
          <w:sz w:val="24"/>
          <w:szCs w:val="24"/>
          <w:lang w:val="en-GB"/>
        </w:rPr>
        <w:t xml:space="preserve">. The culture of middle kingdom Egypt is based on Pharaoh’s this is because of the importance of tradition, they will only employ new ideas to strengthen their own traditions. These traditions include the Pharaoh as God on earth and over everything followed by ruling </w:t>
      </w:r>
      <w:proofErr w:type="spellStart"/>
      <w:r w:rsidRPr="595CB810">
        <w:rPr>
          <w:rFonts w:ascii="Arial" w:eastAsia="Arial" w:hAnsi="Arial" w:cs="Arial"/>
          <w:sz w:val="24"/>
          <w:szCs w:val="24"/>
          <w:lang w:val="en-GB"/>
        </w:rPr>
        <w:t>Nomes</w:t>
      </w:r>
      <w:proofErr w:type="spellEnd"/>
      <w:r w:rsidRPr="595CB810">
        <w:rPr>
          <w:rFonts w:ascii="Arial" w:eastAsia="Arial" w:hAnsi="Arial" w:cs="Arial"/>
          <w:sz w:val="24"/>
          <w:szCs w:val="24"/>
          <w:lang w:val="en-GB"/>
        </w:rPr>
        <w:t xml:space="preserve"> dedicated to specific gods with control as ruler over their own areas of Egypt</w:t>
      </w:r>
      <w:r w:rsidR="001C27D6">
        <w:rPr>
          <w:rStyle w:val="FootnoteReference"/>
          <w:rFonts w:ascii="Arial" w:eastAsia="Arial" w:hAnsi="Arial" w:cs="Arial"/>
          <w:sz w:val="24"/>
          <w:szCs w:val="24"/>
          <w:lang w:val="en-GB"/>
        </w:rPr>
        <w:footnoteReference w:id="17"/>
      </w:r>
      <w:r w:rsidRPr="595CB810">
        <w:rPr>
          <w:rFonts w:ascii="Arial" w:eastAsia="Arial" w:hAnsi="Arial" w:cs="Arial"/>
          <w:sz w:val="24"/>
          <w:szCs w:val="24"/>
          <w:lang w:val="en-GB"/>
        </w:rPr>
        <w:t xml:space="preserve">. </w:t>
      </w:r>
    </w:p>
    <w:p w14:paraId="262448C6" w14:textId="7404F4DE" w:rsidR="595CB810" w:rsidRDefault="595CB810" w:rsidP="595CB810">
      <w:pPr>
        <w:rPr>
          <w:rFonts w:ascii="Arial" w:eastAsia="Arial" w:hAnsi="Arial" w:cs="Arial"/>
          <w:sz w:val="24"/>
          <w:szCs w:val="24"/>
        </w:rPr>
      </w:pPr>
    </w:p>
    <w:p w14:paraId="7A5EE959" w14:textId="5C4D56FC" w:rsidR="595CB810" w:rsidRDefault="595CB810" w:rsidP="595CB810">
      <w:pPr>
        <w:rPr>
          <w:rFonts w:ascii="Arial" w:eastAsia="Arial" w:hAnsi="Arial" w:cs="Arial"/>
          <w:sz w:val="28"/>
          <w:szCs w:val="28"/>
        </w:rPr>
      </w:pPr>
      <w:r w:rsidRPr="595CB810">
        <w:rPr>
          <w:rFonts w:ascii="Arial" w:eastAsia="Arial" w:hAnsi="Arial" w:cs="Arial"/>
          <w:b/>
          <w:bCs/>
          <w:sz w:val="28"/>
          <w:szCs w:val="28"/>
          <w:lang w:val="en-GB"/>
        </w:rPr>
        <w:lastRenderedPageBreak/>
        <w:t>2.Methodology and Literature review</w:t>
      </w:r>
    </w:p>
    <w:p w14:paraId="3B091919" w14:textId="29AA7849"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 xml:space="preserve">My research mainly focused on accessing material culture of Middle Kingdom Egypt. Due to the wide variety and number of objects from the period I do not plan continuously go into extravagant detail of specific objects but generate an overview of objects using red and blue. Despite narrowing down the object using these two colours there are still a great number of artefacts, this is because hues and shades will also be counted as ‘red’ or ‘blue’. Readers should be aware that colour interpretations are very personal and someone else may have a completely different perspective due to personal experience. </w:t>
      </w:r>
    </w:p>
    <w:p w14:paraId="5D674431" w14:textId="77777777" w:rsidR="001C27D6" w:rsidRDefault="595CB810" w:rsidP="595CB810">
      <w:pPr>
        <w:rPr>
          <w:rFonts w:ascii="Arial" w:eastAsia="Arial" w:hAnsi="Arial" w:cs="Arial"/>
          <w:sz w:val="24"/>
          <w:szCs w:val="24"/>
        </w:rPr>
      </w:pPr>
      <w:r w:rsidRPr="595CB810">
        <w:rPr>
          <w:rFonts w:ascii="Arial" w:eastAsia="Arial" w:hAnsi="Arial" w:cs="Arial"/>
          <w:sz w:val="24"/>
          <w:szCs w:val="24"/>
          <w:lang w:val="en-GB"/>
        </w:rPr>
        <w:t>I tailored my research to with 4 main</w:t>
      </w:r>
      <w:r w:rsidR="001C27D6">
        <w:rPr>
          <w:rFonts w:ascii="Arial" w:eastAsia="Arial" w:hAnsi="Arial" w:cs="Arial"/>
          <w:sz w:val="24"/>
          <w:szCs w:val="24"/>
          <w:lang w:val="en-GB"/>
        </w:rPr>
        <w:t xml:space="preserve"> archaeological</w:t>
      </w:r>
      <w:r w:rsidRPr="595CB810">
        <w:rPr>
          <w:rFonts w:ascii="Arial" w:eastAsia="Arial" w:hAnsi="Arial" w:cs="Arial"/>
          <w:sz w:val="24"/>
          <w:szCs w:val="24"/>
          <w:lang w:val="en-GB"/>
        </w:rPr>
        <w:t xml:space="preserve"> theories in mind; phenomenology, materiality, agency and semiotics</w:t>
      </w:r>
      <w:r w:rsidR="001C27D6">
        <w:rPr>
          <w:rStyle w:val="FootnoteReference"/>
          <w:rFonts w:ascii="Arial" w:eastAsia="Arial" w:hAnsi="Arial" w:cs="Arial"/>
          <w:sz w:val="24"/>
          <w:szCs w:val="24"/>
          <w:lang w:val="en-GB"/>
        </w:rPr>
        <w:footnoteReference w:id="18"/>
      </w:r>
      <w:r w:rsidRPr="595CB810">
        <w:rPr>
          <w:rFonts w:ascii="Arial" w:eastAsia="Arial" w:hAnsi="Arial" w:cs="Arial"/>
          <w:sz w:val="24"/>
          <w:szCs w:val="24"/>
          <w:lang w:val="en-GB"/>
        </w:rPr>
        <w:t>. By using these theories, I can generate a more rounded perspective on colours along with how different people perceive them. Over-reach all these theories is the awareness or postcolonial views. From this point I searched for relevant objects to be used as sources, they needed to have clear use of colour and be from middle kingdom Egypt so that I could interpret what the colours could mean. To find out what the colours meant I investigated art history which had mixed results because more contemporary art has very different view of colour and how to use it in artwork. This meant I needed to work backwards and observe very closely at the mentions of the Classic art scene for mentions of Egyptian inspired colours or ways to make colours. This also led me into ‘Colour languages’ which is when colours signify an emotion or are used to mean a word</w:t>
      </w:r>
      <w:r w:rsidR="001C27D6">
        <w:rPr>
          <w:rStyle w:val="FootnoteReference"/>
          <w:rFonts w:ascii="Arial" w:eastAsia="Arial" w:hAnsi="Arial" w:cs="Arial"/>
          <w:sz w:val="24"/>
          <w:szCs w:val="24"/>
          <w:lang w:val="en-GB"/>
        </w:rPr>
        <w:footnoteReference w:id="19"/>
      </w:r>
      <w:r w:rsidRPr="595CB810">
        <w:rPr>
          <w:rFonts w:ascii="Arial" w:eastAsia="Arial" w:hAnsi="Arial" w:cs="Arial"/>
          <w:sz w:val="24"/>
          <w:szCs w:val="24"/>
          <w:lang w:val="en-GB"/>
        </w:rPr>
        <w:t>.</w:t>
      </w:r>
    </w:p>
    <w:p w14:paraId="3720C6E3" w14:textId="09EAC9FB"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I have had trouble finding relevant sources on the colours of Egypt, this is because though colour analyse has been a strong influence in the Classical cultures of the Mediterranean. Some aspects such as similar paint preparation processes can be applied to my research but others such as art styles and use of colours cannot</w:t>
      </w:r>
      <w:r w:rsidR="006C09F3">
        <w:rPr>
          <w:rStyle w:val="FootnoteReference"/>
          <w:rFonts w:ascii="Arial" w:eastAsia="Arial" w:hAnsi="Arial" w:cs="Arial"/>
          <w:sz w:val="24"/>
          <w:szCs w:val="24"/>
          <w:lang w:val="en-GB"/>
        </w:rPr>
        <w:footnoteReference w:id="20"/>
      </w:r>
      <w:r w:rsidRPr="595CB810">
        <w:rPr>
          <w:rFonts w:ascii="Arial" w:eastAsia="Arial" w:hAnsi="Arial" w:cs="Arial"/>
          <w:sz w:val="24"/>
          <w:szCs w:val="24"/>
          <w:lang w:val="en-GB"/>
        </w:rPr>
        <w:t>. Other sources are mainly from a Western perspective instead of Aegean or eastern. This taints my research with the romanticised postcolonialism of the 20</w:t>
      </w:r>
      <w:r w:rsidRPr="595CB810">
        <w:rPr>
          <w:rFonts w:ascii="Arial" w:eastAsia="Arial" w:hAnsi="Arial" w:cs="Arial"/>
          <w:sz w:val="24"/>
          <w:szCs w:val="24"/>
          <w:vertAlign w:val="superscript"/>
          <w:lang w:val="en-GB"/>
        </w:rPr>
        <w:t>th</w:t>
      </w:r>
      <w:r w:rsidRPr="595CB810">
        <w:rPr>
          <w:rFonts w:ascii="Arial" w:eastAsia="Arial" w:hAnsi="Arial" w:cs="Arial"/>
          <w:sz w:val="24"/>
          <w:szCs w:val="24"/>
          <w:lang w:val="en-GB"/>
        </w:rPr>
        <w:t xml:space="preserve"> century, that a few of my sources were written at the end of this </w:t>
      </w:r>
      <w:r w:rsidR="006C09F3" w:rsidRPr="595CB810">
        <w:rPr>
          <w:rFonts w:ascii="Arial" w:eastAsia="Arial" w:hAnsi="Arial" w:cs="Arial"/>
          <w:sz w:val="24"/>
          <w:szCs w:val="24"/>
          <w:lang w:val="en-GB"/>
        </w:rPr>
        <w:t>period</w:t>
      </w:r>
      <w:r w:rsidRPr="595CB810">
        <w:rPr>
          <w:rFonts w:ascii="Arial" w:eastAsia="Arial" w:hAnsi="Arial" w:cs="Arial"/>
          <w:sz w:val="24"/>
          <w:szCs w:val="24"/>
          <w:lang w:val="en-GB"/>
        </w:rPr>
        <w:t xml:space="preserve"> does not help.</w:t>
      </w:r>
    </w:p>
    <w:p w14:paraId="67A993C9" w14:textId="0DEC6C32" w:rsidR="595CB810" w:rsidRDefault="001C27D6" w:rsidP="595CB810">
      <w:pPr>
        <w:rPr>
          <w:rFonts w:ascii="Arial" w:eastAsia="Arial" w:hAnsi="Arial" w:cs="Arial"/>
          <w:sz w:val="28"/>
          <w:szCs w:val="28"/>
        </w:rPr>
      </w:pPr>
      <w:r>
        <w:rPr>
          <w:noProof/>
        </w:rPr>
        <w:lastRenderedPageBreak/>
        <w:drawing>
          <wp:anchor distT="0" distB="0" distL="114300" distR="114300" simplePos="0" relativeHeight="251659264" behindDoc="1" locked="0" layoutInCell="1" allowOverlap="1" wp14:anchorId="0EA51E8F" wp14:editId="24B691B8">
            <wp:simplePos x="0" y="0"/>
            <wp:positionH relativeFrom="margin">
              <wp:posOffset>3361690</wp:posOffset>
            </wp:positionH>
            <wp:positionV relativeFrom="paragraph">
              <wp:posOffset>181598</wp:posOffset>
            </wp:positionV>
            <wp:extent cx="2857500" cy="4305300"/>
            <wp:effectExtent l="0" t="0" r="0" b="0"/>
            <wp:wrapTight wrapText="bothSides">
              <wp:wrapPolygon edited="0">
                <wp:start x="288" y="96"/>
                <wp:lineTo x="144" y="20549"/>
                <wp:lineTo x="432" y="21504"/>
                <wp:lineTo x="21168" y="21504"/>
                <wp:lineTo x="21312" y="21409"/>
                <wp:lineTo x="21312" y="96"/>
                <wp:lineTo x="288" y="96"/>
              </wp:wrapPolygon>
            </wp:wrapTight>
            <wp:docPr id="550897576"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1">
                      <a:extLst>
                        <a:ext uri="{28A0092B-C50C-407E-A947-70E740481C1C}">
                          <a14:useLocalDpi xmlns:a14="http://schemas.microsoft.com/office/drawing/2010/main" val="0"/>
                        </a:ext>
                      </a:extLst>
                    </a:blip>
                    <a:stretch>
                      <a:fillRect/>
                    </a:stretch>
                  </pic:blipFill>
                  <pic:spPr>
                    <a:xfrm>
                      <a:off x="0" y="0"/>
                      <a:ext cx="2857500" cy="4305300"/>
                    </a:xfrm>
                    <a:prstGeom prst="rect">
                      <a:avLst/>
                    </a:prstGeom>
                  </pic:spPr>
                </pic:pic>
              </a:graphicData>
            </a:graphic>
          </wp:anchor>
        </w:drawing>
      </w:r>
      <w:r w:rsidRPr="00FC7CB9">
        <w:rPr>
          <w:rFonts w:ascii="Arial" w:eastAsia="Arial" w:hAnsi="Arial" w:cs="Arial"/>
          <w:b/>
          <w:bCs/>
          <w:noProof/>
          <w:sz w:val="28"/>
          <w:szCs w:val="28"/>
          <w:lang w:val="en-GB"/>
        </w:rPr>
        <mc:AlternateContent>
          <mc:Choice Requires="wps">
            <w:drawing>
              <wp:anchor distT="45720" distB="45720" distL="114300" distR="114300" simplePos="0" relativeHeight="251661312" behindDoc="1" locked="0" layoutInCell="1" allowOverlap="1" wp14:anchorId="61F48D9F" wp14:editId="3CEE81E6">
                <wp:simplePos x="0" y="0"/>
                <wp:positionH relativeFrom="column">
                  <wp:posOffset>5135592</wp:posOffset>
                </wp:positionH>
                <wp:positionV relativeFrom="paragraph">
                  <wp:posOffset>300</wp:posOffset>
                </wp:positionV>
                <wp:extent cx="695325" cy="1404620"/>
                <wp:effectExtent l="0" t="0" r="0" b="5715"/>
                <wp:wrapTight wrapText="bothSides">
                  <wp:wrapPolygon edited="0">
                    <wp:start x="1775" y="0"/>
                    <wp:lineTo x="1775" y="20832"/>
                    <wp:lineTo x="19529" y="20832"/>
                    <wp:lineTo x="19529" y="0"/>
                    <wp:lineTo x="1775"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1404620"/>
                        </a:xfrm>
                        <a:prstGeom prst="rect">
                          <a:avLst/>
                        </a:prstGeom>
                        <a:noFill/>
                        <a:ln w="9525">
                          <a:noFill/>
                          <a:miter lim="800000"/>
                          <a:headEnd/>
                          <a:tailEnd/>
                        </a:ln>
                      </wps:spPr>
                      <wps:txbx>
                        <w:txbxContent>
                          <w:p w14:paraId="1BB3DD14" w14:textId="5BFB02B0" w:rsidR="00FC7CB9" w:rsidRDefault="00FC7CB9">
                            <w:r w:rsidRPr="595CB810">
                              <w:rPr>
                                <w:rFonts w:ascii="Arial" w:eastAsia="Arial" w:hAnsi="Arial" w:cs="Arial"/>
                                <w:i/>
                                <w:iCs/>
                                <w:lang w:val="en-GB"/>
                              </w:rPr>
                              <w:t>figure 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1F48D9F" id="_x0000_t202" coordsize="21600,21600" o:spt="202" path="m,l,21600r21600,l21600,xe">
                <v:stroke joinstyle="miter"/>
                <v:path gradientshapeok="t" o:connecttype="rect"/>
              </v:shapetype>
              <v:shape id="Text Box 2" o:spid="_x0000_s1026" type="#_x0000_t202" style="position:absolute;margin-left:404.4pt;margin-top:0;width:54.75pt;height:110.6pt;z-index:-25165516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I/KADAIAAPQDAAAOAAAAZHJzL2Uyb0RvYy54bWysU9tuGyEQfa/Uf0C813up7cQrr6M0qatK&#10;6UVK+gEsy3pRgaGAvet+fQfWcaz0rSoPCJiZM3PODOubUStyEM5LMDUtZjklwnBopdnV9MfT9t01&#10;JT4w0zIFRtT0KDy92bx9sx5sJUroQbXCEQQxvhpsTfsQbJVlnvdCMz8DKwwaO3CaBby6XdY6NiC6&#10;VlmZ58tsANdaB1x4j6/3k5FuEn7XCR6+dZ0XgaiaYm0h7S7tTdyzzZpVO8dsL/mpDPYPVWgmDSY9&#10;Q92zwMjeyb+gtOQOPHRhxkFn0HWSi8QB2RT5KzaPPbMicUFxvD3L5P8fLP96+O6IbGtaFleUGKax&#10;SU9iDOQDjKSM+gzWV+j2aNExjPiMfU5cvX0A/tMTA3c9Mztx6xwMvWAt1lfEyOwidMLxEaQZvkCL&#10;adg+QAIaO6ejeCgHQXTs0/Hcm1gKx8flavG+XFDC0VTM8/myTM3LWPUcbZ0PnwRoEg81ddj7hM4O&#10;Dz7Ealj17BKTGdhKpVL/lSFDTVcLxH9l0TLgeCqpa3qdxzUNTCT50bQpODCppjMmUObEOhKdKIex&#10;GdExStFAe0T+DqYxxG+Dhx7cb0oGHMGa+l975gQl6rNBDVfFfB5nNl3miytkTNylpbm0MMMRqqaB&#10;kul4F9KcR0be3qLWW5lkeKnkVCuOVlLn9A3i7F7ek9fLZ938AQAA//8DAFBLAwQUAAYACAAAACEA&#10;xGCm2NwAAAAIAQAADwAAAGRycy9kb3ducmV2LnhtbEyPwU7DMBBE70j8g7VI3KgdI0EIcaoKteUI&#10;lIizGy9JRLy2bDcNf485wXE0o5k39XqxE5sxxNGRgmIlgCF1zozUK2jfdzclsJg0GT05QgXfGGHd&#10;XF7UujLuTG84H1LPcgnFSisYUvIV57Eb0Oq4ch4pe58uWJ2yDD03QZ9zuZ24FOKOWz1SXhi0x6cB&#10;u6/DySrwye/vn8PL62a7m0X7sW/l2G+Vur5aNo/AEi7pLwy/+Bkdmsx0dCcykU0KSlFm9KQgP8r2&#10;Q1HeAjsqkLKQwJua/z/Q/AAAAP//AwBQSwECLQAUAAYACAAAACEAtoM4kv4AAADhAQAAEwAAAAAA&#10;AAAAAAAAAAAAAAAAW0NvbnRlbnRfVHlwZXNdLnhtbFBLAQItABQABgAIAAAAIQA4/SH/1gAAAJQB&#10;AAALAAAAAAAAAAAAAAAAAC8BAABfcmVscy8ucmVsc1BLAQItABQABgAIAAAAIQAwI/KADAIAAPQD&#10;AAAOAAAAAAAAAAAAAAAAAC4CAABkcnMvZTJvRG9jLnhtbFBLAQItABQABgAIAAAAIQDEYKbY3AAA&#10;AAgBAAAPAAAAAAAAAAAAAAAAAGYEAABkcnMvZG93bnJldi54bWxQSwUGAAAAAAQABADzAAAAbwUA&#10;AAAA&#10;" filled="f" stroked="f">
                <v:textbox style="mso-fit-shape-to-text:t">
                  <w:txbxContent>
                    <w:p w14:paraId="1BB3DD14" w14:textId="5BFB02B0" w:rsidR="00FC7CB9" w:rsidRDefault="00FC7CB9">
                      <w:r w:rsidRPr="595CB810">
                        <w:rPr>
                          <w:rFonts w:ascii="Arial" w:eastAsia="Arial" w:hAnsi="Arial" w:cs="Arial"/>
                          <w:i/>
                          <w:iCs/>
                          <w:lang w:val="en-GB"/>
                        </w:rPr>
                        <w:t>figure 2</w:t>
                      </w:r>
                    </w:p>
                  </w:txbxContent>
                </v:textbox>
                <w10:wrap type="tight"/>
              </v:shape>
            </w:pict>
          </mc:Fallback>
        </mc:AlternateContent>
      </w:r>
      <w:r w:rsidR="595CB810" w:rsidRPr="595CB810">
        <w:rPr>
          <w:rFonts w:ascii="Arial" w:eastAsia="Arial" w:hAnsi="Arial" w:cs="Arial"/>
          <w:b/>
          <w:bCs/>
          <w:sz w:val="28"/>
          <w:szCs w:val="28"/>
          <w:lang w:val="en-GB"/>
        </w:rPr>
        <w:t>3.Discussion</w:t>
      </w:r>
    </w:p>
    <w:p w14:paraId="0B4AF540" w14:textId="20E5A3A8" w:rsidR="595CB810" w:rsidRDefault="595CB810" w:rsidP="595CB810">
      <w:pPr>
        <w:rPr>
          <w:rFonts w:ascii="Arial" w:eastAsia="Arial" w:hAnsi="Arial" w:cs="Arial"/>
        </w:rPr>
      </w:pPr>
      <w:r w:rsidRPr="595CB810">
        <w:rPr>
          <w:rFonts w:ascii="Arial" w:eastAsia="Arial" w:hAnsi="Arial" w:cs="Arial"/>
          <w:b/>
          <w:bCs/>
          <w:sz w:val="28"/>
          <w:szCs w:val="28"/>
          <w:lang w:val="en-GB"/>
        </w:rPr>
        <w:t xml:space="preserve">3.1. The colour ‘Red’                                                 </w:t>
      </w:r>
    </w:p>
    <w:p w14:paraId="0A3EA000" w14:textId="2C425E1E"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The modern definition of ‘red’ is “the colour of blood. (said about the face) flushed with embarrassment or anger.”</w:t>
      </w:r>
      <w:r w:rsidR="001C27D6">
        <w:rPr>
          <w:rStyle w:val="FootnoteReference"/>
          <w:rFonts w:ascii="Arial" w:eastAsia="Arial" w:hAnsi="Arial" w:cs="Arial"/>
          <w:sz w:val="24"/>
          <w:szCs w:val="24"/>
          <w:lang w:val="en-GB"/>
        </w:rPr>
        <w:footnoteReference w:id="21"/>
      </w:r>
      <w:r w:rsidRPr="595CB810">
        <w:rPr>
          <w:rFonts w:ascii="Arial" w:eastAsia="Arial" w:hAnsi="Arial" w:cs="Arial"/>
          <w:sz w:val="24"/>
          <w:szCs w:val="24"/>
          <w:lang w:val="en-GB"/>
        </w:rPr>
        <w:t xml:space="preserve"> This is the uniform understanding that we have of as a society of the colour ‘red’. The actual meaning of ‘red’ is wide and can connect emotions both happy and sad. It is most well-known meanings are love and passion due to being associated with St </w:t>
      </w:r>
      <w:proofErr w:type="spellStart"/>
      <w:r w:rsidRPr="595CB810">
        <w:rPr>
          <w:rFonts w:ascii="Arial" w:eastAsia="Arial" w:hAnsi="Arial" w:cs="Arial"/>
          <w:sz w:val="24"/>
          <w:szCs w:val="24"/>
          <w:lang w:val="en-GB"/>
        </w:rPr>
        <w:t>Valintine's</w:t>
      </w:r>
      <w:proofErr w:type="spellEnd"/>
      <w:r w:rsidRPr="595CB810">
        <w:rPr>
          <w:rFonts w:ascii="Arial" w:eastAsia="Arial" w:hAnsi="Arial" w:cs="Arial"/>
          <w:sz w:val="24"/>
          <w:szCs w:val="24"/>
          <w:lang w:val="en-GB"/>
        </w:rPr>
        <w:t xml:space="preserve"> day. The connotations with passion then connect ‘red’ to signify aggression or anger, the opposite of green, with green equalling good and red equalling bad in most modern good versus evil belief or right and wrong systems. Scientifically, we now understand ‘red’ as a warm colour because it is at the end of the visible spectrum closest to inferred which is used to generate heat in objects or areas</w:t>
      </w:r>
      <w:r w:rsidR="001C27D6">
        <w:rPr>
          <w:rFonts w:ascii="Arial" w:eastAsia="Arial" w:hAnsi="Arial" w:cs="Arial"/>
          <w:sz w:val="24"/>
          <w:szCs w:val="24"/>
          <w:lang w:val="en-GB"/>
        </w:rPr>
        <w:t xml:space="preserve"> </w:t>
      </w:r>
      <w:r w:rsidR="001C27D6">
        <w:rPr>
          <w:rStyle w:val="FootnoteReference"/>
          <w:rFonts w:ascii="Arial" w:eastAsia="Arial" w:hAnsi="Arial" w:cs="Arial"/>
          <w:sz w:val="24"/>
          <w:szCs w:val="24"/>
          <w:lang w:val="en-GB"/>
        </w:rPr>
        <w:footnoteReference w:id="22"/>
      </w:r>
      <w:r w:rsidRPr="595CB810">
        <w:rPr>
          <w:rFonts w:ascii="Arial" w:eastAsia="Arial" w:hAnsi="Arial" w:cs="Arial"/>
          <w:sz w:val="24"/>
          <w:szCs w:val="24"/>
          <w:lang w:val="en-GB"/>
        </w:rPr>
        <w:t>. This trick the mind into thinking ‘red’ is hot, which in turn is why it is used to signify danger or overheat in modern industrial equipment</w:t>
      </w:r>
      <w:r w:rsidR="00177CD2">
        <w:rPr>
          <w:rFonts w:ascii="Arial" w:eastAsia="Arial" w:hAnsi="Arial" w:cs="Arial"/>
          <w:sz w:val="24"/>
          <w:szCs w:val="24"/>
          <w:lang w:val="en-GB"/>
        </w:rPr>
        <w:t>.</w:t>
      </w:r>
      <w:r w:rsidRPr="595CB810">
        <w:rPr>
          <w:rFonts w:ascii="Arial" w:eastAsia="Arial" w:hAnsi="Arial" w:cs="Arial"/>
          <w:sz w:val="24"/>
          <w:szCs w:val="24"/>
          <w:lang w:val="en-GB"/>
        </w:rPr>
        <w:t xml:space="preserve"> With all these different interpretations of the colour it is no surprise that the context in which the colour is found plays an important role in understanding it’s meaning. For example, thanks to modern culture if someone is wearing a short red dress it is though that the person is passionate and determined; if it is in the evening then a party to impress others and have a good time; if it is worn during the day time it is more likely to be because the person wants to feel good in their own skin or show off. </w:t>
      </w:r>
    </w:p>
    <w:p w14:paraId="1DD37633" w14:textId="65EE9FCB"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The colour ‘red’ is used in objects such as necklaces (as seen in figure 2), figurines, reliefs and more. I chose to use objects that showcase this colour the best because of how well the colour has been preserved, and that makes it easier for me to tell what colour the object is or has used on it, to interpret. The colour ‘red’ is a staple colour in most Mediterranean artwork because of the easy access to the raw materials needed to make paint pigments for example red ochre or red arsenic can both be used to make a ‘red’ paint</w:t>
      </w:r>
      <w:r w:rsidR="00D21DED">
        <w:rPr>
          <w:rStyle w:val="FootnoteReference"/>
          <w:rFonts w:ascii="Arial" w:eastAsia="Arial" w:hAnsi="Arial" w:cs="Arial"/>
          <w:sz w:val="24"/>
          <w:szCs w:val="24"/>
          <w:lang w:val="en-GB"/>
        </w:rPr>
        <w:footnoteReference w:id="23"/>
      </w:r>
      <w:r w:rsidRPr="595CB810">
        <w:rPr>
          <w:rFonts w:ascii="Arial" w:eastAsia="Arial" w:hAnsi="Arial" w:cs="Arial"/>
          <w:sz w:val="24"/>
          <w:szCs w:val="24"/>
          <w:lang w:val="en-GB"/>
        </w:rPr>
        <w:t xml:space="preserve">. Figure </w:t>
      </w:r>
      <w:r w:rsidR="00D21DED">
        <w:rPr>
          <w:rFonts w:ascii="Arial" w:eastAsia="Arial" w:hAnsi="Arial" w:cs="Arial"/>
          <w:sz w:val="24"/>
          <w:szCs w:val="24"/>
          <w:lang w:val="en-GB"/>
        </w:rPr>
        <w:t>1</w:t>
      </w:r>
      <w:r w:rsidRPr="595CB810">
        <w:rPr>
          <w:rFonts w:ascii="Arial" w:eastAsia="Arial" w:hAnsi="Arial" w:cs="Arial"/>
          <w:sz w:val="24"/>
          <w:szCs w:val="24"/>
          <w:lang w:val="en-GB"/>
        </w:rPr>
        <w:t xml:space="preserve"> has an example of the colours use in depicting differing genders using red paint as a medium, </w:t>
      </w:r>
      <w:proofErr w:type="spellStart"/>
      <w:r w:rsidRPr="595CB810">
        <w:rPr>
          <w:rFonts w:ascii="Arial" w:eastAsia="Arial" w:hAnsi="Arial" w:cs="Arial"/>
          <w:sz w:val="24"/>
          <w:szCs w:val="24"/>
          <w:lang w:val="en-GB"/>
        </w:rPr>
        <w:t>Nebhepetre</w:t>
      </w:r>
      <w:proofErr w:type="spellEnd"/>
      <w:r w:rsidRPr="595CB810">
        <w:rPr>
          <w:rFonts w:ascii="Arial" w:eastAsia="Arial" w:hAnsi="Arial" w:cs="Arial"/>
          <w:sz w:val="24"/>
          <w:szCs w:val="24"/>
          <w:lang w:val="en-GB"/>
        </w:rPr>
        <w:t xml:space="preserve"> </w:t>
      </w:r>
      <w:proofErr w:type="spellStart"/>
      <w:r w:rsidRPr="595CB810">
        <w:rPr>
          <w:rFonts w:ascii="Arial" w:eastAsia="Arial" w:hAnsi="Arial" w:cs="Arial"/>
          <w:sz w:val="24"/>
          <w:szCs w:val="24"/>
          <w:lang w:val="en-GB"/>
        </w:rPr>
        <w:t>Mentuhoteps</w:t>
      </w:r>
      <w:proofErr w:type="spellEnd"/>
      <w:r w:rsidRPr="595CB810">
        <w:rPr>
          <w:rFonts w:ascii="Arial" w:eastAsia="Arial" w:hAnsi="Arial" w:cs="Arial"/>
          <w:sz w:val="24"/>
          <w:szCs w:val="24"/>
          <w:lang w:val="en-GB"/>
        </w:rPr>
        <w:t xml:space="preserve"> II’s skin is a red colour while </w:t>
      </w:r>
      <w:r w:rsidRPr="595CB810">
        <w:rPr>
          <w:rFonts w:ascii="Arial" w:eastAsia="Arial" w:hAnsi="Arial" w:cs="Arial"/>
          <w:sz w:val="24"/>
          <w:szCs w:val="24"/>
          <w:lang w:val="en-GB"/>
        </w:rPr>
        <w:lastRenderedPageBreak/>
        <w:t>Hathor’s skin is yellow</w:t>
      </w:r>
      <w:r w:rsidR="00D21DED">
        <w:rPr>
          <w:rStyle w:val="FootnoteReference"/>
          <w:rFonts w:ascii="Arial" w:eastAsia="Arial" w:hAnsi="Arial" w:cs="Arial"/>
          <w:sz w:val="24"/>
          <w:szCs w:val="24"/>
          <w:lang w:val="en-GB"/>
        </w:rPr>
        <w:footnoteReference w:id="24"/>
      </w:r>
      <w:r w:rsidRPr="595CB810">
        <w:rPr>
          <w:rFonts w:ascii="Arial" w:eastAsia="Arial" w:hAnsi="Arial" w:cs="Arial"/>
          <w:sz w:val="24"/>
          <w:szCs w:val="24"/>
          <w:lang w:val="en-GB"/>
        </w:rPr>
        <w:t>. Paint the only way this colour is shown; cornelian semi-precious stones are sources around the Aegean and are then shaped into objects, being closer, less rare means that they will be less expensive than ‘blue’ or lapis lazuli objects</w:t>
      </w:r>
      <w:r w:rsidR="00D21DED">
        <w:rPr>
          <w:rStyle w:val="FootnoteReference"/>
          <w:rFonts w:ascii="Arial" w:eastAsia="Arial" w:hAnsi="Arial" w:cs="Arial"/>
          <w:sz w:val="24"/>
          <w:szCs w:val="24"/>
          <w:lang w:val="en-GB"/>
        </w:rPr>
        <w:footnoteReference w:id="25"/>
      </w:r>
      <w:r w:rsidRPr="595CB810">
        <w:rPr>
          <w:rFonts w:ascii="Arial" w:eastAsia="Arial" w:hAnsi="Arial" w:cs="Arial"/>
          <w:sz w:val="24"/>
          <w:szCs w:val="24"/>
          <w:lang w:val="en-GB"/>
        </w:rPr>
        <w:t>. Figure 2 shows that the cornelian beads can be various shapes and sizes, this allows for different patterns or engravings to be placed. All the necklace’s in figure 2 are over 80cm long</w:t>
      </w:r>
      <w:r w:rsidR="00D21DED">
        <w:rPr>
          <w:rStyle w:val="FootnoteReference"/>
          <w:rFonts w:ascii="Arial" w:eastAsia="Arial" w:hAnsi="Arial" w:cs="Arial"/>
          <w:sz w:val="24"/>
          <w:szCs w:val="24"/>
          <w:lang w:val="en-GB"/>
        </w:rPr>
        <w:footnoteReference w:id="26"/>
      </w:r>
      <w:r w:rsidRPr="595CB810">
        <w:rPr>
          <w:rFonts w:ascii="Arial" w:eastAsia="Arial" w:hAnsi="Arial" w:cs="Arial"/>
          <w:sz w:val="24"/>
          <w:szCs w:val="24"/>
          <w:lang w:val="en-GB"/>
        </w:rPr>
        <w:t xml:space="preserve"> meaning that they are going to wrapped around a person's neck multiple times in order to leave the person able to complete any tasks without damaging the beads or them falling into whatever is being made. This make it likely that these objects could be passed down the family or made slowly through out one person’s life for their afterlife. </w:t>
      </w:r>
    </w:p>
    <w:p w14:paraId="2A189E1B" w14:textId="6F89F0EB" w:rsidR="595CB810" w:rsidRDefault="00FC7CB9" w:rsidP="595CB810">
      <w:pPr>
        <w:ind w:left="4320" w:firstLine="720"/>
        <w:rPr>
          <w:rFonts w:ascii="Arial" w:eastAsia="Arial" w:hAnsi="Arial" w:cs="Arial"/>
        </w:rPr>
      </w:pPr>
      <w:r>
        <w:rPr>
          <w:noProof/>
        </w:rPr>
        <w:drawing>
          <wp:anchor distT="0" distB="0" distL="114300" distR="114300" simplePos="0" relativeHeight="251662336" behindDoc="0" locked="0" layoutInCell="1" allowOverlap="1" wp14:anchorId="5AC3D5C4" wp14:editId="19EC5272">
            <wp:simplePos x="0" y="0"/>
            <wp:positionH relativeFrom="margin">
              <wp:align>right</wp:align>
            </wp:positionH>
            <wp:positionV relativeFrom="paragraph">
              <wp:posOffset>239395</wp:posOffset>
            </wp:positionV>
            <wp:extent cx="3124200" cy="1885950"/>
            <wp:effectExtent l="0" t="0" r="0" b="0"/>
            <wp:wrapSquare wrapText="bothSides"/>
            <wp:docPr id="799555573"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tretch>
                      <a:fillRect/>
                    </a:stretch>
                  </pic:blipFill>
                  <pic:spPr>
                    <a:xfrm>
                      <a:off x="0" y="0"/>
                      <a:ext cx="3124200" cy="1885950"/>
                    </a:xfrm>
                    <a:prstGeom prst="rect">
                      <a:avLst/>
                    </a:prstGeom>
                  </pic:spPr>
                </pic:pic>
              </a:graphicData>
            </a:graphic>
          </wp:anchor>
        </w:drawing>
      </w:r>
      <w:r w:rsidR="595CB810" w:rsidRPr="595CB810">
        <w:rPr>
          <w:rFonts w:ascii="Arial" w:eastAsia="Arial" w:hAnsi="Arial" w:cs="Arial"/>
          <w:i/>
          <w:iCs/>
          <w:lang w:val="en-GB"/>
        </w:rPr>
        <w:t>Figure 3</w:t>
      </w:r>
    </w:p>
    <w:p w14:paraId="5B2ED4F2" w14:textId="3EEE37A1"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The differing hue of ‘red’ objects allows me the opportunity to look at figurines because they are a dark red-brown colour</w:t>
      </w:r>
      <w:r w:rsidR="00D21DED">
        <w:rPr>
          <w:rStyle w:val="FootnoteReference"/>
          <w:rFonts w:ascii="Arial" w:eastAsia="Arial" w:hAnsi="Arial" w:cs="Arial"/>
          <w:sz w:val="24"/>
          <w:szCs w:val="24"/>
          <w:lang w:val="en-GB"/>
        </w:rPr>
        <w:footnoteReference w:id="27"/>
      </w:r>
      <w:r w:rsidRPr="595CB810">
        <w:rPr>
          <w:rFonts w:ascii="Arial" w:eastAsia="Arial" w:hAnsi="Arial" w:cs="Arial"/>
          <w:sz w:val="24"/>
          <w:szCs w:val="24"/>
          <w:lang w:val="en-GB"/>
        </w:rPr>
        <w:t xml:space="preserve">. Most of these have been found in funerary context but the models could have been used as toys or to as an acknowledgement of a person's job. Figure 3 is made of wood which is not common due to Egyptian landscape not being good ground for big straight trees, it may have been made of a palm tree, </w:t>
      </w:r>
      <w:r w:rsidR="00D21DED">
        <w:rPr>
          <w:rFonts w:ascii="Arial" w:eastAsia="Arial" w:hAnsi="Arial" w:cs="Arial"/>
          <w:sz w:val="24"/>
          <w:szCs w:val="24"/>
          <w:lang w:val="en-GB"/>
        </w:rPr>
        <w:t>but it is more likely to made from an imported wood</w:t>
      </w:r>
      <w:r w:rsidR="00D21DED">
        <w:rPr>
          <w:rStyle w:val="FootnoteReference"/>
          <w:rFonts w:ascii="Arial" w:eastAsia="Arial" w:hAnsi="Arial" w:cs="Arial"/>
          <w:sz w:val="24"/>
          <w:szCs w:val="24"/>
          <w:lang w:val="en-GB"/>
        </w:rPr>
        <w:footnoteReference w:id="28"/>
      </w:r>
      <w:r w:rsidRPr="595CB810">
        <w:rPr>
          <w:rFonts w:ascii="Arial" w:eastAsia="Arial" w:hAnsi="Arial" w:cs="Arial"/>
          <w:sz w:val="24"/>
          <w:szCs w:val="24"/>
          <w:lang w:val="en-GB"/>
        </w:rPr>
        <w:t>. Being made from wood means that the colours were painted on, all the people figurines are thought to be men due to their clothing and brighter red colour skin. That working men and a Pharaoh have this similar use of the colour ’red’ is a definite sign that ’red’ was masculine in its symbolism.</w:t>
      </w:r>
    </w:p>
    <w:p w14:paraId="4974375B" w14:textId="7BDF84F7"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To conclude, the colour ‘red’ is a symbol of masculinity and power connected to the earth to the Egyptians of the middle Kingdom. This is because it is the colour used to show men in relief context along with the sun disk, which is the male God Ra, whom in turn in is nearly always the father of the Pharaoh</w:t>
      </w:r>
      <w:r w:rsidR="00D21DED">
        <w:rPr>
          <w:rStyle w:val="FootnoteReference"/>
          <w:rFonts w:ascii="Arial" w:eastAsia="Arial" w:hAnsi="Arial" w:cs="Arial"/>
          <w:sz w:val="24"/>
          <w:szCs w:val="24"/>
          <w:lang w:val="en-GB"/>
        </w:rPr>
        <w:footnoteReference w:id="29"/>
      </w:r>
      <w:r w:rsidRPr="595CB810">
        <w:rPr>
          <w:rFonts w:ascii="Arial" w:eastAsia="Arial" w:hAnsi="Arial" w:cs="Arial"/>
          <w:sz w:val="24"/>
          <w:szCs w:val="24"/>
          <w:lang w:val="en-GB"/>
        </w:rPr>
        <w:t>. We know that the sun, sand and fire are all common in Egypt because they are what surrounds the Nile, can be seen in the sky and needing for heat in cold nights or light in a dark room. The meaning may have changed but I see ‘red’ meaning; light, warmth, man, god, land and home to the people of middle kingdom Egypt.</w:t>
      </w:r>
    </w:p>
    <w:p w14:paraId="70CA1FF7" w14:textId="78CAD9EA" w:rsidR="595CB810" w:rsidRDefault="595CB810" w:rsidP="595CB810">
      <w:pPr>
        <w:rPr>
          <w:rFonts w:ascii="Arial" w:eastAsia="Arial" w:hAnsi="Arial" w:cs="Arial"/>
          <w:sz w:val="24"/>
          <w:szCs w:val="24"/>
        </w:rPr>
      </w:pPr>
    </w:p>
    <w:p w14:paraId="78E428E6" w14:textId="515D1ABA" w:rsidR="595CB810" w:rsidRDefault="00FC7CB9" w:rsidP="595CB810">
      <w:pPr>
        <w:rPr>
          <w:rFonts w:ascii="Arial" w:eastAsia="Arial" w:hAnsi="Arial" w:cs="Arial"/>
        </w:rPr>
      </w:pPr>
      <w:r>
        <w:rPr>
          <w:noProof/>
        </w:rPr>
        <w:lastRenderedPageBreak/>
        <w:drawing>
          <wp:anchor distT="0" distB="0" distL="114300" distR="114300" simplePos="0" relativeHeight="251663360" behindDoc="0" locked="0" layoutInCell="1" allowOverlap="1" wp14:anchorId="7B6FDD37" wp14:editId="0E82348E">
            <wp:simplePos x="0" y="0"/>
            <wp:positionH relativeFrom="column">
              <wp:posOffset>3590925</wp:posOffset>
            </wp:positionH>
            <wp:positionV relativeFrom="paragraph">
              <wp:posOffset>247650</wp:posOffset>
            </wp:positionV>
            <wp:extent cx="2619375" cy="2057400"/>
            <wp:effectExtent l="0" t="0" r="9525" b="0"/>
            <wp:wrapSquare wrapText="bothSides"/>
            <wp:docPr id="131427532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a:extLst>
                        <a:ext uri="{28A0092B-C50C-407E-A947-70E740481C1C}">
                          <a14:useLocalDpi xmlns:a14="http://schemas.microsoft.com/office/drawing/2010/main" val="0"/>
                        </a:ext>
                      </a:extLst>
                    </a:blip>
                    <a:stretch>
                      <a:fillRect/>
                    </a:stretch>
                  </pic:blipFill>
                  <pic:spPr>
                    <a:xfrm>
                      <a:off x="0" y="0"/>
                      <a:ext cx="2619375" cy="2057400"/>
                    </a:xfrm>
                    <a:prstGeom prst="rect">
                      <a:avLst/>
                    </a:prstGeom>
                  </pic:spPr>
                </pic:pic>
              </a:graphicData>
            </a:graphic>
          </wp:anchor>
        </w:drawing>
      </w:r>
      <w:r w:rsidR="595CB810" w:rsidRPr="595CB810">
        <w:rPr>
          <w:rFonts w:ascii="Arial" w:eastAsia="Arial" w:hAnsi="Arial" w:cs="Arial"/>
          <w:b/>
          <w:bCs/>
          <w:sz w:val="28"/>
          <w:szCs w:val="28"/>
          <w:lang w:val="en-GB"/>
        </w:rPr>
        <w:t xml:space="preserve">3.2. The colour ‘Blue’                                                  </w:t>
      </w:r>
      <w:r w:rsidR="595CB810" w:rsidRPr="595CB810">
        <w:rPr>
          <w:rFonts w:ascii="Arial" w:eastAsia="Arial" w:hAnsi="Arial" w:cs="Arial"/>
          <w:i/>
          <w:iCs/>
          <w:lang w:val="en-GB"/>
        </w:rPr>
        <w:t xml:space="preserve"> figure 4</w:t>
      </w:r>
    </w:p>
    <w:p w14:paraId="7045CB7E" w14:textId="0E81CD62" w:rsidR="595CB810" w:rsidRDefault="00FC7CB9" w:rsidP="595CB810">
      <w:pPr>
        <w:rPr>
          <w:rFonts w:ascii="Arial" w:eastAsia="Arial" w:hAnsi="Arial" w:cs="Arial"/>
          <w:sz w:val="24"/>
          <w:szCs w:val="24"/>
        </w:rPr>
      </w:pPr>
      <w:r w:rsidRPr="00FC7CB9">
        <w:rPr>
          <w:rFonts w:ascii="Arial" w:eastAsia="Arial" w:hAnsi="Arial" w:cs="Arial"/>
          <w:i/>
          <w:iCs/>
          <w:noProof/>
        </w:rPr>
        <mc:AlternateContent>
          <mc:Choice Requires="wps">
            <w:drawing>
              <wp:anchor distT="45720" distB="45720" distL="114300" distR="114300" simplePos="0" relativeHeight="251666432" behindDoc="0" locked="0" layoutInCell="1" allowOverlap="1" wp14:anchorId="270AC378" wp14:editId="1D1AF9D3">
                <wp:simplePos x="0" y="0"/>
                <wp:positionH relativeFrom="column">
                  <wp:posOffset>-381000</wp:posOffset>
                </wp:positionH>
                <wp:positionV relativeFrom="paragraph">
                  <wp:posOffset>2399030</wp:posOffset>
                </wp:positionV>
                <wp:extent cx="714375" cy="1404620"/>
                <wp:effectExtent l="0" t="0" r="0" b="57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4375" cy="1404620"/>
                        </a:xfrm>
                        <a:prstGeom prst="rect">
                          <a:avLst/>
                        </a:prstGeom>
                        <a:noFill/>
                        <a:ln w="9525">
                          <a:noFill/>
                          <a:miter lim="800000"/>
                          <a:headEnd/>
                          <a:tailEnd/>
                        </a:ln>
                      </wps:spPr>
                      <wps:txbx>
                        <w:txbxContent>
                          <w:p w14:paraId="6EF91BC4" w14:textId="737D7583" w:rsidR="00FC7CB9" w:rsidRDefault="00FC7CB9">
                            <w:r w:rsidRPr="595CB810">
                              <w:rPr>
                                <w:rFonts w:ascii="Arial" w:eastAsia="Arial" w:hAnsi="Arial" w:cs="Arial"/>
                                <w:i/>
                                <w:iCs/>
                              </w:rPr>
                              <w:t>Figure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0AC378" id="_x0000_s1027" type="#_x0000_t202" style="position:absolute;margin-left:-30pt;margin-top:188.9pt;width:56.25pt;height:110.6pt;z-index:25166643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A74jDQIAAPkDAAAOAAAAZHJzL2Uyb0RvYy54bWysU21v2yAQ/j5p/wHxfbGdOU1rxam6dpkm&#10;dS9Sux9AMI7RgGNAYme/vgd206j9No0PCLi75+557lhdD1qRg3BegqlpMcspEYZDI82upr8eNx8u&#10;KfGBmYYpMKKmR+Hp9fr9u1VvKzGHDlQjHEEQ46ve1rQLwVZZ5nknNPMzsMKgsQWnWcCr22WNYz2i&#10;a5XN8/wi68E11gEX3uPr3Wik64TftoKHH23rRSCqplhbSLtL+zbu2XrFqp1jtpN8KoP9QxWaSYNJ&#10;T1B3LDCyd/INlJbcgYc2zDjoDNpWcpE4IJsif8XmoWNWJC4ojrcnmfz/g+XfDz8dkQ32jhLDNLbo&#10;UQyBfIKBzKM6vfUVOj1YdAsDPkfPyNTbe+C/PTFw2zGzEzfOQd8J1mB1RYzMzkJHHB9Btv03aDAN&#10;2wdIQEPrdAREMQiiY5eOp87EUjg+Lovy43JBCUdTUeblxTy1LmPVc7R1PnwRoEk81NRh5xM6O9z7&#10;EKth1bNLTGZgI5VK3VeG9DW9WswXKeDMomXA4VRS1/Qyj2scl0jys2lScGBSjWdMoMzEOhIdKYdh&#10;O0zyon9UZAvNEWVwMM4i/h08dOD+UtLjHNbU/9kzJyhRXw1KeVWUZRzcdCkXSyRO3Llle25hhiNU&#10;TQMl4/E2pGEfG3aDkm9kUuOlkqlknK8k0vQX4gCf35PXy49dPwEAAP//AwBQSwMEFAAGAAgAAAAh&#10;ADy6O+zfAAAACgEAAA8AAABkcnMvZG93bnJldi54bWxMj8tOwzAQRfdI/IM1SOxam6A2NI1TVagt&#10;S6BEXbvxkETED9luGv6eYQWr0Wiu7pxTbiYzsBFD7J2V8DAXwNA2Tve2lVB/7GdPwGJSVqvBWZTw&#10;jRE21e1NqQrtrvYdx2NqGZXYWCgJXUq+4Dw2HRoV586jpdunC0YlWkPLdVBXKjcDz4RYcqN6Sx86&#10;5fG5w+breDESfPKH/CW8vm13+1HUp0Od9e1Oyvu7absGlnBKf2H4xSd0qIjp7C5WRzZImC0FuSQJ&#10;j3lODpRYZAtgZ5qrlQBelfy/QvUDAAD//wMAUEsBAi0AFAAGAAgAAAAhALaDOJL+AAAA4QEAABMA&#10;AAAAAAAAAAAAAAAAAAAAAFtDb250ZW50X1R5cGVzXS54bWxQSwECLQAUAAYACAAAACEAOP0h/9YA&#10;AACUAQAACwAAAAAAAAAAAAAAAAAvAQAAX3JlbHMvLnJlbHNQSwECLQAUAAYACAAAACEA4QO+Iw0C&#10;AAD5AwAADgAAAAAAAAAAAAAAAAAuAgAAZHJzL2Uyb0RvYy54bWxQSwECLQAUAAYACAAAACEAPLo7&#10;7N8AAAAKAQAADwAAAAAAAAAAAAAAAABnBAAAZHJzL2Rvd25yZXYueG1sUEsFBgAAAAAEAAQA8wAA&#10;AHMFAAAAAA==&#10;" filled="f" stroked="f">
                <v:textbox style="mso-fit-shape-to-text:t">
                  <w:txbxContent>
                    <w:p w14:paraId="6EF91BC4" w14:textId="737D7583" w:rsidR="00FC7CB9" w:rsidRDefault="00FC7CB9">
                      <w:r w:rsidRPr="595CB810">
                        <w:rPr>
                          <w:rFonts w:ascii="Arial" w:eastAsia="Arial" w:hAnsi="Arial" w:cs="Arial"/>
                          <w:i/>
                          <w:iCs/>
                        </w:rPr>
                        <w:t>Figure 1</w:t>
                      </w:r>
                    </w:p>
                  </w:txbxContent>
                </v:textbox>
                <w10:wrap type="square"/>
              </v:shape>
            </w:pict>
          </mc:Fallback>
        </mc:AlternateContent>
      </w:r>
      <w:r>
        <w:rPr>
          <w:noProof/>
        </w:rPr>
        <w:drawing>
          <wp:anchor distT="0" distB="0" distL="114300" distR="114300" simplePos="0" relativeHeight="251664384" behindDoc="1" locked="0" layoutInCell="1" allowOverlap="1" wp14:anchorId="4F76B6EC" wp14:editId="2831F975">
            <wp:simplePos x="0" y="0"/>
            <wp:positionH relativeFrom="column">
              <wp:posOffset>247650</wp:posOffset>
            </wp:positionH>
            <wp:positionV relativeFrom="paragraph">
              <wp:posOffset>2370455</wp:posOffset>
            </wp:positionV>
            <wp:extent cx="5943600" cy="2505075"/>
            <wp:effectExtent l="0" t="0" r="0" b="9525"/>
            <wp:wrapSquare wrapText="bothSides"/>
            <wp:docPr id="1781994662"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a:extLst>
                        <a:ext uri="{28A0092B-C50C-407E-A947-70E740481C1C}">
                          <a14:useLocalDpi xmlns:a14="http://schemas.microsoft.com/office/drawing/2010/main" val="0"/>
                        </a:ext>
                      </a:extLst>
                    </a:blip>
                    <a:stretch>
                      <a:fillRect/>
                    </a:stretch>
                  </pic:blipFill>
                  <pic:spPr>
                    <a:xfrm>
                      <a:off x="0" y="0"/>
                      <a:ext cx="5943600" cy="2505075"/>
                    </a:xfrm>
                    <a:prstGeom prst="rect">
                      <a:avLst/>
                    </a:prstGeom>
                  </pic:spPr>
                </pic:pic>
              </a:graphicData>
            </a:graphic>
          </wp:anchor>
        </w:drawing>
      </w:r>
      <w:r w:rsidR="595CB810" w:rsidRPr="595CB810">
        <w:rPr>
          <w:rFonts w:ascii="Arial" w:eastAsia="Arial" w:hAnsi="Arial" w:cs="Arial"/>
          <w:sz w:val="24"/>
          <w:szCs w:val="24"/>
          <w:lang w:val="en-GB"/>
        </w:rPr>
        <w:t>The modern definition of ‘blue’ “the colour of a cloudless sky, unhappy or depressed, indecent or obscene.”</w:t>
      </w:r>
      <w:r w:rsidR="00D21DED">
        <w:rPr>
          <w:rStyle w:val="FootnoteReference"/>
          <w:rFonts w:ascii="Arial" w:eastAsia="Arial" w:hAnsi="Arial" w:cs="Arial"/>
          <w:sz w:val="24"/>
          <w:szCs w:val="24"/>
          <w:lang w:val="en-GB"/>
        </w:rPr>
        <w:footnoteReference w:id="30"/>
      </w:r>
      <w:r w:rsidR="595CB810" w:rsidRPr="595CB810">
        <w:rPr>
          <w:rFonts w:ascii="Arial" w:eastAsia="Arial" w:hAnsi="Arial" w:cs="Arial"/>
          <w:sz w:val="24"/>
          <w:szCs w:val="24"/>
          <w:lang w:val="en-GB"/>
        </w:rPr>
        <w:t xml:space="preserve"> This definition is the simplistic and uniform definition we have of ‘blue’. The actual meaning of ‘blue’ is nearly as broad as that of ‘red’ however it is also the opposite in many areas. The colour is mostly associated with water, whether this be frozen crystals, deep oceans, or running out of taps, water is always blue. When this colour is used people think “wet” or cold, the shade and hue of the colour used holds the greatest importance because it is these differences that explain what the colour means in its usage. </w:t>
      </w:r>
    </w:p>
    <w:p w14:paraId="214978F9" w14:textId="0E0E8FA2" w:rsidR="595CB810" w:rsidRDefault="595CB810" w:rsidP="595CB810">
      <w:pPr>
        <w:rPr>
          <w:rFonts w:ascii="Arial" w:eastAsia="Arial" w:hAnsi="Arial" w:cs="Arial"/>
        </w:rPr>
      </w:pPr>
    </w:p>
    <w:p w14:paraId="5AA3F4FC" w14:textId="38200B48"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The colour ‘blue’ used in or on objects from middle kingdom Egypt take their colour either from the material that they are made of or the creation of a paint pigment. This paint is made from sand, soda and Cyprian copper, drying and burning in a furnace or ground lapis lazuli or azurite</w:t>
      </w:r>
      <w:r w:rsidR="00D21DED">
        <w:rPr>
          <w:rStyle w:val="FootnoteReference"/>
          <w:rFonts w:ascii="Arial" w:eastAsia="Arial" w:hAnsi="Arial" w:cs="Arial"/>
          <w:sz w:val="24"/>
          <w:szCs w:val="24"/>
          <w:lang w:val="en-GB"/>
        </w:rPr>
        <w:footnoteReference w:id="31"/>
      </w:r>
      <w:r w:rsidRPr="595CB810">
        <w:rPr>
          <w:rFonts w:ascii="Arial" w:eastAsia="Arial" w:hAnsi="Arial" w:cs="Arial"/>
          <w:sz w:val="24"/>
          <w:szCs w:val="24"/>
          <w:lang w:val="en-GB"/>
        </w:rPr>
        <w:t xml:space="preserve">. The need for precocious, semi-precious or foreign substances mean that the preparation and final paint must have been used for special art or jewellery. This can be seen in figure 1 because the Pharaoh is wearing a blue collar or necklace, along with being used to colour offering baskets. Some other areas appear blue are black but appear different due to image and wear over time. The fact the Pharaoh is wearing and offering baskets are ‘blue’ shows that the colour holds some importance in Egyptian culture that is very likely connected to belief. Figure 4 is of a faience amulet, faience is nearly always from hue of ‘blue’ and is a substitute from lapis </w:t>
      </w:r>
      <w:r w:rsidRPr="595CB810">
        <w:rPr>
          <w:rFonts w:ascii="Arial" w:eastAsia="Arial" w:hAnsi="Arial" w:cs="Arial"/>
          <w:sz w:val="24"/>
          <w:szCs w:val="24"/>
          <w:lang w:val="en-GB"/>
        </w:rPr>
        <w:lastRenderedPageBreak/>
        <w:t>lazuli due to similar colours. This amulet and others are usually made of faience again connecting the idea that ‘blue’ is a spiritual or power play. A great number of the amulets are beads or wearable, making the context in which they are locate vary, but a lot come from tombs and funerary context</w:t>
      </w:r>
      <w:r w:rsidR="00D21DED">
        <w:rPr>
          <w:rStyle w:val="FootnoteReference"/>
          <w:rFonts w:ascii="Arial" w:eastAsia="Arial" w:hAnsi="Arial" w:cs="Arial"/>
          <w:sz w:val="24"/>
          <w:szCs w:val="24"/>
          <w:lang w:val="en-GB"/>
        </w:rPr>
        <w:footnoteReference w:id="32"/>
      </w:r>
      <w:r w:rsidRPr="595CB810">
        <w:rPr>
          <w:rFonts w:ascii="Arial" w:eastAsia="Arial" w:hAnsi="Arial" w:cs="Arial"/>
          <w:sz w:val="24"/>
          <w:szCs w:val="24"/>
          <w:lang w:val="en-GB"/>
        </w:rPr>
        <w:t xml:space="preserve">. </w:t>
      </w:r>
    </w:p>
    <w:p w14:paraId="1F12B160" w14:textId="0874A0AF" w:rsidR="595CB810" w:rsidRDefault="00FC7CB9" w:rsidP="595CB810">
      <w:pPr>
        <w:ind w:left="4320" w:firstLine="720"/>
        <w:rPr>
          <w:rFonts w:ascii="Arial" w:eastAsia="Arial" w:hAnsi="Arial" w:cs="Arial"/>
        </w:rPr>
      </w:pPr>
      <w:r>
        <w:rPr>
          <w:noProof/>
        </w:rPr>
        <w:drawing>
          <wp:anchor distT="0" distB="0" distL="114300" distR="114300" simplePos="0" relativeHeight="251667456" behindDoc="0" locked="0" layoutInCell="1" allowOverlap="1" wp14:anchorId="096A72DA" wp14:editId="7D451D75">
            <wp:simplePos x="0" y="0"/>
            <wp:positionH relativeFrom="margin">
              <wp:align>right</wp:align>
            </wp:positionH>
            <wp:positionV relativeFrom="paragraph">
              <wp:posOffset>225425</wp:posOffset>
            </wp:positionV>
            <wp:extent cx="2667000" cy="4343400"/>
            <wp:effectExtent l="0" t="0" r="0" b="0"/>
            <wp:wrapSquare wrapText="bothSides"/>
            <wp:docPr id="786609627"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5">
                      <a:extLst>
                        <a:ext uri="{28A0092B-C50C-407E-A947-70E740481C1C}">
                          <a14:useLocalDpi xmlns:a14="http://schemas.microsoft.com/office/drawing/2010/main" val="0"/>
                        </a:ext>
                      </a:extLst>
                    </a:blip>
                    <a:stretch>
                      <a:fillRect/>
                    </a:stretch>
                  </pic:blipFill>
                  <pic:spPr>
                    <a:xfrm>
                      <a:off x="0" y="0"/>
                      <a:ext cx="2667000" cy="4343400"/>
                    </a:xfrm>
                    <a:prstGeom prst="rect">
                      <a:avLst/>
                    </a:prstGeom>
                  </pic:spPr>
                </pic:pic>
              </a:graphicData>
            </a:graphic>
          </wp:anchor>
        </w:drawing>
      </w:r>
      <w:r w:rsidR="595CB810" w:rsidRPr="595CB810">
        <w:rPr>
          <w:rFonts w:ascii="Arial" w:eastAsia="Arial" w:hAnsi="Arial" w:cs="Arial"/>
          <w:i/>
          <w:iCs/>
          <w:lang w:val="en-GB"/>
        </w:rPr>
        <w:t xml:space="preserve">    Figure 5</w:t>
      </w:r>
    </w:p>
    <w:p w14:paraId="4DDA9D08" w14:textId="54C95C67"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 xml:space="preserve">Figure 5 is a clear example of how ’blue’ is used to adorn those of wealth and power. This is a segment from the tomb of </w:t>
      </w:r>
      <w:proofErr w:type="spellStart"/>
      <w:r w:rsidRPr="595CB810">
        <w:rPr>
          <w:rFonts w:ascii="Arial" w:eastAsia="Arial" w:hAnsi="Arial" w:cs="Arial"/>
          <w:sz w:val="24"/>
          <w:szCs w:val="24"/>
          <w:lang w:val="en-GB"/>
        </w:rPr>
        <w:t>Djehutyhotep</w:t>
      </w:r>
      <w:proofErr w:type="spellEnd"/>
      <w:r w:rsidRPr="595CB810">
        <w:rPr>
          <w:rFonts w:ascii="Arial" w:eastAsia="Arial" w:hAnsi="Arial" w:cs="Arial"/>
          <w:sz w:val="24"/>
          <w:szCs w:val="24"/>
          <w:lang w:val="en-GB"/>
        </w:rPr>
        <w:t xml:space="preserve"> from 1850BC she is his sister</w:t>
      </w:r>
      <w:r w:rsidR="00D21DED">
        <w:rPr>
          <w:rStyle w:val="FootnoteReference"/>
          <w:rFonts w:ascii="Arial" w:eastAsia="Arial" w:hAnsi="Arial" w:cs="Arial"/>
          <w:sz w:val="24"/>
          <w:szCs w:val="24"/>
          <w:lang w:val="en-GB"/>
        </w:rPr>
        <w:footnoteReference w:id="33"/>
      </w:r>
      <w:r w:rsidRPr="595CB810">
        <w:rPr>
          <w:rFonts w:ascii="Arial" w:eastAsia="Arial" w:hAnsi="Arial" w:cs="Arial"/>
          <w:sz w:val="24"/>
          <w:szCs w:val="24"/>
          <w:lang w:val="en-GB"/>
        </w:rPr>
        <w:t xml:space="preserve">. That she is wearing all ’blue’ jewellery; collar, knotted diadem, matching bracelets and anklets. All these items are probably a mix between lapis lazuli stones and faience. That as a woman she is wearing so much ’blue’ makes it likely that ’blue’ has more feminine connotations to the Egyptians than it does today. The white cotton cloth and ’blue’ jewels has modern connotations of cold or being cool, I doubt this applied to the Egyptian because though it may be cooler to wear, we get our interpretation of the ice and snows of winter. Comparing figure 1 and 5 we can observe that both people shown are of a high social standing and are wearing a ’blue’ collar. These collars or necklaces may be a show of power or family connection but because both men and woman are wearing it make the definition of ’blue’ being closer to feminine meanings harder to accept. This may be due to the roles of women in Egypt and modern society are different, furthering this ’blue’ is now the colour for boys while pink (which would be counted as red in Egypt) is for girl. </w:t>
      </w:r>
    </w:p>
    <w:p w14:paraId="28093C99" w14:textId="5998E99E"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To conclude, the colour ‘blue’ is a symbol of spiritual superiority and power to the Egyptians of the middle Kingdom because only those with power can afford the expensive materials needed for finer pieces, while those of cheaper material are more likely to be amulets or similar objects. The painted use of ‘blue’ was created in Egypt</w:t>
      </w:r>
      <w:r w:rsidR="00D21DED">
        <w:rPr>
          <w:rStyle w:val="FootnoteReference"/>
          <w:rFonts w:ascii="Arial" w:eastAsia="Arial" w:hAnsi="Arial" w:cs="Arial"/>
          <w:sz w:val="24"/>
          <w:szCs w:val="24"/>
          <w:lang w:val="en-GB"/>
        </w:rPr>
        <w:footnoteReference w:id="34"/>
      </w:r>
      <w:r w:rsidRPr="595CB810">
        <w:rPr>
          <w:rFonts w:ascii="Arial" w:eastAsia="Arial" w:hAnsi="Arial" w:cs="Arial"/>
          <w:sz w:val="24"/>
          <w:szCs w:val="24"/>
          <w:lang w:val="en-GB"/>
        </w:rPr>
        <w:t xml:space="preserve">. If we look at the natural world and religion of Egypt the Nile along with the sky are both ‘blue’ and hold import places in their belief system. The Nile flooding to create plains for </w:t>
      </w:r>
      <w:r w:rsidRPr="595CB810">
        <w:rPr>
          <w:rFonts w:ascii="Arial" w:eastAsia="Arial" w:hAnsi="Arial" w:cs="Arial"/>
          <w:sz w:val="24"/>
          <w:szCs w:val="24"/>
          <w:lang w:val="en-GB"/>
        </w:rPr>
        <w:lastRenderedPageBreak/>
        <w:t>food, while the sky gives water and cradles the sun. These depictions further connect the colour blue with a more feminine meanings of nurturing the land and life.</w:t>
      </w:r>
    </w:p>
    <w:p w14:paraId="78580F1E" w14:textId="41F7C8DB" w:rsidR="595CB810" w:rsidRDefault="595CB810" w:rsidP="595CB810">
      <w:pPr>
        <w:rPr>
          <w:rFonts w:ascii="Arial" w:eastAsia="Arial" w:hAnsi="Arial" w:cs="Arial"/>
          <w:sz w:val="28"/>
          <w:szCs w:val="28"/>
        </w:rPr>
      </w:pPr>
      <w:r w:rsidRPr="595CB810">
        <w:rPr>
          <w:rFonts w:ascii="Arial" w:eastAsia="Arial" w:hAnsi="Arial" w:cs="Arial"/>
          <w:b/>
          <w:bCs/>
          <w:sz w:val="28"/>
          <w:szCs w:val="28"/>
          <w:lang w:val="en-GB"/>
        </w:rPr>
        <w:t>4.conclusion</w:t>
      </w:r>
    </w:p>
    <w:p w14:paraId="038521DC" w14:textId="08ADC7B1"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Overall, comparing the modern meanings for the colours and the ancient once we can see the how the experience of the culture and needs of the society have influenced them</w:t>
      </w:r>
      <w:r w:rsidR="006C09F3">
        <w:rPr>
          <w:rStyle w:val="FootnoteReference"/>
          <w:rFonts w:ascii="Arial" w:eastAsia="Arial" w:hAnsi="Arial" w:cs="Arial"/>
          <w:sz w:val="24"/>
          <w:szCs w:val="24"/>
          <w:lang w:val="en-GB"/>
        </w:rPr>
        <w:footnoteReference w:id="35"/>
      </w:r>
      <w:r w:rsidRPr="595CB810">
        <w:rPr>
          <w:rFonts w:ascii="Arial" w:eastAsia="Arial" w:hAnsi="Arial" w:cs="Arial"/>
          <w:sz w:val="24"/>
          <w:szCs w:val="24"/>
          <w:lang w:val="en-GB"/>
        </w:rPr>
        <w:t xml:space="preserve">. My answer to the “What meaning do the colours red and blue have in Middle Kingdom Egyptian culture?” is that ‘red’ hold meanings of a more masculine down to earth nature that grounds or helps focus. While ‘blue’ holds a more spiritual or unspoken power, softer and more feminine than ’red’. The meanings for both colours have been drawn from the impact the natural world held of the Ancient Egyptians, be this though water and food resources or light and warmth. All these interpretations are universal but more in-depth meanings reveal that ’blue’ is the colour used symbolical in items connected to religion or to show subtle power, a colour that stands out in Egypt but complement the marble, limestone buildings or cotton clothing. Contrary ’red’ is a symbol of the land, and light and men of Egypt, this colour is more about reality and grounding focus of power. Blood is need for life, so is fire; both are ’red’ so their importance is shown in this colour. </w:t>
      </w:r>
    </w:p>
    <w:p w14:paraId="2361E511" w14:textId="076EC383" w:rsidR="595CB810" w:rsidRDefault="595CB810" w:rsidP="595CB810">
      <w:pPr>
        <w:rPr>
          <w:rFonts w:ascii="Arial" w:eastAsia="Arial" w:hAnsi="Arial" w:cs="Arial"/>
          <w:sz w:val="24"/>
          <w:szCs w:val="24"/>
        </w:rPr>
      </w:pPr>
      <w:r w:rsidRPr="595CB810">
        <w:rPr>
          <w:rFonts w:ascii="Arial" w:eastAsia="Arial" w:hAnsi="Arial" w:cs="Arial"/>
          <w:sz w:val="24"/>
          <w:szCs w:val="24"/>
          <w:lang w:val="en-GB"/>
        </w:rPr>
        <w:t>For further research in this area I would need to specify a certain type of object for example the scarab beetles of the new kingdom period</w:t>
      </w:r>
      <w:r w:rsidR="006C09F3">
        <w:rPr>
          <w:rStyle w:val="FootnoteReference"/>
          <w:rFonts w:ascii="Arial" w:eastAsia="Arial" w:hAnsi="Arial" w:cs="Arial"/>
          <w:sz w:val="24"/>
          <w:szCs w:val="24"/>
          <w:lang w:val="en-GB"/>
        </w:rPr>
        <w:footnoteReference w:id="36"/>
      </w:r>
      <w:r w:rsidRPr="595CB810">
        <w:rPr>
          <w:rFonts w:ascii="Arial" w:eastAsia="Arial" w:hAnsi="Arial" w:cs="Arial"/>
          <w:sz w:val="24"/>
          <w:szCs w:val="24"/>
          <w:lang w:val="en-GB"/>
        </w:rPr>
        <w:t xml:space="preserve"> and try to draw out the meanings of their colours due to materials used or painted patterns. I would also need to have a greater understanding of eastern colour perspectives rather than western views in completing this understanding. Literature source could only take me so far, I would have liked to have a more hands on and personal approach to understanding these objects because pictures can only show so much and the feel of an objects or seeing how large it is in person can change the viewers interpretation of the object. </w:t>
      </w:r>
    </w:p>
    <w:p w14:paraId="095D5AEB" w14:textId="6FAA6D9B" w:rsidR="595CB810" w:rsidRDefault="595CB810" w:rsidP="595CB810">
      <w:pPr>
        <w:rPr>
          <w:rFonts w:ascii="Arial" w:eastAsia="Arial" w:hAnsi="Arial" w:cs="Arial"/>
          <w:sz w:val="28"/>
          <w:szCs w:val="28"/>
        </w:rPr>
      </w:pPr>
      <w:r w:rsidRPr="595CB810">
        <w:rPr>
          <w:rFonts w:ascii="Arial" w:eastAsia="Arial" w:hAnsi="Arial" w:cs="Arial"/>
          <w:b/>
          <w:bCs/>
          <w:sz w:val="28"/>
          <w:szCs w:val="28"/>
          <w:lang w:val="en-GB"/>
        </w:rPr>
        <w:t>5.Bibliogrphy</w:t>
      </w:r>
    </w:p>
    <w:p w14:paraId="5B403B08" w14:textId="6F92503B"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Figure 1 - </w:t>
      </w:r>
      <w:r w:rsidRPr="595CB810">
        <w:rPr>
          <w:rFonts w:ascii="Arial" w:eastAsia="Arial" w:hAnsi="Arial" w:cs="Arial"/>
          <w:i/>
          <w:iCs/>
          <w:sz w:val="24"/>
          <w:szCs w:val="24"/>
          <w:lang w:val="en-GB"/>
        </w:rPr>
        <w:t xml:space="preserve">Relief of </w:t>
      </w:r>
      <w:proofErr w:type="spellStart"/>
      <w:r w:rsidRPr="595CB810">
        <w:rPr>
          <w:rFonts w:ascii="Arial" w:eastAsia="Arial" w:hAnsi="Arial" w:cs="Arial"/>
          <w:i/>
          <w:iCs/>
          <w:sz w:val="24"/>
          <w:szCs w:val="24"/>
          <w:lang w:val="en-GB"/>
        </w:rPr>
        <w:t>Nebheptre</w:t>
      </w:r>
      <w:proofErr w:type="spellEnd"/>
      <w:r w:rsidRPr="595CB810">
        <w:rPr>
          <w:rFonts w:ascii="Arial" w:eastAsia="Arial" w:hAnsi="Arial" w:cs="Arial"/>
          <w:i/>
          <w:iCs/>
          <w:sz w:val="24"/>
          <w:szCs w:val="24"/>
          <w:lang w:val="en-GB"/>
        </w:rPr>
        <w:t xml:space="preserve"> Mentuhotep II and Hathor</w:t>
      </w:r>
      <w:r w:rsidRPr="595CB810">
        <w:rPr>
          <w:rFonts w:ascii="Arial" w:eastAsia="Arial" w:hAnsi="Arial" w:cs="Arial"/>
          <w:sz w:val="24"/>
          <w:szCs w:val="24"/>
          <w:lang w:val="en-GB"/>
        </w:rPr>
        <w:t xml:space="preserve">. Number 07.230.2 from the </w:t>
      </w:r>
      <w:proofErr w:type="spellStart"/>
      <w:r w:rsidRPr="595CB810">
        <w:rPr>
          <w:rFonts w:ascii="Arial" w:eastAsia="Arial" w:hAnsi="Arial" w:cs="Arial"/>
          <w:sz w:val="24"/>
          <w:szCs w:val="24"/>
          <w:lang w:val="en-GB"/>
        </w:rPr>
        <w:t>Metropolitain</w:t>
      </w:r>
      <w:proofErr w:type="spellEnd"/>
      <w:r w:rsidRPr="595CB810">
        <w:rPr>
          <w:rFonts w:ascii="Arial" w:eastAsia="Arial" w:hAnsi="Arial" w:cs="Arial"/>
          <w:sz w:val="24"/>
          <w:szCs w:val="24"/>
          <w:lang w:val="en-GB"/>
        </w:rPr>
        <w:t xml:space="preserve"> Museum of Art. New York. </w:t>
      </w:r>
      <w:hyperlink r:id="rId16">
        <w:r w:rsidRPr="595CB810">
          <w:rPr>
            <w:rStyle w:val="Hyperlink"/>
            <w:rFonts w:ascii="Arial" w:eastAsia="Arial" w:hAnsi="Arial" w:cs="Arial"/>
            <w:color w:val="0563C1"/>
            <w:lang w:val="en-GB"/>
          </w:rPr>
          <w:t>https://www.metmuseum.org/toah/works-of-art/07.230.2/</w:t>
        </w:r>
      </w:hyperlink>
      <w:r w:rsidRPr="595CB810">
        <w:rPr>
          <w:rFonts w:ascii="Arial" w:eastAsia="Arial" w:hAnsi="Arial" w:cs="Arial"/>
          <w:color w:val="0563C1"/>
          <w:u w:val="single"/>
          <w:lang w:val="en-GB"/>
        </w:rPr>
        <w:t xml:space="preserve"> </w:t>
      </w:r>
      <w:r w:rsidRPr="595CB810">
        <w:rPr>
          <w:rFonts w:ascii="Arial" w:eastAsia="Arial" w:hAnsi="Arial" w:cs="Arial"/>
          <w:lang w:val="en-GB"/>
        </w:rPr>
        <w:t>accessed 05.03.19</w:t>
      </w:r>
      <w:r w:rsidRPr="595CB810">
        <w:rPr>
          <w:rFonts w:ascii="Arial" w:eastAsia="Arial" w:hAnsi="Arial" w:cs="Arial"/>
          <w:sz w:val="24"/>
          <w:szCs w:val="24"/>
          <w:lang w:val="en-GB"/>
        </w:rPr>
        <w:t xml:space="preserve"> </w:t>
      </w:r>
    </w:p>
    <w:p w14:paraId="7C3DEF2B" w14:textId="4A5F3375"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Figure 2- </w:t>
      </w:r>
      <w:r w:rsidR="00DA5B7A" w:rsidRPr="00DA5B7A">
        <w:rPr>
          <w:rFonts w:ascii="Arial" w:eastAsia="Arial" w:hAnsi="Arial" w:cs="Arial"/>
          <w:i/>
          <w:sz w:val="24"/>
          <w:szCs w:val="24"/>
          <w:lang w:val="en-GB"/>
        </w:rPr>
        <w:t>blue bead</w:t>
      </w:r>
      <w:r w:rsidR="00DA5B7A">
        <w:rPr>
          <w:rFonts w:ascii="Arial" w:eastAsia="Arial" w:hAnsi="Arial" w:cs="Arial"/>
          <w:sz w:val="24"/>
          <w:szCs w:val="24"/>
          <w:lang w:val="en-GB"/>
        </w:rPr>
        <w:t xml:space="preserve"> </w:t>
      </w:r>
      <w:r w:rsidRPr="595CB810">
        <w:rPr>
          <w:rFonts w:ascii="Arial" w:eastAsia="Arial" w:hAnsi="Arial" w:cs="Arial"/>
          <w:i/>
          <w:iCs/>
          <w:sz w:val="24"/>
          <w:szCs w:val="24"/>
          <w:lang w:val="en-GB"/>
        </w:rPr>
        <w:t>Necklaces</w:t>
      </w:r>
      <w:r w:rsidRPr="595CB810">
        <w:rPr>
          <w:rFonts w:ascii="Arial" w:eastAsia="Arial" w:hAnsi="Arial" w:cs="Arial"/>
          <w:sz w:val="24"/>
          <w:szCs w:val="24"/>
          <w:lang w:val="en-GB"/>
        </w:rPr>
        <w:t xml:space="preserve">. Number </w:t>
      </w:r>
      <w:r w:rsidRPr="595CB810">
        <w:rPr>
          <w:rFonts w:ascii="Arial" w:eastAsia="Arial" w:hAnsi="Arial" w:cs="Arial"/>
          <w:lang w:val="en-GB"/>
        </w:rPr>
        <w:t>EA30336,</w:t>
      </w:r>
      <w:r w:rsidR="00ED55BF">
        <w:rPr>
          <w:rFonts w:ascii="Arial" w:eastAsia="Arial" w:hAnsi="Arial" w:cs="Arial"/>
          <w:lang w:val="en-GB"/>
        </w:rPr>
        <w:t xml:space="preserve"> </w:t>
      </w:r>
      <w:r w:rsidRPr="595CB810">
        <w:rPr>
          <w:rFonts w:ascii="Arial" w:eastAsia="Arial" w:hAnsi="Arial" w:cs="Arial"/>
          <w:lang w:val="en-GB"/>
        </w:rPr>
        <w:t xml:space="preserve">from the </w:t>
      </w:r>
      <w:proofErr w:type="spellStart"/>
      <w:r w:rsidRPr="595CB810">
        <w:rPr>
          <w:rFonts w:ascii="Arial" w:eastAsia="Arial" w:hAnsi="Arial" w:cs="Arial"/>
          <w:lang w:val="en-GB"/>
        </w:rPr>
        <w:t>Brithsh</w:t>
      </w:r>
      <w:proofErr w:type="spellEnd"/>
      <w:r w:rsidRPr="595CB810">
        <w:rPr>
          <w:rFonts w:ascii="Arial" w:eastAsia="Arial" w:hAnsi="Arial" w:cs="Arial"/>
          <w:lang w:val="en-GB"/>
        </w:rPr>
        <w:t xml:space="preserve"> museum Collection. </w:t>
      </w:r>
      <w:hyperlink r:id="rId17" w:history="1">
        <w:r w:rsidR="00BB1B76" w:rsidRPr="003E0436">
          <w:rPr>
            <w:rStyle w:val="Hyperlink"/>
            <w:rFonts w:ascii="Arial" w:eastAsia="Arial" w:hAnsi="Arial" w:cs="Arial"/>
            <w:lang w:val="en-GB"/>
          </w:rPr>
          <w:t>https://www.britishmuseum.org/research/collection_online/collection_object_details.aspx?objectId=170417&amp;partId=1&amp;searchText=Middle+Kingdom+Egypt&amp;images=true&amp;page=3</w:t>
        </w:r>
      </w:hyperlink>
      <w:r w:rsidRPr="595CB810">
        <w:rPr>
          <w:rFonts w:ascii="Arial" w:eastAsia="Arial" w:hAnsi="Arial" w:cs="Arial"/>
          <w:color w:val="0563C1"/>
          <w:u w:val="single"/>
          <w:lang w:val="en-GB"/>
        </w:rPr>
        <w:t xml:space="preserve"> </w:t>
      </w:r>
      <w:r w:rsidRPr="595CB810">
        <w:rPr>
          <w:rFonts w:ascii="Arial" w:eastAsia="Arial" w:hAnsi="Arial" w:cs="Arial"/>
          <w:lang w:val="en-GB"/>
        </w:rPr>
        <w:t>accessed 05.03.19</w:t>
      </w:r>
    </w:p>
    <w:p w14:paraId="06EC5B95" w14:textId="77777777" w:rsidR="00ED55BF" w:rsidRPr="006A0D06" w:rsidRDefault="000A1C38" w:rsidP="00ED55BF">
      <w:pPr>
        <w:pStyle w:val="ListParagraph"/>
        <w:rPr>
          <w:rFonts w:ascii="Arial" w:hAnsi="Arial" w:cs="Arial"/>
          <w:sz w:val="24"/>
          <w:szCs w:val="24"/>
        </w:rPr>
      </w:pPr>
      <w:r w:rsidRPr="00ED55BF">
        <w:rPr>
          <w:rFonts w:ascii="Arial" w:hAnsi="Arial" w:cs="Arial"/>
          <w:i/>
          <w:sz w:val="24"/>
          <w:szCs w:val="24"/>
        </w:rPr>
        <w:t xml:space="preserve">Red bead </w:t>
      </w:r>
      <w:r w:rsidR="001B53A9" w:rsidRPr="00ED55BF">
        <w:rPr>
          <w:rFonts w:ascii="Arial" w:hAnsi="Arial" w:cs="Arial"/>
          <w:i/>
          <w:sz w:val="24"/>
          <w:szCs w:val="24"/>
        </w:rPr>
        <w:t>Necklaces.</w:t>
      </w:r>
      <w:r w:rsidR="001B53A9" w:rsidRPr="00ED55BF">
        <w:rPr>
          <w:rFonts w:ascii="Arial" w:hAnsi="Arial" w:cs="Arial"/>
          <w:sz w:val="24"/>
          <w:szCs w:val="24"/>
        </w:rPr>
        <w:t xml:space="preserve"> Number EA30338 from the British Museum Collection</w:t>
      </w:r>
      <w:r w:rsidR="00ED55BF" w:rsidRPr="00ED55BF">
        <w:rPr>
          <w:rFonts w:ascii="Arial" w:hAnsi="Arial" w:cs="Arial"/>
          <w:sz w:val="24"/>
          <w:szCs w:val="24"/>
        </w:rPr>
        <w:t xml:space="preserve">. </w:t>
      </w:r>
      <w:hyperlink r:id="rId18" w:history="1">
        <w:r w:rsidR="00ED55BF" w:rsidRPr="00937695">
          <w:rPr>
            <w:rStyle w:val="Hyperlink"/>
            <w:rFonts w:ascii="Arial" w:hAnsi="Arial" w:cs="Arial"/>
          </w:rPr>
          <w:t>https://www.britishmuseum.org/research/collection_online/collection_object_details.aspx?objectId=170415&amp;partId=1&amp;searchText=Middle+Kingdom+Egypt&amp;images=true&amp;page=1</w:t>
        </w:r>
      </w:hyperlink>
      <w:r w:rsidR="00ED55BF" w:rsidRPr="00937695">
        <w:rPr>
          <w:rFonts w:ascii="Arial" w:hAnsi="Arial" w:cs="Arial"/>
        </w:rPr>
        <w:t xml:space="preserve"> accessed 10.03.19</w:t>
      </w:r>
    </w:p>
    <w:p w14:paraId="3BF866B6" w14:textId="05116214" w:rsidR="000A1C38" w:rsidRPr="000A1C38" w:rsidRDefault="000A1C38" w:rsidP="000A1C38">
      <w:pPr>
        <w:pStyle w:val="ListParagraph"/>
        <w:rPr>
          <w:sz w:val="24"/>
          <w:szCs w:val="24"/>
        </w:rPr>
      </w:pPr>
    </w:p>
    <w:p w14:paraId="3CA22A64" w14:textId="37D9DCCD"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Figure 3 - </w:t>
      </w:r>
      <w:bookmarkStart w:id="1" w:name="_Hlk3151180"/>
      <w:r w:rsidRPr="595CB810">
        <w:rPr>
          <w:rFonts w:ascii="Arial" w:eastAsia="Arial" w:hAnsi="Arial" w:cs="Arial"/>
          <w:i/>
          <w:iCs/>
          <w:sz w:val="24"/>
          <w:szCs w:val="24"/>
        </w:rPr>
        <w:t>transport boat with a portable cabin</w:t>
      </w:r>
      <w:bookmarkEnd w:id="1"/>
      <w:r w:rsidRPr="595CB810">
        <w:rPr>
          <w:rFonts w:ascii="Arial" w:eastAsia="Arial" w:hAnsi="Arial" w:cs="Arial"/>
          <w:i/>
          <w:iCs/>
          <w:sz w:val="24"/>
          <w:szCs w:val="24"/>
        </w:rPr>
        <w:t>.</w:t>
      </w:r>
      <w:r w:rsidRPr="595CB810">
        <w:rPr>
          <w:rFonts w:ascii="Arial" w:eastAsia="Arial" w:hAnsi="Arial" w:cs="Arial"/>
          <w:sz w:val="24"/>
          <w:szCs w:val="24"/>
        </w:rPr>
        <w:t xml:space="preserve"> Number BST711117 from the Museum of Fine Arts. Boston. </w:t>
      </w:r>
      <w:hyperlink r:id="rId19">
        <w:r w:rsidRPr="595CB810">
          <w:rPr>
            <w:rStyle w:val="Hyperlink"/>
            <w:rFonts w:ascii="Arial" w:eastAsia="Arial" w:hAnsi="Arial" w:cs="Arial"/>
            <w:color w:val="0563C1"/>
          </w:rPr>
          <w:t>https://www-bridgemaneducation-com.ezproxy.uwtsd.ac.uk/en/asset/711117/summary?context=%7B%22route%22%3A%22assets_search%22%2C%22routeParameters%22%3A%7B%22_format%22%3A%22html%22%2C%22_locale%22%3A%22en%22%2C%22filter_text%22%3A%22Middle+Kingdom%22%7D%7D</w:t>
        </w:r>
      </w:hyperlink>
      <w:r w:rsidRPr="595CB810">
        <w:rPr>
          <w:rFonts w:ascii="Arial" w:eastAsia="Arial" w:hAnsi="Arial" w:cs="Arial"/>
          <w:color w:val="0563C1"/>
          <w:u w:val="single"/>
        </w:rPr>
        <w:t xml:space="preserve"> </w:t>
      </w:r>
      <w:r w:rsidRPr="00890EC7">
        <w:rPr>
          <w:rFonts w:ascii="Arial" w:eastAsia="Arial" w:hAnsi="Arial" w:cs="Arial"/>
        </w:rPr>
        <w:t>accessed 10.03.19</w:t>
      </w:r>
    </w:p>
    <w:p w14:paraId="1690D4CB" w14:textId="3673A089"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Figure 4 - </w:t>
      </w:r>
      <w:r w:rsidRPr="595CB810">
        <w:rPr>
          <w:rFonts w:ascii="Arial" w:eastAsia="Arial" w:hAnsi="Arial" w:cs="Arial"/>
          <w:i/>
          <w:iCs/>
          <w:sz w:val="24"/>
          <w:szCs w:val="24"/>
          <w:lang w:val="en-GB"/>
        </w:rPr>
        <w:t>‘</w:t>
      </w:r>
      <w:proofErr w:type="spellStart"/>
      <w:r w:rsidRPr="595CB810">
        <w:rPr>
          <w:rFonts w:ascii="Arial" w:eastAsia="Arial" w:hAnsi="Arial" w:cs="Arial"/>
          <w:i/>
          <w:iCs/>
          <w:sz w:val="24"/>
          <w:szCs w:val="24"/>
          <w:lang w:val="en-GB"/>
        </w:rPr>
        <w:t>Wiliam</w:t>
      </w:r>
      <w:proofErr w:type="spellEnd"/>
      <w:r w:rsidRPr="595CB810">
        <w:rPr>
          <w:rFonts w:ascii="Arial" w:eastAsia="Arial" w:hAnsi="Arial" w:cs="Arial"/>
          <w:i/>
          <w:iCs/>
          <w:sz w:val="24"/>
          <w:szCs w:val="24"/>
          <w:lang w:val="en-GB"/>
        </w:rPr>
        <w:t xml:space="preserve">’ the </w:t>
      </w:r>
      <w:proofErr w:type="spellStart"/>
      <w:r w:rsidRPr="595CB810">
        <w:rPr>
          <w:rFonts w:ascii="Arial" w:eastAsia="Arial" w:hAnsi="Arial" w:cs="Arial"/>
          <w:i/>
          <w:iCs/>
          <w:sz w:val="24"/>
          <w:szCs w:val="24"/>
          <w:lang w:val="en-GB"/>
        </w:rPr>
        <w:t>Hippopotomas</w:t>
      </w:r>
      <w:proofErr w:type="spellEnd"/>
      <w:r w:rsidRPr="595CB810">
        <w:rPr>
          <w:rFonts w:ascii="Arial" w:eastAsia="Arial" w:hAnsi="Arial" w:cs="Arial"/>
          <w:i/>
          <w:iCs/>
          <w:sz w:val="24"/>
          <w:szCs w:val="24"/>
          <w:lang w:val="en-GB"/>
        </w:rPr>
        <w:t>.</w:t>
      </w:r>
      <w:r w:rsidRPr="595CB810">
        <w:rPr>
          <w:rFonts w:ascii="Arial" w:eastAsia="Arial" w:hAnsi="Arial" w:cs="Arial"/>
          <w:sz w:val="24"/>
          <w:szCs w:val="24"/>
          <w:lang w:val="en-GB"/>
        </w:rPr>
        <w:t xml:space="preserve"> Number 17.9.1 from the </w:t>
      </w:r>
      <w:proofErr w:type="spellStart"/>
      <w:r w:rsidRPr="595CB810">
        <w:rPr>
          <w:rFonts w:ascii="Arial" w:eastAsia="Arial" w:hAnsi="Arial" w:cs="Arial"/>
          <w:sz w:val="24"/>
          <w:szCs w:val="24"/>
          <w:lang w:val="en-GB"/>
        </w:rPr>
        <w:t>Metropolitian</w:t>
      </w:r>
      <w:proofErr w:type="spellEnd"/>
      <w:r w:rsidRPr="595CB810">
        <w:rPr>
          <w:rFonts w:ascii="Arial" w:eastAsia="Arial" w:hAnsi="Arial" w:cs="Arial"/>
          <w:sz w:val="24"/>
          <w:szCs w:val="24"/>
          <w:lang w:val="en-GB"/>
        </w:rPr>
        <w:t xml:space="preserve"> Museum of Art. New York. </w:t>
      </w:r>
      <w:hyperlink r:id="rId20">
        <w:r w:rsidRPr="595CB810">
          <w:rPr>
            <w:rStyle w:val="Hyperlink"/>
            <w:rFonts w:ascii="Arial" w:eastAsia="Arial" w:hAnsi="Arial" w:cs="Arial"/>
            <w:color w:val="4471C4"/>
          </w:rPr>
          <w:t>https://www.metmuseum.org/toah/works-of-art/17.9.1/</w:t>
        </w:r>
      </w:hyperlink>
      <w:r w:rsidRPr="595CB810">
        <w:rPr>
          <w:rFonts w:ascii="Arial" w:eastAsia="Arial" w:hAnsi="Arial" w:cs="Arial"/>
          <w:color w:val="4471C4"/>
        </w:rPr>
        <w:t xml:space="preserve"> </w:t>
      </w:r>
      <w:r w:rsidRPr="595CB810">
        <w:rPr>
          <w:rFonts w:ascii="Arial" w:eastAsia="Arial" w:hAnsi="Arial" w:cs="Arial"/>
        </w:rPr>
        <w:t>- accessed 14.02.19</w:t>
      </w:r>
    </w:p>
    <w:p w14:paraId="345A2E62" w14:textId="688D477A" w:rsidR="595CB810" w:rsidRPr="00FC7CB9" w:rsidRDefault="595CB810" w:rsidP="595CB810">
      <w:pPr>
        <w:pStyle w:val="ListParagraph"/>
        <w:numPr>
          <w:ilvl w:val="0"/>
          <w:numId w:val="1"/>
        </w:numPr>
        <w:rPr>
          <w:sz w:val="24"/>
          <w:szCs w:val="24"/>
        </w:rPr>
      </w:pPr>
      <w:r w:rsidRPr="595CB810">
        <w:rPr>
          <w:rFonts w:ascii="Arial" w:eastAsia="Arial" w:hAnsi="Arial" w:cs="Arial"/>
          <w:sz w:val="24"/>
          <w:szCs w:val="24"/>
        </w:rPr>
        <w:t xml:space="preserve">Figure 5- </w:t>
      </w:r>
      <w:r w:rsidRPr="595CB810">
        <w:rPr>
          <w:rFonts w:ascii="Arial" w:eastAsia="Arial" w:hAnsi="Arial" w:cs="Arial"/>
          <w:i/>
          <w:iCs/>
          <w:sz w:val="24"/>
          <w:szCs w:val="24"/>
        </w:rPr>
        <w:t xml:space="preserve">tomb relief of </w:t>
      </w:r>
      <w:proofErr w:type="spellStart"/>
      <w:r w:rsidRPr="595CB810">
        <w:rPr>
          <w:rFonts w:ascii="Arial" w:eastAsia="Arial" w:hAnsi="Arial" w:cs="Arial"/>
          <w:i/>
          <w:iCs/>
          <w:sz w:val="24"/>
          <w:szCs w:val="24"/>
        </w:rPr>
        <w:t>Djehutyhotep's</w:t>
      </w:r>
      <w:proofErr w:type="spellEnd"/>
      <w:r w:rsidRPr="595CB810">
        <w:rPr>
          <w:rFonts w:ascii="Arial" w:eastAsia="Arial" w:hAnsi="Arial" w:cs="Arial"/>
          <w:i/>
          <w:iCs/>
          <w:sz w:val="24"/>
          <w:szCs w:val="24"/>
        </w:rPr>
        <w:t xml:space="preserve"> sister.</w:t>
      </w:r>
      <w:r w:rsidRPr="595CB810">
        <w:rPr>
          <w:rFonts w:ascii="Arial" w:eastAsia="Arial" w:hAnsi="Arial" w:cs="Arial"/>
          <w:sz w:val="24"/>
          <w:szCs w:val="24"/>
        </w:rPr>
        <w:t xml:space="preserve"> Number EA1150 from </w:t>
      </w:r>
      <w:proofErr w:type="spellStart"/>
      <w:r w:rsidRPr="595CB810">
        <w:rPr>
          <w:rFonts w:ascii="Arial" w:eastAsia="Arial" w:hAnsi="Arial" w:cs="Arial"/>
          <w:sz w:val="24"/>
          <w:szCs w:val="24"/>
        </w:rPr>
        <w:t>Britich</w:t>
      </w:r>
      <w:proofErr w:type="spellEnd"/>
      <w:r w:rsidRPr="595CB810">
        <w:rPr>
          <w:rFonts w:ascii="Arial" w:eastAsia="Arial" w:hAnsi="Arial" w:cs="Arial"/>
          <w:sz w:val="24"/>
          <w:szCs w:val="24"/>
        </w:rPr>
        <w:t xml:space="preserve"> Museum collection. </w:t>
      </w:r>
      <w:hyperlink r:id="rId21">
        <w:r w:rsidRPr="595CB810">
          <w:rPr>
            <w:rStyle w:val="Hyperlink"/>
            <w:rFonts w:ascii="Arial" w:eastAsia="Arial" w:hAnsi="Arial" w:cs="Arial"/>
            <w:color w:val="0563C1"/>
          </w:rPr>
          <w:t>https://www.britishmuseum.org/research/collection_online/collection_object_details.aspx?objectId=119643&amp;partId=1</w:t>
        </w:r>
      </w:hyperlink>
      <w:r w:rsidRPr="595CB810">
        <w:rPr>
          <w:rFonts w:ascii="Arial" w:eastAsia="Arial" w:hAnsi="Arial" w:cs="Arial"/>
          <w:color w:val="0563C1"/>
          <w:u w:val="single"/>
        </w:rPr>
        <w:t xml:space="preserve"> accessed 10.03.19</w:t>
      </w:r>
    </w:p>
    <w:p w14:paraId="0EFC0511" w14:textId="77777777" w:rsidR="00FC7CB9" w:rsidRPr="00FC7CB9" w:rsidRDefault="00FC7CB9" w:rsidP="00FC7CB9">
      <w:pPr>
        <w:rPr>
          <w:sz w:val="24"/>
          <w:szCs w:val="24"/>
        </w:rPr>
      </w:pPr>
    </w:p>
    <w:p w14:paraId="45681C56" w14:textId="12022997"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Allen, R. </w:t>
      </w:r>
      <w:proofErr w:type="spellStart"/>
      <w:r w:rsidRPr="595CB810">
        <w:rPr>
          <w:rFonts w:ascii="Arial" w:eastAsia="Arial" w:hAnsi="Arial" w:cs="Arial"/>
          <w:sz w:val="24"/>
          <w:szCs w:val="24"/>
          <w:lang w:val="en-GB"/>
        </w:rPr>
        <w:t>Delahunty</w:t>
      </w:r>
      <w:proofErr w:type="spellEnd"/>
      <w:r w:rsidRPr="595CB810">
        <w:rPr>
          <w:rFonts w:ascii="Arial" w:eastAsia="Arial" w:hAnsi="Arial" w:cs="Arial"/>
          <w:sz w:val="24"/>
          <w:szCs w:val="24"/>
          <w:lang w:val="en-GB"/>
        </w:rPr>
        <w:t>, A. etc. 2011.</w:t>
      </w:r>
      <w:r w:rsidRPr="595CB810">
        <w:rPr>
          <w:rFonts w:ascii="Arial" w:eastAsia="Arial" w:hAnsi="Arial" w:cs="Arial"/>
          <w:i/>
          <w:iCs/>
          <w:sz w:val="24"/>
          <w:szCs w:val="24"/>
          <w:lang w:val="en-GB"/>
        </w:rPr>
        <w:t xml:space="preserve">Oxford Essential English Dictionary. </w:t>
      </w:r>
      <w:r w:rsidRPr="595CB810">
        <w:rPr>
          <w:rFonts w:ascii="Arial" w:eastAsia="Arial" w:hAnsi="Arial" w:cs="Arial"/>
          <w:sz w:val="24"/>
          <w:szCs w:val="24"/>
          <w:lang w:val="en-GB"/>
        </w:rPr>
        <w:t>Oxford. Oxford University Press</w:t>
      </w:r>
    </w:p>
    <w:p w14:paraId="4E1C664E" w14:textId="121686A3"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Allison, P. 2002. </w:t>
      </w:r>
      <w:r w:rsidRPr="595CB810">
        <w:rPr>
          <w:rFonts w:ascii="Arial" w:eastAsia="Arial" w:hAnsi="Arial" w:cs="Arial"/>
          <w:i/>
          <w:iCs/>
          <w:sz w:val="24"/>
          <w:szCs w:val="24"/>
          <w:lang w:val="en-GB"/>
        </w:rPr>
        <w:t>Colour and light in a Pompeian house: modern impressions or ancient perceptions</w:t>
      </w:r>
      <w:r w:rsidRPr="595CB810">
        <w:rPr>
          <w:rFonts w:ascii="Arial" w:eastAsia="Arial" w:hAnsi="Arial" w:cs="Arial"/>
          <w:sz w:val="24"/>
          <w:szCs w:val="24"/>
          <w:lang w:val="en-GB"/>
        </w:rPr>
        <w:t xml:space="preserve">. </w:t>
      </w:r>
      <w:r w:rsidRPr="595CB810">
        <w:rPr>
          <w:rFonts w:ascii="Arial" w:eastAsia="Arial" w:hAnsi="Arial" w:cs="Arial"/>
          <w:b/>
          <w:bCs/>
          <w:sz w:val="24"/>
          <w:szCs w:val="24"/>
          <w:lang w:val="en-GB"/>
        </w:rPr>
        <w:t>In</w:t>
      </w:r>
      <w:r w:rsidRPr="595CB810">
        <w:rPr>
          <w:rFonts w:ascii="Arial" w:eastAsia="Arial" w:hAnsi="Arial" w:cs="Arial"/>
          <w:sz w:val="24"/>
          <w:szCs w:val="24"/>
          <w:lang w:val="en-GB"/>
        </w:rPr>
        <w:t>. Jones, A. MacGregor, G. 2002.</w:t>
      </w:r>
      <w:r w:rsidRPr="595CB810">
        <w:rPr>
          <w:rFonts w:ascii="Arial" w:eastAsia="Arial" w:hAnsi="Arial" w:cs="Arial"/>
          <w:i/>
          <w:iCs/>
          <w:sz w:val="24"/>
          <w:szCs w:val="24"/>
          <w:lang w:val="en-GB"/>
        </w:rPr>
        <w:t>Colouring the Past: The significance of colour in Archaeological research</w:t>
      </w:r>
      <w:r w:rsidRPr="595CB810">
        <w:rPr>
          <w:rFonts w:ascii="Arial" w:eastAsia="Arial" w:hAnsi="Arial" w:cs="Arial"/>
          <w:sz w:val="24"/>
          <w:szCs w:val="24"/>
          <w:lang w:val="en-GB"/>
        </w:rPr>
        <w:t xml:space="preserve">. Oxford. Berg. </w:t>
      </w:r>
    </w:p>
    <w:p w14:paraId="56A23546" w14:textId="5EA7B2DD" w:rsidR="00D92369" w:rsidRPr="00352D2F" w:rsidRDefault="00D92369" w:rsidP="595CB810">
      <w:pPr>
        <w:pStyle w:val="ListParagraph"/>
        <w:numPr>
          <w:ilvl w:val="0"/>
          <w:numId w:val="1"/>
        </w:numPr>
        <w:rPr>
          <w:rFonts w:ascii="Arial" w:hAnsi="Arial" w:cs="Arial"/>
          <w:sz w:val="24"/>
          <w:szCs w:val="24"/>
        </w:rPr>
      </w:pPr>
      <w:r w:rsidRPr="00352D2F">
        <w:rPr>
          <w:rFonts w:ascii="Arial" w:hAnsi="Arial" w:cs="Arial"/>
          <w:sz w:val="24"/>
          <w:szCs w:val="24"/>
        </w:rPr>
        <w:t>Ancient Egypt online</w:t>
      </w:r>
      <w:r w:rsidRPr="00352D2F">
        <w:rPr>
          <w:rFonts w:ascii="Arial" w:hAnsi="Arial" w:cs="Arial"/>
          <w:i/>
          <w:sz w:val="24"/>
          <w:szCs w:val="24"/>
        </w:rPr>
        <w:t xml:space="preserve">. </w:t>
      </w:r>
      <w:r w:rsidR="006F769D" w:rsidRPr="00352D2F">
        <w:rPr>
          <w:rFonts w:ascii="Arial" w:hAnsi="Arial" w:cs="Arial"/>
          <w:i/>
          <w:sz w:val="24"/>
          <w:szCs w:val="24"/>
        </w:rPr>
        <w:t xml:space="preserve">Ra: </w:t>
      </w:r>
      <w:r w:rsidR="00352D2F">
        <w:rPr>
          <w:rFonts w:ascii="Arial" w:hAnsi="Arial" w:cs="Arial"/>
          <w:i/>
          <w:sz w:val="24"/>
          <w:szCs w:val="24"/>
        </w:rPr>
        <w:t>T</w:t>
      </w:r>
      <w:r w:rsidR="006F769D" w:rsidRPr="00352D2F">
        <w:rPr>
          <w:rFonts w:ascii="Arial" w:hAnsi="Arial" w:cs="Arial"/>
          <w:i/>
          <w:sz w:val="24"/>
          <w:szCs w:val="24"/>
        </w:rPr>
        <w:t>he Sun God of Egypt</w:t>
      </w:r>
      <w:r w:rsidR="006F769D" w:rsidRPr="00352D2F">
        <w:rPr>
          <w:rFonts w:ascii="Arial" w:hAnsi="Arial" w:cs="Arial"/>
          <w:szCs w:val="24"/>
        </w:rPr>
        <w:t xml:space="preserve">. </w:t>
      </w:r>
      <w:hyperlink r:id="rId22" w:history="1">
        <w:r w:rsidR="00352D2F" w:rsidRPr="00352D2F">
          <w:rPr>
            <w:rStyle w:val="Hyperlink"/>
            <w:rFonts w:ascii="Arial" w:hAnsi="Arial" w:cs="Arial"/>
            <w:szCs w:val="24"/>
          </w:rPr>
          <w:t>https://www.ancient-egypt-online.com/egyptian-god-ra.html</w:t>
        </w:r>
      </w:hyperlink>
      <w:r w:rsidR="00352D2F" w:rsidRPr="00352D2F">
        <w:rPr>
          <w:rFonts w:ascii="Arial" w:hAnsi="Arial" w:cs="Arial"/>
          <w:szCs w:val="24"/>
        </w:rPr>
        <w:t xml:space="preserve"> accessed 10.03.19</w:t>
      </w:r>
    </w:p>
    <w:p w14:paraId="4CFE12C5" w14:textId="2A749C70" w:rsidR="595CB810" w:rsidRDefault="595CB810" w:rsidP="595CB810">
      <w:pPr>
        <w:pStyle w:val="ListParagraph"/>
        <w:numPr>
          <w:ilvl w:val="0"/>
          <w:numId w:val="1"/>
        </w:numPr>
        <w:rPr>
          <w:sz w:val="24"/>
          <w:szCs w:val="24"/>
        </w:rPr>
      </w:pPr>
      <w:proofErr w:type="spellStart"/>
      <w:proofErr w:type="gramStart"/>
      <w:r w:rsidRPr="595CB810">
        <w:rPr>
          <w:rFonts w:ascii="Arial" w:eastAsia="Arial" w:hAnsi="Arial" w:cs="Arial"/>
          <w:sz w:val="24"/>
          <w:szCs w:val="24"/>
          <w:lang w:val="en-GB"/>
        </w:rPr>
        <w:t>Andrew,C</w:t>
      </w:r>
      <w:proofErr w:type="spellEnd"/>
      <w:r w:rsidRPr="595CB810">
        <w:rPr>
          <w:rFonts w:ascii="Arial" w:eastAsia="Arial" w:hAnsi="Arial" w:cs="Arial"/>
          <w:sz w:val="24"/>
          <w:szCs w:val="24"/>
          <w:lang w:val="en-GB"/>
        </w:rPr>
        <w:t>.</w:t>
      </w:r>
      <w:proofErr w:type="gramEnd"/>
      <w:r w:rsidRPr="595CB810">
        <w:rPr>
          <w:rFonts w:ascii="Arial" w:eastAsia="Arial" w:hAnsi="Arial" w:cs="Arial"/>
          <w:sz w:val="24"/>
          <w:szCs w:val="24"/>
          <w:lang w:val="en-GB"/>
        </w:rPr>
        <w:t xml:space="preserve"> 1994. </w:t>
      </w:r>
      <w:r w:rsidRPr="595CB810">
        <w:rPr>
          <w:rFonts w:ascii="Arial" w:eastAsia="Arial" w:hAnsi="Arial" w:cs="Arial"/>
          <w:i/>
          <w:iCs/>
          <w:sz w:val="24"/>
          <w:szCs w:val="24"/>
          <w:lang w:val="en-GB"/>
        </w:rPr>
        <w:t>Amulets of Ancient Egypt</w:t>
      </w:r>
      <w:r w:rsidRPr="595CB810">
        <w:rPr>
          <w:rFonts w:ascii="Arial" w:eastAsia="Arial" w:hAnsi="Arial" w:cs="Arial"/>
          <w:sz w:val="24"/>
          <w:szCs w:val="24"/>
          <w:lang w:val="en-GB"/>
        </w:rPr>
        <w:t xml:space="preserve">. London. British Museum Press. </w:t>
      </w:r>
    </w:p>
    <w:p w14:paraId="46FB9780" w14:textId="7089F0DF" w:rsidR="00841430" w:rsidRPr="00C515A2" w:rsidRDefault="00841430" w:rsidP="595CB810">
      <w:pPr>
        <w:pStyle w:val="ListParagraph"/>
        <w:numPr>
          <w:ilvl w:val="0"/>
          <w:numId w:val="1"/>
        </w:numPr>
        <w:rPr>
          <w:rFonts w:ascii="Arial" w:hAnsi="Arial" w:cs="Arial"/>
          <w:sz w:val="24"/>
          <w:szCs w:val="24"/>
        </w:rPr>
      </w:pPr>
      <w:r w:rsidRPr="00C515A2">
        <w:rPr>
          <w:rFonts w:ascii="Arial" w:hAnsi="Arial" w:cs="Arial"/>
          <w:sz w:val="24"/>
          <w:szCs w:val="24"/>
        </w:rPr>
        <w:t xml:space="preserve">Aston, B. Harrell, J. Shaw, I. 2000. </w:t>
      </w:r>
      <w:r w:rsidRPr="00C515A2">
        <w:rPr>
          <w:rFonts w:ascii="Arial" w:hAnsi="Arial" w:cs="Arial"/>
          <w:i/>
          <w:sz w:val="24"/>
          <w:szCs w:val="24"/>
        </w:rPr>
        <w:t>Inorganic materials: stone</w:t>
      </w:r>
      <w:r w:rsidR="00241D64" w:rsidRPr="00C515A2">
        <w:rPr>
          <w:rFonts w:ascii="Arial" w:hAnsi="Arial" w:cs="Arial"/>
          <w:i/>
          <w:sz w:val="24"/>
          <w:szCs w:val="24"/>
        </w:rPr>
        <w:t>.</w:t>
      </w:r>
      <w:r w:rsidR="00241D64" w:rsidRPr="00C515A2">
        <w:rPr>
          <w:rFonts w:ascii="Arial" w:hAnsi="Arial" w:cs="Arial"/>
          <w:sz w:val="24"/>
          <w:szCs w:val="24"/>
        </w:rPr>
        <w:t xml:space="preserve"> </w:t>
      </w:r>
      <w:r w:rsidR="00241D64" w:rsidRPr="00C515A2">
        <w:rPr>
          <w:rFonts w:ascii="Arial" w:hAnsi="Arial" w:cs="Arial"/>
          <w:b/>
          <w:sz w:val="24"/>
          <w:szCs w:val="24"/>
        </w:rPr>
        <w:t>In.</w:t>
      </w:r>
      <w:r w:rsidR="00241D64" w:rsidRPr="00C515A2">
        <w:rPr>
          <w:rFonts w:ascii="Arial" w:hAnsi="Arial" w:cs="Arial"/>
          <w:sz w:val="24"/>
          <w:szCs w:val="24"/>
        </w:rPr>
        <w:t xml:space="preserve"> Nicholson, P. Shaw, I. 2000</w:t>
      </w:r>
      <w:r w:rsidR="00625DBE" w:rsidRPr="00C515A2">
        <w:rPr>
          <w:rFonts w:ascii="Arial" w:hAnsi="Arial" w:cs="Arial"/>
          <w:sz w:val="24"/>
          <w:szCs w:val="24"/>
        </w:rPr>
        <w:t xml:space="preserve">. </w:t>
      </w:r>
      <w:r w:rsidR="00625DBE" w:rsidRPr="00C515A2">
        <w:rPr>
          <w:rFonts w:ascii="Arial" w:hAnsi="Arial" w:cs="Arial"/>
          <w:i/>
          <w:sz w:val="24"/>
          <w:szCs w:val="24"/>
        </w:rPr>
        <w:t>Ancient Egyptian Materials and Technology.</w:t>
      </w:r>
      <w:r w:rsidR="00625DBE" w:rsidRPr="00C515A2">
        <w:rPr>
          <w:rFonts w:ascii="Arial" w:hAnsi="Arial" w:cs="Arial"/>
          <w:sz w:val="24"/>
          <w:szCs w:val="24"/>
        </w:rPr>
        <w:t xml:space="preserve"> Cambridge. </w:t>
      </w:r>
      <w:r w:rsidR="00C515A2" w:rsidRPr="00C515A2">
        <w:rPr>
          <w:rFonts w:ascii="Arial" w:hAnsi="Arial" w:cs="Arial"/>
          <w:sz w:val="24"/>
          <w:szCs w:val="24"/>
        </w:rPr>
        <w:t xml:space="preserve">Cambridge University Press. </w:t>
      </w:r>
      <w:hyperlink r:id="rId23" w:history="1">
        <w:r w:rsidR="00D0431D" w:rsidRPr="003E0436">
          <w:rPr>
            <w:rStyle w:val="Hyperlink"/>
            <w:rFonts w:ascii="Arial" w:hAnsi="Arial" w:cs="Arial"/>
            <w:sz w:val="24"/>
            <w:szCs w:val="24"/>
          </w:rPr>
          <w:t>https://books.google.co.uk/books?id=Vj7A9jJrZP0C&amp;pg=PA39&amp;dq=lapis+lazuli+egyptian+trade&amp;hl=en&amp;sa=X&amp;ved=0ahUKEwjQsMHQ3vjgAhWuRBUIHT-7BVQQ6AEILzAB#v=onepage&amp;q=lapis%20lazuli%20egyptian%20trade&amp;f=true</w:t>
        </w:r>
      </w:hyperlink>
      <w:r w:rsidR="00D0431D">
        <w:rPr>
          <w:rFonts w:ascii="Arial" w:hAnsi="Arial" w:cs="Arial"/>
          <w:sz w:val="24"/>
          <w:szCs w:val="24"/>
        </w:rPr>
        <w:t xml:space="preserve"> accessed 10.03.19</w:t>
      </w:r>
    </w:p>
    <w:p w14:paraId="35081CEE" w14:textId="7FC1C04F" w:rsidR="595CB810" w:rsidRPr="00DA5B7A" w:rsidRDefault="595CB810" w:rsidP="595CB810">
      <w:pPr>
        <w:pStyle w:val="ListParagraph"/>
        <w:numPr>
          <w:ilvl w:val="0"/>
          <w:numId w:val="1"/>
        </w:numPr>
        <w:rPr>
          <w:sz w:val="24"/>
          <w:szCs w:val="24"/>
        </w:rPr>
      </w:pPr>
      <w:r w:rsidRPr="595CB810">
        <w:rPr>
          <w:rFonts w:ascii="Arial" w:eastAsia="Arial" w:hAnsi="Arial" w:cs="Arial"/>
          <w:sz w:val="24"/>
          <w:szCs w:val="24"/>
          <w:lang w:val="en-GB"/>
        </w:rPr>
        <w:t>British museum collection</w:t>
      </w:r>
      <w:r w:rsidR="00937695">
        <w:rPr>
          <w:rFonts w:ascii="Arial" w:eastAsia="Arial" w:hAnsi="Arial" w:cs="Arial"/>
          <w:sz w:val="24"/>
          <w:szCs w:val="24"/>
          <w:lang w:val="en-GB"/>
        </w:rPr>
        <w:t xml:space="preserve">. Blue beads </w:t>
      </w:r>
      <w:hyperlink r:id="rId24" w:history="1">
        <w:r w:rsidR="00937695" w:rsidRPr="005463B3">
          <w:rPr>
            <w:rStyle w:val="Hyperlink"/>
            <w:rFonts w:ascii="Arial" w:eastAsia="Arial" w:hAnsi="Arial" w:cs="Arial"/>
            <w:szCs w:val="24"/>
            <w:lang w:val="en-GB"/>
          </w:rPr>
          <w:t>https://www.britishmuseum.org/research/collection_online/collection_object_details.aspx?objectId=170417&amp;partId=1&amp;searchText=Middle+King</w:t>
        </w:r>
        <w:r w:rsidR="00937695" w:rsidRPr="005463B3">
          <w:rPr>
            <w:rStyle w:val="Hyperlink"/>
            <w:rFonts w:ascii="Arial" w:eastAsia="Arial" w:hAnsi="Arial" w:cs="Arial"/>
            <w:szCs w:val="24"/>
            <w:lang w:val="en-GB"/>
          </w:rPr>
          <w:t>d</w:t>
        </w:r>
        <w:r w:rsidR="00937695" w:rsidRPr="005463B3">
          <w:rPr>
            <w:rStyle w:val="Hyperlink"/>
            <w:rFonts w:ascii="Arial" w:eastAsia="Arial" w:hAnsi="Arial" w:cs="Arial"/>
            <w:szCs w:val="24"/>
            <w:lang w:val="en-GB"/>
          </w:rPr>
          <w:t>om+Egypt&amp;images=true&amp;page=3</w:t>
        </w:r>
      </w:hyperlink>
      <w:r w:rsidRPr="595CB810">
        <w:rPr>
          <w:rFonts w:ascii="Arial" w:eastAsia="Arial" w:hAnsi="Arial" w:cs="Arial"/>
          <w:color w:val="0563C1"/>
          <w:sz w:val="24"/>
          <w:szCs w:val="24"/>
          <w:u w:val="single"/>
          <w:lang w:val="en-GB"/>
        </w:rPr>
        <w:t xml:space="preserve"> </w:t>
      </w:r>
      <w:r w:rsidRPr="006A0D06">
        <w:rPr>
          <w:rFonts w:ascii="Arial" w:eastAsia="Arial" w:hAnsi="Arial" w:cs="Arial"/>
          <w:szCs w:val="24"/>
          <w:lang w:val="en-GB"/>
        </w:rPr>
        <w:t xml:space="preserve">accessed 05.03.19 </w:t>
      </w:r>
    </w:p>
    <w:p w14:paraId="06037E0C" w14:textId="3CCE49C1" w:rsidR="00DA5B7A" w:rsidRPr="006A0D06" w:rsidRDefault="00937695" w:rsidP="006A0D06">
      <w:pPr>
        <w:pStyle w:val="ListParagraph"/>
        <w:rPr>
          <w:rFonts w:ascii="Arial" w:hAnsi="Arial" w:cs="Arial"/>
          <w:sz w:val="24"/>
          <w:szCs w:val="24"/>
        </w:rPr>
      </w:pPr>
      <w:r>
        <w:rPr>
          <w:rFonts w:ascii="Arial" w:hAnsi="Arial" w:cs="Arial"/>
          <w:sz w:val="24"/>
          <w:szCs w:val="24"/>
        </w:rPr>
        <w:t xml:space="preserve">Red Beads </w:t>
      </w:r>
      <w:hyperlink r:id="rId25" w:history="1">
        <w:r w:rsidRPr="005463B3">
          <w:rPr>
            <w:rStyle w:val="Hyperlink"/>
            <w:rFonts w:ascii="Arial" w:hAnsi="Arial" w:cs="Arial"/>
            <w:szCs w:val="24"/>
          </w:rPr>
          <w:t>https://www.britishmuseum.org/research/collection_online/collection_object_details.aspx?objectId=170415&amp;partId=1&amp;searchText=Middle+Kingdom+Egypt&amp;images=true&amp;page=1</w:t>
        </w:r>
      </w:hyperlink>
      <w:r w:rsidR="006A0D06" w:rsidRPr="005463B3">
        <w:rPr>
          <w:rFonts w:ascii="Arial" w:hAnsi="Arial" w:cs="Arial"/>
          <w:szCs w:val="24"/>
        </w:rPr>
        <w:t xml:space="preserve"> </w:t>
      </w:r>
      <w:r w:rsidR="006A0D06" w:rsidRPr="006A0D06">
        <w:rPr>
          <w:rFonts w:ascii="Arial" w:hAnsi="Arial" w:cs="Arial"/>
          <w:szCs w:val="24"/>
        </w:rPr>
        <w:t>accessed 10.03.19</w:t>
      </w:r>
    </w:p>
    <w:p w14:paraId="13CA2DEE" w14:textId="64261DCD" w:rsidR="00B142E2" w:rsidRPr="00E2625B" w:rsidRDefault="00B142E2" w:rsidP="595CB810">
      <w:pPr>
        <w:pStyle w:val="ListParagraph"/>
        <w:numPr>
          <w:ilvl w:val="0"/>
          <w:numId w:val="1"/>
        </w:numPr>
        <w:rPr>
          <w:rFonts w:ascii="Arial" w:hAnsi="Arial" w:cs="Arial"/>
          <w:sz w:val="24"/>
          <w:szCs w:val="24"/>
        </w:rPr>
      </w:pPr>
      <w:r w:rsidRPr="00E2625B">
        <w:rPr>
          <w:rFonts w:ascii="Arial" w:hAnsi="Arial" w:cs="Arial"/>
          <w:sz w:val="24"/>
          <w:szCs w:val="24"/>
        </w:rPr>
        <w:t>Digital Surgeons</w:t>
      </w:r>
      <w:r w:rsidRPr="00E2625B">
        <w:rPr>
          <w:rFonts w:ascii="Arial" w:hAnsi="Arial" w:cs="Arial"/>
          <w:sz w:val="24"/>
          <w:szCs w:val="24"/>
        </w:rPr>
        <w:t xml:space="preserve">. </w:t>
      </w:r>
      <w:r w:rsidR="00E2625B" w:rsidRPr="00E2625B">
        <w:rPr>
          <w:rFonts w:ascii="Arial" w:hAnsi="Arial" w:cs="Arial"/>
          <w:sz w:val="24"/>
          <w:szCs w:val="24"/>
        </w:rPr>
        <w:t xml:space="preserve">2016. </w:t>
      </w:r>
      <w:r w:rsidR="00D06B17" w:rsidRPr="00E2625B">
        <w:rPr>
          <w:rFonts w:ascii="Arial" w:hAnsi="Arial" w:cs="Arial"/>
          <w:i/>
          <w:sz w:val="24"/>
          <w:szCs w:val="24"/>
        </w:rPr>
        <w:t>The Psychology of the Color Red</w:t>
      </w:r>
      <w:r w:rsidR="00D06B17" w:rsidRPr="00E2625B">
        <w:rPr>
          <w:rFonts w:ascii="Arial" w:hAnsi="Arial" w:cs="Arial"/>
          <w:sz w:val="24"/>
          <w:szCs w:val="24"/>
        </w:rPr>
        <w:t xml:space="preserve">. </w:t>
      </w:r>
      <w:hyperlink r:id="rId26" w:history="1">
        <w:r w:rsidR="00E2625B" w:rsidRPr="005463B3">
          <w:rPr>
            <w:rStyle w:val="Hyperlink"/>
            <w:rFonts w:ascii="Arial" w:hAnsi="Arial" w:cs="Arial"/>
            <w:szCs w:val="24"/>
          </w:rPr>
          <w:t>https://www.youtube.com/watch?v=4ryH5_PHI8g&amp;t=196s</w:t>
        </w:r>
      </w:hyperlink>
      <w:r w:rsidR="00E2625B" w:rsidRPr="005463B3">
        <w:rPr>
          <w:rFonts w:ascii="Arial" w:hAnsi="Arial" w:cs="Arial"/>
          <w:szCs w:val="24"/>
        </w:rPr>
        <w:t xml:space="preserve"> </w:t>
      </w:r>
      <w:r w:rsidR="000B0DA2">
        <w:rPr>
          <w:rFonts w:ascii="Arial" w:hAnsi="Arial" w:cs="Arial"/>
          <w:sz w:val="24"/>
          <w:szCs w:val="24"/>
        </w:rPr>
        <w:t>accessed 08.03.19</w:t>
      </w:r>
    </w:p>
    <w:p w14:paraId="651F7AB4" w14:textId="5FBBED0B"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Gage, J. 1993</w:t>
      </w:r>
      <w:r w:rsidRPr="595CB810">
        <w:rPr>
          <w:rFonts w:ascii="Arial" w:eastAsia="Arial" w:hAnsi="Arial" w:cs="Arial"/>
          <w:i/>
          <w:iCs/>
          <w:sz w:val="24"/>
          <w:szCs w:val="24"/>
          <w:lang w:val="en-GB"/>
        </w:rPr>
        <w:t xml:space="preserve">. Colour and Culture: Practice and meaning from Antiquity to Abstraction. </w:t>
      </w:r>
      <w:r w:rsidRPr="595CB810">
        <w:rPr>
          <w:rFonts w:ascii="Arial" w:eastAsia="Arial" w:hAnsi="Arial" w:cs="Arial"/>
          <w:sz w:val="24"/>
          <w:szCs w:val="24"/>
          <w:lang w:val="en-GB"/>
        </w:rPr>
        <w:t xml:space="preserve">Los Angeles. University of California Press. </w:t>
      </w:r>
      <w:hyperlink r:id="rId27" w:anchor="v=onepage&amp;q&amp;f=true">
        <w:r w:rsidRPr="595CB810">
          <w:rPr>
            <w:rStyle w:val="Hyperlink"/>
            <w:rFonts w:ascii="Arial" w:eastAsia="Arial" w:hAnsi="Arial" w:cs="Arial"/>
            <w:color w:val="0563C1"/>
            <w:sz w:val="24"/>
            <w:szCs w:val="24"/>
            <w:lang w:val="en-GB"/>
          </w:rPr>
          <w:t>https://books.google.co.uk/books?id=oq_GtjmoTNgC&amp;printsec=frontcover&amp;source=gbs_ge_summary_r&amp;cad=0#v=onepage&amp;q&amp;f=true</w:t>
        </w:r>
      </w:hyperlink>
      <w:r w:rsidRPr="595CB810">
        <w:rPr>
          <w:rFonts w:ascii="Arial" w:eastAsia="Arial" w:hAnsi="Arial" w:cs="Arial"/>
          <w:color w:val="0563C1"/>
          <w:sz w:val="24"/>
          <w:szCs w:val="24"/>
          <w:u w:val="single"/>
          <w:lang w:val="en-GB"/>
        </w:rPr>
        <w:t xml:space="preserve"> </w:t>
      </w:r>
      <w:r w:rsidRPr="595CB810">
        <w:rPr>
          <w:rFonts w:ascii="Arial" w:eastAsia="Arial" w:hAnsi="Arial" w:cs="Arial"/>
          <w:sz w:val="24"/>
          <w:szCs w:val="24"/>
          <w:lang w:val="en-GB"/>
        </w:rPr>
        <w:t xml:space="preserve">accessed 05.03.19 </w:t>
      </w:r>
    </w:p>
    <w:p w14:paraId="67003BA5" w14:textId="66CA64C8"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 xml:space="preserve">Gage, J. 1999. </w:t>
      </w:r>
      <w:r w:rsidRPr="595CB810">
        <w:rPr>
          <w:rFonts w:ascii="Arial" w:eastAsia="Arial" w:hAnsi="Arial" w:cs="Arial"/>
          <w:i/>
          <w:iCs/>
          <w:sz w:val="24"/>
          <w:szCs w:val="24"/>
          <w:lang w:val="en-GB"/>
        </w:rPr>
        <w:t>Colour and meaning: Art, Science and symbolism</w:t>
      </w:r>
      <w:r w:rsidRPr="595CB810">
        <w:rPr>
          <w:rFonts w:ascii="Arial" w:eastAsia="Arial" w:hAnsi="Arial" w:cs="Arial"/>
          <w:sz w:val="24"/>
          <w:szCs w:val="24"/>
          <w:lang w:val="en-GB"/>
        </w:rPr>
        <w:t xml:space="preserve">. Los Angeles. University of California Press. </w:t>
      </w:r>
      <w:hyperlink r:id="rId28" w:anchor="v=onepage&amp;q=gage%20colour%20and%20culture&amp;f=true">
        <w:r w:rsidRPr="595CB810">
          <w:rPr>
            <w:rStyle w:val="Hyperlink"/>
            <w:rFonts w:ascii="Arial" w:eastAsia="Arial" w:hAnsi="Arial" w:cs="Arial"/>
            <w:color w:val="0563C1"/>
            <w:lang w:val="en-GB"/>
          </w:rPr>
          <w:t>https://books.google.co.uk/books?id=EU74cB7kMMsC&amp;printsec=frontcover&amp;dq=gage+colour+and+culture&amp;hl=en&amp;sa=X&amp;ved=0ahUKEwjG8_rv_vfgAhUEShUIHWmuClAQ6wEIOzAD#v=onepage&amp;q=gage%20colour%20and%20culture&amp;f=true</w:t>
        </w:r>
      </w:hyperlink>
      <w:r w:rsidRPr="595CB810">
        <w:rPr>
          <w:rFonts w:ascii="Arial" w:eastAsia="Arial" w:hAnsi="Arial" w:cs="Arial"/>
          <w:color w:val="0563C1"/>
          <w:u w:val="single"/>
          <w:lang w:val="en-GB"/>
        </w:rPr>
        <w:t xml:space="preserve"> accessed 10.03.19</w:t>
      </w:r>
    </w:p>
    <w:p w14:paraId="40B0CDDA" w14:textId="4D970884"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MET museum</w:t>
      </w:r>
      <w:r w:rsidR="004E18C3">
        <w:rPr>
          <w:rFonts w:ascii="Arial" w:eastAsia="Arial" w:hAnsi="Arial" w:cs="Arial"/>
          <w:sz w:val="24"/>
          <w:szCs w:val="24"/>
          <w:lang w:val="en-GB"/>
        </w:rPr>
        <w:t xml:space="preserve"> 2</w:t>
      </w:r>
      <w:r w:rsidRPr="595CB810">
        <w:rPr>
          <w:rFonts w:ascii="Arial" w:eastAsia="Arial" w:hAnsi="Arial" w:cs="Arial"/>
          <w:sz w:val="24"/>
          <w:szCs w:val="24"/>
          <w:lang w:val="en-GB"/>
        </w:rPr>
        <w:t xml:space="preserve"> </w:t>
      </w:r>
      <w:hyperlink r:id="rId29">
        <w:r w:rsidRPr="595CB810">
          <w:rPr>
            <w:rStyle w:val="Hyperlink"/>
            <w:rFonts w:ascii="Arial" w:eastAsia="Arial" w:hAnsi="Arial" w:cs="Arial"/>
            <w:color w:val="0563C1"/>
            <w:sz w:val="24"/>
            <w:szCs w:val="24"/>
            <w:lang w:val="en-GB"/>
          </w:rPr>
          <w:t>https://www.metmuseum.org/toah/works-of-art/07.230.2/</w:t>
        </w:r>
      </w:hyperlink>
      <w:r w:rsidRPr="595CB810">
        <w:rPr>
          <w:rFonts w:ascii="Arial" w:eastAsia="Arial" w:hAnsi="Arial" w:cs="Arial"/>
          <w:color w:val="0563C1"/>
          <w:sz w:val="24"/>
          <w:szCs w:val="24"/>
          <w:u w:val="single"/>
          <w:lang w:val="en-GB"/>
        </w:rPr>
        <w:t xml:space="preserve"> accessed 05.03.19</w:t>
      </w:r>
    </w:p>
    <w:p w14:paraId="23503FC6" w14:textId="2D483A51" w:rsidR="595CB810" w:rsidRDefault="595CB810" w:rsidP="595CB810">
      <w:pPr>
        <w:pStyle w:val="ListParagraph"/>
        <w:numPr>
          <w:ilvl w:val="0"/>
          <w:numId w:val="1"/>
        </w:numPr>
        <w:rPr>
          <w:sz w:val="24"/>
          <w:szCs w:val="24"/>
        </w:rPr>
      </w:pPr>
      <w:r w:rsidRPr="595CB810">
        <w:rPr>
          <w:rFonts w:ascii="Arial" w:eastAsia="Arial" w:hAnsi="Arial" w:cs="Arial"/>
          <w:sz w:val="24"/>
          <w:szCs w:val="24"/>
          <w:lang w:val="en-GB"/>
        </w:rPr>
        <w:t>MET museum</w:t>
      </w:r>
      <w:r w:rsidR="004E18C3">
        <w:rPr>
          <w:rFonts w:ascii="Arial" w:eastAsia="Arial" w:hAnsi="Arial" w:cs="Arial"/>
          <w:sz w:val="24"/>
          <w:szCs w:val="24"/>
          <w:lang w:val="en-GB"/>
        </w:rPr>
        <w:t xml:space="preserve"> 1</w:t>
      </w:r>
      <w:r w:rsidRPr="595CB810">
        <w:rPr>
          <w:rFonts w:ascii="Arial" w:eastAsia="Arial" w:hAnsi="Arial" w:cs="Arial"/>
          <w:sz w:val="24"/>
          <w:szCs w:val="24"/>
          <w:lang w:val="en-GB"/>
        </w:rPr>
        <w:t xml:space="preserve"> </w:t>
      </w:r>
      <w:hyperlink r:id="rId30">
        <w:r w:rsidRPr="595CB810">
          <w:rPr>
            <w:rStyle w:val="Hyperlink"/>
            <w:rFonts w:ascii="Arial" w:eastAsia="Arial" w:hAnsi="Arial" w:cs="Arial"/>
            <w:color w:val="0563C1"/>
            <w:lang w:val="en-GB"/>
          </w:rPr>
          <w:t>https://www.metmuseum.org/art/collection/search/548212</w:t>
        </w:r>
      </w:hyperlink>
      <w:r w:rsidRPr="595CB810">
        <w:rPr>
          <w:rFonts w:ascii="Arial" w:eastAsia="Arial" w:hAnsi="Arial" w:cs="Arial"/>
          <w:color w:val="0563C1"/>
          <w:u w:val="single"/>
          <w:lang w:val="en-GB"/>
        </w:rPr>
        <w:t xml:space="preserve"> </w:t>
      </w:r>
      <w:r w:rsidRPr="595CB810">
        <w:rPr>
          <w:rFonts w:ascii="Arial" w:eastAsia="Arial" w:hAnsi="Arial" w:cs="Arial"/>
          <w:lang w:val="en-GB"/>
        </w:rPr>
        <w:t>accessed 05.03.19</w:t>
      </w:r>
    </w:p>
    <w:p w14:paraId="71A36F29" w14:textId="38D89FBE" w:rsidR="00393A3E" w:rsidRPr="00D427F0" w:rsidRDefault="00FA09B6" w:rsidP="595CB810">
      <w:pPr>
        <w:pStyle w:val="ListParagraph"/>
        <w:numPr>
          <w:ilvl w:val="0"/>
          <w:numId w:val="1"/>
        </w:numPr>
        <w:rPr>
          <w:rFonts w:ascii="Arial" w:hAnsi="Arial" w:cs="Arial"/>
          <w:sz w:val="24"/>
          <w:szCs w:val="24"/>
        </w:rPr>
      </w:pPr>
      <w:bookmarkStart w:id="2" w:name="_Hlk3153044"/>
      <w:r w:rsidRPr="00D427F0">
        <w:rPr>
          <w:rFonts w:ascii="Arial" w:hAnsi="Arial" w:cs="Arial"/>
          <w:sz w:val="24"/>
          <w:szCs w:val="24"/>
        </w:rPr>
        <w:t>Oppenheim</w:t>
      </w:r>
      <w:r w:rsidRPr="00D427F0">
        <w:rPr>
          <w:rFonts w:ascii="Arial" w:hAnsi="Arial" w:cs="Arial"/>
          <w:sz w:val="24"/>
          <w:szCs w:val="24"/>
        </w:rPr>
        <w:t>, A. 2019</w:t>
      </w:r>
      <w:bookmarkEnd w:id="2"/>
      <w:r w:rsidRPr="00D427F0">
        <w:rPr>
          <w:rFonts w:ascii="Arial" w:hAnsi="Arial" w:cs="Arial"/>
          <w:sz w:val="24"/>
          <w:szCs w:val="24"/>
        </w:rPr>
        <w:t xml:space="preserve">. </w:t>
      </w:r>
      <w:r w:rsidR="00D427F0" w:rsidRPr="00D427F0">
        <w:rPr>
          <w:rFonts w:ascii="Arial" w:hAnsi="Arial" w:cs="Arial"/>
          <w:sz w:val="24"/>
          <w:szCs w:val="24"/>
        </w:rPr>
        <w:t>Egypt in the Middle Kingdom (ca. 2030–1650 B.C.)</w:t>
      </w:r>
      <w:r w:rsidR="00D427F0">
        <w:rPr>
          <w:rFonts w:ascii="Arial" w:hAnsi="Arial" w:cs="Arial"/>
          <w:sz w:val="24"/>
          <w:szCs w:val="24"/>
        </w:rPr>
        <w:t xml:space="preserve">. </w:t>
      </w:r>
      <w:proofErr w:type="spellStart"/>
      <w:r w:rsidR="00D427F0">
        <w:rPr>
          <w:rFonts w:ascii="Arial" w:hAnsi="Arial" w:cs="Arial"/>
          <w:sz w:val="24"/>
          <w:szCs w:val="24"/>
        </w:rPr>
        <w:t>Metropo</w:t>
      </w:r>
      <w:r w:rsidR="00204778">
        <w:rPr>
          <w:rFonts w:ascii="Arial" w:hAnsi="Arial" w:cs="Arial"/>
          <w:sz w:val="24"/>
          <w:szCs w:val="24"/>
        </w:rPr>
        <w:t>litain</w:t>
      </w:r>
      <w:proofErr w:type="spellEnd"/>
      <w:r w:rsidR="00204778">
        <w:rPr>
          <w:rFonts w:ascii="Arial" w:hAnsi="Arial" w:cs="Arial"/>
          <w:sz w:val="24"/>
          <w:szCs w:val="24"/>
        </w:rPr>
        <w:t xml:space="preserve"> Museum of Art. </w:t>
      </w:r>
      <w:hyperlink r:id="rId31" w:history="1">
        <w:r w:rsidR="00E81E22" w:rsidRPr="00E81E22">
          <w:rPr>
            <w:rStyle w:val="Hyperlink"/>
            <w:rFonts w:ascii="Arial" w:hAnsi="Arial" w:cs="Arial"/>
            <w:szCs w:val="24"/>
          </w:rPr>
          <w:t>https://www.metmuseum.org/toah/hd/mking/hd_mking.htm</w:t>
        </w:r>
      </w:hyperlink>
      <w:r w:rsidR="00E81E22" w:rsidRPr="00E81E22">
        <w:rPr>
          <w:rFonts w:ascii="Arial" w:hAnsi="Arial" w:cs="Arial"/>
          <w:szCs w:val="24"/>
        </w:rPr>
        <w:t xml:space="preserve"> accessed 10.03.19</w:t>
      </w:r>
    </w:p>
    <w:p w14:paraId="01CEF237" w14:textId="0C77F94B" w:rsidR="595CB810" w:rsidRDefault="595CB810" w:rsidP="595CB810">
      <w:pPr>
        <w:pStyle w:val="ListParagraph"/>
        <w:numPr>
          <w:ilvl w:val="0"/>
          <w:numId w:val="1"/>
        </w:numPr>
        <w:rPr>
          <w:sz w:val="24"/>
          <w:szCs w:val="24"/>
        </w:rPr>
      </w:pPr>
      <w:proofErr w:type="spellStart"/>
      <w:r w:rsidRPr="595CB810">
        <w:rPr>
          <w:rFonts w:ascii="Arial" w:eastAsia="Arial" w:hAnsi="Arial" w:cs="Arial"/>
          <w:sz w:val="24"/>
          <w:szCs w:val="24"/>
          <w:lang w:val="en-GB"/>
        </w:rPr>
        <w:t>Praetzellis</w:t>
      </w:r>
      <w:proofErr w:type="spellEnd"/>
      <w:r w:rsidRPr="595CB810">
        <w:rPr>
          <w:rFonts w:ascii="Arial" w:eastAsia="Arial" w:hAnsi="Arial" w:cs="Arial"/>
          <w:sz w:val="24"/>
          <w:szCs w:val="24"/>
          <w:lang w:val="en-GB"/>
        </w:rPr>
        <w:t>, A. 2015. Archaeological theory in a nutshell. Abingdon. Routledge</w:t>
      </w:r>
    </w:p>
    <w:p w14:paraId="247465D2" w14:textId="0F60AC97" w:rsidR="595CB810" w:rsidRDefault="595CB810" w:rsidP="595CB810">
      <w:pPr>
        <w:pStyle w:val="ListParagraph"/>
        <w:numPr>
          <w:ilvl w:val="0"/>
          <w:numId w:val="1"/>
        </w:numPr>
        <w:rPr>
          <w:sz w:val="24"/>
          <w:szCs w:val="24"/>
        </w:rPr>
      </w:pPr>
      <w:proofErr w:type="spellStart"/>
      <w:r w:rsidRPr="595CB810">
        <w:rPr>
          <w:rFonts w:ascii="Arial" w:eastAsia="Arial" w:hAnsi="Arial" w:cs="Arial"/>
          <w:sz w:val="24"/>
          <w:szCs w:val="24"/>
          <w:lang w:val="en-GB"/>
        </w:rPr>
        <w:t>Preucel</w:t>
      </w:r>
      <w:proofErr w:type="spellEnd"/>
      <w:r w:rsidRPr="595CB810">
        <w:rPr>
          <w:rFonts w:ascii="Arial" w:eastAsia="Arial" w:hAnsi="Arial" w:cs="Arial"/>
          <w:sz w:val="24"/>
          <w:szCs w:val="24"/>
          <w:lang w:val="en-GB"/>
        </w:rPr>
        <w:t xml:space="preserve">, R. 2010. </w:t>
      </w:r>
      <w:r w:rsidRPr="595CB810">
        <w:rPr>
          <w:rFonts w:ascii="Arial" w:eastAsia="Arial" w:hAnsi="Arial" w:cs="Arial"/>
          <w:i/>
          <w:iCs/>
          <w:sz w:val="24"/>
          <w:szCs w:val="24"/>
          <w:lang w:val="en-GB"/>
        </w:rPr>
        <w:t>Archaeological Semiotics</w:t>
      </w:r>
      <w:r w:rsidRPr="595CB810">
        <w:rPr>
          <w:rFonts w:ascii="Arial" w:eastAsia="Arial" w:hAnsi="Arial" w:cs="Arial"/>
          <w:sz w:val="24"/>
          <w:szCs w:val="24"/>
          <w:lang w:val="en-GB"/>
        </w:rPr>
        <w:t>. Chichester. Wiley-Blackwell.</w:t>
      </w:r>
    </w:p>
    <w:sectPr w:rsidR="595CB8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832730" w14:textId="77777777" w:rsidR="00CF1833" w:rsidRDefault="00CF1833" w:rsidP="00FC7CB9">
      <w:pPr>
        <w:spacing w:after="0" w:line="240" w:lineRule="auto"/>
      </w:pPr>
      <w:r>
        <w:separator/>
      </w:r>
    </w:p>
  </w:endnote>
  <w:endnote w:type="continuationSeparator" w:id="0">
    <w:p w14:paraId="2805D327" w14:textId="77777777" w:rsidR="00CF1833" w:rsidRDefault="00CF1833" w:rsidP="00FC7C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17887" w14:textId="77777777" w:rsidR="00CF1833" w:rsidRDefault="00CF1833" w:rsidP="00FC7CB9">
      <w:pPr>
        <w:spacing w:after="0" w:line="240" w:lineRule="auto"/>
      </w:pPr>
      <w:r>
        <w:separator/>
      </w:r>
    </w:p>
  </w:footnote>
  <w:footnote w:type="continuationSeparator" w:id="0">
    <w:p w14:paraId="74BF034F" w14:textId="77777777" w:rsidR="00CF1833" w:rsidRDefault="00CF1833" w:rsidP="00FC7CB9">
      <w:pPr>
        <w:spacing w:after="0" w:line="240" w:lineRule="auto"/>
      </w:pPr>
      <w:r>
        <w:continuationSeparator/>
      </w:r>
    </w:p>
  </w:footnote>
  <w:footnote w:id="1">
    <w:p w14:paraId="4E4C9A3C" w14:textId="6A282EAD" w:rsidR="00FC7CB9" w:rsidRPr="007545E7" w:rsidRDefault="00FC7CB9">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Pr="007545E7">
        <w:rPr>
          <w:rFonts w:ascii="Arial" w:hAnsi="Arial" w:cs="Arial"/>
          <w:lang w:val="en-GB"/>
        </w:rPr>
        <w:t xml:space="preserve"> </w:t>
      </w:r>
      <w:r w:rsidR="006C09F3" w:rsidRPr="007545E7">
        <w:rPr>
          <w:rFonts w:ascii="Arial" w:hAnsi="Arial" w:cs="Arial"/>
          <w:lang w:val="en-GB"/>
        </w:rPr>
        <w:t>British Museum Collection. And MET Museum Collection</w:t>
      </w:r>
    </w:p>
  </w:footnote>
  <w:footnote w:id="2">
    <w:p w14:paraId="1A81623C" w14:textId="2A73D7F2" w:rsidR="001C27D6" w:rsidRPr="007545E7" w:rsidRDefault="001C27D6">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004E18C3" w:rsidRPr="007545E7">
        <w:rPr>
          <w:rFonts w:ascii="Arial" w:hAnsi="Arial" w:cs="Arial"/>
        </w:rPr>
        <w:t>MET Museum Collection 1</w:t>
      </w:r>
    </w:p>
  </w:footnote>
  <w:footnote w:id="3">
    <w:p w14:paraId="4DB2C1E9" w14:textId="7EAE1317" w:rsidR="001C27D6" w:rsidRPr="007545E7" w:rsidRDefault="001C27D6">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Pr="007545E7">
        <w:rPr>
          <w:rFonts w:ascii="Arial" w:hAnsi="Arial" w:cs="Arial"/>
          <w:lang w:val="en-GB"/>
        </w:rPr>
        <w:t xml:space="preserve"> </w:t>
      </w:r>
      <w:r w:rsidR="006C09F3" w:rsidRPr="007545E7">
        <w:rPr>
          <w:rFonts w:ascii="Arial" w:hAnsi="Arial" w:cs="Arial"/>
          <w:lang w:val="en-GB"/>
        </w:rPr>
        <w:t>MET Museum Collection</w:t>
      </w:r>
      <w:r w:rsidR="006C09F3" w:rsidRPr="007545E7">
        <w:rPr>
          <w:rFonts w:ascii="Arial" w:hAnsi="Arial" w:cs="Arial"/>
          <w:lang w:val="en-GB"/>
        </w:rPr>
        <w:t xml:space="preserve"> 1</w:t>
      </w:r>
    </w:p>
  </w:footnote>
  <w:footnote w:id="4">
    <w:p w14:paraId="4CC4BA5D" w14:textId="302D5EB1" w:rsidR="001C27D6" w:rsidRPr="007545E7" w:rsidRDefault="001C27D6">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Pr="007545E7">
        <w:rPr>
          <w:rFonts w:ascii="Arial" w:hAnsi="Arial" w:cs="Arial"/>
          <w:lang w:val="en-GB"/>
        </w:rPr>
        <w:t xml:space="preserve"> </w:t>
      </w:r>
      <w:r w:rsidR="006C09F3" w:rsidRPr="007545E7">
        <w:rPr>
          <w:rFonts w:ascii="Arial" w:hAnsi="Arial" w:cs="Arial"/>
          <w:lang w:val="en-GB"/>
        </w:rPr>
        <w:t>British Museum Collection</w:t>
      </w:r>
      <w:r w:rsidR="006C09F3" w:rsidRPr="007545E7">
        <w:rPr>
          <w:rFonts w:ascii="Arial" w:hAnsi="Arial" w:cs="Arial"/>
          <w:lang w:val="en-GB"/>
        </w:rPr>
        <w:t xml:space="preserve">- </w:t>
      </w:r>
      <w:r w:rsidR="0000451A" w:rsidRPr="007545E7">
        <w:rPr>
          <w:rFonts w:ascii="Arial" w:hAnsi="Arial" w:cs="Arial"/>
          <w:lang w:val="en-GB"/>
        </w:rPr>
        <w:t xml:space="preserve">red and blue </w:t>
      </w:r>
      <w:r w:rsidR="006C09F3" w:rsidRPr="007545E7">
        <w:rPr>
          <w:rFonts w:ascii="Arial" w:hAnsi="Arial" w:cs="Arial"/>
          <w:lang w:val="en-GB"/>
        </w:rPr>
        <w:t xml:space="preserve">beads </w:t>
      </w:r>
    </w:p>
  </w:footnote>
  <w:footnote w:id="5">
    <w:p w14:paraId="71BE3BAC" w14:textId="71382C9B" w:rsidR="001C27D6" w:rsidRPr="007545E7" w:rsidRDefault="001C27D6">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006C09F3" w:rsidRPr="007545E7">
        <w:rPr>
          <w:rFonts w:ascii="Arial" w:hAnsi="Arial" w:cs="Arial"/>
          <w:lang w:val="en-GB"/>
        </w:rPr>
        <w:t>MET Museum Collection</w:t>
      </w:r>
      <w:r w:rsidR="006C09F3" w:rsidRPr="007545E7">
        <w:rPr>
          <w:rFonts w:ascii="Arial" w:hAnsi="Arial" w:cs="Arial"/>
          <w:lang w:val="en-GB"/>
        </w:rPr>
        <w:t xml:space="preserve"> 2</w:t>
      </w:r>
    </w:p>
  </w:footnote>
  <w:footnote w:id="6">
    <w:p w14:paraId="1B6ACD7B" w14:textId="54D7760B" w:rsidR="001C27D6" w:rsidRPr="007545E7" w:rsidRDefault="001C27D6">
      <w:pPr>
        <w:pStyle w:val="FootnoteText"/>
        <w:rPr>
          <w:rFonts w:ascii="Arial" w:hAnsi="Arial" w:cs="Arial"/>
          <w:lang w:val="en-GB"/>
        </w:rPr>
      </w:pPr>
      <w:r w:rsidRPr="007545E7">
        <w:rPr>
          <w:rStyle w:val="FootnoteReference"/>
          <w:rFonts w:ascii="Arial" w:hAnsi="Arial" w:cs="Arial"/>
        </w:rPr>
        <w:footnoteRef/>
      </w:r>
      <w:r w:rsidRPr="007545E7">
        <w:rPr>
          <w:rFonts w:ascii="Arial" w:hAnsi="Arial" w:cs="Arial"/>
        </w:rPr>
        <w:t xml:space="preserve"> </w:t>
      </w:r>
      <w:r w:rsidR="006C09F3" w:rsidRPr="007545E7">
        <w:rPr>
          <w:rFonts w:ascii="Arial" w:hAnsi="Arial" w:cs="Arial"/>
          <w:lang w:val="en-GB"/>
        </w:rPr>
        <w:t>MET Museum Collection</w:t>
      </w:r>
      <w:r w:rsidR="006C09F3" w:rsidRPr="007545E7">
        <w:rPr>
          <w:rFonts w:ascii="Arial" w:hAnsi="Arial" w:cs="Arial"/>
          <w:lang w:val="en-GB"/>
        </w:rPr>
        <w:t xml:space="preserve"> 2</w:t>
      </w:r>
    </w:p>
  </w:footnote>
  <w:footnote w:id="7">
    <w:p w14:paraId="57E07656" w14:textId="56DD4268" w:rsidR="001C27D6" w:rsidRPr="001C27D6" w:rsidRDefault="001C27D6">
      <w:pPr>
        <w:pStyle w:val="FootnoteText"/>
        <w:rPr>
          <w:lang w:val="en-GB"/>
        </w:rPr>
      </w:pPr>
      <w:r w:rsidRPr="007545E7">
        <w:rPr>
          <w:rStyle w:val="FootnoteReference"/>
          <w:rFonts w:ascii="Arial" w:hAnsi="Arial" w:cs="Arial"/>
        </w:rPr>
        <w:footnoteRef/>
      </w:r>
      <w:r w:rsidRPr="007545E7">
        <w:rPr>
          <w:rFonts w:ascii="Arial" w:hAnsi="Arial" w:cs="Arial"/>
        </w:rPr>
        <w:t xml:space="preserve"> </w:t>
      </w:r>
      <w:r w:rsidRPr="007545E7">
        <w:rPr>
          <w:rFonts w:ascii="Arial" w:hAnsi="Arial" w:cs="Arial"/>
          <w:lang w:val="en-GB"/>
        </w:rPr>
        <w:t>Gage</w:t>
      </w:r>
      <w:r w:rsidR="006C09F3" w:rsidRPr="007545E7">
        <w:rPr>
          <w:rFonts w:ascii="Arial" w:hAnsi="Arial" w:cs="Arial"/>
          <w:lang w:val="en-GB"/>
        </w:rPr>
        <w:t>, J. 1999.</w:t>
      </w:r>
    </w:p>
  </w:footnote>
  <w:footnote w:id="8">
    <w:p w14:paraId="6F432CFD" w14:textId="56063F5A" w:rsidR="001C27D6" w:rsidRPr="001C27D6" w:rsidRDefault="001C27D6">
      <w:pPr>
        <w:pStyle w:val="FootnoteText"/>
        <w:rPr>
          <w:lang w:val="en-GB"/>
        </w:rPr>
      </w:pPr>
      <w:r>
        <w:rPr>
          <w:rStyle w:val="FootnoteReference"/>
        </w:rPr>
        <w:footnoteRef/>
      </w:r>
      <w:r>
        <w:t xml:space="preserve"> </w:t>
      </w:r>
      <w:r>
        <w:rPr>
          <w:lang w:val="en-GB"/>
        </w:rPr>
        <w:t xml:space="preserve"> </w:t>
      </w:r>
      <w:r w:rsidR="006C09F3">
        <w:rPr>
          <w:lang w:val="en-GB"/>
        </w:rPr>
        <w:t>British Museum Collection- beads</w:t>
      </w:r>
      <w:r w:rsidR="006C09F3">
        <w:rPr>
          <w:lang w:val="en-GB"/>
        </w:rPr>
        <w:t xml:space="preserve"> blue</w:t>
      </w:r>
    </w:p>
  </w:footnote>
  <w:footnote w:id="9">
    <w:p w14:paraId="60CB362D" w14:textId="6CE080F3" w:rsidR="00177CD2" w:rsidRPr="00177CD2" w:rsidRDefault="00177CD2">
      <w:pPr>
        <w:pStyle w:val="FootnoteText"/>
        <w:rPr>
          <w:lang w:val="en-GB"/>
        </w:rPr>
      </w:pPr>
      <w:r>
        <w:rPr>
          <w:rStyle w:val="FootnoteReference"/>
        </w:rPr>
        <w:footnoteRef/>
      </w:r>
      <w:r>
        <w:t xml:space="preserve"> </w:t>
      </w:r>
      <w:r>
        <w:rPr>
          <w:lang w:val="en-GB"/>
        </w:rPr>
        <w:t>British Museum Collection- beads</w:t>
      </w:r>
      <w:r>
        <w:rPr>
          <w:lang w:val="en-GB"/>
        </w:rPr>
        <w:t xml:space="preserve"> blue</w:t>
      </w:r>
    </w:p>
  </w:footnote>
  <w:footnote w:id="10">
    <w:p w14:paraId="08859132" w14:textId="699B2405" w:rsidR="00177CD2" w:rsidRPr="00177CD2" w:rsidRDefault="00177CD2">
      <w:pPr>
        <w:pStyle w:val="FootnoteText"/>
        <w:rPr>
          <w:lang w:val="en-GB"/>
        </w:rPr>
      </w:pPr>
      <w:r>
        <w:rPr>
          <w:rStyle w:val="FootnoteReference"/>
        </w:rPr>
        <w:footnoteRef/>
      </w:r>
      <w:r w:rsidR="003E74F1">
        <w:t xml:space="preserve"> Aston, B. Harre</w:t>
      </w:r>
      <w:r w:rsidR="00841430">
        <w:t>ll, J. Shaw, I. 2000.</w:t>
      </w:r>
    </w:p>
  </w:footnote>
  <w:footnote w:id="11">
    <w:p w14:paraId="26BCE897" w14:textId="510D3677" w:rsidR="001C27D6" w:rsidRPr="001C27D6" w:rsidRDefault="001C27D6">
      <w:pPr>
        <w:pStyle w:val="FootnoteText"/>
        <w:rPr>
          <w:lang w:val="en-GB"/>
        </w:rPr>
      </w:pPr>
      <w:r>
        <w:rPr>
          <w:rStyle w:val="FootnoteReference"/>
        </w:rPr>
        <w:footnoteRef/>
      </w:r>
      <w:r>
        <w:t xml:space="preserve"> </w:t>
      </w:r>
      <w:r>
        <w:rPr>
          <w:lang w:val="en-GB"/>
        </w:rPr>
        <w:t xml:space="preserve"> </w:t>
      </w:r>
      <w:r w:rsidR="006C09F3">
        <w:rPr>
          <w:lang w:val="en-GB"/>
        </w:rPr>
        <w:t>British Museum Collection- beads</w:t>
      </w:r>
      <w:r w:rsidR="00177CD2">
        <w:rPr>
          <w:lang w:val="en-GB"/>
        </w:rPr>
        <w:t xml:space="preserve"> blue</w:t>
      </w:r>
    </w:p>
  </w:footnote>
  <w:footnote w:id="12">
    <w:p w14:paraId="3DFC771D" w14:textId="1034DA3F" w:rsidR="001C27D6" w:rsidRPr="001C27D6" w:rsidRDefault="001C27D6">
      <w:pPr>
        <w:pStyle w:val="FootnoteText"/>
        <w:rPr>
          <w:lang w:val="en-GB"/>
        </w:rPr>
      </w:pPr>
      <w:r>
        <w:rPr>
          <w:rStyle w:val="FootnoteReference"/>
        </w:rPr>
        <w:footnoteRef/>
      </w:r>
      <w:r>
        <w:t xml:space="preserve"> </w:t>
      </w:r>
      <w:r w:rsidR="006C09F3">
        <w:rPr>
          <w:lang w:val="en-GB"/>
        </w:rPr>
        <w:t>British Museum Collection- beads</w:t>
      </w:r>
      <w:r w:rsidR="00177CD2">
        <w:rPr>
          <w:lang w:val="en-GB"/>
        </w:rPr>
        <w:t xml:space="preserve"> red</w:t>
      </w:r>
    </w:p>
  </w:footnote>
  <w:footnote w:id="13">
    <w:p w14:paraId="02B079E8" w14:textId="131C8007" w:rsidR="001C27D6" w:rsidRPr="001C27D6" w:rsidRDefault="001C27D6">
      <w:pPr>
        <w:pStyle w:val="FootnoteText"/>
        <w:rPr>
          <w:lang w:val="en-GB"/>
        </w:rPr>
      </w:pPr>
      <w:r>
        <w:rPr>
          <w:rStyle w:val="FootnoteReference"/>
        </w:rPr>
        <w:footnoteRef/>
      </w:r>
      <w:r>
        <w:t xml:space="preserve"> </w:t>
      </w:r>
      <w:r>
        <w:rPr>
          <w:lang w:val="en-GB"/>
        </w:rPr>
        <w:t xml:space="preserve"> </w:t>
      </w:r>
      <w:r w:rsidR="006C09F3">
        <w:rPr>
          <w:lang w:val="en-GB"/>
        </w:rPr>
        <w:t>British Museum Collection- beads</w:t>
      </w:r>
      <w:r w:rsidR="00177CD2">
        <w:rPr>
          <w:lang w:val="en-GB"/>
        </w:rPr>
        <w:t xml:space="preserve"> red</w:t>
      </w:r>
    </w:p>
  </w:footnote>
  <w:footnote w:id="14">
    <w:p w14:paraId="2C5987D5" w14:textId="4C0DC674" w:rsidR="001C27D6" w:rsidRPr="001C27D6" w:rsidRDefault="001C27D6">
      <w:pPr>
        <w:pStyle w:val="FootnoteText"/>
        <w:rPr>
          <w:lang w:val="en-GB"/>
        </w:rPr>
      </w:pPr>
      <w:r>
        <w:rPr>
          <w:rStyle w:val="FootnoteReference"/>
        </w:rPr>
        <w:footnoteRef/>
      </w:r>
      <w:r>
        <w:t xml:space="preserve"> </w:t>
      </w:r>
      <w:r w:rsidR="00177CD2">
        <w:t>Allison, P. 2002.</w:t>
      </w:r>
    </w:p>
  </w:footnote>
  <w:footnote w:id="15">
    <w:p w14:paraId="11C177BC" w14:textId="2AC739FF" w:rsidR="001C27D6" w:rsidRPr="00F87FD3" w:rsidRDefault="001C27D6">
      <w:pPr>
        <w:pStyle w:val="FootnoteText"/>
        <w:rPr>
          <w:rFonts w:ascii="Arial" w:hAnsi="Arial" w:cs="Arial"/>
          <w:lang w:val="en-GB"/>
        </w:rPr>
      </w:pPr>
      <w:r>
        <w:rPr>
          <w:rStyle w:val="FootnoteReference"/>
        </w:rPr>
        <w:footnoteRef/>
      </w:r>
      <w:r w:rsidR="00E81E22">
        <w:t xml:space="preserve"> </w:t>
      </w:r>
      <w:r w:rsidR="00F87FD3" w:rsidRPr="00F87FD3">
        <w:rPr>
          <w:rFonts w:ascii="Arial" w:hAnsi="Arial" w:cs="Arial"/>
        </w:rPr>
        <w:t>Oppenheim, A. 2019</w:t>
      </w:r>
    </w:p>
  </w:footnote>
  <w:footnote w:id="16">
    <w:p w14:paraId="077816B5" w14:textId="4F165AB7" w:rsidR="001C27D6" w:rsidRPr="001C27D6" w:rsidRDefault="001C27D6">
      <w:pPr>
        <w:pStyle w:val="FootnoteText"/>
        <w:rPr>
          <w:lang w:val="en-GB"/>
        </w:rPr>
      </w:pPr>
      <w:r w:rsidRPr="00F87FD3">
        <w:rPr>
          <w:rStyle w:val="FootnoteReference"/>
          <w:rFonts w:ascii="Arial" w:hAnsi="Arial" w:cs="Arial"/>
        </w:rPr>
        <w:footnoteRef/>
      </w:r>
      <w:r w:rsidRPr="00F87FD3">
        <w:rPr>
          <w:rFonts w:ascii="Arial" w:hAnsi="Arial" w:cs="Arial"/>
        </w:rPr>
        <w:t xml:space="preserve"> </w:t>
      </w:r>
      <w:r w:rsidR="00177CD2" w:rsidRPr="00F87FD3">
        <w:rPr>
          <w:rFonts w:ascii="Arial" w:hAnsi="Arial" w:cs="Arial"/>
        </w:rPr>
        <w:t>MET Museum collection 1</w:t>
      </w:r>
    </w:p>
  </w:footnote>
  <w:footnote w:id="17">
    <w:p w14:paraId="1C9D2DA3" w14:textId="7D3C7038" w:rsidR="001C27D6" w:rsidRPr="001C27D6" w:rsidRDefault="001C27D6">
      <w:pPr>
        <w:pStyle w:val="FootnoteText"/>
        <w:rPr>
          <w:lang w:val="en-GB"/>
        </w:rPr>
      </w:pPr>
      <w:r>
        <w:rPr>
          <w:rStyle w:val="FootnoteReference"/>
        </w:rPr>
        <w:footnoteRef/>
      </w:r>
      <w:r w:rsidR="00F2337D" w:rsidRPr="00F87FD3">
        <w:rPr>
          <w:rFonts w:ascii="Arial" w:hAnsi="Arial" w:cs="Arial"/>
        </w:rPr>
        <w:t>Oppenheim, A. 2019</w:t>
      </w:r>
    </w:p>
  </w:footnote>
  <w:footnote w:id="18">
    <w:p w14:paraId="4FFEE66F" w14:textId="001876C4" w:rsidR="001C27D6" w:rsidRPr="001C27D6" w:rsidRDefault="001C27D6">
      <w:pPr>
        <w:pStyle w:val="FootnoteText"/>
        <w:rPr>
          <w:lang w:val="en-GB"/>
        </w:rPr>
      </w:pPr>
      <w:r>
        <w:rPr>
          <w:rStyle w:val="FootnoteReference"/>
        </w:rPr>
        <w:footnoteRef/>
      </w:r>
      <w:r>
        <w:t xml:space="preserve"> </w:t>
      </w:r>
      <w:proofErr w:type="spellStart"/>
      <w:r w:rsidR="006C09F3">
        <w:t>Praetzellis</w:t>
      </w:r>
      <w:proofErr w:type="spellEnd"/>
      <w:r w:rsidR="006C09F3">
        <w:t>, A. 2015.</w:t>
      </w:r>
    </w:p>
  </w:footnote>
  <w:footnote w:id="19">
    <w:p w14:paraId="439AF019" w14:textId="3CB4A81C" w:rsidR="001C27D6" w:rsidRPr="001C27D6" w:rsidRDefault="001C27D6">
      <w:pPr>
        <w:pStyle w:val="FootnoteText"/>
        <w:rPr>
          <w:lang w:val="en-GB"/>
        </w:rPr>
      </w:pPr>
      <w:r>
        <w:rPr>
          <w:rStyle w:val="FootnoteReference"/>
        </w:rPr>
        <w:footnoteRef/>
      </w:r>
      <w:r>
        <w:t xml:space="preserve"> </w:t>
      </w:r>
      <w:r w:rsidR="006C09F3">
        <w:rPr>
          <w:lang w:val="en-GB"/>
        </w:rPr>
        <w:t>Gage, J. 199</w:t>
      </w:r>
      <w:r w:rsidR="006C09F3">
        <w:rPr>
          <w:lang w:val="en-GB"/>
        </w:rPr>
        <w:t>9.</w:t>
      </w:r>
    </w:p>
  </w:footnote>
  <w:footnote w:id="20">
    <w:p w14:paraId="0F53464D" w14:textId="3B8EE07E" w:rsidR="006C09F3" w:rsidRPr="006C09F3" w:rsidRDefault="006C09F3">
      <w:pPr>
        <w:pStyle w:val="FootnoteText"/>
        <w:rPr>
          <w:lang w:val="en-GB"/>
        </w:rPr>
      </w:pPr>
      <w:r>
        <w:rPr>
          <w:rStyle w:val="FootnoteReference"/>
        </w:rPr>
        <w:footnoteRef/>
      </w:r>
      <w:r>
        <w:t xml:space="preserve"> </w:t>
      </w:r>
      <w:r>
        <w:rPr>
          <w:lang w:val="en-GB"/>
        </w:rPr>
        <w:t>Gage, J. 1993.</w:t>
      </w:r>
    </w:p>
  </w:footnote>
  <w:footnote w:id="21">
    <w:p w14:paraId="79F16921" w14:textId="5D921D27" w:rsidR="001C27D6" w:rsidRPr="001C27D6" w:rsidRDefault="001C27D6">
      <w:pPr>
        <w:pStyle w:val="FootnoteText"/>
        <w:rPr>
          <w:lang w:val="en-GB"/>
        </w:rPr>
      </w:pPr>
      <w:r>
        <w:rPr>
          <w:rStyle w:val="FootnoteReference"/>
        </w:rPr>
        <w:footnoteRef/>
      </w:r>
      <w:r>
        <w:t xml:space="preserve"> </w:t>
      </w:r>
      <w:r w:rsidR="00177CD2">
        <w:t>Oxford Dictionary</w:t>
      </w:r>
      <w:r w:rsidR="003810D3">
        <w:t>. 2011.</w:t>
      </w:r>
    </w:p>
  </w:footnote>
  <w:footnote w:id="22">
    <w:p w14:paraId="39CAE332" w14:textId="0A397506" w:rsidR="001C27D6" w:rsidRPr="001C27D6" w:rsidRDefault="001C27D6">
      <w:pPr>
        <w:pStyle w:val="FootnoteText"/>
        <w:rPr>
          <w:lang w:val="en-GB"/>
        </w:rPr>
      </w:pPr>
      <w:r>
        <w:rPr>
          <w:rStyle w:val="FootnoteReference"/>
        </w:rPr>
        <w:footnoteRef/>
      </w:r>
      <w:r>
        <w:t xml:space="preserve"> </w:t>
      </w:r>
      <w:r w:rsidR="0041637D" w:rsidRPr="0041637D">
        <w:t>The Psychology of the Color Red.</w:t>
      </w:r>
      <w:r w:rsidR="0041637D">
        <w:t xml:space="preserve"> 2016.</w:t>
      </w:r>
    </w:p>
  </w:footnote>
  <w:footnote w:id="23">
    <w:p w14:paraId="14F2D001" w14:textId="26D66438" w:rsidR="00D21DED" w:rsidRPr="00D21DED" w:rsidRDefault="00D21DED">
      <w:pPr>
        <w:pStyle w:val="FootnoteText"/>
        <w:rPr>
          <w:lang w:val="en-GB"/>
        </w:rPr>
      </w:pPr>
      <w:r>
        <w:rPr>
          <w:rStyle w:val="FootnoteReference"/>
        </w:rPr>
        <w:footnoteRef/>
      </w:r>
      <w:r>
        <w:t xml:space="preserve"> </w:t>
      </w:r>
      <w:r w:rsidR="00177CD2">
        <w:t>Allison, P. 2002.</w:t>
      </w:r>
    </w:p>
  </w:footnote>
  <w:footnote w:id="24">
    <w:p w14:paraId="2931D1BC" w14:textId="5B4D57A8" w:rsidR="00D21DED" w:rsidRPr="00D21DED" w:rsidRDefault="00D21DED">
      <w:pPr>
        <w:pStyle w:val="FootnoteText"/>
        <w:rPr>
          <w:lang w:val="en-GB"/>
        </w:rPr>
      </w:pPr>
      <w:r>
        <w:rPr>
          <w:rStyle w:val="FootnoteReference"/>
        </w:rPr>
        <w:footnoteRef/>
      </w:r>
      <w:r>
        <w:t xml:space="preserve"> </w:t>
      </w:r>
      <w:r w:rsidR="00177CD2">
        <w:t>MET Museum Collection 1</w:t>
      </w:r>
    </w:p>
  </w:footnote>
  <w:footnote w:id="25">
    <w:p w14:paraId="22A0BF44" w14:textId="43F88AB1" w:rsidR="00D21DED" w:rsidRPr="00D21DED" w:rsidRDefault="00D21DED">
      <w:pPr>
        <w:pStyle w:val="FootnoteText"/>
        <w:rPr>
          <w:lang w:val="en-GB"/>
        </w:rPr>
      </w:pPr>
      <w:r>
        <w:rPr>
          <w:rStyle w:val="FootnoteReference"/>
        </w:rPr>
        <w:footnoteRef/>
      </w:r>
      <w:r w:rsidR="008A1C41">
        <w:rPr>
          <w:lang w:val="en-GB"/>
        </w:rPr>
        <w:t xml:space="preserve"> </w:t>
      </w:r>
      <w:proofErr w:type="spellStart"/>
      <w:proofErr w:type="gramStart"/>
      <w:r w:rsidR="008A1C41">
        <w:rPr>
          <w:lang w:val="en-GB"/>
        </w:rPr>
        <w:t>Allison,P</w:t>
      </w:r>
      <w:proofErr w:type="spellEnd"/>
      <w:r w:rsidR="008A1C41">
        <w:rPr>
          <w:lang w:val="en-GB"/>
        </w:rPr>
        <w:t>.</w:t>
      </w:r>
      <w:proofErr w:type="gramEnd"/>
      <w:r w:rsidR="008A1C41">
        <w:rPr>
          <w:lang w:val="en-GB"/>
        </w:rPr>
        <w:t xml:space="preserve"> 2002</w:t>
      </w:r>
    </w:p>
  </w:footnote>
  <w:footnote w:id="26">
    <w:p w14:paraId="0E751361" w14:textId="25C2AE08" w:rsidR="00D21DED" w:rsidRPr="00D21DED" w:rsidRDefault="00D21DED">
      <w:pPr>
        <w:pStyle w:val="FootnoteText"/>
        <w:rPr>
          <w:lang w:val="en-GB"/>
        </w:rPr>
      </w:pPr>
      <w:r>
        <w:rPr>
          <w:rStyle w:val="FootnoteReference"/>
        </w:rPr>
        <w:footnoteRef/>
      </w:r>
      <w:r>
        <w:t xml:space="preserve"> </w:t>
      </w:r>
      <w:r w:rsidR="00177CD2">
        <w:t>British Museum Collection- Beads red</w:t>
      </w:r>
    </w:p>
  </w:footnote>
  <w:footnote w:id="27">
    <w:p w14:paraId="1F4AFDA6" w14:textId="1E127C5D" w:rsidR="00D21DED" w:rsidRPr="00D21DED" w:rsidRDefault="00D21DED">
      <w:pPr>
        <w:pStyle w:val="FootnoteText"/>
        <w:rPr>
          <w:lang w:val="en-GB"/>
        </w:rPr>
      </w:pPr>
      <w:r>
        <w:rPr>
          <w:rStyle w:val="FootnoteReference"/>
        </w:rPr>
        <w:footnoteRef/>
      </w:r>
      <w:r>
        <w:t xml:space="preserve"> </w:t>
      </w:r>
      <w:r w:rsidR="003810D3" w:rsidRPr="003810D3">
        <w:t>transport boat with a portable cabin</w:t>
      </w:r>
    </w:p>
  </w:footnote>
  <w:footnote w:id="28">
    <w:p w14:paraId="53D8E31E" w14:textId="6BB1710E" w:rsidR="00D21DED" w:rsidRPr="00D21DED" w:rsidRDefault="00D21DED">
      <w:pPr>
        <w:pStyle w:val="FootnoteText"/>
        <w:rPr>
          <w:lang w:val="en-GB"/>
        </w:rPr>
      </w:pPr>
      <w:r>
        <w:rPr>
          <w:rStyle w:val="FootnoteReference"/>
        </w:rPr>
        <w:footnoteRef/>
      </w:r>
      <w:r w:rsidR="003810D3">
        <w:t xml:space="preserve"> </w:t>
      </w:r>
      <w:r w:rsidR="003810D3" w:rsidRPr="003810D3">
        <w:t>transport boat with a portable cabin</w:t>
      </w:r>
    </w:p>
  </w:footnote>
  <w:footnote w:id="29">
    <w:p w14:paraId="48FCF59C" w14:textId="3E93A9DB" w:rsidR="00D21DED" w:rsidRPr="00D21DED" w:rsidRDefault="00D21DED">
      <w:pPr>
        <w:pStyle w:val="FootnoteText"/>
        <w:rPr>
          <w:lang w:val="en-GB"/>
        </w:rPr>
      </w:pPr>
      <w:r>
        <w:rPr>
          <w:rStyle w:val="FootnoteReference"/>
        </w:rPr>
        <w:footnoteRef/>
      </w:r>
      <w:r w:rsidR="0009463D">
        <w:t xml:space="preserve"> Ra</w:t>
      </w:r>
      <w:r w:rsidR="00352D2F">
        <w:t>: T</w:t>
      </w:r>
      <w:r w:rsidR="0009463D">
        <w:t xml:space="preserve">he </w:t>
      </w:r>
      <w:r w:rsidR="00352D2F">
        <w:t>S</w:t>
      </w:r>
      <w:bookmarkStart w:id="0" w:name="_GoBack"/>
      <w:bookmarkEnd w:id="0"/>
      <w:r w:rsidR="0009463D">
        <w:t>un God of Egypt</w:t>
      </w:r>
    </w:p>
  </w:footnote>
  <w:footnote w:id="30">
    <w:p w14:paraId="24B0E72B" w14:textId="39F7BA8E" w:rsidR="00D21DED" w:rsidRPr="00D21DED" w:rsidRDefault="00D21DED">
      <w:pPr>
        <w:pStyle w:val="FootnoteText"/>
        <w:rPr>
          <w:lang w:val="en-GB"/>
        </w:rPr>
      </w:pPr>
      <w:r>
        <w:rPr>
          <w:rStyle w:val="FootnoteReference"/>
        </w:rPr>
        <w:footnoteRef/>
      </w:r>
      <w:r>
        <w:t xml:space="preserve"> </w:t>
      </w:r>
      <w:r w:rsidR="003810D3">
        <w:t xml:space="preserve">Oxford </w:t>
      </w:r>
      <w:r>
        <w:rPr>
          <w:lang w:val="en-GB"/>
        </w:rPr>
        <w:t>Dictionary</w:t>
      </w:r>
      <w:r w:rsidR="003810D3">
        <w:rPr>
          <w:lang w:val="en-GB"/>
        </w:rPr>
        <w:t>. 2011.</w:t>
      </w:r>
    </w:p>
  </w:footnote>
  <w:footnote w:id="31">
    <w:p w14:paraId="25FAA7EA" w14:textId="14811C1C" w:rsidR="00D21DED" w:rsidRPr="00D21DED" w:rsidRDefault="00D21DED">
      <w:pPr>
        <w:pStyle w:val="FootnoteText"/>
        <w:rPr>
          <w:lang w:val="en-GB"/>
        </w:rPr>
      </w:pPr>
      <w:r>
        <w:rPr>
          <w:rStyle w:val="FootnoteReference"/>
        </w:rPr>
        <w:footnoteRef/>
      </w:r>
      <w:r>
        <w:t xml:space="preserve"> </w:t>
      </w:r>
      <w:r>
        <w:rPr>
          <w:lang w:val="en-GB"/>
        </w:rPr>
        <w:t>Allison, P.2002</w:t>
      </w:r>
    </w:p>
  </w:footnote>
  <w:footnote w:id="32">
    <w:p w14:paraId="405D89F8" w14:textId="721DA016" w:rsidR="00D21DED" w:rsidRPr="00D21DED" w:rsidRDefault="00D21DED">
      <w:pPr>
        <w:pStyle w:val="FootnoteText"/>
        <w:rPr>
          <w:lang w:val="en-GB"/>
        </w:rPr>
      </w:pPr>
      <w:r>
        <w:rPr>
          <w:rStyle w:val="FootnoteReference"/>
        </w:rPr>
        <w:footnoteRef/>
      </w:r>
      <w:r>
        <w:t xml:space="preserve"> </w:t>
      </w:r>
      <w:r>
        <w:rPr>
          <w:lang w:val="en-GB"/>
        </w:rPr>
        <w:t>British Museum Collection</w:t>
      </w:r>
    </w:p>
  </w:footnote>
  <w:footnote w:id="33">
    <w:p w14:paraId="4BEAB375" w14:textId="3510A517" w:rsidR="00D21DED" w:rsidRPr="00D21DED" w:rsidRDefault="00D21DED">
      <w:pPr>
        <w:pStyle w:val="FootnoteText"/>
        <w:rPr>
          <w:lang w:val="en-GB"/>
        </w:rPr>
      </w:pPr>
      <w:r>
        <w:rPr>
          <w:rStyle w:val="FootnoteReference"/>
        </w:rPr>
        <w:footnoteRef/>
      </w:r>
      <w:r>
        <w:t xml:space="preserve"> </w:t>
      </w:r>
      <w:r>
        <w:rPr>
          <w:lang w:val="en-GB"/>
        </w:rPr>
        <w:t xml:space="preserve">British Museum collection- </w:t>
      </w:r>
      <w:proofErr w:type="spellStart"/>
      <w:r>
        <w:rPr>
          <w:lang w:val="en-GB"/>
        </w:rPr>
        <w:t>Djehutyhotep’s</w:t>
      </w:r>
      <w:proofErr w:type="spellEnd"/>
      <w:r>
        <w:rPr>
          <w:lang w:val="en-GB"/>
        </w:rPr>
        <w:t xml:space="preserve"> sister tomb-Relief</w:t>
      </w:r>
    </w:p>
  </w:footnote>
  <w:footnote w:id="34">
    <w:p w14:paraId="5A473634" w14:textId="316256E7" w:rsidR="00D21DED" w:rsidRPr="00D21DED" w:rsidRDefault="00D21DED">
      <w:pPr>
        <w:pStyle w:val="FootnoteText"/>
        <w:rPr>
          <w:lang w:val="en-GB"/>
        </w:rPr>
      </w:pPr>
      <w:r>
        <w:rPr>
          <w:rStyle w:val="FootnoteReference"/>
        </w:rPr>
        <w:footnoteRef/>
      </w:r>
      <w:r>
        <w:t xml:space="preserve"> </w:t>
      </w:r>
      <w:r>
        <w:rPr>
          <w:lang w:val="en-GB"/>
        </w:rPr>
        <w:t>Allison, P. 2002.</w:t>
      </w:r>
    </w:p>
  </w:footnote>
  <w:footnote w:id="35">
    <w:p w14:paraId="0DD28BF9" w14:textId="49646AB6" w:rsidR="006C09F3" w:rsidRPr="006C09F3" w:rsidRDefault="006C09F3">
      <w:pPr>
        <w:pStyle w:val="FootnoteText"/>
        <w:rPr>
          <w:lang w:val="en-GB"/>
        </w:rPr>
      </w:pPr>
      <w:r>
        <w:rPr>
          <w:rStyle w:val="FootnoteReference"/>
        </w:rPr>
        <w:footnoteRef/>
      </w:r>
      <w:r>
        <w:t xml:space="preserve"> </w:t>
      </w:r>
      <w:proofErr w:type="spellStart"/>
      <w:r>
        <w:rPr>
          <w:lang w:val="en-GB"/>
        </w:rPr>
        <w:t>Preucel</w:t>
      </w:r>
      <w:proofErr w:type="spellEnd"/>
      <w:r>
        <w:rPr>
          <w:lang w:val="en-GB"/>
        </w:rPr>
        <w:t>, R. 2010.</w:t>
      </w:r>
    </w:p>
  </w:footnote>
  <w:footnote w:id="36">
    <w:p w14:paraId="3F4F405F" w14:textId="4AA30D6A" w:rsidR="006C09F3" w:rsidRPr="006C09F3" w:rsidRDefault="006C09F3">
      <w:pPr>
        <w:pStyle w:val="FootnoteText"/>
        <w:rPr>
          <w:lang w:val="en-GB"/>
        </w:rPr>
      </w:pPr>
      <w:r>
        <w:rPr>
          <w:rStyle w:val="FootnoteReference"/>
        </w:rPr>
        <w:footnoteRef/>
      </w:r>
      <w:r>
        <w:t xml:space="preserve"> </w:t>
      </w:r>
      <w:r>
        <w:rPr>
          <w:lang w:val="en-GB"/>
        </w:rPr>
        <w:t>Andrews, C. 1994.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091DFA"/>
    <w:multiLevelType w:val="hybridMultilevel"/>
    <w:tmpl w:val="8B6044B0"/>
    <w:lvl w:ilvl="0" w:tplc="91F013C4">
      <w:start w:val="1"/>
      <w:numFmt w:val="bullet"/>
      <w:lvlText w:val=""/>
      <w:lvlJc w:val="left"/>
      <w:pPr>
        <w:ind w:left="720" w:hanging="360"/>
      </w:pPr>
      <w:rPr>
        <w:rFonts w:ascii="Symbol" w:hAnsi="Symbol" w:hint="default"/>
      </w:rPr>
    </w:lvl>
    <w:lvl w:ilvl="1" w:tplc="B4AE25EA">
      <w:start w:val="1"/>
      <w:numFmt w:val="bullet"/>
      <w:lvlText w:val="o"/>
      <w:lvlJc w:val="left"/>
      <w:pPr>
        <w:ind w:left="1440" w:hanging="360"/>
      </w:pPr>
      <w:rPr>
        <w:rFonts w:ascii="Courier New" w:hAnsi="Courier New" w:hint="default"/>
      </w:rPr>
    </w:lvl>
    <w:lvl w:ilvl="2" w:tplc="E77C27DE">
      <w:start w:val="1"/>
      <w:numFmt w:val="bullet"/>
      <w:lvlText w:val=""/>
      <w:lvlJc w:val="left"/>
      <w:pPr>
        <w:ind w:left="2160" w:hanging="360"/>
      </w:pPr>
      <w:rPr>
        <w:rFonts w:ascii="Wingdings" w:hAnsi="Wingdings" w:hint="default"/>
      </w:rPr>
    </w:lvl>
    <w:lvl w:ilvl="3" w:tplc="E86ACC08">
      <w:start w:val="1"/>
      <w:numFmt w:val="bullet"/>
      <w:lvlText w:val=""/>
      <w:lvlJc w:val="left"/>
      <w:pPr>
        <w:ind w:left="2880" w:hanging="360"/>
      </w:pPr>
      <w:rPr>
        <w:rFonts w:ascii="Symbol" w:hAnsi="Symbol" w:hint="default"/>
      </w:rPr>
    </w:lvl>
    <w:lvl w:ilvl="4" w:tplc="E710016E">
      <w:start w:val="1"/>
      <w:numFmt w:val="bullet"/>
      <w:lvlText w:val="o"/>
      <w:lvlJc w:val="left"/>
      <w:pPr>
        <w:ind w:left="3600" w:hanging="360"/>
      </w:pPr>
      <w:rPr>
        <w:rFonts w:ascii="Courier New" w:hAnsi="Courier New" w:hint="default"/>
      </w:rPr>
    </w:lvl>
    <w:lvl w:ilvl="5" w:tplc="2CF2C350">
      <w:start w:val="1"/>
      <w:numFmt w:val="bullet"/>
      <w:lvlText w:val=""/>
      <w:lvlJc w:val="left"/>
      <w:pPr>
        <w:ind w:left="4320" w:hanging="360"/>
      </w:pPr>
      <w:rPr>
        <w:rFonts w:ascii="Wingdings" w:hAnsi="Wingdings" w:hint="default"/>
      </w:rPr>
    </w:lvl>
    <w:lvl w:ilvl="6" w:tplc="526C61F0">
      <w:start w:val="1"/>
      <w:numFmt w:val="bullet"/>
      <w:lvlText w:val=""/>
      <w:lvlJc w:val="left"/>
      <w:pPr>
        <w:ind w:left="5040" w:hanging="360"/>
      </w:pPr>
      <w:rPr>
        <w:rFonts w:ascii="Symbol" w:hAnsi="Symbol" w:hint="default"/>
      </w:rPr>
    </w:lvl>
    <w:lvl w:ilvl="7" w:tplc="A8287BE0">
      <w:start w:val="1"/>
      <w:numFmt w:val="bullet"/>
      <w:lvlText w:val="o"/>
      <w:lvlJc w:val="left"/>
      <w:pPr>
        <w:ind w:left="5760" w:hanging="360"/>
      </w:pPr>
      <w:rPr>
        <w:rFonts w:ascii="Courier New" w:hAnsi="Courier New" w:hint="default"/>
      </w:rPr>
    </w:lvl>
    <w:lvl w:ilvl="8" w:tplc="C5BC6838">
      <w:start w:val="1"/>
      <w:numFmt w:val="bullet"/>
      <w:lvlText w:val=""/>
      <w:lvlJc w:val="left"/>
      <w:pPr>
        <w:ind w:left="6480" w:hanging="360"/>
      </w:pPr>
      <w:rPr>
        <w:rFonts w:ascii="Wingdings" w:hAnsi="Wingdings" w:hint="default"/>
      </w:rPr>
    </w:lvl>
  </w:abstractNum>
  <w:abstractNum w:abstractNumId="1" w15:restartNumberingAfterBreak="0">
    <w:nsid w:val="44E01220"/>
    <w:multiLevelType w:val="hybridMultilevel"/>
    <w:tmpl w:val="FF9A4A8E"/>
    <w:lvl w:ilvl="0" w:tplc="95CE75CC">
      <w:start w:val="1"/>
      <w:numFmt w:val="decimal"/>
      <w:lvlText w:val="%1."/>
      <w:lvlJc w:val="left"/>
      <w:pPr>
        <w:ind w:left="720" w:hanging="360"/>
      </w:pPr>
    </w:lvl>
    <w:lvl w:ilvl="1" w:tplc="A5C8627A">
      <w:start w:val="1"/>
      <w:numFmt w:val="lowerLetter"/>
      <w:lvlText w:val="%2."/>
      <w:lvlJc w:val="left"/>
      <w:pPr>
        <w:ind w:left="1440" w:hanging="360"/>
      </w:pPr>
    </w:lvl>
    <w:lvl w:ilvl="2" w:tplc="421CB2D2">
      <w:start w:val="1"/>
      <w:numFmt w:val="lowerRoman"/>
      <w:lvlText w:val="%3."/>
      <w:lvlJc w:val="right"/>
      <w:pPr>
        <w:ind w:left="2160" w:hanging="180"/>
      </w:pPr>
    </w:lvl>
    <w:lvl w:ilvl="3" w:tplc="C302BFAE">
      <w:start w:val="1"/>
      <w:numFmt w:val="decimal"/>
      <w:lvlText w:val="%4."/>
      <w:lvlJc w:val="left"/>
      <w:pPr>
        <w:ind w:left="2880" w:hanging="360"/>
      </w:pPr>
    </w:lvl>
    <w:lvl w:ilvl="4" w:tplc="F264719E">
      <w:start w:val="1"/>
      <w:numFmt w:val="decimal"/>
      <w:lvlText w:val="%5."/>
      <w:lvlJc w:val="left"/>
      <w:pPr>
        <w:ind w:left="3600" w:hanging="360"/>
      </w:pPr>
    </w:lvl>
    <w:lvl w:ilvl="5" w:tplc="1846BF34">
      <w:start w:val="1"/>
      <w:numFmt w:val="lowerRoman"/>
      <w:lvlText w:val="%6."/>
      <w:lvlJc w:val="right"/>
      <w:pPr>
        <w:ind w:left="4320" w:hanging="180"/>
      </w:pPr>
    </w:lvl>
    <w:lvl w:ilvl="6" w:tplc="BF28F99C">
      <w:start w:val="1"/>
      <w:numFmt w:val="decimal"/>
      <w:lvlText w:val="%7."/>
      <w:lvlJc w:val="left"/>
      <w:pPr>
        <w:ind w:left="5040" w:hanging="360"/>
      </w:pPr>
    </w:lvl>
    <w:lvl w:ilvl="7" w:tplc="59FA5046">
      <w:start w:val="1"/>
      <w:numFmt w:val="lowerLetter"/>
      <w:lvlText w:val="%8."/>
      <w:lvlJc w:val="left"/>
      <w:pPr>
        <w:ind w:left="5760" w:hanging="360"/>
      </w:pPr>
    </w:lvl>
    <w:lvl w:ilvl="8" w:tplc="F46EA338">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E34FF8"/>
    <w:rsid w:val="0000451A"/>
    <w:rsid w:val="0009463D"/>
    <w:rsid w:val="000A1C38"/>
    <w:rsid w:val="000B0DA2"/>
    <w:rsid w:val="00177CD2"/>
    <w:rsid w:val="001B53A9"/>
    <w:rsid w:val="001C27D6"/>
    <w:rsid w:val="00204778"/>
    <w:rsid w:val="00241D64"/>
    <w:rsid w:val="00352D2F"/>
    <w:rsid w:val="003810D3"/>
    <w:rsid w:val="00393A3E"/>
    <w:rsid w:val="003E74F1"/>
    <w:rsid w:val="0041637D"/>
    <w:rsid w:val="004E18C3"/>
    <w:rsid w:val="005463B3"/>
    <w:rsid w:val="00625DBE"/>
    <w:rsid w:val="006A0D06"/>
    <w:rsid w:val="006C09F3"/>
    <w:rsid w:val="006F769D"/>
    <w:rsid w:val="007545E7"/>
    <w:rsid w:val="00841430"/>
    <w:rsid w:val="00890EC7"/>
    <w:rsid w:val="008A1C41"/>
    <w:rsid w:val="008B55EC"/>
    <w:rsid w:val="00937695"/>
    <w:rsid w:val="00B142E2"/>
    <w:rsid w:val="00BB1B76"/>
    <w:rsid w:val="00C515A2"/>
    <w:rsid w:val="00CF1833"/>
    <w:rsid w:val="00D0431D"/>
    <w:rsid w:val="00D06B17"/>
    <w:rsid w:val="00D21DED"/>
    <w:rsid w:val="00D427F0"/>
    <w:rsid w:val="00D92369"/>
    <w:rsid w:val="00DA5B7A"/>
    <w:rsid w:val="00E2625B"/>
    <w:rsid w:val="00E81E22"/>
    <w:rsid w:val="00ED55BF"/>
    <w:rsid w:val="00F2337D"/>
    <w:rsid w:val="00F87FD3"/>
    <w:rsid w:val="00FA09B6"/>
    <w:rsid w:val="00FC7CB9"/>
    <w:rsid w:val="0FF45285"/>
    <w:rsid w:val="595CB810"/>
    <w:rsid w:val="73E34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E34FF8"/>
  <w15:chartTrackingRefBased/>
  <w15:docId w15:val="{C877AC70-4268-4A3E-AD0A-B2AA8B9C9A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BalloonText">
    <w:name w:val="Balloon Text"/>
    <w:basedOn w:val="Normal"/>
    <w:link w:val="BalloonTextChar"/>
    <w:uiPriority w:val="99"/>
    <w:semiHidden/>
    <w:unhideWhenUsed/>
    <w:rsid w:val="00FC7C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7CB9"/>
    <w:rPr>
      <w:rFonts w:ascii="Segoe UI" w:hAnsi="Segoe UI" w:cs="Segoe UI"/>
      <w:sz w:val="18"/>
      <w:szCs w:val="18"/>
    </w:rPr>
  </w:style>
  <w:style w:type="paragraph" w:styleId="FootnoteText">
    <w:name w:val="footnote text"/>
    <w:basedOn w:val="Normal"/>
    <w:link w:val="FootnoteTextChar"/>
    <w:uiPriority w:val="99"/>
    <w:semiHidden/>
    <w:unhideWhenUsed/>
    <w:rsid w:val="00FC7CB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C7CB9"/>
    <w:rPr>
      <w:sz w:val="20"/>
      <w:szCs w:val="20"/>
    </w:rPr>
  </w:style>
  <w:style w:type="character" w:styleId="FootnoteReference">
    <w:name w:val="footnote reference"/>
    <w:basedOn w:val="DefaultParagraphFont"/>
    <w:uiPriority w:val="99"/>
    <w:semiHidden/>
    <w:unhideWhenUsed/>
    <w:rsid w:val="00FC7CB9"/>
    <w:rPr>
      <w:vertAlign w:val="superscript"/>
    </w:rPr>
  </w:style>
  <w:style w:type="character" w:styleId="UnresolvedMention">
    <w:name w:val="Unresolved Mention"/>
    <w:basedOn w:val="DefaultParagraphFont"/>
    <w:uiPriority w:val="99"/>
    <w:semiHidden/>
    <w:unhideWhenUsed/>
    <w:rsid w:val="00E2625B"/>
    <w:rPr>
      <w:color w:val="605E5C"/>
      <w:shd w:val="clear" w:color="auto" w:fill="E1DFDD"/>
    </w:rPr>
  </w:style>
  <w:style w:type="character" w:styleId="FollowedHyperlink">
    <w:name w:val="FollowedHyperlink"/>
    <w:basedOn w:val="DefaultParagraphFont"/>
    <w:uiPriority w:val="99"/>
    <w:semiHidden/>
    <w:unhideWhenUsed/>
    <w:rsid w:val="00BB1B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643697">
      <w:bodyDiv w:val="1"/>
      <w:marLeft w:val="0"/>
      <w:marRight w:val="0"/>
      <w:marTop w:val="0"/>
      <w:marBottom w:val="0"/>
      <w:divBdr>
        <w:top w:val="none" w:sz="0" w:space="0" w:color="auto"/>
        <w:left w:val="none" w:sz="0" w:space="0" w:color="auto"/>
        <w:bottom w:val="none" w:sz="0" w:space="0" w:color="auto"/>
        <w:right w:val="none" w:sz="0" w:space="0" w:color="auto"/>
      </w:divBdr>
    </w:div>
    <w:div w:id="209464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s://www.britishmuseum.org/research/collection_online/collection_object_details.aspx?objectId=170415&amp;partId=1&amp;searchText=Middle+Kingdom+Egypt&amp;images=true&amp;page=1" TargetMode="External"/><Relationship Id="rId26" Type="http://schemas.openxmlformats.org/officeDocument/2006/relationships/hyperlink" Target="https://www.youtube.com/watch?v=4ryH5_PHI8g&amp;t=196s" TargetMode="External"/><Relationship Id="rId3" Type="http://schemas.openxmlformats.org/officeDocument/2006/relationships/styles" Target="styles.xml"/><Relationship Id="rId21" Type="http://schemas.openxmlformats.org/officeDocument/2006/relationships/hyperlink" Target="https://www.britishmuseum.org/research/collection_online/collection_object_details.aspx?objectId=119643&amp;partId=1"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britishmuseum.org/research/collection_online/collection_object_details.aspx?objectId=170417&amp;partId=1&amp;searchText=Middle+Kingdom+Egypt&amp;images=true&amp;page=3" TargetMode="External"/><Relationship Id="rId25" Type="http://schemas.openxmlformats.org/officeDocument/2006/relationships/hyperlink" Target="https://www.britishmuseum.org/research/collection_online/collection_object_details.aspx?objectId=170415&amp;partId=1&amp;searchText=Middle+Kingdom+Egypt&amp;images=true&amp;page=1"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etmuseum.org/toah/works-of-art/07.230.2/" TargetMode="External"/><Relationship Id="rId20" Type="http://schemas.openxmlformats.org/officeDocument/2006/relationships/hyperlink" Target="https://www.metmuseum.org/toah/works-of-art/17.9.1/" TargetMode="External"/><Relationship Id="rId29" Type="http://schemas.openxmlformats.org/officeDocument/2006/relationships/hyperlink" Target="https://www.metmuseum.org/toah/works-of-art/07.230.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britishmuseum.org/research/collection_online/collection_object_details.aspx?objectId=170417&amp;partId=1&amp;searchText=Middle+Kingdom+Egypt&amp;images=true&amp;page=3"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books.google.co.uk/books?id=Vj7A9jJrZP0C&amp;pg=PA39&amp;dq=lapis+lazuli+egyptian+trade&amp;hl=en&amp;sa=X&amp;ved=0ahUKEwjQsMHQ3vjgAhWuRBUIHT-7BVQQ6AEILzAB#v=onepage&amp;q=lapis%20lazuli%20egyptian%20trade&amp;f=true" TargetMode="External"/><Relationship Id="rId28" Type="http://schemas.openxmlformats.org/officeDocument/2006/relationships/hyperlink" Target="https://books.google.co.uk/books?id=EU74cB7kMMsC&amp;printsec=frontcover&amp;dq=gage+colour+and+culture&amp;hl=en&amp;sa=X&amp;ved=0ahUKEwjG8_rv_vfgAhUEShUIHWmuClAQ6wEIOzAD" TargetMode="External"/><Relationship Id="rId10" Type="http://schemas.openxmlformats.org/officeDocument/2006/relationships/hyperlink" Target="https://www.britishmuseum.org/research/collection_online/collection_object_details.aspx?objectId=170417&amp;partId=1&amp;searchText=Middle+Kingdom+Egypt&amp;images=true&amp;page=3" TargetMode="External"/><Relationship Id="rId19" Type="http://schemas.openxmlformats.org/officeDocument/2006/relationships/hyperlink" Target="https://www-bridgemaneducation-com.ezproxy.uwtsd.ac.uk/en/asset/711117/summary?context=%7B%22route%22%3A%22assets_search%22%2C%22routeParameters%22%3A%7B%22_format%22%3A%22html%22%2C%22_locale%22%3A%22en%22%2C%22filter_text%22%3A%22Middle+Kingdom%22%7D%7D" TargetMode="External"/><Relationship Id="rId31" Type="http://schemas.openxmlformats.org/officeDocument/2006/relationships/hyperlink" Target="https://www.metmuseum.org/toah/hd/mking/hd_mking.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hyperlink" Target="https://www.ancient-egypt-online.com/egyptian-god-ra.html" TargetMode="External"/><Relationship Id="rId27" Type="http://schemas.openxmlformats.org/officeDocument/2006/relationships/hyperlink" Target="https://books.google.co.uk/books?id=oq_GtjmoTNgC&amp;printsec=frontcover&amp;source=gbs_ge_summary_r&amp;cad=0" TargetMode="External"/><Relationship Id="rId30" Type="http://schemas.openxmlformats.org/officeDocument/2006/relationships/hyperlink" Target="https://www.metmuseum.org/art/collection/search/5482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F3D116-9281-4EFA-AE1A-32D17B67F5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13</Pages>
  <Words>4156</Words>
  <Characters>23693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Lorna Kelly (1700914)</dc:creator>
  <cp:keywords/>
  <dc:description/>
  <cp:lastModifiedBy>Lorna Kelly</cp:lastModifiedBy>
  <cp:revision>38</cp:revision>
  <dcterms:created xsi:type="dcterms:W3CDTF">2019-03-10T23:00:00Z</dcterms:created>
  <dcterms:modified xsi:type="dcterms:W3CDTF">2019-03-10T23:51:00Z</dcterms:modified>
</cp:coreProperties>
</file>