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81F989" w14:textId="7C875B38" w:rsidR="00CD2DC9" w:rsidRPr="009A119E" w:rsidRDefault="00CD2DC9" w:rsidP="00CD2DC9">
      <w:pPr>
        <w:jc w:val="center"/>
        <w:rPr>
          <w:rStyle w:val="Strong"/>
          <w:b w:val="0"/>
          <w:bCs w:val="0"/>
          <w:lang w:val="en-GB"/>
        </w:rPr>
      </w:pPr>
      <w:bookmarkStart w:id="0" w:name="_Hlk223110591"/>
      <w:bookmarkEnd w:id="0"/>
      <w:r w:rsidRPr="009A119E">
        <w:rPr>
          <w:noProof/>
          <w:lang w:val="en-GB"/>
        </w:rPr>
        <w:drawing>
          <wp:inline distT="0" distB="0" distL="0" distR="0" wp14:anchorId="6FC38155" wp14:editId="04691783">
            <wp:extent cx="2275764" cy="910962"/>
            <wp:effectExtent l="0" t="0" r="0" b="381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21878" cy="969450"/>
                    </a:xfrm>
                    <a:prstGeom prst="rect">
                      <a:avLst/>
                    </a:prstGeom>
                    <a:noFill/>
                    <a:ln>
                      <a:noFill/>
                    </a:ln>
                  </pic:spPr>
                </pic:pic>
              </a:graphicData>
            </a:graphic>
          </wp:inline>
        </w:drawing>
      </w:r>
      <w:r w:rsidRPr="009A119E">
        <w:rPr>
          <w:lang w:val="en-GB"/>
        </w:rPr>
        <w:fldChar w:fldCharType="begin"/>
      </w:r>
      <w:r w:rsidRPr="009A119E">
        <w:rPr>
          <w:lang w:val="en-GB"/>
        </w:rPr>
        <w:instrText xml:space="preserve"> INCLUDEPICTURE "/Users/biancasanfilippo/Library/Group Containers/UBF8T346G9.ms/WebArchiveCopyPasteTempFiles/com.microsoft.Word/UWTSD-Logo.jpg" \* MERGEFORMATINET </w:instrText>
      </w:r>
      <w:r w:rsidRPr="009A119E">
        <w:rPr>
          <w:lang w:val="en-GB"/>
        </w:rPr>
        <w:fldChar w:fldCharType="separate"/>
      </w:r>
      <w:r w:rsidRPr="009A119E">
        <w:rPr>
          <w:lang w:val="en-GB"/>
        </w:rPr>
        <w:fldChar w:fldCharType="end"/>
      </w:r>
    </w:p>
    <w:p w14:paraId="6EA79D25" w14:textId="587033EF" w:rsidR="00CD2DC9" w:rsidRPr="009A119E" w:rsidRDefault="00CD2DC9" w:rsidP="00CD2DC9">
      <w:pPr>
        <w:jc w:val="center"/>
        <w:rPr>
          <w:rStyle w:val="Strong"/>
          <w:rFonts w:cs="Arial"/>
          <w:color w:val="1D2125"/>
          <w:sz w:val="36"/>
          <w:szCs w:val="36"/>
          <w:lang w:val="en-GB"/>
        </w:rPr>
      </w:pPr>
      <w:r w:rsidRPr="009A119E">
        <w:rPr>
          <w:rStyle w:val="Strong"/>
          <w:rFonts w:cs="Arial"/>
          <w:color w:val="1D2125"/>
          <w:sz w:val="36"/>
          <w:szCs w:val="36"/>
          <w:lang w:val="en-GB"/>
        </w:rPr>
        <w:t>BMHP6029-Psychopathological Classifications and Provisions</w:t>
      </w:r>
    </w:p>
    <w:p w14:paraId="26D108AB" w14:textId="15ED256B" w:rsidR="00CD2DC9" w:rsidRDefault="00CD2DC9" w:rsidP="00351C5B">
      <w:pPr>
        <w:jc w:val="center"/>
        <w:rPr>
          <w:rStyle w:val="Strong"/>
          <w:rFonts w:cs="Arial"/>
          <w:b w:val="0"/>
          <w:bCs w:val="0"/>
          <w:color w:val="1D2125"/>
          <w:sz w:val="32"/>
          <w:szCs w:val="32"/>
          <w:lang w:val="en-GB"/>
        </w:rPr>
      </w:pPr>
      <w:r w:rsidRPr="009A119E">
        <w:rPr>
          <w:rFonts w:cs="Arial"/>
          <w:b/>
          <w:bCs/>
          <w:color w:val="000000"/>
          <w:sz w:val="32"/>
          <w:szCs w:val="32"/>
          <w:lang w:val="en-GB"/>
        </w:rPr>
        <w:t>Component 2: Written Assignment (Report)</w:t>
      </w:r>
    </w:p>
    <w:p w14:paraId="22EF133A" w14:textId="28C99AAB" w:rsidR="00351C5B" w:rsidRPr="00351C5B" w:rsidRDefault="00351C5B" w:rsidP="00351C5B">
      <w:pPr>
        <w:jc w:val="center"/>
        <w:rPr>
          <w:rStyle w:val="Strong"/>
          <w:rFonts w:cs="Arial"/>
          <w:b w:val="0"/>
          <w:bCs w:val="0"/>
          <w:color w:val="1D2125"/>
          <w:sz w:val="32"/>
          <w:szCs w:val="32"/>
          <w:lang w:val="en-GB"/>
        </w:rPr>
      </w:pPr>
    </w:p>
    <w:p w14:paraId="40D61711" w14:textId="77777777" w:rsidR="00351C5B" w:rsidRPr="00351C5B" w:rsidRDefault="00351C5B" w:rsidP="00351C5B">
      <w:pPr>
        <w:spacing w:before="0" w:beforeAutospacing="0" w:after="160" w:afterAutospacing="0"/>
        <w:jc w:val="left"/>
        <w:rPr>
          <w:rFonts w:eastAsia="Aptos" w:cs="Arial"/>
          <w:b/>
          <w:bCs/>
          <w:color w:val="1D2125"/>
          <w:kern w:val="2"/>
          <w:sz w:val="32"/>
          <w:szCs w:val="32"/>
          <w:lang w:val="en-GB"/>
        </w:rPr>
      </w:pPr>
      <w:r w:rsidRPr="00351C5B">
        <w:rPr>
          <w:rFonts w:eastAsia="Aptos" w:cs="Arial"/>
          <w:b/>
          <w:bCs/>
          <w:color w:val="1D2125"/>
          <w:kern w:val="2"/>
          <w:sz w:val="32"/>
          <w:szCs w:val="32"/>
          <w:lang w:val="en-GB"/>
        </w:rPr>
        <w:t>Student name: Abdulai Kamara</w:t>
      </w:r>
    </w:p>
    <w:p w14:paraId="703FCB34" w14:textId="77777777" w:rsidR="00351C5B" w:rsidRPr="00351C5B" w:rsidRDefault="00351C5B" w:rsidP="00351C5B">
      <w:pPr>
        <w:spacing w:before="0" w:beforeAutospacing="0" w:after="160" w:afterAutospacing="0"/>
        <w:jc w:val="left"/>
        <w:rPr>
          <w:rFonts w:eastAsia="Aptos" w:cs="Arial"/>
          <w:b/>
          <w:bCs/>
          <w:color w:val="1D2125"/>
          <w:kern w:val="2"/>
          <w:sz w:val="32"/>
          <w:szCs w:val="32"/>
          <w:lang w:val="en-GB"/>
        </w:rPr>
      </w:pPr>
      <w:r w:rsidRPr="00351C5B">
        <w:rPr>
          <w:rFonts w:eastAsia="Aptos" w:cs="Arial"/>
          <w:b/>
          <w:bCs/>
          <w:color w:val="1D2125"/>
          <w:kern w:val="2"/>
          <w:sz w:val="32"/>
          <w:szCs w:val="32"/>
          <w:lang w:val="en-GB"/>
        </w:rPr>
        <w:t>Student number: 2328050</w:t>
      </w:r>
    </w:p>
    <w:p w14:paraId="5A637689" w14:textId="010CDAF9" w:rsidR="00351C5B" w:rsidRPr="00351C5B" w:rsidRDefault="00351C5B" w:rsidP="00351C5B">
      <w:pPr>
        <w:spacing w:before="0" w:beforeAutospacing="0" w:after="160" w:afterAutospacing="0"/>
        <w:jc w:val="left"/>
        <w:rPr>
          <w:rFonts w:eastAsia="Aptos" w:cs="Arial"/>
          <w:b/>
          <w:bCs/>
          <w:color w:val="1D2125"/>
          <w:kern w:val="2"/>
          <w:sz w:val="32"/>
          <w:szCs w:val="32"/>
          <w:lang w:val="en-GB"/>
        </w:rPr>
      </w:pPr>
      <w:r w:rsidRPr="00351C5B">
        <w:rPr>
          <w:rFonts w:eastAsia="Aptos" w:cs="Arial"/>
          <w:b/>
          <w:bCs/>
          <w:color w:val="1D2125"/>
          <w:kern w:val="2"/>
          <w:sz w:val="32"/>
          <w:szCs w:val="32"/>
          <w:lang w:val="en-GB"/>
        </w:rPr>
        <w:t xml:space="preserve">Lecturer’s Name: </w:t>
      </w:r>
      <w:r>
        <w:rPr>
          <w:rFonts w:eastAsia="Aptos" w:cs="Arial"/>
          <w:b/>
          <w:bCs/>
          <w:color w:val="1D2125"/>
          <w:kern w:val="2"/>
          <w:sz w:val="32"/>
          <w:szCs w:val="32"/>
          <w:lang w:val="en-GB"/>
        </w:rPr>
        <w:t>Bianca Sanfilippo</w:t>
      </w:r>
    </w:p>
    <w:p w14:paraId="722ED74A" w14:textId="77777777" w:rsidR="00CD2DC9" w:rsidRPr="009A119E" w:rsidRDefault="00CD2DC9" w:rsidP="00CD2DC9">
      <w:pPr>
        <w:rPr>
          <w:rStyle w:val="Strong"/>
          <w:rFonts w:cs="Arial"/>
          <w:color w:val="1D2125"/>
          <w:sz w:val="32"/>
          <w:szCs w:val="32"/>
          <w:lang w:val="en-GB"/>
        </w:rPr>
      </w:pPr>
    </w:p>
    <w:p w14:paraId="26E813EA" w14:textId="77777777" w:rsidR="00CD2DC9" w:rsidRPr="009A119E" w:rsidRDefault="00CD2DC9" w:rsidP="00CD2DC9">
      <w:pPr>
        <w:rPr>
          <w:rStyle w:val="Strong"/>
          <w:rFonts w:cs="Arial"/>
          <w:color w:val="1D2125"/>
          <w:sz w:val="32"/>
          <w:szCs w:val="32"/>
          <w:lang w:val="en-GB"/>
        </w:rPr>
      </w:pPr>
    </w:p>
    <w:p w14:paraId="277564AB" w14:textId="77777777" w:rsidR="00CD2DC9" w:rsidRPr="009A119E" w:rsidRDefault="00CD2DC9" w:rsidP="00CD2DC9">
      <w:pPr>
        <w:rPr>
          <w:rStyle w:val="Strong"/>
          <w:rFonts w:cs="Arial"/>
          <w:color w:val="1D2125"/>
          <w:sz w:val="32"/>
          <w:szCs w:val="32"/>
          <w:lang w:val="en-GB"/>
        </w:rPr>
      </w:pPr>
    </w:p>
    <w:p w14:paraId="6FDF0B03" w14:textId="77777777" w:rsidR="00CD2DC9" w:rsidRPr="009A119E" w:rsidRDefault="00CD2DC9" w:rsidP="00CD2DC9">
      <w:pPr>
        <w:rPr>
          <w:rStyle w:val="Strong"/>
          <w:rFonts w:cs="Arial"/>
          <w:color w:val="1D2125"/>
          <w:sz w:val="32"/>
          <w:szCs w:val="32"/>
          <w:lang w:val="en-GB"/>
        </w:rPr>
      </w:pPr>
    </w:p>
    <w:p w14:paraId="212F3CE5" w14:textId="77777777" w:rsidR="00CD2DC9" w:rsidRPr="009A119E" w:rsidRDefault="00CD2DC9" w:rsidP="00CD2DC9">
      <w:pPr>
        <w:rPr>
          <w:rStyle w:val="Strong"/>
          <w:rFonts w:cs="Arial"/>
          <w:color w:val="1D2125"/>
          <w:sz w:val="32"/>
          <w:szCs w:val="32"/>
          <w:lang w:val="en-GB"/>
        </w:rPr>
      </w:pPr>
    </w:p>
    <w:p w14:paraId="7E362620" w14:textId="77777777" w:rsidR="00CD2DC9" w:rsidRPr="009A119E" w:rsidRDefault="00CD2DC9" w:rsidP="00CD2DC9">
      <w:pPr>
        <w:rPr>
          <w:rStyle w:val="Strong"/>
          <w:rFonts w:cs="Arial"/>
          <w:color w:val="1D2125"/>
          <w:sz w:val="32"/>
          <w:szCs w:val="32"/>
          <w:lang w:val="en-GB"/>
        </w:rPr>
      </w:pPr>
    </w:p>
    <w:p w14:paraId="42E2F2F8" w14:textId="6591C658" w:rsidR="00130F8E" w:rsidRPr="009A119E" w:rsidRDefault="00130F8E" w:rsidP="009A119E">
      <w:pPr>
        <w:pStyle w:val="TOCHeading"/>
        <w:jc w:val="center"/>
        <w:rPr>
          <w:lang w:val="en-GB"/>
        </w:rPr>
      </w:pPr>
    </w:p>
    <w:p w14:paraId="43FF95DF" w14:textId="77777777" w:rsidR="00611653" w:rsidRPr="009A119E" w:rsidRDefault="00611653">
      <w:pPr>
        <w:jc w:val="left"/>
        <w:rPr>
          <w:lang w:val="en-GB"/>
        </w:rPr>
      </w:pPr>
      <w:r w:rsidRPr="009A119E">
        <w:rPr>
          <w:lang w:val="en-GB"/>
        </w:rPr>
        <w:br w:type="page"/>
      </w:r>
    </w:p>
    <w:p w14:paraId="7A7CD7CD" w14:textId="77777777" w:rsidR="004C11E2" w:rsidRDefault="004C11E2" w:rsidP="004C11E2">
      <w:pPr>
        <w:pStyle w:val="Heading1"/>
        <w:rPr>
          <w:lang w:val="en-GB"/>
        </w:rPr>
      </w:pPr>
      <w:bookmarkStart w:id="1" w:name="_Toc223127964"/>
      <w:bookmarkStart w:id="2" w:name="_Toc223110454"/>
      <w:r>
        <w:rPr>
          <w:lang w:val="en-GB"/>
        </w:rPr>
        <w:lastRenderedPageBreak/>
        <w:t>Table of Contents</w:t>
      </w:r>
      <w:bookmarkEnd w:id="1"/>
    </w:p>
    <w:p w14:paraId="1DD76989" w14:textId="65F2FEF7" w:rsidR="004C11E2" w:rsidRDefault="004C11E2" w:rsidP="004C11E2">
      <w:pPr>
        <w:rPr>
          <w:lang w:val="en-GB"/>
        </w:rPr>
      </w:pPr>
      <w:r w:rsidRPr="004C11E2">
        <w:rPr>
          <w:noProof/>
          <w:lang w:val="en-GB"/>
        </w:rPr>
        <w:drawing>
          <wp:inline distT="0" distB="0" distL="0" distR="0" wp14:anchorId="362C3388" wp14:editId="6AA9C63D">
            <wp:extent cx="5943600" cy="5916295"/>
            <wp:effectExtent l="0" t="0" r="0" b="8255"/>
            <wp:docPr id="1451401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401828" name=""/>
                    <pic:cNvPicPr/>
                  </pic:nvPicPr>
                  <pic:blipFill>
                    <a:blip r:embed="rId8"/>
                    <a:stretch>
                      <a:fillRect/>
                    </a:stretch>
                  </pic:blipFill>
                  <pic:spPr>
                    <a:xfrm>
                      <a:off x="0" y="0"/>
                      <a:ext cx="5943600" cy="5916295"/>
                    </a:xfrm>
                    <a:prstGeom prst="rect">
                      <a:avLst/>
                    </a:prstGeom>
                  </pic:spPr>
                </pic:pic>
              </a:graphicData>
            </a:graphic>
          </wp:inline>
        </w:drawing>
      </w:r>
      <w:r>
        <w:rPr>
          <w:lang w:val="en-GB"/>
        </w:rPr>
        <w:br w:type="page"/>
      </w:r>
    </w:p>
    <w:p w14:paraId="6E7CBC42" w14:textId="3732403E" w:rsidR="00D71E38" w:rsidRPr="009A119E" w:rsidRDefault="00D71E38" w:rsidP="009A119E">
      <w:pPr>
        <w:pStyle w:val="Heading1"/>
      </w:pPr>
      <w:bookmarkStart w:id="3" w:name="_Toc223127965"/>
      <w:r w:rsidRPr="009A119E">
        <w:rPr>
          <w:lang w:val="en-GB"/>
        </w:rPr>
        <w:lastRenderedPageBreak/>
        <w:t>Introduction</w:t>
      </w:r>
      <w:bookmarkEnd w:id="2"/>
      <w:bookmarkEnd w:id="3"/>
    </w:p>
    <w:p w14:paraId="2C55CF80" w14:textId="374FDDC3" w:rsidR="00EB7C87" w:rsidRPr="009A119E" w:rsidRDefault="00277010" w:rsidP="00277010">
      <w:pPr>
        <w:rPr>
          <w:lang w:val="en-GB"/>
        </w:rPr>
      </w:pPr>
      <w:r w:rsidRPr="009A119E">
        <w:rPr>
          <w:lang w:val="en-GB"/>
        </w:rPr>
        <w:t xml:space="preserve">Autism spectrum disorder (ASD) is coded in the 11th volume of the International Classification of Diseases (ICD-11) as code 6A02 of Chapter 6: Mental, Behavioural or Neurodevelopmental Disorders (Greaves-Lord, Skuse and Mandy, 2022). ICD-11 lists ASD as a neurodevelopmental disorder, and </w:t>
      </w:r>
      <w:r w:rsidR="00611653" w:rsidRPr="009A119E">
        <w:rPr>
          <w:lang w:val="en-GB"/>
        </w:rPr>
        <w:t xml:space="preserve">it </w:t>
      </w:r>
      <w:r w:rsidRPr="009A119E">
        <w:rPr>
          <w:lang w:val="en-GB"/>
        </w:rPr>
        <w:t xml:space="preserve">is defined by enduring impairments in social interaction and communication with </w:t>
      </w:r>
      <w:r w:rsidR="009A119E" w:rsidRPr="009A119E">
        <w:rPr>
          <w:lang w:val="en-GB"/>
        </w:rPr>
        <w:t>others and</w:t>
      </w:r>
      <w:r w:rsidRPr="009A119E">
        <w:rPr>
          <w:lang w:val="en-GB"/>
        </w:rPr>
        <w:t xml:space="preserve"> limited and monotonous behaviour. Estimates of global prevalence reveal that around 1 out of 100 children suffer </w:t>
      </w:r>
      <w:r w:rsidR="00611653" w:rsidRPr="009A119E">
        <w:rPr>
          <w:lang w:val="en-GB"/>
        </w:rPr>
        <w:t xml:space="preserve">from </w:t>
      </w:r>
      <w:r w:rsidRPr="009A119E">
        <w:rPr>
          <w:lang w:val="en-GB"/>
        </w:rPr>
        <w:t>diagnostic criteria</w:t>
      </w:r>
      <w:r w:rsidR="00611653" w:rsidRPr="009A119E">
        <w:rPr>
          <w:lang w:val="en-GB"/>
        </w:rPr>
        <w:t>,</w:t>
      </w:r>
      <w:r w:rsidRPr="009A119E">
        <w:rPr>
          <w:lang w:val="en-GB"/>
        </w:rPr>
        <w:t xml:space="preserve"> though reported prevalence differs across different regions because of variations in awareness as well as practises of assessment (Zeidan et al., 2022). The epistemological conflicts between biomedical psychiatry and neurodiversity-oriented paradigms </w:t>
      </w:r>
      <w:r w:rsidR="00611653" w:rsidRPr="009A119E">
        <w:rPr>
          <w:lang w:val="en-GB"/>
        </w:rPr>
        <w:t xml:space="preserve">are </w:t>
      </w:r>
      <w:r w:rsidRPr="009A119E">
        <w:rPr>
          <w:lang w:val="en-GB"/>
        </w:rPr>
        <w:t xml:space="preserve">also </w:t>
      </w:r>
      <w:r w:rsidR="00611653" w:rsidRPr="009A119E">
        <w:rPr>
          <w:lang w:val="en-GB"/>
        </w:rPr>
        <w:t>reflected</w:t>
      </w:r>
      <w:r w:rsidRPr="009A119E">
        <w:rPr>
          <w:lang w:val="en-GB"/>
        </w:rPr>
        <w:t xml:space="preserve"> in the further </w:t>
      </w:r>
      <w:r w:rsidR="00611653" w:rsidRPr="009A119E">
        <w:rPr>
          <w:lang w:val="en-GB"/>
        </w:rPr>
        <w:t>categorisation</w:t>
      </w:r>
      <w:r w:rsidRPr="009A119E">
        <w:rPr>
          <w:lang w:val="en-GB"/>
        </w:rPr>
        <w:t xml:space="preserve"> of autism as a disorder according to ICD-11 (</w:t>
      </w:r>
      <w:proofErr w:type="spellStart"/>
      <w:r w:rsidRPr="009A119E">
        <w:rPr>
          <w:lang w:val="en-GB"/>
        </w:rPr>
        <w:t>Superson</w:t>
      </w:r>
      <w:proofErr w:type="spellEnd"/>
      <w:r w:rsidRPr="009A119E">
        <w:rPr>
          <w:lang w:val="en-GB"/>
        </w:rPr>
        <w:t>, Prokopiak and Wodziinski, 2025). Although medical classification can be useful in accessing services and gaining legal protection, it also views autism in a deficit-based perspective. This report is a critical analysis of ICD-11 classification and diagnosis, comparing treatment and rehabilitation options, issues in modern debates, and evidence-based recommendations on practise, policy, and research.</w:t>
      </w:r>
    </w:p>
    <w:p w14:paraId="3D80E71B" w14:textId="0706C917" w:rsidR="009C589F" w:rsidRPr="009A119E" w:rsidRDefault="009C589F" w:rsidP="00154947">
      <w:pPr>
        <w:pStyle w:val="Heading1"/>
        <w:rPr>
          <w:rFonts w:ascii="Times New Roman" w:hAnsi="Times New Roman"/>
          <w:lang w:val="en-GB"/>
        </w:rPr>
      </w:pPr>
      <w:bookmarkStart w:id="4" w:name="_Toc223110455"/>
      <w:bookmarkStart w:id="5" w:name="_Toc223127966"/>
      <w:r w:rsidRPr="009A119E">
        <w:rPr>
          <w:lang w:val="en-GB"/>
        </w:rPr>
        <w:t>Classification and Diagnosis</w:t>
      </w:r>
      <w:bookmarkEnd w:id="4"/>
      <w:bookmarkEnd w:id="5"/>
    </w:p>
    <w:p w14:paraId="152ED2AC" w14:textId="2A5D3C5E" w:rsidR="009C589F" w:rsidRPr="009A119E" w:rsidRDefault="009C589F" w:rsidP="009A119E">
      <w:pPr>
        <w:pStyle w:val="Heading2"/>
      </w:pPr>
      <w:bookmarkStart w:id="6" w:name="_Toc223110456"/>
      <w:bookmarkStart w:id="7" w:name="_Toc223127967"/>
      <w:r w:rsidRPr="009A119E">
        <w:rPr>
          <w:lang w:val="en-GB"/>
        </w:rPr>
        <w:t>ICD-11 Classification of Autism Spectrum Disorder</w:t>
      </w:r>
      <w:bookmarkEnd w:id="6"/>
      <w:bookmarkEnd w:id="7"/>
    </w:p>
    <w:p w14:paraId="6C36272F" w14:textId="26F74644" w:rsidR="009C589F" w:rsidRPr="009A119E" w:rsidRDefault="004350F8" w:rsidP="004350F8">
      <w:pPr>
        <w:rPr>
          <w:lang w:val="en-GB"/>
        </w:rPr>
      </w:pPr>
      <w:r w:rsidRPr="009A119E">
        <w:rPr>
          <w:lang w:val="en-GB"/>
        </w:rPr>
        <w:t xml:space="preserve">ICD-11 defines </w:t>
      </w:r>
      <w:r w:rsidR="009A119E">
        <w:t>“</w:t>
      </w:r>
      <w:r w:rsidRPr="009A119E">
        <w:rPr>
          <w:lang w:val="en-GB"/>
        </w:rPr>
        <w:t>Autism Spectrum Disorder</w:t>
      </w:r>
      <w:r w:rsidR="009A119E">
        <w:t xml:space="preserve">” </w:t>
      </w:r>
      <w:r w:rsidRPr="009A119E">
        <w:rPr>
          <w:lang w:val="en-GB"/>
        </w:rPr>
        <w:t xml:space="preserve">(ASD) as a disease with code 6A02 in the category of Neurodevelopmental Disorders in Chapter 6 (Elst, Riedel and </w:t>
      </w:r>
      <w:proofErr w:type="spellStart"/>
      <w:r w:rsidRPr="009A119E">
        <w:rPr>
          <w:lang w:val="en-GB"/>
        </w:rPr>
        <w:t>Biscaldi</w:t>
      </w:r>
      <w:proofErr w:type="spellEnd"/>
      <w:r w:rsidRPr="009A119E">
        <w:rPr>
          <w:lang w:val="en-GB"/>
        </w:rPr>
        <w:t xml:space="preserve">-Schaefer, 2025). ICD-11 defines ASD as a disorder with </w:t>
      </w:r>
      <w:r w:rsidR="00611653" w:rsidRPr="009A119E">
        <w:rPr>
          <w:lang w:val="en-GB"/>
        </w:rPr>
        <w:t xml:space="preserve">a </w:t>
      </w:r>
      <w:r w:rsidRPr="009A119E">
        <w:rPr>
          <w:lang w:val="en-GB"/>
        </w:rPr>
        <w:t xml:space="preserve">persistent deficit of the ability to initiate and maintain reciprocal social interaction and social </w:t>
      </w:r>
      <w:r w:rsidR="009A119E" w:rsidRPr="009A119E">
        <w:rPr>
          <w:lang w:val="en-GB"/>
        </w:rPr>
        <w:t>communication and</w:t>
      </w:r>
      <w:r w:rsidRPr="009A119E">
        <w:rPr>
          <w:lang w:val="en-GB"/>
        </w:rPr>
        <w:t xml:space="preserve"> limited and repetitive behaviour. The classification of neurodevelopmental disorders indicates the fact that autism is rooted in early development</w:t>
      </w:r>
      <w:r w:rsidR="00611653" w:rsidRPr="009A119E">
        <w:rPr>
          <w:lang w:val="en-GB"/>
        </w:rPr>
        <w:t>,</w:t>
      </w:r>
      <w:r w:rsidRPr="009A119E">
        <w:rPr>
          <w:lang w:val="en-GB"/>
        </w:rPr>
        <w:t xml:space="preserve"> although it may be diagnosed later.</w:t>
      </w:r>
      <w:r w:rsidR="00DF0F76" w:rsidRPr="009A119E">
        <w:rPr>
          <w:lang w:val="en-GB"/>
        </w:rPr>
        <w:t xml:space="preserve"> </w:t>
      </w:r>
      <w:r w:rsidRPr="009A119E">
        <w:rPr>
          <w:lang w:val="en-GB"/>
        </w:rPr>
        <w:t>Unlike ICD-10, which eventually split off childhood autism and Asperger’s syndrome, ICD-11 has a unified spectrum model with dimensional specifiers to note the presence or absence of intellectual and language impairment. This model correlates more or less with DSM-5-TR</w:t>
      </w:r>
      <w:r w:rsidR="00611653" w:rsidRPr="009A119E">
        <w:rPr>
          <w:lang w:val="en-GB"/>
        </w:rPr>
        <w:t>,</w:t>
      </w:r>
      <w:r w:rsidRPr="009A119E">
        <w:rPr>
          <w:lang w:val="en-GB"/>
        </w:rPr>
        <w:t xml:space="preserve"> which is also based on a spectrum framework; ICD-11 is more concerned with the global applicability and cultural flexibility.</w:t>
      </w:r>
      <w:r w:rsidR="00DF0F76" w:rsidRPr="009A119E">
        <w:rPr>
          <w:lang w:val="en-GB"/>
        </w:rPr>
        <w:t xml:space="preserve"> </w:t>
      </w:r>
      <w:r w:rsidRPr="009A119E">
        <w:rPr>
          <w:lang w:val="en-GB"/>
        </w:rPr>
        <w:t xml:space="preserve">The use of the term continued to be a biomedical orientation that shows autism mainly as </w:t>
      </w:r>
      <w:r w:rsidR="00611653" w:rsidRPr="009A119E">
        <w:rPr>
          <w:lang w:val="en-GB"/>
        </w:rPr>
        <w:t xml:space="preserve">an </w:t>
      </w:r>
      <w:r w:rsidRPr="009A119E">
        <w:rPr>
          <w:lang w:val="en-GB"/>
        </w:rPr>
        <w:t xml:space="preserve">impairment. The psychiatric classification systems are not value-neutral but are based on common socio-medical ideologies and determine what sets the boundaries of pathology (Jablensky, 2016). The label </w:t>
      </w:r>
      <w:r w:rsidRPr="009A119E">
        <w:rPr>
          <w:lang w:val="en-GB"/>
        </w:rPr>
        <w:lastRenderedPageBreak/>
        <w:t>seems to promote access to services and protections related to disability as well as the deficit-based narratives. In this way, ICD-11 will increase the clarity of the diagnoses as well as incorporate autism into the medicalised system, which can be subject to critical inspection.</w:t>
      </w:r>
    </w:p>
    <w:p w14:paraId="748A154E" w14:textId="128D54CC" w:rsidR="009C589F" w:rsidRPr="009A119E" w:rsidRDefault="009C589F" w:rsidP="009E5B2C">
      <w:pPr>
        <w:pStyle w:val="Heading2"/>
        <w:rPr>
          <w:lang w:val="en-GB"/>
        </w:rPr>
      </w:pPr>
      <w:bookmarkStart w:id="8" w:name="_Toc223110457"/>
      <w:bookmarkStart w:id="9" w:name="_Toc223127968"/>
      <w:r w:rsidRPr="009A119E">
        <w:rPr>
          <w:lang w:val="en-GB"/>
        </w:rPr>
        <w:t>Diagnostic Criteria and Process</w:t>
      </w:r>
      <w:bookmarkEnd w:id="8"/>
      <w:bookmarkEnd w:id="9"/>
    </w:p>
    <w:p w14:paraId="02849F46" w14:textId="252557E0" w:rsidR="009C589F" w:rsidRPr="009A119E" w:rsidRDefault="00500895" w:rsidP="00500895">
      <w:pPr>
        <w:rPr>
          <w:lang w:val="en-GB"/>
        </w:rPr>
      </w:pPr>
      <w:r w:rsidRPr="009A119E">
        <w:rPr>
          <w:lang w:val="en-GB"/>
        </w:rPr>
        <w:t>The ICD-11 recognises the identification of two fundamental domains</w:t>
      </w:r>
      <w:r w:rsidR="00611653" w:rsidRPr="009A119E">
        <w:rPr>
          <w:lang w:val="en-GB"/>
        </w:rPr>
        <w:t>:</w:t>
      </w:r>
      <w:r w:rsidRPr="009A119E">
        <w:rPr>
          <w:lang w:val="en-GB"/>
        </w:rPr>
        <w:t xml:space="preserve"> persistent differences in social communication and restricted, repetitive behaviours, which occur since early development and result in functional impairment. The diagnosis is usually carried out with the use of multidisciplinary evaluation, the history of development and organised behavioural assessments. It is approximated to be about 1% throughout the globe, with the level of identification having increased substantially over the past decades (Shaw, 2025).</w:t>
      </w:r>
      <w:r w:rsidR="009E5B2C" w:rsidRPr="009A119E">
        <w:rPr>
          <w:lang w:val="en-GB"/>
        </w:rPr>
        <w:t xml:space="preserve"> </w:t>
      </w:r>
      <w:r w:rsidRPr="009A119E">
        <w:rPr>
          <w:lang w:val="en-GB"/>
        </w:rPr>
        <w:t>Gender inequality is also very strong</w:t>
      </w:r>
      <w:r w:rsidR="00611653" w:rsidRPr="009A119E">
        <w:rPr>
          <w:lang w:val="en-GB"/>
        </w:rPr>
        <w:t>,</w:t>
      </w:r>
      <w:r w:rsidRPr="009A119E">
        <w:rPr>
          <w:lang w:val="en-GB"/>
        </w:rPr>
        <w:t xml:space="preserve"> and the male-to-female ratios have been reported as about 3:1. Preliminary studies indicate that women might conceal autism, leading to the late or missed diagnosis of autism. Waiting times in the UK </w:t>
      </w:r>
      <w:r w:rsidR="00611653" w:rsidRPr="009A119E">
        <w:rPr>
          <w:lang w:val="en-GB"/>
        </w:rPr>
        <w:t>for autism</w:t>
      </w:r>
      <w:r w:rsidRPr="009A119E">
        <w:rPr>
          <w:lang w:val="en-GB"/>
        </w:rPr>
        <w:t xml:space="preserve"> assessment </w:t>
      </w:r>
      <w:r w:rsidR="00611653" w:rsidRPr="009A119E">
        <w:rPr>
          <w:lang w:val="en-GB"/>
        </w:rPr>
        <w:t>are</w:t>
      </w:r>
      <w:r w:rsidRPr="009A119E">
        <w:rPr>
          <w:lang w:val="en-GB"/>
        </w:rPr>
        <w:t xml:space="preserve"> often over one year in most of the regions of the UK</w:t>
      </w:r>
      <w:r w:rsidR="00611653" w:rsidRPr="009A119E">
        <w:rPr>
          <w:lang w:val="en-GB"/>
        </w:rPr>
        <w:t>, which</w:t>
      </w:r>
      <w:r w:rsidRPr="009A119E">
        <w:rPr>
          <w:lang w:val="en-GB"/>
        </w:rPr>
        <w:t xml:space="preserve"> restricts the possibility of quick intervention.</w:t>
      </w:r>
      <w:r w:rsidR="009E5B2C" w:rsidRPr="009A119E">
        <w:rPr>
          <w:lang w:val="en-GB"/>
        </w:rPr>
        <w:t xml:space="preserve"> </w:t>
      </w:r>
      <w:r w:rsidRPr="009A119E">
        <w:rPr>
          <w:lang w:val="en-GB"/>
        </w:rPr>
        <w:t xml:space="preserve">Narrative Diagnostic assessment is still an interpretative practise, which raises the issue of clinician bias and cultural production of normal social behaviour. </w:t>
      </w:r>
      <w:r w:rsidR="00611653" w:rsidRPr="009A119E">
        <w:rPr>
          <w:lang w:val="en-GB"/>
        </w:rPr>
        <w:t>Some cultural aspects might</w:t>
      </w:r>
      <w:r w:rsidRPr="009A119E">
        <w:rPr>
          <w:lang w:val="en-GB"/>
        </w:rPr>
        <w:t xml:space="preserve"> lead to bias in assessment processes: eye contact, communication style, and expression of emotions. Moreover, the presence of similarities with symptoms </w:t>
      </w:r>
      <w:r w:rsidR="00611653" w:rsidRPr="009A119E">
        <w:rPr>
          <w:lang w:val="en-GB"/>
        </w:rPr>
        <w:t>of</w:t>
      </w:r>
      <w:r w:rsidRPr="009A119E">
        <w:rPr>
          <w:lang w:val="en-GB"/>
        </w:rPr>
        <w:t xml:space="preserve"> ADHD and anxiety disorders makes it difficult to distinguish.</w:t>
      </w:r>
      <w:r w:rsidR="009E5B2C" w:rsidRPr="009A119E">
        <w:rPr>
          <w:lang w:val="en-GB"/>
        </w:rPr>
        <w:t xml:space="preserve"> </w:t>
      </w:r>
      <w:r w:rsidRPr="009A119E">
        <w:rPr>
          <w:lang w:val="en-GB"/>
        </w:rPr>
        <w:t xml:space="preserve">Regardless of these issues, ICD-11 has better dimensional criteria compared to previous versions. </w:t>
      </w:r>
      <w:proofErr w:type="gramStart"/>
      <w:r w:rsidRPr="009A119E">
        <w:rPr>
          <w:lang w:val="en-GB"/>
        </w:rPr>
        <w:t>Yet,</w:t>
      </w:r>
      <w:proofErr w:type="gramEnd"/>
      <w:r w:rsidRPr="009A119E">
        <w:rPr>
          <w:lang w:val="en-GB"/>
        </w:rPr>
        <w:t xml:space="preserve"> there is still the danger of making neurodivergent variation pathological due to wider thresholds or making a misdiagnosis in which the impairment is not in itself but </w:t>
      </w:r>
      <w:r w:rsidR="00611653" w:rsidRPr="009A119E">
        <w:rPr>
          <w:lang w:val="en-GB"/>
        </w:rPr>
        <w:t>dependent</w:t>
      </w:r>
      <w:r w:rsidRPr="009A119E">
        <w:rPr>
          <w:lang w:val="en-GB"/>
        </w:rPr>
        <w:t xml:space="preserve"> on the context.</w:t>
      </w:r>
    </w:p>
    <w:p w14:paraId="0BBB230B" w14:textId="2A41E29D" w:rsidR="00975442" w:rsidRPr="009A119E" w:rsidRDefault="00975442" w:rsidP="009E5B2C">
      <w:pPr>
        <w:pStyle w:val="Heading1"/>
        <w:rPr>
          <w:rFonts w:ascii="Times New Roman" w:hAnsi="Times New Roman"/>
          <w:lang w:val="en-GB"/>
        </w:rPr>
      </w:pPr>
      <w:bookmarkStart w:id="10" w:name="_Toc223110458"/>
      <w:bookmarkStart w:id="11" w:name="_Toc223127969"/>
      <w:r w:rsidRPr="009A119E">
        <w:rPr>
          <w:lang w:val="en-GB"/>
        </w:rPr>
        <w:t>Treatment and Rehabilitation</w:t>
      </w:r>
      <w:bookmarkEnd w:id="10"/>
      <w:bookmarkEnd w:id="11"/>
    </w:p>
    <w:p w14:paraId="253C1C76" w14:textId="3C9F73B8" w:rsidR="00975442" w:rsidRPr="009A119E" w:rsidRDefault="00975442" w:rsidP="009E5B2C">
      <w:pPr>
        <w:pStyle w:val="Heading2"/>
        <w:rPr>
          <w:lang w:val="en-GB"/>
        </w:rPr>
      </w:pPr>
      <w:bookmarkStart w:id="12" w:name="_Toc223110459"/>
      <w:bookmarkStart w:id="13" w:name="_Toc223127970"/>
      <w:r w:rsidRPr="009A119E">
        <w:rPr>
          <w:lang w:val="en-GB"/>
        </w:rPr>
        <w:t>Standard Treatment Approaches</w:t>
      </w:r>
      <w:bookmarkEnd w:id="12"/>
      <w:bookmarkEnd w:id="13"/>
    </w:p>
    <w:p w14:paraId="2CD2444B" w14:textId="27A41D56" w:rsidR="004550EB" w:rsidRPr="009A119E" w:rsidRDefault="004550EB" w:rsidP="004550EB">
      <w:pPr>
        <w:rPr>
          <w:lang w:val="en-GB"/>
        </w:rPr>
      </w:pPr>
      <w:r w:rsidRPr="009A119E">
        <w:rPr>
          <w:lang w:val="en-GB"/>
        </w:rPr>
        <w:t>Autism Spectrum Disorder (ASD) has no pharmacological treatment, so the method of intervention is mostly directed at behavioural, developmental and psychosocial assistance. One of the most studied methods is Applied Behaviour Analysis (ABA) (Silva, 2025). Meta-analysis shows that intensive early behavioural intervention may have moderate effects on cognitive ability and adaptive functioning</w:t>
      </w:r>
      <w:r w:rsidR="00611653" w:rsidRPr="009A119E">
        <w:rPr>
          <w:lang w:val="en-GB"/>
        </w:rPr>
        <w:t>,</w:t>
      </w:r>
      <w:r w:rsidRPr="009A119E">
        <w:rPr>
          <w:lang w:val="en-GB"/>
        </w:rPr>
        <w:t xml:space="preserve"> and results differ across domains as well as study quality. Results seem to be greater in cases of intervention before the age of five. Nevertheless, inconsistency in approach and </w:t>
      </w:r>
      <w:r w:rsidR="00611653" w:rsidRPr="009A119E">
        <w:rPr>
          <w:lang w:val="en-GB"/>
        </w:rPr>
        <w:t xml:space="preserve">an </w:t>
      </w:r>
      <w:r w:rsidRPr="009A119E">
        <w:rPr>
          <w:lang w:val="en-GB"/>
        </w:rPr>
        <w:t>extended follow-up period inhibits concluding results.</w:t>
      </w:r>
      <w:r w:rsidR="009E5B2C" w:rsidRPr="009A119E">
        <w:rPr>
          <w:lang w:val="en-GB"/>
        </w:rPr>
        <w:t xml:space="preserve"> </w:t>
      </w:r>
      <w:r w:rsidRPr="009A119E">
        <w:rPr>
          <w:lang w:val="en-GB"/>
        </w:rPr>
        <w:t xml:space="preserve">NICE guidelines in the UK </w:t>
      </w:r>
      <w:r w:rsidRPr="009A119E">
        <w:rPr>
          <w:lang w:val="en-GB"/>
        </w:rPr>
        <w:lastRenderedPageBreak/>
        <w:t>suggest a holistic and tailored treatment approach as opposed to a unitary therapeutic paradigm. The suggested interventions are parent-mediated programmes, speech and language therapy, sensory regulation occupational therapy, and systematic social communication support (Deniz et al., 2022). Core autistic traits do not indicate medication but can be used to treat comorbid disorders like ADHD, anxiety, or severe irritability.</w:t>
      </w:r>
      <w:r w:rsidR="00CA1CC6" w:rsidRPr="009A119E">
        <w:rPr>
          <w:lang w:val="en-GB"/>
        </w:rPr>
        <w:t xml:space="preserve"> </w:t>
      </w:r>
      <w:r w:rsidRPr="009A119E">
        <w:rPr>
          <w:lang w:val="en-GB"/>
        </w:rPr>
        <w:t>Although ABA is based on evidence, the practise is still contested ethically. The moral case of ABA is part of the larger conflict between behaviour modification and autonomy-based care. Some models, critics believe, lay more emphasis on behavioural conformity rather than neurodivergent identity and self-determination. Moreover, intense interventions may be expensive and relying on private programmes</w:t>
      </w:r>
      <w:r w:rsidR="00611653" w:rsidRPr="009A119E">
        <w:rPr>
          <w:lang w:val="en-GB"/>
        </w:rPr>
        <w:t>,</w:t>
      </w:r>
      <w:r w:rsidRPr="009A119E">
        <w:rPr>
          <w:lang w:val="en-GB"/>
        </w:rPr>
        <w:t xml:space="preserve"> which run in the thousands per year</w:t>
      </w:r>
      <w:r w:rsidR="00611653" w:rsidRPr="009A119E">
        <w:rPr>
          <w:lang w:val="en-GB"/>
        </w:rPr>
        <w:t>,</w:t>
      </w:r>
      <w:r w:rsidRPr="009A119E">
        <w:rPr>
          <w:lang w:val="en-GB"/>
        </w:rPr>
        <w:t xml:space="preserve"> would increase the question of cost-effectiveness and </w:t>
      </w:r>
      <w:r w:rsidR="00611653" w:rsidRPr="009A119E">
        <w:rPr>
          <w:lang w:val="en-GB"/>
        </w:rPr>
        <w:t>socioeconomic</w:t>
      </w:r>
      <w:r w:rsidRPr="009A119E">
        <w:rPr>
          <w:lang w:val="en-GB"/>
        </w:rPr>
        <w:t xml:space="preserve"> imbalance. Regional inequality of access also curtails fair delivery. Therefore, although behavioural interventions can have quantifiable benefits, their application needs to be weighed against ethical, financial and person-centred principles.</w:t>
      </w:r>
    </w:p>
    <w:p w14:paraId="2F607E59" w14:textId="760AF888" w:rsidR="004550EB" w:rsidRPr="009A119E" w:rsidRDefault="004550EB" w:rsidP="00CA1CC6">
      <w:pPr>
        <w:pStyle w:val="Heading2"/>
        <w:rPr>
          <w:lang w:val="en-GB"/>
        </w:rPr>
      </w:pPr>
      <w:bookmarkStart w:id="14" w:name="_Toc223110460"/>
      <w:bookmarkStart w:id="15" w:name="_Toc223127971"/>
      <w:r w:rsidRPr="009A119E">
        <w:rPr>
          <w:lang w:val="en-GB"/>
        </w:rPr>
        <w:t>Rehabilitation and Support</w:t>
      </w:r>
      <w:bookmarkEnd w:id="14"/>
      <w:bookmarkEnd w:id="15"/>
    </w:p>
    <w:p w14:paraId="1753CFF7" w14:textId="47010B59" w:rsidR="001D1714" w:rsidRPr="009A119E" w:rsidRDefault="004550EB" w:rsidP="004550EB">
      <w:pPr>
        <w:rPr>
          <w:lang w:val="en-GB"/>
        </w:rPr>
      </w:pPr>
      <w:r w:rsidRPr="009A119E">
        <w:rPr>
          <w:lang w:val="en-GB"/>
        </w:rPr>
        <w:t>Rehabilitation is also becoming more inclusive in education, jobs and in the community. Individualised Education Plans (IEPs) that are based on cognitive and communication profiles are often part of educational provision. Inclusive schooling is in line with the disability rights and Article 24 of the UN Convention on the Rights of Persons with Disabilities (CRPD), which advocates equal access to education.</w:t>
      </w:r>
      <w:r w:rsidR="00CA1CC6" w:rsidRPr="009A119E">
        <w:rPr>
          <w:lang w:val="en-GB"/>
        </w:rPr>
        <w:t xml:space="preserve"> </w:t>
      </w:r>
      <w:r w:rsidRPr="009A119E">
        <w:rPr>
          <w:lang w:val="en-GB"/>
        </w:rPr>
        <w:t>Under the supported employment schemes, there exist efforts to fill in the employment gap in adulthood. Nonetheless, there is some evidence that the employment rates of autistic adults are much lower than the overall population, with estimates in the UK showing that less than 30% of autistic adults are employed full-time in paid jobs (Heinze, 2025). This inequity draws a line on the existence of structural obstacles and not personal inefficiency.</w:t>
      </w:r>
      <w:r w:rsidR="00CA1CC6" w:rsidRPr="009A119E">
        <w:rPr>
          <w:lang w:val="en-GB"/>
        </w:rPr>
        <w:t xml:space="preserve"> </w:t>
      </w:r>
      <w:r w:rsidRPr="009A119E">
        <w:rPr>
          <w:lang w:val="en-GB"/>
        </w:rPr>
        <w:t>The social model of disability is reflected in community inclusion services, peer mentoring, and person-centred planning, which explains the situation as an environmental obstacle causing challenges. However, gaps in implementation demonstrate the continuous lack of association between rhetoric and resource proficiency of structural inclusivity. Disjunction of health</w:t>
      </w:r>
      <w:r w:rsidR="00611653" w:rsidRPr="009A119E">
        <w:rPr>
          <w:lang w:val="en-GB"/>
        </w:rPr>
        <w:t>,</w:t>
      </w:r>
      <w:r w:rsidRPr="009A119E">
        <w:rPr>
          <w:lang w:val="en-GB"/>
        </w:rPr>
        <w:t xml:space="preserve"> as well as education and social care</w:t>
      </w:r>
      <w:r w:rsidR="00611653" w:rsidRPr="009A119E">
        <w:rPr>
          <w:lang w:val="en-GB"/>
        </w:rPr>
        <w:t>,</w:t>
      </w:r>
      <w:r w:rsidRPr="009A119E">
        <w:rPr>
          <w:lang w:val="en-GB"/>
        </w:rPr>
        <w:t xml:space="preserve"> often interferes with continuity of assistance. Child to adult transition stages are very sensitive phases</w:t>
      </w:r>
      <w:r w:rsidR="00CA1CC6" w:rsidRPr="009A119E">
        <w:rPr>
          <w:lang w:val="en-GB"/>
        </w:rPr>
        <w:t>,</w:t>
      </w:r>
      <w:r w:rsidRPr="009A119E">
        <w:rPr>
          <w:lang w:val="en-GB"/>
        </w:rPr>
        <w:t xml:space="preserve"> and most youths withdraw their services after leaving school. Besides, support and diagnostic services have long queues that </w:t>
      </w:r>
      <w:r w:rsidR="00611653" w:rsidRPr="009A119E">
        <w:rPr>
          <w:lang w:val="en-GB"/>
        </w:rPr>
        <w:t>delay</w:t>
      </w:r>
      <w:r w:rsidRPr="009A119E">
        <w:rPr>
          <w:lang w:val="en-GB"/>
        </w:rPr>
        <w:t xml:space="preserve"> proper intervention.</w:t>
      </w:r>
      <w:r w:rsidR="00CA1CC6" w:rsidRPr="009A119E">
        <w:rPr>
          <w:lang w:val="en-GB"/>
        </w:rPr>
        <w:t xml:space="preserve"> </w:t>
      </w:r>
      <w:r w:rsidRPr="009A119E">
        <w:rPr>
          <w:lang w:val="en-GB"/>
        </w:rPr>
        <w:t xml:space="preserve">Although modern rehabilitation models focus on self-sufficiency and involvement, the inability to </w:t>
      </w:r>
      <w:r w:rsidRPr="009A119E">
        <w:rPr>
          <w:lang w:val="en-GB"/>
        </w:rPr>
        <w:lastRenderedPageBreak/>
        <w:t xml:space="preserve">fund the system </w:t>
      </w:r>
      <w:r w:rsidR="00611653" w:rsidRPr="009A119E">
        <w:rPr>
          <w:lang w:val="en-GB"/>
        </w:rPr>
        <w:t>regularly</w:t>
      </w:r>
      <w:r w:rsidRPr="009A119E">
        <w:rPr>
          <w:lang w:val="en-GB"/>
        </w:rPr>
        <w:t xml:space="preserve"> and </w:t>
      </w:r>
      <w:r w:rsidR="00611653" w:rsidRPr="009A119E">
        <w:rPr>
          <w:lang w:val="en-GB"/>
        </w:rPr>
        <w:t xml:space="preserve">the </w:t>
      </w:r>
      <w:r w:rsidRPr="009A119E">
        <w:rPr>
          <w:lang w:val="en-GB"/>
        </w:rPr>
        <w:t>lack of sufficient employees still hamper the ability to provide support fairly and regularly.</w:t>
      </w:r>
    </w:p>
    <w:p w14:paraId="1DE6D205" w14:textId="0B87FF1B" w:rsidR="00F859DC" w:rsidRPr="009A119E" w:rsidRDefault="00F859DC" w:rsidP="00CA1CC6">
      <w:pPr>
        <w:pStyle w:val="Heading1"/>
        <w:rPr>
          <w:rFonts w:ascii="Times New Roman" w:hAnsi="Times New Roman"/>
          <w:lang w:val="en-GB"/>
        </w:rPr>
      </w:pPr>
      <w:bookmarkStart w:id="16" w:name="_Toc223110461"/>
      <w:bookmarkStart w:id="17" w:name="_Toc223127972"/>
      <w:r w:rsidRPr="009A119E">
        <w:rPr>
          <w:lang w:val="en-GB"/>
        </w:rPr>
        <w:t>Current Debates and Emerging Issues</w:t>
      </w:r>
      <w:bookmarkEnd w:id="16"/>
      <w:bookmarkEnd w:id="17"/>
    </w:p>
    <w:p w14:paraId="3B13DE09" w14:textId="7B5261FB" w:rsidR="00F859DC" w:rsidRPr="009A119E" w:rsidRDefault="00F859DC" w:rsidP="00CA1CC6">
      <w:pPr>
        <w:pStyle w:val="Heading2"/>
        <w:rPr>
          <w:lang w:val="en-GB"/>
        </w:rPr>
      </w:pPr>
      <w:bookmarkStart w:id="18" w:name="_Toc223110462"/>
      <w:bookmarkStart w:id="19" w:name="_Toc223127973"/>
      <w:r w:rsidRPr="009A119E">
        <w:rPr>
          <w:lang w:val="en-GB"/>
        </w:rPr>
        <w:t>Neurodivergence and the Medical Model</w:t>
      </w:r>
      <w:bookmarkEnd w:id="18"/>
      <w:bookmarkEnd w:id="19"/>
    </w:p>
    <w:p w14:paraId="740AAA2D" w14:textId="52295C27" w:rsidR="00F859DC" w:rsidRPr="009A119E" w:rsidRDefault="002500BF" w:rsidP="002500BF">
      <w:pPr>
        <w:rPr>
          <w:lang w:val="en-GB"/>
        </w:rPr>
      </w:pPr>
      <w:r w:rsidRPr="009A119E">
        <w:rPr>
          <w:lang w:val="en-GB"/>
        </w:rPr>
        <w:t xml:space="preserve">One of the ongoing debates is the conflict between the medical approach to autism and the neurodiversity paradigm. Autism Spectrum Disorder (ASD) medical model conceptualises the disorder as a condition of impairment and dysfunction that is identifiable clinically and needs diagnosis and treatment. On the contrary, </w:t>
      </w:r>
      <w:r w:rsidR="00611653" w:rsidRPr="009A119E">
        <w:rPr>
          <w:lang w:val="en-GB"/>
        </w:rPr>
        <w:t xml:space="preserve">the </w:t>
      </w:r>
      <w:r w:rsidRPr="009A119E">
        <w:rPr>
          <w:lang w:val="en-GB"/>
        </w:rPr>
        <w:t>neurodiversity movement</w:t>
      </w:r>
      <w:r w:rsidR="00611653" w:rsidRPr="009A119E">
        <w:rPr>
          <w:lang w:val="en-GB"/>
        </w:rPr>
        <w:t>,</w:t>
      </w:r>
      <w:r w:rsidRPr="009A119E">
        <w:rPr>
          <w:lang w:val="en-GB"/>
        </w:rPr>
        <w:t xml:space="preserve"> originally described by Singer</w:t>
      </w:r>
      <w:r w:rsidR="00611653" w:rsidRPr="009A119E">
        <w:rPr>
          <w:lang w:val="en-GB"/>
        </w:rPr>
        <w:t>,</w:t>
      </w:r>
      <w:r w:rsidRPr="009A119E">
        <w:rPr>
          <w:lang w:val="en-GB"/>
        </w:rPr>
        <w:t xml:space="preserve"> redefines autism as a trait of human cognition instead of </w:t>
      </w:r>
      <w:r w:rsidR="00611653" w:rsidRPr="009A119E">
        <w:rPr>
          <w:lang w:val="en-GB"/>
        </w:rPr>
        <w:t xml:space="preserve">a </w:t>
      </w:r>
      <w:r w:rsidRPr="009A119E">
        <w:rPr>
          <w:lang w:val="en-GB"/>
        </w:rPr>
        <w:t>pathological deficiency. Moving in the neurodiversity movement, autism is repackaged as an identity-based minority and not a psychiatric deficit. Milton also suggests that misconceptions between autistic and non-autistic people constitute a two-fold empathy issue, which puts deficit-centred interpretations to the test (Botha and Gillespie-Lynch, 2022).</w:t>
      </w:r>
      <w:r w:rsidR="00CA1CC6" w:rsidRPr="009A119E">
        <w:rPr>
          <w:lang w:val="en-GB"/>
        </w:rPr>
        <w:t xml:space="preserve"> </w:t>
      </w:r>
      <w:r w:rsidR="00611653" w:rsidRPr="009A119E">
        <w:rPr>
          <w:lang w:val="en-GB"/>
        </w:rPr>
        <w:t>The social</w:t>
      </w:r>
      <w:r w:rsidRPr="009A119E">
        <w:rPr>
          <w:lang w:val="en-GB"/>
        </w:rPr>
        <w:t xml:space="preserve"> model of disability, which is similar to neurodiversity, places disability </w:t>
      </w:r>
      <w:r w:rsidR="00611653" w:rsidRPr="009A119E">
        <w:rPr>
          <w:lang w:val="en-GB"/>
        </w:rPr>
        <w:t>as a</w:t>
      </w:r>
      <w:r w:rsidRPr="009A119E">
        <w:rPr>
          <w:lang w:val="en-GB"/>
        </w:rPr>
        <w:t xml:space="preserve"> barrier that exists in society instead of inherent impairment. On this basis, challenges related to autism are a result of inflexible social norms, unsupportive conditions, and poor adaptation. Critics speculate in response that the ICD-11 term disorder is a perpetuation of a deficit </w:t>
      </w:r>
      <w:r w:rsidR="00611653" w:rsidRPr="009A119E">
        <w:rPr>
          <w:lang w:val="en-GB"/>
        </w:rPr>
        <w:t>story</w:t>
      </w:r>
      <w:r w:rsidRPr="009A119E">
        <w:rPr>
          <w:lang w:val="en-GB"/>
        </w:rPr>
        <w:t xml:space="preserve"> and strengthens the power of medicine over lived experience.</w:t>
      </w:r>
      <w:r w:rsidR="00CA1CC6" w:rsidRPr="009A119E">
        <w:rPr>
          <w:lang w:val="en-GB"/>
        </w:rPr>
        <w:t xml:space="preserve"> </w:t>
      </w:r>
      <w:r w:rsidRPr="009A119E">
        <w:rPr>
          <w:lang w:val="en-GB"/>
        </w:rPr>
        <w:t xml:space="preserve">Yet, reducing autism to identity politics completely would put people with severe cognitive impairment or high support needs at a disadvantage (Shaw and Wickenden, 2024). People are being faced with critical communication challenges, intellectual challenges, or comorbid mental issues, which demand clinical and social response. The preservation of the term disorder in ICD-11 is critical to access healthcare systems and rights </w:t>
      </w:r>
      <w:r w:rsidR="00611653" w:rsidRPr="009A119E">
        <w:rPr>
          <w:lang w:val="en-GB"/>
        </w:rPr>
        <w:t>to</w:t>
      </w:r>
      <w:r w:rsidRPr="009A119E">
        <w:rPr>
          <w:lang w:val="en-GB"/>
        </w:rPr>
        <w:t xml:space="preserve"> disability. It is thus a more fundamental epistemological conflict between the acceptance of neurodivergent identity and the concept of functional impairment. ICD-11 tries to manoeuvre this tension</w:t>
      </w:r>
      <w:r w:rsidR="00611653" w:rsidRPr="009A119E">
        <w:rPr>
          <w:lang w:val="en-GB"/>
        </w:rPr>
        <w:t>,</w:t>
      </w:r>
      <w:r w:rsidRPr="009A119E">
        <w:rPr>
          <w:lang w:val="en-GB"/>
        </w:rPr>
        <w:t xml:space="preserve"> but it is still located within biomedical classification frameworks that define pathology and the authority to define it.</w:t>
      </w:r>
    </w:p>
    <w:p w14:paraId="582F7D8D" w14:textId="11A4214A" w:rsidR="00F859DC" w:rsidRPr="009A119E" w:rsidRDefault="00F859DC" w:rsidP="00CA1CC6">
      <w:pPr>
        <w:pStyle w:val="Heading2"/>
        <w:rPr>
          <w:lang w:val="en-GB"/>
        </w:rPr>
      </w:pPr>
      <w:bookmarkStart w:id="20" w:name="_Toc223110463"/>
      <w:bookmarkStart w:id="21" w:name="_Toc223127974"/>
      <w:r w:rsidRPr="009A119E">
        <w:rPr>
          <w:lang w:val="en-GB"/>
        </w:rPr>
        <w:t>Reclassification and Diagnostic Expansion</w:t>
      </w:r>
      <w:bookmarkEnd w:id="20"/>
      <w:bookmarkEnd w:id="21"/>
    </w:p>
    <w:p w14:paraId="461FA641" w14:textId="31E2D4A6" w:rsidR="00F859DC" w:rsidRPr="009A119E" w:rsidRDefault="008350F6" w:rsidP="002C4C8B">
      <w:pPr>
        <w:rPr>
          <w:lang w:val="en-GB"/>
        </w:rPr>
      </w:pPr>
      <w:r w:rsidRPr="009A119E">
        <w:rPr>
          <w:lang w:val="en-GB"/>
        </w:rPr>
        <w:t>A major change in the spectrum modelling of classification is the shift between the discrete subtypes (like Asperger syndrome) to a continuum. ICD-11 and DSM-5 were both dimensional in nature to enhance coherence and minimise arbitrary differences. Such a change reflects the variability in intellectual and language functioning and does not have strict categorical limits.</w:t>
      </w:r>
      <w:r w:rsidR="00CA1CC6" w:rsidRPr="009A119E">
        <w:rPr>
          <w:lang w:val="en-GB"/>
        </w:rPr>
        <w:t xml:space="preserve"> </w:t>
      </w:r>
      <w:r w:rsidRPr="009A119E">
        <w:rPr>
          <w:lang w:val="en-GB"/>
        </w:rPr>
        <w:t xml:space="preserve">The </w:t>
      </w:r>
      <w:r w:rsidRPr="009A119E">
        <w:rPr>
          <w:lang w:val="en-GB"/>
        </w:rPr>
        <w:lastRenderedPageBreak/>
        <w:t xml:space="preserve">level of diagnosis has risen significantly within two decades. Reported prevalence in several Western countries has increased forty years </w:t>
      </w:r>
      <w:r w:rsidR="00611653" w:rsidRPr="009A119E">
        <w:rPr>
          <w:lang w:val="en-GB"/>
        </w:rPr>
        <w:t>from</w:t>
      </w:r>
      <w:r w:rsidRPr="009A119E">
        <w:rPr>
          <w:lang w:val="en-GB"/>
        </w:rPr>
        <w:t xml:space="preserve"> about 0.2-0.4% in the 1990s to about 1-2% today (Magliano and Boyko, 2021). Although this increase is tied to better awareness and widening of criteria, there is still controversy as to the possibility of diagnostic inflation. </w:t>
      </w:r>
      <w:r w:rsidR="00611653" w:rsidRPr="009A119E">
        <w:rPr>
          <w:lang w:val="en-GB"/>
        </w:rPr>
        <w:t>Some scholars believe</w:t>
      </w:r>
      <w:r w:rsidRPr="009A119E">
        <w:rPr>
          <w:lang w:val="en-GB"/>
        </w:rPr>
        <w:t xml:space="preserve"> that increased thresholds encourage a </w:t>
      </w:r>
      <w:proofErr w:type="spellStart"/>
      <w:r w:rsidRPr="009A119E">
        <w:rPr>
          <w:lang w:val="en-GB"/>
        </w:rPr>
        <w:t>pathologising</w:t>
      </w:r>
      <w:proofErr w:type="spellEnd"/>
      <w:r w:rsidRPr="009A119E">
        <w:rPr>
          <w:lang w:val="en-GB"/>
        </w:rPr>
        <w:t xml:space="preserve"> of the milder social differences with others who point out historical underdiagnosis</w:t>
      </w:r>
      <w:r w:rsidR="00611653" w:rsidRPr="009A119E">
        <w:rPr>
          <w:lang w:val="en-GB"/>
        </w:rPr>
        <w:t>,</w:t>
      </w:r>
      <w:r w:rsidRPr="009A119E">
        <w:rPr>
          <w:lang w:val="en-GB"/>
        </w:rPr>
        <w:t xml:space="preserve"> especially females and ethnic minorities.</w:t>
      </w:r>
      <w:r w:rsidR="00CA1CC6" w:rsidRPr="009A119E">
        <w:rPr>
          <w:lang w:val="en-GB"/>
        </w:rPr>
        <w:t xml:space="preserve"> </w:t>
      </w:r>
      <w:r w:rsidRPr="009A119E">
        <w:rPr>
          <w:lang w:val="en-GB"/>
        </w:rPr>
        <w:t xml:space="preserve">This landscape is further complicated by the growth of adult self-identification, which in most cases is enabled by online communities. Online technologies have the potential to empower patients to request attention and erase the lines between clinical evaluation and self-diagnosis. Increased demand has exerted pressure </w:t>
      </w:r>
      <w:r w:rsidR="00611653" w:rsidRPr="009A119E">
        <w:rPr>
          <w:lang w:val="en-GB"/>
        </w:rPr>
        <w:t>on</w:t>
      </w:r>
      <w:r w:rsidRPr="009A119E">
        <w:rPr>
          <w:lang w:val="en-GB"/>
        </w:rPr>
        <w:t xml:space="preserve"> already stressed services and led to long waiting lists. Therefore, diagnostic proliferation captures the advance on acknowledgment and new anxieties on sustainability, boundary definition and social orderliness.</w:t>
      </w:r>
    </w:p>
    <w:p w14:paraId="4739E6A7" w14:textId="78ADE6ED" w:rsidR="00F859DC" w:rsidRPr="009A119E" w:rsidRDefault="00F859DC" w:rsidP="00CA1CC6">
      <w:pPr>
        <w:pStyle w:val="Heading2"/>
        <w:rPr>
          <w:lang w:val="en-GB"/>
        </w:rPr>
      </w:pPr>
      <w:bookmarkStart w:id="22" w:name="_Toc223110464"/>
      <w:bookmarkStart w:id="23" w:name="_Toc223127975"/>
      <w:r w:rsidRPr="009A119E">
        <w:rPr>
          <w:lang w:val="en-GB"/>
        </w:rPr>
        <w:t>Policy and Practice Implications</w:t>
      </w:r>
      <w:bookmarkEnd w:id="22"/>
      <w:bookmarkEnd w:id="23"/>
    </w:p>
    <w:p w14:paraId="01D426A0" w14:textId="3D5D6EDA" w:rsidR="00CA1CC6" w:rsidRPr="009A119E" w:rsidRDefault="008350F6" w:rsidP="002C4C8B">
      <w:pPr>
        <w:rPr>
          <w:lang w:val="en-GB"/>
        </w:rPr>
      </w:pPr>
      <w:r w:rsidRPr="009A119E">
        <w:rPr>
          <w:lang w:val="en-GB"/>
        </w:rPr>
        <w:t xml:space="preserve">Material consequences are the result of classification decisions. Diagnostic labelling is a kind of bureaucratic avenue to the resources, a medical authority hidden </w:t>
      </w:r>
      <w:r w:rsidR="00611653" w:rsidRPr="009A119E">
        <w:rPr>
          <w:lang w:val="en-GB"/>
        </w:rPr>
        <w:t>within</w:t>
      </w:r>
      <w:r w:rsidRPr="009A119E">
        <w:rPr>
          <w:lang w:val="en-GB"/>
        </w:rPr>
        <w:t xml:space="preserve"> the social welfare systems (Arribas-Ayllon, 2025). In numerous programs, to claim educational accommodations, specialist support or disability entitlement formal diagnosis is needed. In turn, the ICD-11 </w:t>
      </w:r>
      <w:r w:rsidR="00611653" w:rsidRPr="009A119E">
        <w:rPr>
          <w:lang w:val="en-GB"/>
        </w:rPr>
        <w:t>categorisation</w:t>
      </w:r>
      <w:r w:rsidRPr="009A119E">
        <w:rPr>
          <w:lang w:val="en-GB"/>
        </w:rPr>
        <w:t xml:space="preserve"> affects the resource allocation, human resources and access to services.</w:t>
      </w:r>
      <w:r w:rsidR="00CA1CC6" w:rsidRPr="009A119E">
        <w:rPr>
          <w:lang w:val="en-GB"/>
        </w:rPr>
        <w:t xml:space="preserve"> </w:t>
      </w:r>
      <w:r w:rsidRPr="009A119E">
        <w:rPr>
          <w:lang w:val="en-GB"/>
        </w:rPr>
        <w:t xml:space="preserve">Medical labelling has the capacity to authorise needs of support and empower rights-based advocacy in disability legislation. Nevertheless, it can also create more stigma once autism is presented purely as </w:t>
      </w:r>
      <w:r w:rsidR="00611653" w:rsidRPr="009A119E">
        <w:rPr>
          <w:lang w:val="en-GB"/>
        </w:rPr>
        <w:t xml:space="preserve">a </w:t>
      </w:r>
      <w:r w:rsidRPr="009A119E">
        <w:rPr>
          <w:lang w:val="en-GB"/>
        </w:rPr>
        <w:t xml:space="preserve">mental disorder. </w:t>
      </w:r>
      <w:r w:rsidR="009A119E" w:rsidRPr="009A119E">
        <w:rPr>
          <w:lang w:val="en-GB"/>
        </w:rPr>
        <w:t>Policymakers</w:t>
      </w:r>
      <w:r w:rsidRPr="009A119E">
        <w:rPr>
          <w:lang w:val="en-GB"/>
        </w:rPr>
        <w:t xml:space="preserve"> are thus forced to strike a balance between clinical and inclusive and rights-based approaches. The difficulty is in making sure that classification can allow distributing resources evenly without infringing </w:t>
      </w:r>
      <w:r w:rsidR="00611653" w:rsidRPr="009A119E">
        <w:rPr>
          <w:lang w:val="en-GB"/>
        </w:rPr>
        <w:t xml:space="preserve">on </w:t>
      </w:r>
      <w:r w:rsidRPr="009A119E">
        <w:rPr>
          <w:lang w:val="en-GB"/>
        </w:rPr>
        <w:t xml:space="preserve">neurodivergent identity or unjustly </w:t>
      </w:r>
      <w:proofErr w:type="spellStart"/>
      <w:r w:rsidRPr="009A119E">
        <w:rPr>
          <w:lang w:val="en-GB"/>
        </w:rPr>
        <w:t>pathologising</w:t>
      </w:r>
      <w:proofErr w:type="spellEnd"/>
      <w:r w:rsidRPr="009A119E">
        <w:rPr>
          <w:lang w:val="en-GB"/>
        </w:rPr>
        <w:t xml:space="preserve"> it.</w:t>
      </w:r>
    </w:p>
    <w:p w14:paraId="47E2176D" w14:textId="0AC4EF88" w:rsidR="001D1714" w:rsidRPr="009A119E" w:rsidRDefault="001D1714" w:rsidP="00CA1CC6">
      <w:pPr>
        <w:pStyle w:val="Heading1"/>
        <w:rPr>
          <w:rFonts w:ascii="Times New Roman" w:hAnsi="Times New Roman"/>
          <w:lang w:val="en-GB"/>
        </w:rPr>
      </w:pPr>
      <w:bookmarkStart w:id="24" w:name="_Toc223110465"/>
      <w:bookmarkStart w:id="25" w:name="_Toc223127976"/>
      <w:r w:rsidRPr="009A119E">
        <w:rPr>
          <w:lang w:val="en-GB"/>
        </w:rPr>
        <w:t>Recommendations</w:t>
      </w:r>
      <w:bookmarkEnd w:id="24"/>
      <w:bookmarkEnd w:id="25"/>
    </w:p>
    <w:p w14:paraId="1E9273E0" w14:textId="77777777" w:rsidR="00130F8E" w:rsidRPr="009A119E" w:rsidRDefault="00611653" w:rsidP="00130F8E">
      <w:pPr>
        <w:rPr>
          <w:lang w:val="en-GB"/>
        </w:rPr>
      </w:pPr>
      <w:r w:rsidRPr="009A119E">
        <w:rPr>
          <w:lang w:val="en-GB"/>
        </w:rPr>
        <w:t>To</w:t>
      </w:r>
      <w:r w:rsidR="004B5D03" w:rsidRPr="009A119E">
        <w:rPr>
          <w:lang w:val="en-GB"/>
        </w:rPr>
        <w:t xml:space="preserve"> enhance the classification, diagnosis, and support of Autism Spectrum Disorder (ASD), </w:t>
      </w:r>
      <w:r w:rsidRPr="009A119E">
        <w:rPr>
          <w:lang w:val="en-GB"/>
        </w:rPr>
        <w:t>several</w:t>
      </w:r>
      <w:r w:rsidR="004B5D03" w:rsidRPr="009A119E">
        <w:rPr>
          <w:lang w:val="en-GB"/>
        </w:rPr>
        <w:t xml:space="preserve"> effective additions can be provided. First, there should be the use of gender-sensitive assessment instruments in the diagnostic frameworks. Existing standards tend to be male-characteristic, resulting in timely but missing diagnoses in females that can conceal social problems (Cook, Hull and Mandy, 2024). Re-evaluation of screening tools and training of clinicians would improve </w:t>
      </w:r>
      <w:r w:rsidR="004B5D03" w:rsidRPr="009A119E">
        <w:rPr>
          <w:lang w:val="en-GB"/>
        </w:rPr>
        <w:lastRenderedPageBreak/>
        <w:t>practise and diagnostic quality.</w:t>
      </w:r>
      <w:r w:rsidR="00CA1CC6" w:rsidRPr="009A119E">
        <w:rPr>
          <w:lang w:val="en-GB"/>
        </w:rPr>
        <w:t xml:space="preserve"> </w:t>
      </w:r>
      <w:r w:rsidR="004B5D03" w:rsidRPr="009A119E">
        <w:rPr>
          <w:lang w:val="en-GB"/>
        </w:rPr>
        <w:t xml:space="preserve">Second, there is the need to broaden adult pathways of diagnosis. </w:t>
      </w:r>
      <w:r w:rsidRPr="009A119E">
        <w:rPr>
          <w:lang w:val="en-GB"/>
        </w:rPr>
        <w:t>Several</w:t>
      </w:r>
      <w:r w:rsidR="004B5D03" w:rsidRPr="009A119E">
        <w:rPr>
          <w:lang w:val="en-GB"/>
        </w:rPr>
        <w:t xml:space="preserve"> people are adults without any certificates, which reduces access to job services and mental health services. It would lessen the psychosocial consequences in the long-term by setting up organised adult assessment services.</w:t>
      </w:r>
      <w:r w:rsidR="00CA1CC6" w:rsidRPr="009A119E">
        <w:rPr>
          <w:lang w:val="en-GB"/>
        </w:rPr>
        <w:t xml:space="preserve"> </w:t>
      </w:r>
      <w:r w:rsidR="004B5D03" w:rsidRPr="009A119E">
        <w:rPr>
          <w:lang w:val="en-GB"/>
        </w:rPr>
        <w:t xml:space="preserve">Third, the </w:t>
      </w:r>
      <w:r w:rsidRPr="009A119E">
        <w:rPr>
          <w:lang w:val="en-GB"/>
        </w:rPr>
        <w:t>minimisation</w:t>
      </w:r>
      <w:r w:rsidR="004B5D03" w:rsidRPr="009A119E">
        <w:rPr>
          <w:lang w:val="en-GB"/>
        </w:rPr>
        <w:t xml:space="preserve"> of waiting times should become the priority of the policies. Workforce development and </w:t>
      </w:r>
      <w:r w:rsidRPr="009A119E">
        <w:rPr>
          <w:lang w:val="en-GB"/>
        </w:rPr>
        <w:t xml:space="preserve">a </w:t>
      </w:r>
      <w:r w:rsidR="004B5D03" w:rsidRPr="009A119E">
        <w:rPr>
          <w:lang w:val="en-GB"/>
        </w:rPr>
        <w:t>multidisciplinary team would allow intervention sooner, which is linked to better adaptive outcomes.</w:t>
      </w:r>
      <w:r w:rsidR="00CA1CC6" w:rsidRPr="009A119E">
        <w:rPr>
          <w:lang w:val="en-GB"/>
        </w:rPr>
        <w:t xml:space="preserve"> </w:t>
      </w:r>
      <w:r w:rsidR="004B5D03" w:rsidRPr="009A119E">
        <w:rPr>
          <w:lang w:val="en-GB"/>
        </w:rPr>
        <w:t>Also, it is necessary to encourage neurodiversity-informed practise. Individuals in health, education and social care must be trained in ways that acknowledge the need to support but also respect the autistic identity (Tamsin Meff et al., 2025). Models of health-social relationships involving integrated services would cut down on fragmentation and enhance continuity of support.</w:t>
      </w:r>
      <w:r w:rsidR="00CA1CC6" w:rsidRPr="009A119E">
        <w:rPr>
          <w:lang w:val="en-GB"/>
        </w:rPr>
        <w:t xml:space="preserve"> </w:t>
      </w:r>
      <w:r w:rsidR="004B5D03" w:rsidRPr="009A119E">
        <w:rPr>
          <w:lang w:val="en-GB"/>
        </w:rPr>
        <w:t xml:space="preserve">Lastly, there is </w:t>
      </w:r>
      <w:r w:rsidRPr="009A119E">
        <w:rPr>
          <w:lang w:val="en-GB"/>
        </w:rPr>
        <w:t xml:space="preserve">a </w:t>
      </w:r>
      <w:r w:rsidR="004B5D03" w:rsidRPr="009A119E">
        <w:rPr>
          <w:lang w:val="en-GB"/>
        </w:rPr>
        <w:t xml:space="preserve">need to invest additional funding in </w:t>
      </w:r>
      <w:r w:rsidRPr="009A119E">
        <w:rPr>
          <w:lang w:val="en-GB"/>
        </w:rPr>
        <w:t>community-based</w:t>
      </w:r>
      <w:r w:rsidR="004B5D03" w:rsidRPr="009A119E">
        <w:rPr>
          <w:lang w:val="en-GB"/>
        </w:rPr>
        <w:t xml:space="preserve"> services and longitudinal studies to test inclusive models of care and guide sustainable policy making.</w:t>
      </w:r>
      <w:bookmarkStart w:id="26" w:name="_Toc223110466"/>
    </w:p>
    <w:p w14:paraId="7BDC2193" w14:textId="57882F7B" w:rsidR="00CA1CC6" w:rsidRPr="009A119E" w:rsidRDefault="001D1714" w:rsidP="00130F8E">
      <w:pPr>
        <w:pStyle w:val="Heading1"/>
        <w:rPr>
          <w:lang w:val="en-GB"/>
        </w:rPr>
      </w:pPr>
      <w:bookmarkStart w:id="27" w:name="_Toc223127977"/>
      <w:r w:rsidRPr="009A119E">
        <w:rPr>
          <w:lang w:val="en-GB"/>
        </w:rPr>
        <w:t>Conclusion</w:t>
      </w:r>
      <w:bookmarkEnd w:id="26"/>
      <w:bookmarkEnd w:id="27"/>
    </w:p>
    <w:p w14:paraId="73F02033" w14:textId="7C88EE5A" w:rsidR="00CA1CC6" w:rsidRPr="009A119E" w:rsidRDefault="00611653" w:rsidP="002C4C8B">
      <w:pPr>
        <w:rPr>
          <w:lang w:val="en-GB"/>
        </w:rPr>
      </w:pPr>
      <w:r w:rsidRPr="009A119E">
        <w:rPr>
          <w:lang w:val="en-GB"/>
        </w:rPr>
        <w:t>Autism Spectrum Disorder (ICD-11 6A02) belongs to the group of neurodevelopmental disorders in Chapter 6, which indicates a systematic and standardised diagnostic system. As much as ICD-11 offers more coherent criteria and dimensional agility, the process of diagnosing patients is still expected to be affected by subjectivity, cultural ambiguity, and gender inequality. Existing interventions, especially early behavioural and educational ones, are beneficial, although their effectiveness depends on ethical and access issues that occur. The neurodivergence controversy has altered the conception of autism and brought to the fore the incongruence between the terms of language of deficit and the conflict of identity and impairment. The future medical recognition needs to include the inclusive, rights-based, and person-centred practise and be integrated.</w:t>
      </w:r>
    </w:p>
    <w:p w14:paraId="2C2CE8A2" w14:textId="77777777" w:rsidR="00CA1CC6" w:rsidRPr="009A119E" w:rsidRDefault="00CA1CC6">
      <w:pPr>
        <w:jc w:val="left"/>
        <w:rPr>
          <w:lang w:val="en-GB"/>
        </w:rPr>
      </w:pPr>
      <w:r w:rsidRPr="009A119E">
        <w:rPr>
          <w:lang w:val="en-GB"/>
        </w:rPr>
        <w:br w:type="page"/>
      </w:r>
    </w:p>
    <w:p w14:paraId="16E8BAE4" w14:textId="77777777" w:rsidR="00963E23" w:rsidRPr="009A119E" w:rsidRDefault="00963E23" w:rsidP="00963E23">
      <w:pPr>
        <w:pStyle w:val="Heading1"/>
        <w:rPr>
          <w:rFonts w:ascii="Times New Roman" w:hAnsi="Times New Roman"/>
          <w:lang w:val="en-GB"/>
        </w:rPr>
      </w:pPr>
      <w:bookmarkStart w:id="28" w:name="_Toc223110467"/>
      <w:bookmarkStart w:id="29" w:name="_Toc223127978"/>
      <w:r w:rsidRPr="009A119E">
        <w:rPr>
          <w:lang w:val="en-GB"/>
        </w:rPr>
        <w:lastRenderedPageBreak/>
        <w:t>References</w:t>
      </w:r>
      <w:bookmarkEnd w:id="28"/>
      <w:bookmarkEnd w:id="29"/>
    </w:p>
    <w:p w14:paraId="795673F9" w14:textId="306585C7" w:rsidR="00963E23" w:rsidRPr="009A119E" w:rsidRDefault="00963E23" w:rsidP="00963E23">
      <w:pPr>
        <w:rPr>
          <w:lang w:val="en-GB"/>
        </w:rPr>
      </w:pPr>
      <w:r w:rsidRPr="009A119E">
        <w:rPr>
          <w:lang w:val="en-GB"/>
        </w:rPr>
        <w:t xml:space="preserve">Arribas-Ayllon, M. (2025). Autism in Wales: Diagnostic regimes and the governance of care under scarcity. </w:t>
      </w:r>
      <w:r w:rsidRPr="009A119E">
        <w:rPr>
          <w:i/>
          <w:iCs/>
          <w:lang w:val="en-GB"/>
        </w:rPr>
        <w:t>SSM - Qualitative Research in Health</w:t>
      </w:r>
      <w:r w:rsidRPr="009A119E">
        <w:rPr>
          <w:lang w:val="en-GB"/>
        </w:rPr>
        <w:t xml:space="preserve">, </w:t>
      </w:r>
      <w:r w:rsidRPr="009A119E">
        <w:rPr>
          <w:i/>
          <w:iCs/>
          <w:lang w:val="en-GB"/>
        </w:rPr>
        <w:t>8</w:t>
      </w:r>
      <w:r w:rsidRPr="009A119E">
        <w:rPr>
          <w:lang w:val="en-GB"/>
        </w:rPr>
        <w:t xml:space="preserve">, 100668. </w:t>
      </w:r>
      <w:hyperlink r:id="rId9" w:history="1">
        <w:r w:rsidRPr="009A119E">
          <w:rPr>
            <w:rStyle w:val="Hyperlink"/>
            <w:lang w:val="en-GB"/>
          </w:rPr>
          <w:t>https://doi.org/10.1016/j.ssmqr.2025.100668</w:t>
        </w:r>
      </w:hyperlink>
      <w:r w:rsidRPr="009A119E">
        <w:rPr>
          <w:lang w:val="en-GB"/>
        </w:rPr>
        <w:t xml:space="preserve"> </w:t>
      </w:r>
    </w:p>
    <w:p w14:paraId="04AC0BAD" w14:textId="0E620729" w:rsidR="00963E23" w:rsidRPr="009A119E" w:rsidRDefault="00963E23" w:rsidP="00963E23">
      <w:pPr>
        <w:rPr>
          <w:lang w:val="en-GB"/>
        </w:rPr>
      </w:pPr>
      <w:r w:rsidRPr="009A119E">
        <w:rPr>
          <w:lang w:val="en-GB"/>
        </w:rPr>
        <w:t xml:space="preserve">Botha, M., &amp; Gillespie-Lynch, K. (2022). Come As You Are: Examining Autistic Identity Development and the Neurodiversity Movement through an Intersectional Lens. </w:t>
      </w:r>
      <w:r w:rsidRPr="009A119E">
        <w:rPr>
          <w:i/>
          <w:iCs/>
          <w:lang w:val="en-GB"/>
        </w:rPr>
        <w:t>Human Development</w:t>
      </w:r>
      <w:r w:rsidRPr="009A119E">
        <w:rPr>
          <w:lang w:val="en-GB"/>
        </w:rPr>
        <w:t xml:space="preserve">, </w:t>
      </w:r>
      <w:r w:rsidRPr="009A119E">
        <w:rPr>
          <w:i/>
          <w:iCs/>
          <w:lang w:val="en-GB"/>
        </w:rPr>
        <w:t>66</w:t>
      </w:r>
      <w:r w:rsidRPr="009A119E">
        <w:rPr>
          <w:lang w:val="en-GB"/>
        </w:rPr>
        <w:t xml:space="preserve">(2), 93–112. </w:t>
      </w:r>
      <w:hyperlink r:id="rId10" w:history="1">
        <w:r w:rsidRPr="009A119E">
          <w:rPr>
            <w:rStyle w:val="Hyperlink"/>
            <w:lang w:val="en-GB"/>
          </w:rPr>
          <w:t>https://doi.org/10.1159/000524123</w:t>
        </w:r>
      </w:hyperlink>
      <w:r w:rsidRPr="009A119E">
        <w:rPr>
          <w:lang w:val="en-GB"/>
        </w:rPr>
        <w:t xml:space="preserve"> </w:t>
      </w:r>
    </w:p>
    <w:p w14:paraId="574894D5" w14:textId="3F387663" w:rsidR="00963E23" w:rsidRPr="009A119E" w:rsidRDefault="00963E23" w:rsidP="00963E23">
      <w:pPr>
        <w:rPr>
          <w:lang w:val="en-GB"/>
        </w:rPr>
      </w:pPr>
      <w:r w:rsidRPr="009A119E">
        <w:rPr>
          <w:lang w:val="en-GB"/>
        </w:rPr>
        <w:t xml:space="preserve">Cook, J., Hull, L., &amp; Mandy, W. (2024). Improving Diagnostic Procedures in Autism for Girls and Women: a Narrative Review. </w:t>
      </w:r>
      <w:r w:rsidRPr="009A119E">
        <w:rPr>
          <w:i/>
          <w:iCs/>
          <w:lang w:val="en-GB"/>
        </w:rPr>
        <w:t>Neuropsychiatric Disease and Treatment</w:t>
      </w:r>
      <w:r w:rsidRPr="009A119E">
        <w:rPr>
          <w:lang w:val="en-GB"/>
        </w:rPr>
        <w:t xml:space="preserve">, </w:t>
      </w:r>
      <w:r w:rsidRPr="009A119E">
        <w:rPr>
          <w:i/>
          <w:iCs/>
          <w:lang w:val="en-GB"/>
        </w:rPr>
        <w:t>Volume 20</w:t>
      </w:r>
      <w:r w:rsidRPr="009A119E">
        <w:rPr>
          <w:lang w:val="en-GB"/>
        </w:rPr>
        <w:t xml:space="preserve">(20), 505–514. </w:t>
      </w:r>
      <w:hyperlink r:id="rId11" w:history="1">
        <w:r w:rsidRPr="009A119E">
          <w:rPr>
            <w:rStyle w:val="Hyperlink"/>
            <w:lang w:val="en-GB"/>
          </w:rPr>
          <w:t>https://doi.org/10.2147/ndt.s372723</w:t>
        </w:r>
      </w:hyperlink>
      <w:r w:rsidRPr="009A119E">
        <w:rPr>
          <w:lang w:val="en-GB"/>
        </w:rPr>
        <w:t xml:space="preserve"> </w:t>
      </w:r>
    </w:p>
    <w:p w14:paraId="168296EF" w14:textId="409BC1C1" w:rsidR="00963E23" w:rsidRPr="009A119E" w:rsidRDefault="00963E23" w:rsidP="00963E23">
      <w:pPr>
        <w:rPr>
          <w:lang w:val="en-GB"/>
        </w:rPr>
      </w:pPr>
      <w:r w:rsidRPr="009A119E">
        <w:rPr>
          <w:lang w:val="en-GB"/>
        </w:rPr>
        <w:t xml:space="preserve">Deniz, E., Francis, G., Torgerson, C., &amp; </w:t>
      </w:r>
      <w:proofErr w:type="spellStart"/>
      <w:r w:rsidRPr="009A119E">
        <w:rPr>
          <w:lang w:val="en-GB"/>
        </w:rPr>
        <w:t>Toseeb</w:t>
      </w:r>
      <w:proofErr w:type="spellEnd"/>
      <w:r w:rsidRPr="009A119E">
        <w:rPr>
          <w:lang w:val="en-GB"/>
        </w:rPr>
        <w:t>, U. (2022). Parent-mediated play</w:t>
      </w:r>
      <w:r w:rsidRPr="009A119E">
        <w:rPr>
          <w:rFonts w:ascii="Cambria Math" w:hAnsi="Cambria Math" w:cs="Cambria Math"/>
          <w:lang w:val="en-GB"/>
        </w:rPr>
        <w:t>‐</w:t>
      </w:r>
      <w:r w:rsidRPr="009A119E">
        <w:rPr>
          <w:lang w:val="en-GB"/>
        </w:rPr>
        <w:t xml:space="preserve">based interventions to improve social communication and language skills of preschool autistic children: A systematic review and meta-analysis protocol. </w:t>
      </w:r>
      <w:r w:rsidRPr="009A119E">
        <w:rPr>
          <w:i/>
          <w:iCs/>
          <w:lang w:val="en-GB"/>
        </w:rPr>
        <w:t>PLOS ONE</w:t>
      </w:r>
      <w:r w:rsidRPr="009A119E">
        <w:rPr>
          <w:lang w:val="en-GB"/>
        </w:rPr>
        <w:t xml:space="preserve">, </w:t>
      </w:r>
      <w:r w:rsidRPr="009A119E">
        <w:rPr>
          <w:i/>
          <w:iCs/>
          <w:lang w:val="en-GB"/>
        </w:rPr>
        <w:t>17</w:t>
      </w:r>
      <w:r w:rsidRPr="009A119E">
        <w:rPr>
          <w:lang w:val="en-GB"/>
        </w:rPr>
        <w:t xml:space="preserve">(8), e0270153. </w:t>
      </w:r>
      <w:hyperlink r:id="rId12" w:history="1">
        <w:r w:rsidRPr="009A119E">
          <w:rPr>
            <w:rStyle w:val="Hyperlink"/>
            <w:lang w:val="en-GB"/>
          </w:rPr>
          <w:t>https://doi.org/10.1371/journal.pone.0270153</w:t>
        </w:r>
      </w:hyperlink>
      <w:r w:rsidRPr="009A119E">
        <w:rPr>
          <w:lang w:val="en-GB"/>
        </w:rPr>
        <w:t xml:space="preserve"> </w:t>
      </w:r>
    </w:p>
    <w:p w14:paraId="2AE5035A" w14:textId="51EFAF8C" w:rsidR="00963E23" w:rsidRPr="009A119E" w:rsidRDefault="00963E23" w:rsidP="00963E23">
      <w:pPr>
        <w:rPr>
          <w:lang w:val="en-GB"/>
        </w:rPr>
      </w:pPr>
      <w:r w:rsidRPr="009A119E">
        <w:rPr>
          <w:lang w:val="en-GB"/>
        </w:rPr>
        <w:t xml:space="preserve">Elst, van, Riedel, A., &amp; </w:t>
      </w:r>
      <w:proofErr w:type="spellStart"/>
      <w:r w:rsidRPr="009A119E">
        <w:rPr>
          <w:lang w:val="en-GB"/>
        </w:rPr>
        <w:t>Biscaldi</w:t>
      </w:r>
      <w:proofErr w:type="spellEnd"/>
      <w:r w:rsidRPr="009A119E">
        <w:rPr>
          <w:lang w:val="en-GB"/>
        </w:rPr>
        <w:t xml:space="preserve">-Schäfer, M. (2025). The reclassification of neurodevelopmental disorders in ICD-11. </w:t>
      </w:r>
      <w:r w:rsidRPr="009A119E">
        <w:rPr>
          <w:i/>
          <w:iCs/>
          <w:lang w:val="en-GB"/>
        </w:rPr>
        <w:t xml:space="preserve">Der </w:t>
      </w:r>
      <w:proofErr w:type="spellStart"/>
      <w:r w:rsidRPr="009A119E">
        <w:rPr>
          <w:i/>
          <w:iCs/>
          <w:lang w:val="en-GB"/>
        </w:rPr>
        <w:t>Nervenarzt</w:t>
      </w:r>
      <w:proofErr w:type="spellEnd"/>
      <w:r w:rsidRPr="009A119E">
        <w:rPr>
          <w:lang w:val="en-GB"/>
        </w:rPr>
        <w:t xml:space="preserve">. </w:t>
      </w:r>
      <w:hyperlink r:id="rId13" w:history="1">
        <w:r w:rsidRPr="009A119E">
          <w:rPr>
            <w:rStyle w:val="Hyperlink"/>
            <w:lang w:val="en-GB"/>
          </w:rPr>
          <w:t>https://doi.org/10.1007/s00115-025-01876-w</w:t>
        </w:r>
      </w:hyperlink>
      <w:r w:rsidRPr="009A119E">
        <w:rPr>
          <w:lang w:val="en-GB"/>
        </w:rPr>
        <w:t xml:space="preserve"> </w:t>
      </w:r>
    </w:p>
    <w:p w14:paraId="2EBE53D6" w14:textId="4D98AA55" w:rsidR="00963E23" w:rsidRPr="009A119E" w:rsidRDefault="00963E23" w:rsidP="00963E23">
      <w:pPr>
        <w:rPr>
          <w:lang w:val="en-GB"/>
        </w:rPr>
      </w:pPr>
      <w:r w:rsidRPr="009A119E">
        <w:rPr>
          <w:lang w:val="en-GB"/>
        </w:rPr>
        <w:t xml:space="preserve">Greaves-Lord, K., Skuse, D., &amp; Mandy, W. (2022). Innovations of the ICD-11 in the field of </w:t>
      </w:r>
      <w:proofErr w:type="gramStart"/>
      <w:r w:rsidRPr="009A119E">
        <w:rPr>
          <w:lang w:val="en-GB"/>
        </w:rPr>
        <w:t>Autism Spectrum Disorder</w:t>
      </w:r>
      <w:proofErr w:type="gramEnd"/>
      <w:r w:rsidRPr="009A119E">
        <w:rPr>
          <w:lang w:val="en-GB"/>
        </w:rPr>
        <w:t xml:space="preserve">: A psychological approach. </w:t>
      </w:r>
      <w:r w:rsidRPr="009A119E">
        <w:rPr>
          <w:i/>
          <w:iCs/>
          <w:lang w:val="en-GB"/>
        </w:rPr>
        <w:t>Clinical Psychology in Europe</w:t>
      </w:r>
      <w:r w:rsidRPr="009A119E">
        <w:rPr>
          <w:lang w:val="en-GB"/>
        </w:rPr>
        <w:t xml:space="preserve">, </w:t>
      </w:r>
      <w:r w:rsidRPr="009A119E">
        <w:rPr>
          <w:i/>
          <w:iCs/>
          <w:lang w:val="en-GB"/>
        </w:rPr>
        <w:t>4</w:t>
      </w:r>
      <w:r w:rsidRPr="009A119E">
        <w:rPr>
          <w:lang w:val="en-GB"/>
        </w:rPr>
        <w:t xml:space="preserve">(Special Issue). </w:t>
      </w:r>
      <w:hyperlink r:id="rId14" w:history="1">
        <w:r w:rsidRPr="009A119E">
          <w:rPr>
            <w:rStyle w:val="Hyperlink"/>
            <w:lang w:val="en-GB"/>
          </w:rPr>
          <w:t>https://doi.org/10.32872/cpe.10005</w:t>
        </w:r>
      </w:hyperlink>
      <w:r w:rsidRPr="009A119E">
        <w:rPr>
          <w:lang w:val="en-GB"/>
        </w:rPr>
        <w:t xml:space="preserve"> </w:t>
      </w:r>
    </w:p>
    <w:p w14:paraId="56A2FECD" w14:textId="62EE3A55" w:rsidR="00963E23" w:rsidRPr="009A119E" w:rsidRDefault="00963E23" w:rsidP="00963E23">
      <w:pPr>
        <w:rPr>
          <w:lang w:val="en-GB"/>
        </w:rPr>
      </w:pPr>
      <w:r w:rsidRPr="009A119E">
        <w:rPr>
          <w:lang w:val="en-GB"/>
        </w:rPr>
        <w:t xml:space="preserve">Heinze, C. (2025). Workplace Accommodations and Employment Outcomes Among Employees </w:t>
      </w:r>
      <w:proofErr w:type="gramStart"/>
      <w:r w:rsidRPr="009A119E">
        <w:rPr>
          <w:lang w:val="en-GB"/>
        </w:rPr>
        <w:t>With</w:t>
      </w:r>
      <w:proofErr w:type="gramEnd"/>
      <w:r w:rsidRPr="009A119E">
        <w:rPr>
          <w:lang w:val="en-GB"/>
        </w:rPr>
        <w:t xml:space="preserve"> Autism: A Systematic Review. </w:t>
      </w:r>
      <w:r w:rsidRPr="009A119E">
        <w:rPr>
          <w:i/>
          <w:iCs/>
          <w:lang w:val="en-GB"/>
        </w:rPr>
        <w:t>Cureus</w:t>
      </w:r>
      <w:r w:rsidRPr="009A119E">
        <w:rPr>
          <w:lang w:val="en-GB"/>
        </w:rPr>
        <w:t xml:space="preserve">. </w:t>
      </w:r>
      <w:hyperlink r:id="rId15" w:history="1">
        <w:r w:rsidRPr="009A119E">
          <w:rPr>
            <w:rStyle w:val="Hyperlink"/>
            <w:lang w:val="en-GB"/>
          </w:rPr>
          <w:t>https://doi.org/10.7759/cureus.99353</w:t>
        </w:r>
      </w:hyperlink>
      <w:r w:rsidRPr="009A119E">
        <w:rPr>
          <w:lang w:val="en-GB"/>
        </w:rPr>
        <w:t xml:space="preserve"> </w:t>
      </w:r>
    </w:p>
    <w:p w14:paraId="4615D1F1" w14:textId="3EEC5F44" w:rsidR="00963E23" w:rsidRPr="009A119E" w:rsidRDefault="00963E23" w:rsidP="00963E23">
      <w:pPr>
        <w:rPr>
          <w:lang w:val="en-GB"/>
        </w:rPr>
      </w:pPr>
      <w:r w:rsidRPr="009A119E">
        <w:rPr>
          <w:lang w:val="en-GB"/>
        </w:rPr>
        <w:t xml:space="preserve">Jablensky, A. (2016). Psychiatric classifications: validity and utility. </w:t>
      </w:r>
      <w:r w:rsidRPr="009A119E">
        <w:rPr>
          <w:i/>
          <w:iCs/>
          <w:lang w:val="en-GB"/>
        </w:rPr>
        <w:t>World Psychiatry</w:t>
      </w:r>
      <w:r w:rsidRPr="009A119E">
        <w:rPr>
          <w:lang w:val="en-GB"/>
        </w:rPr>
        <w:t xml:space="preserve">, </w:t>
      </w:r>
      <w:r w:rsidRPr="009A119E">
        <w:rPr>
          <w:i/>
          <w:iCs/>
          <w:lang w:val="en-GB"/>
        </w:rPr>
        <w:t>15</w:t>
      </w:r>
      <w:r w:rsidRPr="009A119E">
        <w:rPr>
          <w:lang w:val="en-GB"/>
        </w:rPr>
        <w:t xml:space="preserve">(1), 26–31. </w:t>
      </w:r>
      <w:hyperlink r:id="rId16" w:history="1">
        <w:r w:rsidRPr="009A119E">
          <w:rPr>
            <w:rStyle w:val="Hyperlink"/>
            <w:lang w:val="en-GB"/>
          </w:rPr>
          <w:t>https://doi.org/10.1002/wps.20284</w:t>
        </w:r>
      </w:hyperlink>
      <w:r w:rsidRPr="009A119E">
        <w:rPr>
          <w:lang w:val="en-GB"/>
        </w:rPr>
        <w:t xml:space="preserve"> </w:t>
      </w:r>
    </w:p>
    <w:p w14:paraId="4E23F1BA" w14:textId="35E462CC" w:rsidR="00963E23" w:rsidRPr="009A119E" w:rsidRDefault="00963E23" w:rsidP="00963E23">
      <w:pPr>
        <w:rPr>
          <w:lang w:val="en-GB"/>
        </w:rPr>
      </w:pPr>
      <w:r w:rsidRPr="009A119E">
        <w:rPr>
          <w:lang w:val="en-GB"/>
        </w:rPr>
        <w:t xml:space="preserve">Magliano, D. J., &amp; Boyko, E. J. (2021). IDF Diabetes Atlas. In </w:t>
      </w:r>
      <w:r w:rsidRPr="009A119E">
        <w:rPr>
          <w:i/>
          <w:iCs/>
          <w:lang w:val="en-GB"/>
        </w:rPr>
        <w:t>www.ncbi.nlm.nih.gov</w:t>
      </w:r>
      <w:r w:rsidRPr="009A119E">
        <w:rPr>
          <w:lang w:val="en-GB"/>
        </w:rPr>
        <w:t xml:space="preserve">. International Diabetes Federation. </w:t>
      </w:r>
      <w:hyperlink r:id="rId17" w:history="1">
        <w:r w:rsidRPr="009A119E">
          <w:rPr>
            <w:rStyle w:val="Hyperlink"/>
            <w:lang w:val="en-GB"/>
          </w:rPr>
          <w:t>https://www.ncbi.nlm.nih.gov/books/NBK581940/</w:t>
        </w:r>
      </w:hyperlink>
      <w:r w:rsidRPr="009A119E">
        <w:rPr>
          <w:lang w:val="en-GB"/>
        </w:rPr>
        <w:t xml:space="preserve"> </w:t>
      </w:r>
    </w:p>
    <w:p w14:paraId="53FD4AFB" w14:textId="20022728" w:rsidR="00963E23" w:rsidRPr="009A119E" w:rsidRDefault="00963E23" w:rsidP="00963E23">
      <w:pPr>
        <w:rPr>
          <w:lang w:val="en-GB"/>
        </w:rPr>
      </w:pPr>
      <w:r w:rsidRPr="009A119E">
        <w:rPr>
          <w:lang w:val="en-GB"/>
        </w:rPr>
        <w:lastRenderedPageBreak/>
        <w:t xml:space="preserve">Shaw, J., &amp; Wickenden, M. (2024). “I am Pleased to Share my Thoughts and Opinions”- Including Marginalised People with Disabilities in Inclusive Qualitative Research in Bangladesh Through Creative, Relational Methodologies. </w:t>
      </w:r>
      <w:r w:rsidRPr="009A119E">
        <w:rPr>
          <w:i/>
          <w:iCs/>
          <w:lang w:val="en-GB"/>
        </w:rPr>
        <w:t>International Journal of Qualitative Methods</w:t>
      </w:r>
      <w:r w:rsidRPr="009A119E">
        <w:rPr>
          <w:lang w:val="en-GB"/>
        </w:rPr>
        <w:t xml:space="preserve">, </w:t>
      </w:r>
      <w:r w:rsidRPr="009A119E">
        <w:rPr>
          <w:i/>
          <w:iCs/>
          <w:lang w:val="en-GB"/>
        </w:rPr>
        <w:t>23</w:t>
      </w:r>
      <w:r w:rsidRPr="009A119E">
        <w:rPr>
          <w:lang w:val="en-GB"/>
        </w:rPr>
        <w:t xml:space="preserve">. </w:t>
      </w:r>
      <w:hyperlink r:id="rId18" w:history="1">
        <w:r w:rsidRPr="009A119E">
          <w:rPr>
            <w:rStyle w:val="Hyperlink"/>
            <w:lang w:val="en-GB"/>
          </w:rPr>
          <w:t>https://doi.org/10.1177/16094069241257948</w:t>
        </w:r>
      </w:hyperlink>
      <w:r w:rsidRPr="009A119E">
        <w:rPr>
          <w:lang w:val="en-GB"/>
        </w:rPr>
        <w:t xml:space="preserve"> </w:t>
      </w:r>
    </w:p>
    <w:p w14:paraId="373253EE" w14:textId="399CDE67" w:rsidR="00963E23" w:rsidRPr="009A119E" w:rsidRDefault="00963E23" w:rsidP="00963E23">
      <w:pPr>
        <w:rPr>
          <w:lang w:val="en-GB"/>
        </w:rPr>
      </w:pPr>
      <w:r w:rsidRPr="009A119E">
        <w:rPr>
          <w:lang w:val="en-GB"/>
        </w:rPr>
        <w:t xml:space="preserve">Shaw, K. A. (2025). Prevalence and Early Identification of Autism Spectrum Disorder Among Children Aged 4 and 8 Years — Autism and Developmental Disabilities Monitoring Network, 16 Sites, United States, 2022. </w:t>
      </w:r>
      <w:r w:rsidRPr="009A119E">
        <w:rPr>
          <w:i/>
          <w:iCs/>
          <w:lang w:val="en-GB"/>
        </w:rPr>
        <w:t>MMWR. Surveillance Summaries</w:t>
      </w:r>
      <w:r w:rsidRPr="009A119E">
        <w:rPr>
          <w:lang w:val="en-GB"/>
        </w:rPr>
        <w:t xml:space="preserve">, </w:t>
      </w:r>
      <w:r w:rsidRPr="009A119E">
        <w:rPr>
          <w:i/>
          <w:iCs/>
          <w:lang w:val="en-GB"/>
        </w:rPr>
        <w:t>74</w:t>
      </w:r>
      <w:r w:rsidRPr="009A119E">
        <w:rPr>
          <w:lang w:val="en-GB"/>
        </w:rPr>
        <w:t xml:space="preserve">(2). </w:t>
      </w:r>
      <w:hyperlink r:id="rId19" w:history="1">
        <w:r w:rsidRPr="009A119E">
          <w:rPr>
            <w:rStyle w:val="Hyperlink"/>
            <w:lang w:val="en-GB"/>
          </w:rPr>
          <w:t>https://doi.org/10.15585/mmwr.ss7402a1</w:t>
        </w:r>
      </w:hyperlink>
      <w:r w:rsidRPr="009A119E">
        <w:rPr>
          <w:lang w:val="en-GB"/>
        </w:rPr>
        <w:t xml:space="preserve"> </w:t>
      </w:r>
    </w:p>
    <w:p w14:paraId="20CA95A6" w14:textId="497BC238" w:rsidR="00963E23" w:rsidRPr="009A119E" w:rsidRDefault="00963E23" w:rsidP="00963E23">
      <w:pPr>
        <w:rPr>
          <w:lang w:val="en-GB"/>
        </w:rPr>
      </w:pPr>
      <w:r w:rsidRPr="009A119E">
        <w:rPr>
          <w:lang w:val="en-GB"/>
        </w:rPr>
        <w:t xml:space="preserve">Silva, J. F. (2025). THE APPLICATION OF APPLIED BEHAVIOR ANALYSIS (ABA) IN THE DEVELOPMENT OF INCLUSIVE PRODUCTS FOR CHILDREN WITH AUTISM. </w:t>
      </w:r>
      <w:r w:rsidRPr="009A119E">
        <w:rPr>
          <w:i/>
          <w:iCs/>
          <w:lang w:val="en-GB"/>
        </w:rPr>
        <w:t xml:space="preserve">Revista </w:t>
      </w:r>
      <w:proofErr w:type="spellStart"/>
      <w:r w:rsidRPr="009A119E">
        <w:rPr>
          <w:i/>
          <w:iCs/>
          <w:lang w:val="en-GB"/>
        </w:rPr>
        <w:t>Sistemática</w:t>
      </w:r>
      <w:proofErr w:type="spellEnd"/>
      <w:r w:rsidRPr="009A119E">
        <w:rPr>
          <w:lang w:val="en-GB"/>
        </w:rPr>
        <w:t xml:space="preserve">, </w:t>
      </w:r>
      <w:r w:rsidRPr="009A119E">
        <w:rPr>
          <w:i/>
          <w:iCs/>
          <w:lang w:val="en-GB"/>
        </w:rPr>
        <w:t>15</w:t>
      </w:r>
      <w:r w:rsidRPr="009A119E">
        <w:rPr>
          <w:lang w:val="en-GB"/>
        </w:rPr>
        <w:t xml:space="preserve">(5), 325–334. </w:t>
      </w:r>
      <w:hyperlink r:id="rId20" w:history="1">
        <w:r w:rsidRPr="009A119E">
          <w:rPr>
            <w:rStyle w:val="Hyperlink"/>
            <w:lang w:val="en-GB"/>
          </w:rPr>
          <w:t>https://doi.org/10.56238/rcsv15n5-004</w:t>
        </w:r>
      </w:hyperlink>
      <w:r w:rsidRPr="009A119E">
        <w:rPr>
          <w:lang w:val="en-GB"/>
        </w:rPr>
        <w:t xml:space="preserve"> </w:t>
      </w:r>
    </w:p>
    <w:p w14:paraId="16DBC006" w14:textId="430B0DBF" w:rsidR="00963E23" w:rsidRPr="009A119E" w:rsidRDefault="00963E23" w:rsidP="00963E23">
      <w:pPr>
        <w:rPr>
          <w:lang w:val="en-GB"/>
        </w:rPr>
      </w:pPr>
      <w:proofErr w:type="spellStart"/>
      <w:r w:rsidRPr="009A119E">
        <w:rPr>
          <w:lang w:val="en-GB"/>
        </w:rPr>
        <w:t>Superson</w:t>
      </w:r>
      <w:proofErr w:type="spellEnd"/>
      <w:r w:rsidRPr="009A119E">
        <w:rPr>
          <w:lang w:val="en-GB"/>
        </w:rPr>
        <w:t xml:space="preserve">, W., Prokopiak, A., &amp; </w:t>
      </w:r>
      <w:proofErr w:type="spellStart"/>
      <w:r w:rsidRPr="009A119E">
        <w:rPr>
          <w:lang w:val="en-GB"/>
        </w:rPr>
        <w:t>Wodziński</w:t>
      </w:r>
      <w:proofErr w:type="spellEnd"/>
      <w:r w:rsidRPr="009A119E">
        <w:rPr>
          <w:lang w:val="en-GB"/>
        </w:rPr>
        <w:t xml:space="preserve">, M. (2025). Experiences of an Autism Diagnosis in Adulthood: The Role of Grassroots Epistemology in Clinical Settings. </w:t>
      </w:r>
      <w:r w:rsidRPr="009A119E">
        <w:rPr>
          <w:i/>
          <w:iCs/>
          <w:lang w:val="en-GB"/>
        </w:rPr>
        <w:t>Journal of Clinical Medicine</w:t>
      </w:r>
      <w:r w:rsidRPr="009A119E">
        <w:rPr>
          <w:lang w:val="en-GB"/>
        </w:rPr>
        <w:t xml:space="preserve">, </w:t>
      </w:r>
      <w:r w:rsidRPr="009A119E">
        <w:rPr>
          <w:i/>
          <w:iCs/>
          <w:lang w:val="en-GB"/>
        </w:rPr>
        <w:t>14</w:t>
      </w:r>
      <w:r w:rsidRPr="009A119E">
        <w:rPr>
          <w:lang w:val="en-GB"/>
        </w:rPr>
        <w:t xml:space="preserve">(12), 4315. </w:t>
      </w:r>
      <w:hyperlink r:id="rId21" w:history="1">
        <w:r w:rsidRPr="009A119E">
          <w:rPr>
            <w:rStyle w:val="Hyperlink"/>
            <w:lang w:val="en-GB"/>
          </w:rPr>
          <w:t>https://doi.org/10.3390/jcm14124315</w:t>
        </w:r>
      </w:hyperlink>
      <w:r w:rsidRPr="009A119E">
        <w:rPr>
          <w:lang w:val="en-GB"/>
        </w:rPr>
        <w:t xml:space="preserve"> </w:t>
      </w:r>
    </w:p>
    <w:p w14:paraId="07625AEF" w14:textId="1312A995" w:rsidR="00963E23" w:rsidRPr="009A119E" w:rsidRDefault="00963E23" w:rsidP="00963E23">
      <w:pPr>
        <w:rPr>
          <w:lang w:val="en-GB"/>
        </w:rPr>
      </w:pPr>
      <w:r w:rsidRPr="009A119E">
        <w:rPr>
          <w:lang w:val="en-GB"/>
        </w:rPr>
        <w:t xml:space="preserve">Tamsin Meff, Muggleton, J., Johnston, L., &amp; Day, H. (2025). The Experience of Autistic Professionals Working in Health and Education: A Systematic Review. </w:t>
      </w:r>
      <w:r w:rsidRPr="009A119E">
        <w:rPr>
          <w:i/>
          <w:iCs/>
          <w:lang w:val="en-GB"/>
        </w:rPr>
        <w:t>Autism in Adulthood</w:t>
      </w:r>
      <w:r w:rsidRPr="009A119E">
        <w:rPr>
          <w:lang w:val="en-GB"/>
        </w:rPr>
        <w:t xml:space="preserve">. </w:t>
      </w:r>
      <w:hyperlink r:id="rId22" w:history="1">
        <w:r w:rsidRPr="009A119E">
          <w:rPr>
            <w:rStyle w:val="Hyperlink"/>
            <w:lang w:val="en-GB"/>
          </w:rPr>
          <w:t>https://doi.org/10.1177/25739581251392464</w:t>
        </w:r>
      </w:hyperlink>
      <w:r w:rsidRPr="009A119E">
        <w:rPr>
          <w:lang w:val="en-GB"/>
        </w:rPr>
        <w:t xml:space="preserve"> </w:t>
      </w:r>
    </w:p>
    <w:p w14:paraId="63473181" w14:textId="0280A0DE" w:rsidR="00963E23" w:rsidRPr="009A119E" w:rsidRDefault="00963E23" w:rsidP="00963E23">
      <w:pPr>
        <w:rPr>
          <w:lang w:val="en-GB"/>
        </w:rPr>
      </w:pPr>
      <w:r w:rsidRPr="009A119E">
        <w:rPr>
          <w:lang w:val="en-GB"/>
        </w:rPr>
        <w:t xml:space="preserve">Zeidan, J., </w:t>
      </w:r>
      <w:proofErr w:type="spellStart"/>
      <w:r w:rsidRPr="009A119E">
        <w:rPr>
          <w:lang w:val="en-GB"/>
        </w:rPr>
        <w:t>Fombonne</w:t>
      </w:r>
      <w:proofErr w:type="spellEnd"/>
      <w:r w:rsidRPr="009A119E">
        <w:rPr>
          <w:lang w:val="en-GB"/>
        </w:rPr>
        <w:t xml:space="preserve">, E., </w:t>
      </w:r>
      <w:proofErr w:type="spellStart"/>
      <w:r w:rsidRPr="009A119E">
        <w:rPr>
          <w:lang w:val="en-GB"/>
        </w:rPr>
        <w:t>Scorah</w:t>
      </w:r>
      <w:proofErr w:type="spellEnd"/>
      <w:r w:rsidRPr="009A119E">
        <w:rPr>
          <w:lang w:val="en-GB"/>
        </w:rPr>
        <w:t xml:space="preserve">, J., Ibrahim, A., Durkin, M. S., Saxena, S., Yusuf, A., Shih, A., &amp; </w:t>
      </w:r>
      <w:proofErr w:type="spellStart"/>
      <w:r w:rsidRPr="009A119E">
        <w:rPr>
          <w:lang w:val="en-GB"/>
        </w:rPr>
        <w:t>Elsabbagh</w:t>
      </w:r>
      <w:proofErr w:type="spellEnd"/>
      <w:r w:rsidRPr="009A119E">
        <w:rPr>
          <w:lang w:val="en-GB"/>
        </w:rPr>
        <w:t xml:space="preserve">, M. (2022). Global Prevalence of autism: a Systematic Review Update. </w:t>
      </w:r>
      <w:r w:rsidRPr="009A119E">
        <w:rPr>
          <w:i/>
          <w:iCs/>
          <w:lang w:val="en-GB"/>
        </w:rPr>
        <w:t>Autism Research</w:t>
      </w:r>
      <w:r w:rsidRPr="009A119E">
        <w:rPr>
          <w:lang w:val="en-GB"/>
        </w:rPr>
        <w:t xml:space="preserve">, </w:t>
      </w:r>
      <w:r w:rsidRPr="009A119E">
        <w:rPr>
          <w:i/>
          <w:iCs/>
          <w:lang w:val="en-GB"/>
        </w:rPr>
        <w:t>15</w:t>
      </w:r>
      <w:r w:rsidRPr="009A119E">
        <w:rPr>
          <w:lang w:val="en-GB"/>
        </w:rPr>
        <w:t xml:space="preserve">(5), 778–790. </w:t>
      </w:r>
      <w:hyperlink r:id="rId23" w:history="1">
        <w:r w:rsidRPr="009A119E">
          <w:rPr>
            <w:rStyle w:val="Hyperlink"/>
            <w:lang w:val="en-GB"/>
          </w:rPr>
          <w:t>https://doi.org/10.1002/aur.2696</w:t>
        </w:r>
      </w:hyperlink>
      <w:r w:rsidRPr="009A119E">
        <w:rPr>
          <w:lang w:val="en-GB"/>
        </w:rPr>
        <w:t xml:space="preserve"> </w:t>
      </w:r>
    </w:p>
    <w:p w14:paraId="64E33C30" w14:textId="77777777" w:rsidR="00DA2007" w:rsidRDefault="00DA2007" w:rsidP="002C4C8B"/>
    <w:sectPr w:rsidR="00DA2007">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BE5F80" w14:textId="77777777" w:rsidR="00635143" w:rsidRPr="009A119E" w:rsidRDefault="00635143" w:rsidP="00130F8E">
      <w:pPr>
        <w:spacing w:before="0" w:after="0" w:line="240" w:lineRule="auto"/>
        <w:rPr>
          <w:lang w:val="en-GB"/>
        </w:rPr>
      </w:pPr>
      <w:r w:rsidRPr="009A119E">
        <w:rPr>
          <w:lang w:val="en-GB"/>
        </w:rPr>
        <w:separator/>
      </w:r>
    </w:p>
  </w:endnote>
  <w:endnote w:type="continuationSeparator" w:id="0">
    <w:p w14:paraId="52FAFE15" w14:textId="77777777" w:rsidR="00635143" w:rsidRPr="009A119E" w:rsidRDefault="00635143" w:rsidP="00130F8E">
      <w:pPr>
        <w:spacing w:before="0" w:after="0" w:line="240" w:lineRule="auto"/>
        <w:rPr>
          <w:lang w:val="en-GB"/>
        </w:rPr>
      </w:pPr>
      <w:r w:rsidRPr="009A119E">
        <w:rPr>
          <w:lang w:val="en-GB"/>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lang w:val="en-GB"/>
      </w:rPr>
      <w:id w:val="777443653"/>
      <w:docPartObj>
        <w:docPartGallery w:val="Page Numbers (Bottom of Page)"/>
        <w:docPartUnique/>
      </w:docPartObj>
    </w:sdtPr>
    <w:sdtEndPr>
      <w:rPr>
        <w:color w:val="7F7F7F" w:themeColor="background1" w:themeShade="7F"/>
        <w:spacing w:val="60"/>
      </w:rPr>
    </w:sdtEndPr>
    <w:sdtContent>
      <w:p w14:paraId="6CDA4599" w14:textId="5FA6A595" w:rsidR="00130F8E" w:rsidRPr="009A119E" w:rsidRDefault="00130F8E">
        <w:pPr>
          <w:pStyle w:val="Footer"/>
          <w:pBdr>
            <w:top w:val="single" w:sz="4" w:space="1" w:color="D9D9D9" w:themeColor="background1" w:themeShade="D9"/>
          </w:pBdr>
          <w:rPr>
            <w:b/>
            <w:bCs/>
            <w:lang w:val="en-GB"/>
          </w:rPr>
        </w:pPr>
        <w:r w:rsidRPr="009A119E">
          <w:rPr>
            <w:lang w:val="en-GB"/>
          </w:rPr>
          <w:fldChar w:fldCharType="begin"/>
        </w:r>
        <w:r w:rsidRPr="009A119E">
          <w:rPr>
            <w:lang w:val="en-GB"/>
          </w:rPr>
          <w:instrText xml:space="preserve"> PAGE   \* MERGEFORMAT </w:instrText>
        </w:r>
        <w:r w:rsidRPr="009A119E">
          <w:rPr>
            <w:lang w:val="en-GB"/>
          </w:rPr>
          <w:fldChar w:fldCharType="separate"/>
        </w:r>
        <w:r w:rsidRPr="009A119E">
          <w:rPr>
            <w:b/>
            <w:bCs/>
            <w:lang w:val="en-GB"/>
          </w:rPr>
          <w:t>2</w:t>
        </w:r>
        <w:r w:rsidRPr="009A119E">
          <w:rPr>
            <w:b/>
            <w:bCs/>
            <w:lang w:val="en-GB"/>
          </w:rPr>
          <w:fldChar w:fldCharType="end"/>
        </w:r>
        <w:r w:rsidRPr="009A119E">
          <w:rPr>
            <w:b/>
            <w:bCs/>
            <w:lang w:val="en-GB"/>
          </w:rPr>
          <w:t xml:space="preserve"> | </w:t>
        </w:r>
        <w:r w:rsidRPr="009A119E">
          <w:rPr>
            <w:color w:val="7F7F7F" w:themeColor="background1" w:themeShade="7F"/>
            <w:spacing w:val="60"/>
            <w:lang w:val="en-GB"/>
          </w:rPr>
          <w:t>Page</w:t>
        </w:r>
      </w:p>
    </w:sdtContent>
  </w:sdt>
  <w:p w14:paraId="5CAF6410" w14:textId="77777777" w:rsidR="00130F8E" w:rsidRPr="009A119E" w:rsidRDefault="00130F8E">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8A15B8" w14:textId="77777777" w:rsidR="00635143" w:rsidRPr="009A119E" w:rsidRDefault="00635143" w:rsidP="00130F8E">
      <w:pPr>
        <w:spacing w:before="0" w:after="0" w:line="240" w:lineRule="auto"/>
        <w:rPr>
          <w:lang w:val="en-GB"/>
        </w:rPr>
      </w:pPr>
      <w:r w:rsidRPr="009A119E">
        <w:rPr>
          <w:lang w:val="en-GB"/>
        </w:rPr>
        <w:separator/>
      </w:r>
    </w:p>
  </w:footnote>
  <w:footnote w:type="continuationSeparator" w:id="0">
    <w:p w14:paraId="0AFD2AE7" w14:textId="77777777" w:rsidR="00635143" w:rsidRPr="009A119E" w:rsidRDefault="00635143" w:rsidP="00130F8E">
      <w:pPr>
        <w:spacing w:before="0" w:after="0" w:line="240" w:lineRule="auto"/>
        <w:rPr>
          <w:lang w:val="en-GB"/>
        </w:rPr>
      </w:pPr>
      <w:r w:rsidRPr="009A119E">
        <w:rPr>
          <w:lang w:val="en-GB"/>
        </w:rP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FEC"/>
    <w:rsid w:val="000B56BE"/>
    <w:rsid w:val="00105049"/>
    <w:rsid w:val="00130F8E"/>
    <w:rsid w:val="00154947"/>
    <w:rsid w:val="001853DB"/>
    <w:rsid w:val="001D1714"/>
    <w:rsid w:val="002500BF"/>
    <w:rsid w:val="00276422"/>
    <w:rsid w:val="00277010"/>
    <w:rsid w:val="00294427"/>
    <w:rsid w:val="002C4C8B"/>
    <w:rsid w:val="00351C5B"/>
    <w:rsid w:val="00362F5C"/>
    <w:rsid w:val="00386E0F"/>
    <w:rsid w:val="00391A8C"/>
    <w:rsid w:val="003D5B6F"/>
    <w:rsid w:val="004350F8"/>
    <w:rsid w:val="004550EB"/>
    <w:rsid w:val="00483397"/>
    <w:rsid w:val="004B5D03"/>
    <w:rsid w:val="004C11E2"/>
    <w:rsid w:val="00500895"/>
    <w:rsid w:val="00611653"/>
    <w:rsid w:val="00635143"/>
    <w:rsid w:val="008350F6"/>
    <w:rsid w:val="00883FEC"/>
    <w:rsid w:val="008961F8"/>
    <w:rsid w:val="008E2D8F"/>
    <w:rsid w:val="00962D89"/>
    <w:rsid w:val="00963E23"/>
    <w:rsid w:val="00975442"/>
    <w:rsid w:val="009A119E"/>
    <w:rsid w:val="009C3144"/>
    <w:rsid w:val="009C589F"/>
    <w:rsid w:val="009E5B2C"/>
    <w:rsid w:val="00BA4FC4"/>
    <w:rsid w:val="00BD101A"/>
    <w:rsid w:val="00CA1CC6"/>
    <w:rsid w:val="00CC0CBB"/>
    <w:rsid w:val="00CD2DC9"/>
    <w:rsid w:val="00D64191"/>
    <w:rsid w:val="00D71E38"/>
    <w:rsid w:val="00DA2007"/>
    <w:rsid w:val="00DF0F76"/>
    <w:rsid w:val="00EB7C87"/>
    <w:rsid w:val="00EC0802"/>
    <w:rsid w:val="00F616B3"/>
    <w:rsid w:val="00F859DC"/>
    <w:rsid w:val="00FA0B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10C08"/>
  <w15:chartTrackingRefBased/>
  <w15:docId w15:val="{7FD32669-C406-444F-97D1-88AE7B40B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sz w:val="22"/>
        <w:szCs w:val="22"/>
        <w:lang w:val="en-US" w:eastAsia="en-US" w:bidi="ar-SA"/>
      </w:rPr>
    </w:rPrDefault>
    <w:pPrDefault>
      <w:pPr>
        <w:spacing w:before="100" w:beforeAutospacing="1" w:after="100" w:afterAutospacing="1"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3FEC"/>
    <w:pPr>
      <w:jc w:val="both"/>
    </w:pPr>
  </w:style>
  <w:style w:type="paragraph" w:styleId="Heading1">
    <w:name w:val="heading 1"/>
    <w:basedOn w:val="Normal"/>
    <w:next w:val="Normal"/>
    <w:link w:val="Heading1Char"/>
    <w:uiPriority w:val="9"/>
    <w:qFormat/>
    <w:rsid w:val="009A119E"/>
    <w:pPr>
      <w:spacing w:before="120" w:beforeAutospacing="0" w:after="240" w:afterAutospacing="0" w:line="240" w:lineRule="auto"/>
      <w:outlineLvl w:val="0"/>
    </w:pPr>
    <w:rPr>
      <w:b/>
      <w:sz w:val="32"/>
    </w:rPr>
  </w:style>
  <w:style w:type="paragraph" w:styleId="Heading2">
    <w:name w:val="heading 2"/>
    <w:basedOn w:val="Normal"/>
    <w:next w:val="Normal"/>
    <w:link w:val="Heading2Char"/>
    <w:uiPriority w:val="9"/>
    <w:unhideWhenUsed/>
    <w:qFormat/>
    <w:rsid w:val="009A119E"/>
    <w:pPr>
      <w:keepNext/>
      <w:keepLines/>
      <w:spacing w:before="120" w:beforeAutospacing="0" w:after="240" w:afterAutospacing="0" w:line="240" w:lineRule="auto"/>
      <w:outlineLvl w:val="1"/>
    </w:pPr>
    <w:rPr>
      <w:rFonts w:eastAsiaTheme="majorEastAsia" w:cstheme="majorBidi"/>
      <w:b/>
      <w:sz w:val="24"/>
      <w:szCs w:val="26"/>
    </w:rPr>
  </w:style>
  <w:style w:type="paragraph" w:styleId="Heading3">
    <w:name w:val="heading 3"/>
    <w:basedOn w:val="Normal"/>
    <w:next w:val="Normal"/>
    <w:link w:val="Heading3Char"/>
    <w:uiPriority w:val="9"/>
    <w:semiHidden/>
    <w:unhideWhenUsed/>
    <w:qFormat/>
    <w:rsid w:val="00EB7C8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19E"/>
    <w:rPr>
      <w:rFonts w:ascii="Arial" w:hAnsi="Arial"/>
      <w:b/>
      <w:sz w:val="32"/>
      <w:lang w:val="en-GB"/>
    </w:rPr>
  </w:style>
  <w:style w:type="character" w:customStyle="1" w:styleId="Heading2Char">
    <w:name w:val="Heading 2 Char"/>
    <w:basedOn w:val="DefaultParagraphFont"/>
    <w:link w:val="Heading2"/>
    <w:uiPriority w:val="9"/>
    <w:rsid w:val="009A119E"/>
    <w:rPr>
      <w:rFonts w:ascii="Arial" w:eastAsiaTheme="majorEastAsia" w:hAnsi="Arial" w:cstheme="majorBidi"/>
      <w:b/>
      <w:sz w:val="24"/>
      <w:szCs w:val="26"/>
      <w:lang w:val="en-GB"/>
    </w:rPr>
  </w:style>
  <w:style w:type="character" w:customStyle="1" w:styleId="Heading3Char">
    <w:name w:val="Heading 3 Char"/>
    <w:basedOn w:val="DefaultParagraphFont"/>
    <w:link w:val="Heading3"/>
    <w:uiPriority w:val="9"/>
    <w:semiHidden/>
    <w:rsid w:val="00EB7C87"/>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EB7C87"/>
    <w:pPr>
      <w:spacing w:line="240" w:lineRule="auto"/>
      <w:jc w:val="left"/>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63E23"/>
    <w:rPr>
      <w:color w:val="0563C1" w:themeColor="hyperlink"/>
      <w:u w:val="single"/>
    </w:rPr>
  </w:style>
  <w:style w:type="character" w:styleId="UnresolvedMention">
    <w:name w:val="Unresolved Mention"/>
    <w:basedOn w:val="DefaultParagraphFont"/>
    <w:uiPriority w:val="99"/>
    <w:semiHidden/>
    <w:unhideWhenUsed/>
    <w:rsid w:val="00963E23"/>
    <w:rPr>
      <w:color w:val="605E5C"/>
      <w:shd w:val="clear" w:color="auto" w:fill="E1DFDD"/>
    </w:rPr>
  </w:style>
  <w:style w:type="paragraph" w:styleId="TOCHeading">
    <w:name w:val="TOC Heading"/>
    <w:basedOn w:val="Heading1"/>
    <w:next w:val="Normal"/>
    <w:uiPriority w:val="39"/>
    <w:unhideWhenUsed/>
    <w:qFormat/>
    <w:rsid w:val="00130F8E"/>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Cs w:val="32"/>
    </w:rPr>
  </w:style>
  <w:style w:type="paragraph" w:styleId="TOC1">
    <w:name w:val="toc 1"/>
    <w:basedOn w:val="Normal"/>
    <w:next w:val="Normal"/>
    <w:autoRedefine/>
    <w:uiPriority w:val="39"/>
    <w:unhideWhenUsed/>
    <w:rsid w:val="00130F8E"/>
  </w:style>
  <w:style w:type="paragraph" w:styleId="TOC2">
    <w:name w:val="toc 2"/>
    <w:basedOn w:val="Normal"/>
    <w:next w:val="Normal"/>
    <w:autoRedefine/>
    <w:uiPriority w:val="39"/>
    <w:unhideWhenUsed/>
    <w:rsid w:val="00130F8E"/>
    <w:pPr>
      <w:ind w:left="220"/>
    </w:pPr>
  </w:style>
  <w:style w:type="paragraph" w:styleId="Header">
    <w:name w:val="header"/>
    <w:basedOn w:val="Normal"/>
    <w:link w:val="HeaderChar"/>
    <w:uiPriority w:val="99"/>
    <w:unhideWhenUsed/>
    <w:rsid w:val="00130F8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30F8E"/>
    <w:rPr>
      <w:rFonts w:ascii="Arial" w:hAnsi="Arial"/>
    </w:rPr>
  </w:style>
  <w:style w:type="paragraph" w:styleId="Footer">
    <w:name w:val="footer"/>
    <w:basedOn w:val="Normal"/>
    <w:link w:val="FooterChar"/>
    <w:uiPriority w:val="99"/>
    <w:unhideWhenUsed/>
    <w:rsid w:val="00130F8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30F8E"/>
    <w:rPr>
      <w:rFonts w:ascii="Arial" w:hAnsi="Arial"/>
    </w:rPr>
  </w:style>
  <w:style w:type="character" w:styleId="Strong">
    <w:name w:val="Strong"/>
    <w:basedOn w:val="DefaultParagraphFont"/>
    <w:uiPriority w:val="22"/>
    <w:qFormat/>
    <w:rsid w:val="00CD2DC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508925">
      <w:bodyDiv w:val="1"/>
      <w:marLeft w:val="0"/>
      <w:marRight w:val="0"/>
      <w:marTop w:val="0"/>
      <w:marBottom w:val="0"/>
      <w:divBdr>
        <w:top w:val="none" w:sz="0" w:space="0" w:color="auto"/>
        <w:left w:val="none" w:sz="0" w:space="0" w:color="auto"/>
        <w:bottom w:val="none" w:sz="0" w:space="0" w:color="auto"/>
        <w:right w:val="none" w:sz="0" w:space="0" w:color="auto"/>
      </w:divBdr>
    </w:div>
    <w:div w:id="182133201">
      <w:bodyDiv w:val="1"/>
      <w:marLeft w:val="0"/>
      <w:marRight w:val="0"/>
      <w:marTop w:val="0"/>
      <w:marBottom w:val="0"/>
      <w:divBdr>
        <w:top w:val="none" w:sz="0" w:space="0" w:color="auto"/>
        <w:left w:val="none" w:sz="0" w:space="0" w:color="auto"/>
        <w:bottom w:val="none" w:sz="0" w:space="0" w:color="auto"/>
        <w:right w:val="none" w:sz="0" w:space="0" w:color="auto"/>
      </w:divBdr>
      <w:divsChild>
        <w:div w:id="939683588">
          <w:marLeft w:val="0"/>
          <w:marRight w:val="0"/>
          <w:marTop w:val="0"/>
          <w:marBottom w:val="0"/>
          <w:divBdr>
            <w:top w:val="none" w:sz="0" w:space="0" w:color="auto"/>
            <w:left w:val="none" w:sz="0" w:space="0" w:color="auto"/>
            <w:bottom w:val="none" w:sz="0" w:space="0" w:color="auto"/>
            <w:right w:val="none" w:sz="0" w:space="0" w:color="auto"/>
          </w:divBdr>
          <w:divsChild>
            <w:div w:id="1664384938">
              <w:marLeft w:val="0"/>
              <w:marRight w:val="0"/>
              <w:marTop w:val="0"/>
              <w:marBottom w:val="0"/>
              <w:divBdr>
                <w:top w:val="none" w:sz="0" w:space="0" w:color="auto"/>
                <w:left w:val="none" w:sz="0" w:space="0" w:color="auto"/>
                <w:bottom w:val="none" w:sz="0" w:space="0" w:color="auto"/>
                <w:right w:val="none" w:sz="0" w:space="0" w:color="auto"/>
              </w:divBdr>
              <w:divsChild>
                <w:div w:id="1283654705">
                  <w:marLeft w:val="0"/>
                  <w:marRight w:val="0"/>
                  <w:marTop w:val="0"/>
                  <w:marBottom w:val="0"/>
                  <w:divBdr>
                    <w:top w:val="none" w:sz="0" w:space="0" w:color="auto"/>
                    <w:left w:val="none" w:sz="0" w:space="0" w:color="auto"/>
                    <w:bottom w:val="none" w:sz="0" w:space="0" w:color="auto"/>
                    <w:right w:val="none" w:sz="0" w:space="0" w:color="auto"/>
                  </w:divBdr>
                  <w:divsChild>
                    <w:div w:id="1410078166">
                      <w:marLeft w:val="0"/>
                      <w:marRight w:val="0"/>
                      <w:marTop w:val="0"/>
                      <w:marBottom w:val="0"/>
                      <w:divBdr>
                        <w:top w:val="none" w:sz="0" w:space="0" w:color="auto"/>
                        <w:left w:val="none" w:sz="0" w:space="0" w:color="auto"/>
                        <w:bottom w:val="none" w:sz="0" w:space="0" w:color="auto"/>
                        <w:right w:val="none" w:sz="0" w:space="0" w:color="auto"/>
                      </w:divBdr>
                      <w:divsChild>
                        <w:div w:id="1509829977">
                          <w:marLeft w:val="0"/>
                          <w:marRight w:val="0"/>
                          <w:marTop w:val="0"/>
                          <w:marBottom w:val="0"/>
                          <w:divBdr>
                            <w:top w:val="none" w:sz="0" w:space="0" w:color="auto"/>
                            <w:left w:val="none" w:sz="0" w:space="0" w:color="auto"/>
                            <w:bottom w:val="none" w:sz="0" w:space="0" w:color="auto"/>
                            <w:right w:val="none" w:sz="0" w:space="0" w:color="auto"/>
                          </w:divBdr>
                          <w:divsChild>
                            <w:div w:id="209809558">
                              <w:marLeft w:val="0"/>
                              <w:marRight w:val="0"/>
                              <w:marTop w:val="0"/>
                              <w:marBottom w:val="0"/>
                              <w:divBdr>
                                <w:top w:val="none" w:sz="0" w:space="0" w:color="auto"/>
                                <w:left w:val="none" w:sz="0" w:space="0" w:color="auto"/>
                                <w:bottom w:val="none" w:sz="0" w:space="0" w:color="auto"/>
                                <w:right w:val="none" w:sz="0" w:space="0" w:color="auto"/>
                              </w:divBdr>
                              <w:divsChild>
                                <w:div w:id="1102535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0209390">
      <w:bodyDiv w:val="1"/>
      <w:marLeft w:val="0"/>
      <w:marRight w:val="0"/>
      <w:marTop w:val="0"/>
      <w:marBottom w:val="0"/>
      <w:divBdr>
        <w:top w:val="none" w:sz="0" w:space="0" w:color="auto"/>
        <w:left w:val="none" w:sz="0" w:space="0" w:color="auto"/>
        <w:bottom w:val="none" w:sz="0" w:space="0" w:color="auto"/>
        <w:right w:val="none" w:sz="0" w:space="0" w:color="auto"/>
      </w:divBdr>
      <w:divsChild>
        <w:div w:id="1575702467">
          <w:marLeft w:val="0"/>
          <w:marRight w:val="0"/>
          <w:marTop w:val="0"/>
          <w:marBottom w:val="0"/>
          <w:divBdr>
            <w:top w:val="none" w:sz="0" w:space="0" w:color="auto"/>
            <w:left w:val="none" w:sz="0" w:space="0" w:color="auto"/>
            <w:bottom w:val="none" w:sz="0" w:space="0" w:color="auto"/>
            <w:right w:val="none" w:sz="0" w:space="0" w:color="auto"/>
          </w:divBdr>
          <w:divsChild>
            <w:div w:id="408230306">
              <w:marLeft w:val="0"/>
              <w:marRight w:val="0"/>
              <w:marTop w:val="0"/>
              <w:marBottom w:val="0"/>
              <w:divBdr>
                <w:top w:val="none" w:sz="0" w:space="0" w:color="auto"/>
                <w:left w:val="none" w:sz="0" w:space="0" w:color="auto"/>
                <w:bottom w:val="none" w:sz="0" w:space="0" w:color="auto"/>
                <w:right w:val="none" w:sz="0" w:space="0" w:color="auto"/>
              </w:divBdr>
              <w:divsChild>
                <w:div w:id="1409839579">
                  <w:marLeft w:val="0"/>
                  <w:marRight w:val="0"/>
                  <w:marTop w:val="0"/>
                  <w:marBottom w:val="0"/>
                  <w:divBdr>
                    <w:top w:val="none" w:sz="0" w:space="0" w:color="auto"/>
                    <w:left w:val="none" w:sz="0" w:space="0" w:color="auto"/>
                    <w:bottom w:val="none" w:sz="0" w:space="0" w:color="auto"/>
                    <w:right w:val="none" w:sz="0" w:space="0" w:color="auto"/>
                  </w:divBdr>
                  <w:divsChild>
                    <w:div w:id="2024697239">
                      <w:marLeft w:val="0"/>
                      <w:marRight w:val="0"/>
                      <w:marTop w:val="0"/>
                      <w:marBottom w:val="0"/>
                      <w:divBdr>
                        <w:top w:val="none" w:sz="0" w:space="0" w:color="auto"/>
                        <w:left w:val="none" w:sz="0" w:space="0" w:color="auto"/>
                        <w:bottom w:val="none" w:sz="0" w:space="0" w:color="auto"/>
                        <w:right w:val="none" w:sz="0" w:space="0" w:color="auto"/>
                      </w:divBdr>
                      <w:divsChild>
                        <w:div w:id="1658420172">
                          <w:marLeft w:val="0"/>
                          <w:marRight w:val="0"/>
                          <w:marTop w:val="0"/>
                          <w:marBottom w:val="0"/>
                          <w:divBdr>
                            <w:top w:val="none" w:sz="0" w:space="0" w:color="auto"/>
                            <w:left w:val="none" w:sz="0" w:space="0" w:color="auto"/>
                            <w:bottom w:val="none" w:sz="0" w:space="0" w:color="auto"/>
                            <w:right w:val="none" w:sz="0" w:space="0" w:color="auto"/>
                          </w:divBdr>
                          <w:divsChild>
                            <w:div w:id="4720603">
                              <w:marLeft w:val="0"/>
                              <w:marRight w:val="0"/>
                              <w:marTop w:val="0"/>
                              <w:marBottom w:val="0"/>
                              <w:divBdr>
                                <w:top w:val="none" w:sz="0" w:space="0" w:color="auto"/>
                                <w:left w:val="none" w:sz="0" w:space="0" w:color="auto"/>
                                <w:bottom w:val="none" w:sz="0" w:space="0" w:color="auto"/>
                                <w:right w:val="none" w:sz="0" w:space="0" w:color="auto"/>
                              </w:divBdr>
                              <w:divsChild>
                                <w:div w:id="955647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9924268">
      <w:bodyDiv w:val="1"/>
      <w:marLeft w:val="0"/>
      <w:marRight w:val="0"/>
      <w:marTop w:val="0"/>
      <w:marBottom w:val="0"/>
      <w:divBdr>
        <w:top w:val="none" w:sz="0" w:space="0" w:color="auto"/>
        <w:left w:val="none" w:sz="0" w:space="0" w:color="auto"/>
        <w:bottom w:val="none" w:sz="0" w:space="0" w:color="auto"/>
        <w:right w:val="none" w:sz="0" w:space="0" w:color="auto"/>
      </w:divBdr>
    </w:div>
    <w:div w:id="564029081">
      <w:bodyDiv w:val="1"/>
      <w:marLeft w:val="0"/>
      <w:marRight w:val="0"/>
      <w:marTop w:val="0"/>
      <w:marBottom w:val="0"/>
      <w:divBdr>
        <w:top w:val="none" w:sz="0" w:space="0" w:color="auto"/>
        <w:left w:val="none" w:sz="0" w:space="0" w:color="auto"/>
        <w:bottom w:val="none" w:sz="0" w:space="0" w:color="auto"/>
        <w:right w:val="none" w:sz="0" w:space="0" w:color="auto"/>
      </w:divBdr>
    </w:div>
    <w:div w:id="766387890">
      <w:bodyDiv w:val="1"/>
      <w:marLeft w:val="0"/>
      <w:marRight w:val="0"/>
      <w:marTop w:val="0"/>
      <w:marBottom w:val="0"/>
      <w:divBdr>
        <w:top w:val="none" w:sz="0" w:space="0" w:color="auto"/>
        <w:left w:val="none" w:sz="0" w:space="0" w:color="auto"/>
        <w:bottom w:val="none" w:sz="0" w:space="0" w:color="auto"/>
        <w:right w:val="none" w:sz="0" w:space="0" w:color="auto"/>
      </w:divBdr>
      <w:divsChild>
        <w:div w:id="1049650014">
          <w:marLeft w:val="0"/>
          <w:marRight w:val="0"/>
          <w:marTop w:val="0"/>
          <w:marBottom w:val="0"/>
          <w:divBdr>
            <w:top w:val="none" w:sz="0" w:space="0" w:color="auto"/>
            <w:left w:val="none" w:sz="0" w:space="0" w:color="auto"/>
            <w:bottom w:val="none" w:sz="0" w:space="0" w:color="auto"/>
            <w:right w:val="none" w:sz="0" w:space="0" w:color="auto"/>
          </w:divBdr>
          <w:divsChild>
            <w:div w:id="1429041101">
              <w:marLeft w:val="0"/>
              <w:marRight w:val="0"/>
              <w:marTop w:val="0"/>
              <w:marBottom w:val="0"/>
              <w:divBdr>
                <w:top w:val="none" w:sz="0" w:space="0" w:color="auto"/>
                <w:left w:val="none" w:sz="0" w:space="0" w:color="auto"/>
                <w:bottom w:val="none" w:sz="0" w:space="0" w:color="auto"/>
                <w:right w:val="none" w:sz="0" w:space="0" w:color="auto"/>
              </w:divBdr>
              <w:divsChild>
                <w:div w:id="19820067">
                  <w:marLeft w:val="0"/>
                  <w:marRight w:val="0"/>
                  <w:marTop w:val="0"/>
                  <w:marBottom w:val="0"/>
                  <w:divBdr>
                    <w:top w:val="none" w:sz="0" w:space="0" w:color="auto"/>
                    <w:left w:val="none" w:sz="0" w:space="0" w:color="auto"/>
                    <w:bottom w:val="none" w:sz="0" w:space="0" w:color="auto"/>
                    <w:right w:val="none" w:sz="0" w:space="0" w:color="auto"/>
                  </w:divBdr>
                  <w:divsChild>
                    <w:div w:id="832184419">
                      <w:marLeft w:val="0"/>
                      <w:marRight w:val="0"/>
                      <w:marTop w:val="0"/>
                      <w:marBottom w:val="0"/>
                      <w:divBdr>
                        <w:top w:val="none" w:sz="0" w:space="0" w:color="auto"/>
                        <w:left w:val="none" w:sz="0" w:space="0" w:color="auto"/>
                        <w:bottom w:val="none" w:sz="0" w:space="0" w:color="auto"/>
                        <w:right w:val="none" w:sz="0" w:space="0" w:color="auto"/>
                      </w:divBdr>
                      <w:divsChild>
                        <w:div w:id="936407366">
                          <w:marLeft w:val="0"/>
                          <w:marRight w:val="0"/>
                          <w:marTop w:val="0"/>
                          <w:marBottom w:val="0"/>
                          <w:divBdr>
                            <w:top w:val="none" w:sz="0" w:space="0" w:color="auto"/>
                            <w:left w:val="none" w:sz="0" w:space="0" w:color="auto"/>
                            <w:bottom w:val="none" w:sz="0" w:space="0" w:color="auto"/>
                            <w:right w:val="none" w:sz="0" w:space="0" w:color="auto"/>
                          </w:divBdr>
                          <w:divsChild>
                            <w:div w:id="1353414659">
                              <w:marLeft w:val="0"/>
                              <w:marRight w:val="0"/>
                              <w:marTop w:val="0"/>
                              <w:marBottom w:val="0"/>
                              <w:divBdr>
                                <w:top w:val="none" w:sz="0" w:space="0" w:color="auto"/>
                                <w:left w:val="none" w:sz="0" w:space="0" w:color="auto"/>
                                <w:bottom w:val="none" w:sz="0" w:space="0" w:color="auto"/>
                                <w:right w:val="none" w:sz="0" w:space="0" w:color="auto"/>
                              </w:divBdr>
                              <w:divsChild>
                                <w:div w:id="1476681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0412744">
      <w:bodyDiv w:val="1"/>
      <w:marLeft w:val="0"/>
      <w:marRight w:val="0"/>
      <w:marTop w:val="0"/>
      <w:marBottom w:val="0"/>
      <w:divBdr>
        <w:top w:val="none" w:sz="0" w:space="0" w:color="auto"/>
        <w:left w:val="none" w:sz="0" w:space="0" w:color="auto"/>
        <w:bottom w:val="none" w:sz="0" w:space="0" w:color="auto"/>
        <w:right w:val="none" w:sz="0" w:space="0" w:color="auto"/>
      </w:divBdr>
      <w:divsChild>
        <w:div w:id="646127736">
          <w:marLeft w:val="0"/>
          <w:marRight w:val="0"/>
          <w:marTop w:val="0"/>
          <w:marBottom w:val="0"/>
          <w:divBdr>
            <w:top w:val="none" w:sz="0" w:space="0" w:color="auto"/>
            <w:left w:val="none" w:sz="0" w:space="0" w:color="auto"/>
            <w:bottom w:val="none" w:sz="0" w:space="0" w:color="auto"/>
            <w:right w:val="none" w:sz="0" w:space="0" w:color="auto"/>
          </w:divBdr>
          <w:divsChild>
            <w:div w:id="254215169">
              <w:marLeft w:val="0"/>
              <w:marRight w:val="0"/>
              <w:marTop w:val="0"/>
              <w:marBottom w:val="0"/>
              <w:divBdr>
                <w:top w:val="none" w:sz="0" w:space="0" w:color="auto"/>
                <w:left w:val="none" w:sz="0" w:space="0" w:color="auto"/>
                <w:bottom w:val="none" w:sz="0" w:space="0" w:color="auto"/>
                <w:right w:val="none" w:sz="0" w:space="0" w:color="auto"/>
              </w:divBdr>
              <w:divsChild>
                <w:div w:id="612176307">
                  <w:marLeft w:val="0"/>
                  <w:marRight w:val="0"/>
                  <w:marTop w:val="0"/>
                  <w:marBottom w:val="0"/>
                  <w:divBdr>
                    <w:top w:val="none" w:sz="0" w:space="0" w:color="auto"/>
                    <w:left w:val="none" w:sz="0" w:space="0" w:color="auto"/>
                    <w:bottom w:val="none" w:sz="0" w:space="0" w:color="auto"/>
                    <w:right w:val="none" w:sz="0" w:space="0" w:color="auto"/>
                  </w:divBdr>
                  <w:divsChild>
                    <w:div w:id="1105153210">
                      <w:marLeft w:val="0"/>
                      <w:marRight w:val="0"/>
                      <w:marTop w:val="0"/>
                      <w:marBottom w:val="0"/>
                      <w:divBdr>
                        <w:top w:val="none" w:sz="0" w:space="0" w:color="auto"/>
                        <w:left w:val="none" w:sz="0" w:space="0" w:color="auto"/>
                        <w:bottom w:val="none" w:sz="0" w:space="0" w:color="auto"/>
                        <w:right w:val="none" w:sz="0" w:space="0" w:color="auto"/>
                      </w:divBdr>
                      <w:divsChild>
                        <w:div w:id="115492083">
                          <w:marLeft w:val="0"/>
                          <w:marRight w:val="0"/>
                          <w:marTop w:val="0"/>
                          <w:marBottom w:val="0"/>
                          <w:divBdr>
                            <w:top w:val="none" w:sz="0" w:space="0" w:color="auto"/>
                            <w:left w:val="none" w:sz="0" w:space="0" w:color="auto"/>
                            <w:bottom w:val="none" w:sz="0" w:space="0" w:color="auto"/>
                            <w:right w:val="none" w:sz="0" w:space="0" w:color="auto"/>
                          </w:divBdr>
                          <w:divsChild>
                            <w:div w:id="232280583">
                              <w:marLeft w:val="0"/>
                              <w:marRight w:val="0"/>
                              <w:marTop w:val="0"/>
                              <w:marBottom w:val="0"/>
                              <w:divBdr>
                                <w:top w:val="none" w:sz="0" w:space="0" w:color="auto"/>
                                <w:left w:val="none" w:sz="0" w:space="0" w:color="auto"/>
                                <w:bottom w:val="none" w:sz="0" w:space="0" w:color="auto"/>
                                <w:right w:val="none" w:sz="0" w:space="0" w:color="auto"/>
                              </w:divBdr>
                              <w:divsChild>
                                <w:div w:id="554899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1262607">
      <w:bodyDiv w:val="1"/>
      <w:marLeft w:val="0"/>
      <w:marRight w:val="0"/>
      <w:marTop w:val="0"/>
      <w:marBottom w:val="0"/>
      <w:divBdr>
        <w:top w:val="none" w:sz="0" w:space="0" w:color="auto"/>
        <w:left w:val="none" w:sz="0" w:space="0" w:color="auto"/>
        <w:bottom w:val="none" w:sz="0" w:space="0" w:color="auto"/>
        <w:right w:val="none" w:sz="0" w:space="0" w:color="auto"/>
      </w:divBdr>
    </w:div>
    <w:div w:id="1361667728">
      <w:bodyDiv w:val="1"/>
      <w:marLeft w:val="0"/>
      <w:marRight w:val="0"/>
      <w:marTop w:val="0"/>
      <w:marBottom w:val="0"/>
      <w:divBdr>
        <w:top w:val="none" w:sz="0" w:space="0" w:color="auto"/>
        <w:left w:val="none" w:sz="0" w:space="0" w:color="auto"/>
        <w:bottom w:val="none" w:sz="0" w:space="0" w:color="auto"/>
        <w:right w:val="none" w:sz="0" w:space="0" w:color="auto"/>
      </w:divBdr>
      <w:divsChild>
        <w:div w:id="367412938">
          <w:marLeft w:val="0"/>
          <w:marRight w:val="0"/>
          <w:marTop w:val="0"/>
          <w:marBottom w:val="0"/>
          <w:divBdr>
            <w:top w:val="none" w:sz="0" w:space="0" w:color="auto"/>
            <w:left w:val="none" w:sz="0" w:space="0" w:color="auto"/>
            <w:bottom w:val="none" w:sz="0" w:space="0" w:color="auto"/>
            <w:right w:val="none" w:sz="0" w:space="0" w:color="auto"/>
          </w:divBdr>
          <w:divsChild>
            <w:div w:id="2080394963">
              <w:marLeft w:val="0"/>
              <w:marRight w:val="0"/>
              <w:marTop w:val="0"/>
              <w:marBottom w:val="0"/>
              <w:divBdr>
                <w:top w:val="none" w:sz="0" w:space="0" w:color="auto"/>
                <w:left w:val="none" w:sz="0" w:space="0" w:color="auto"/>
                <w:bottom w:val="none" w:sz="0" w:space="0" w:color="auto"/>
                <w:right w:val="none" w:sz="0" w:space="0" w:color="auto"/>
              </w:divBdr>
              <w:divsChild>
                <w:div w:id="499737166">
                  <w:marLeft w:val="0"/>
                  <w:marRight w:val="0"/>
                  <w:marTop w:val="0"/>
                  <w:marBottom w:val="0"/>
                  <w:divBdr>
                    <w:top w:val="none" w:sz="0" w:space="0" w:color="auto"/>
                    <w:left w:val="none" w:sz="0" w:space="0" w:color="auto"/>
                    <w:bottom w:val="none" w:sz="0" w:space="0" w:color="auto"/>
                    <w:right w:val="none" w:sz="0" w:space="0" w:color="auto"/>
                  </w:divBdr>
                  <w:divsChild>
                    <w:div w:id="1463033752">
                      <w:marLeft w:val="0"/>
                      <w:marRight w:val="0"/>
                      <w:marTop w:val="0"/>
                      <w:marBottom w:val="0"/>
                      <w:divBdr>
                        <w:top w:val="none" w:sz="0" w:space="0" w:color="auto"/>
                        <w:left w:val="none" w:sz="0" w:space="0" w:color="auto"/>
                        <w:bottom w:val="none" w:sz="0" w:space="0" w:color="auto"/>
                        <w:right w:val="none" w:sz="0" w:space="0" w:color="auto"/>
                      </w:divBdr>
                      <w:divsChild>
                        <w:div w:id="1296372226">
                          <w:marLeft w:val="0"/>
                          <w:marRight w:val="0"/>
                          <w:marTop w:val="0"/>
                          <w:marBottom w:val="0"/>
                          <w:divBdr>
                            <w:top w:val="none" w:sz="0" w:space="0" w:color="auto"/>
                            <w:left w:val="none" w:sz="0" w:space="0" w:color="auto"/>
                            <w:bottom w:val="none" w:sz="0" w:space="0" w:color="auto"/>
                            <w:right w:val="none" w:sz="0" w:space="0" w:color="auto"/>
                          </w:divBdr>
                          <w:divsChild>
                            <w:div w:id="1541699441">
                              <w:marLeft w:val="0"/>
                              <w:marRight w:val="0"/>
                              <w:marTop w:val="0"/>
                              <w:marBottom w:val="0"/>
                              <w:divBdr>
                                <w:top w:val="none" w:sz="0" w:space="0" w:color="auto"/>
                                <w:left w:val="none" w:sz="0" w:space="0" w:color="auto"/>
                                <w:bottom w:val="none" w:sz="0" w:space="0" w:color="auto"/>
                                <w:right w:val="none" w:sz="0" w:space="0" w:color="auto"/>
                              </w:divBdr>
                              <w:divsChild>
                                <w:div w:id="1501307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5302052">
      <w:bodyDiv w:val="1"/>
      <w:marLeft w:val="0"/>
      <w:marRight w:val="0"/>
      <w:marTop w:val="0"/>
      <w:marBottom w:val="0"/>
      <w:divBdr>
        <w:top w:val="none" w:sz="0" w:space="0" w:color="auto"/>
        <w:left w:val="none" w:sz="0" w:space="0" w:color="auto"/>
        <w:bottom w:val="none" w:sz="0" w:space="0" w:color="auto"/>
        <w:right w:val="none" w:sz="0" w:space="0" w:color="auto"/>
      </w:divBdr>
    </w:div>
    <w:div w:id="1403287579">
      <w:bodyDiv w:val="1"/>
      <w:marLeft w:val="0"/>
      <w:marRight w:val="0"/>
      <w:marTop w:val="0"/>
      <w:marBottom w:val="0"/>
      <w:divBdr>
        <w:top w:val="none" w:sz="0" w:space="0" w:color="auto"/>
        <w:left w:val="none" w:sz="0" w:space="0" w:color="auto"/>
        <w:bottom w:val="none" w:sz="0" w:space="0" w:color="auto"/>
        <w:right w:val="none" w:sz="0" w:space="0" w:color="auto"/>
      </w:divBdr>
    </w:div>
    <w:div w:id="1419207166">
      <w:bodyDiv w:val="1"/>
      <w:marLeft w:val="0"/>
      <w:marRight w:val="0"/>
      <w:marTop w:val="0"/>
      <w:marBottom w:val="0"/>
      <w:divBdr>
        <w:top w:val="none" w:sz="0" w:space="0" w:color="auto"/>
        <w:left w:val="none" w:sz="0" w:space="0" w:color="auto"/>
        <w:bottom w:val="none" w:sz="0" w:space="0" w:color="auto"/>
        <w:right w:val="none" w:sz="0" w:space="0" w:color="auto"/>
      </w:divBdr>
    </w:div>
    <w:div w:id="1817869215">
      <w:bodyDiv w:val="1"/>
      <w:marLeft w:val="0"/>
      <w:marRight w:val="0"/>
      <w:marTop w:val="0"/>
      <w:marBottom w:val="0"/>
      <w:divBdr>
        <w:top w:val="none" w:sz="0" w:space="0" w:color="auto"/>
        <w:left w:val="none" w:sz="0" w:space="0" w:color="auto"/>
        <w:bottom w:val="none" w:sz="0" w:space="0" w:color="auto"/>
        <w:right w:val="none" w:sz="0" w:space="0" w:color="auto"/>
      </w:divBdr>
      <w:divsChild>
        <w:div w:id="30547500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07/s00115-025-01876-w" TargetMode="External"/><Relationship Id="rId18" Type="http://schemas.openxmlformats.org/officeDocument/2006/relationships/hyperlink" Target="https://doi.org/10.1177/16094069241257948"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3390/jcm14124315" TargetMode="External"/><Relationship Id="rId7" Type="http://schemas.openxmlformats.org/officeDocument/2006/relationships/image" Target="media/image1.jpeg"/><Relationship Id="rId12" Type="http://schemas.openxmlformats.org/officeDocument/2006/relationships/hyperlink" Target="https://doi.org/10.1371/journal.pone.0270153" TargetMode="External"/><Relationship Id="rId17" Type="http://schemas.openxmlformats.org/officeDocument/2006/relationships/hyperlink" Target="https://www.ncbi.nlm.nih.gov/books/NBK581940/"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02/wps.20284" TargetMode="External"/><Relationship Id="rId20" Type="http://schemas.openxmlformats.org/officeDocument/2006/relationships/hyperlink" Target="https://doi.org/10.56238/rcsv15n5-00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2147/ndt.s372723"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7759/cureus.99353" TargetMode="External"/><Relationship Id="rId23" Type="http://schemas.openxmlformats.org/officeDocument/2006/relationships/hyperlink" Target="https://doi.org/10.1002/aur.2696" TargetMode="External"/><Relationship Id="rId10" Type="http://schemas.openxmlformats.org/officeDocument/2006/relationships/hyperlink" Target="https://doi.org/10.1159/000524123" TargetMode="External"/><Relationship Id="rId19" Type="http://schemas.openxmlformats.org/officeDocument/2006/relationships/hyperlink" Target="https://doi.org/10.15585/mmwr.ss7402a1" TargetMode="External"/><Relationship Id="rId4" Type="http://schemas.openxmlformats.org/officeDocument/2006/relationships/webSettings" Target="webSettings.xml"/><Relationship Id="rId9" Type="http://schemas.openxmlformats.org/officeDocument/2006/relationships/hyperlink" Target="https://doi.org/10.1016/j.ssmqr.2025.100668" TargetMode="External"/><Relationship Id="rId14" Type="http://schemas.openxmlformats.org/officeDocument/2006/relationships/hyperlink" Target="https://doi.org/10.32872/cpe.10005" TargetMode="External"/><Relationship Id="rId22" Type="http://schemas.openxmlformats.org/officeDocument/2006/relationships/hyperlink" Target="https://doi.org/10.1177/257395812513924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768B1D-7D8A-4503-93E7-559F6C949C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11</Pages>
  <Words>2959</Words>
  <Characters>16872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Abdulai Kamara (2328050)</cp:lastModifiedBy>
  <cp:revision>2</cp:revision>
  <dcterms:created xsi:type="dcterms:W3CDTF">2026-02-27T11:19:00Z</dcterms:created>
  <dcterms:modified xsi:type="dcterms:W3CDTF">2026-03-01T20:55:00Z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97059430-97cd-4dd8-912b-6a9eb2e3525d</vt:lpwstr>
  </property>
</Properties>
</file>