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82C6887">
      <w:pPr>
        <w:spacing w:before="0" w:after="0" w:line="259" w:lineRule="auto"/>
      </w:pPr>
      <w:bookmarkStart w:id="27" w:name="_GoBack"/>
      <w:bookmarkEnd w:id="27"/>
      <w:r>
        <mc:AlternateContent>
          <mc:Choice Requires="wps">
            <w:drawing>
              <wp:anchor distT="0" distB="0" distL="114300" distR="114300" simplePos="0" relativeHeight="251660288" behindDoc="0" locked="0" layoutInCell="1" allowOverlap="1">
                <wp:simplePos x="0" y="0"/>
                <wp:positionH relativeFrom="column">
                  <wp:posOffset>47625</wp:posOffset>
                </wp:positionH>
                <wp:positionV relativeFrom="paragraph">
                  <wp:posOffset>-588645</wp:posOffset>
                </wp:positionV>
                <wp:extent cx="8763000" cy="159067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8763000" cy="1590675"/>
                        </a:xfrm>
                        <a:prstGeom prst="rect">
                          <a:avLst/>
                        </a:prstGeom>
                        <a:solidFill>
                          <a:schemeClr val="accent5">
                            <a:lumMod val="20000"/>
                            <a:lumOff val="80000"/>
                          </a:schemeClr>
                        </a:solidFill>
                        <a:ln w="6350">
                          <a:noFill/>
                        </a:ln>
                      </wps:spPr>
                      <wps:txbx>
                        <w:txbxContent>
                          <w:p w14:paraId="68FE1FFA">
                            <w:pPr>
                              <w:shd w:val="clear" w:color="auto" w:fill="76E3FF"/>
                              <w:spacing w:before="0" w:after="0" w:line="259" w:lineRule="auto"/>
                              <w:jc w:val="center"/>
                              <w:rPr>
                                <w:sz w:val="26"/>
                                <w:szCs w:val="26"/>
                              </w:rPr>
                            </w:pPr>
                            <w:r>
                              <w:rPr>
                                <w:b/>
                                <w:bCs/>
                                <w:sz w:val="26"/>
                                <w:szCs w:val="26"/>
                              </w:rPr>
                              <w:t>Module</w:t>
                            </w:r>
                            <w:r>
                              <w:rPr>
                                <w:sz w:val="26"/>
                                <w:szCs w:val="26"/>
                              </w:rPr>
                              <w:t>: Community Care and Management of Longer-term Conditions</w:t>
                            </w:r>
                          </w:p>
                          <w:p w14:paraId="781D9D79">
                            <w:pPr>
                              <w:shd w:val="clear" w:color="auto" w:fill="76E3FF"/>
                              <w:spacing w:before="0" w:after="0" w:line="259" w:lineRule="auto"/>
                              <w:jc w:val="center"/>
                              <w:rPr>
                                <w:sz w:val="26"/>
                                <w:szCs w:val="26"/>
                              </w:rPr>
                            </w:pPr>
                            <w:r>
                              <w:rPr>
                                <w:b/>
                                <w:bCs/>
                                <w:sz w:val="26"/>
                                <w:szCs w:val="26"/>
                              </w:rPr>
                              <w:t>Module code</w:t>
                            </w:r>
                            <w:r>
                              <w:rPr>
                                <w:sz w:val="26"/>
                                <w:szCs w:val="26"/>
                              </w:rPr>
                              <w:t>: LCHS7003</w:t>
                            </w:r>
                          </w:p>
                          <w:p w14:paraId="232F1B20">
                            <w:pPr>
                              <w:shd w:val="clear" w:color="auto" w:fill="76E3FF"/>
                              <w:spacing w:before="0" w:after="0"/>
                              <w:jc w:val="center"/>
                              <w:rPr>
                                <w:sz w:val="26"/>
                                <w:szCs w:val="26"/>
                              </w:rPr>
                            </w:pPr>
                            <w:r>
                              <w:rPr>
                                <w:b/>
                                <w:bCs/>
                                <w:sz w:val="30"/>
                                <w:szCs w:val="30"/>
                              </w:rPr>
                              <w:t>"Living Well with Asthma: An Information Booklet"</w:t>
                            </w:r>
                          </w:p>
                          <w:p w14:paraId="61307151">
                            <w:pPr>
                              <w:shd w:val="clear" w:color="auto" w:fill="76E3FF"/>
                              <w:spacing w:before="0" w:after="0"/>
                              <w:jc w:val="center"/>
                              <w:rPr>
                                <w:rFonts w:hint="default"/>
                                <w:b w:val="0"/>
                                <w:bCs w:val="0"/>
                                <w:lang w:val="en-US"/>
                              </w:rPr>
                            </w:pPr>
                            <w:r>
                              <w:rPr>
                                <w:b/>
                                <w:bCs/>
                              </w:rPr>
                              <w:t>Name and Student ID</w:t>
                            </w:r>
                            <w:r>
                              <w:t>:</w:t>
                            </w:r>
                            <w:r>
                              <w:rPr>
                                <w:rFonts w:hint="default"/>
                                <w:b/>
                                <w:bCs/>
                                <w:lang w:val="en-US"/>
                              </w:rPr>
                              <w:t xml:space="preserve"> </w:t>
                            </w:r>
                            <w:r>
                              <w:rPr>
                                <w:rFonts w:hint="default"/>
                                <w:b w:val="0"/>
                                <w:bCs w:val="0"/>
                                <w:lang w:val="en-US"/>
                              </w:rPr>
                              <w:t>Shruti Jatinkumar Patel - 2436893</w:t>
                            </w:r>
                          </w:p>
                          <w:p w14:paraId="1A781056">
                            <w:pPr>
                              <w:shd w:val="clear" w:color="auto" w:fill="76E3FF"/>
                              <w:spacing w:before="0" w:after="0"/>
                              <w:jc w:val="center"/>
                              <w:rPr>
                                <w:rFonts w:hint="default"/>
                                <w:b w:val="0"/>
                                <w:bCs w:val="0"/>
                                <w:lang w:val="en-US"/>
                              </w:rPr>
                            </w:pPr>
                            <w:r>
                              <w:rPr>
                                <w:b/>
                                <w:bCs/>
                              </w:rPr>
                              <w:t>Lecturer's name</w:t>
                            </w:r>
                            <w:r>
                              <w:t>:</w:t>
                            </w:r>
                            <w:r>
                              <w:rPr>
                                <w:rFonts w:hint="default"/>
                                <w:lang w:val="en-US"/>
                              </w:rPr>
                              <w:t xml:space="preserve"> </w:t>
                            </w:r>
                            <w:r>
                              <w:rPr>
                                <w:rFonts w:hint="default"/>
                                <w:b w:val="0"/>
                                <w:bCs w:val="0"/>
                                <w:lang w:val="en-US"/>
                              </w:rPr>
                              <w:t>Muhammed Khan</w:t>
                            </w:r>
                          </w:p>
                          <w:p w14:paraId="0B1779E7">
                            <w:pPr>
                              <w:shd w:val="clear" w:color="auto" w:fill="76E3FF"/>
                              <w:spacing w:before="0" w:after="0"/>
                              <w:jc w:val="center"/>
                              <w:rPr>
                                <w:rFonts w:hint="default"/>
                                <w:sz w:val="30"/>
                                <w:szCs w:val="30"/>
                                <w:lang w:val="en-US"/>
                              </w:rPr>
                            </w:pPr>
                            <w:r>
                              <w:rPr>
                                <w:b/>
                                <w:bCs/>
                              </w:rPr>
                              <w:t>Date</w:t>
                            </w:r>
                            <w:r>
                              <w:rPr>
                                <w:rFonts w:hint="default"/>
                                <w:b/>
                                <w:bCs/>
                                <w:lang w:val="en-US"/>
                              </w:rPr>
                              <w:t xml:space="preserve">: </w:t>
                            </w:r>
                            <w:r>
                              <w:rPr>
                                <w:rFonts w:hint="default"/>
                                <w:b w:val="0"/>
                                <w:bCs w:val="0"/>
                                <w:lang w:val="en-US"/>
                              </w:rPr>
                              <w:t>12/11/2025</w:t>
                            </w:r>
                          </w:p>
                          <w:p w14:paraId="1EAC5169"/>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75pt;margin-top:-46.35pt;height:125.25pt;width:690pt;z-index:251660288;mso-width-relative:page;mso-height-relative:page;" fillcolor="#DBEEF4 [664]" filled="t" stroked="f" coordsize="21600,21600" o:gfxdata="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">
                <v:fill on="t" focussize="0,0"/>
                <v:stroke on="f" weight="0.5pt"/>
                <v:imagedata o:title=""/>
                <o:lock v:ext="edit" aspectratio="f"/>
                <v:textbox>
                  <w:txbxContent>
                    <w:p w14:paraId="68FE1FFA">
                      <w:pPr>
                        <w:shd w:val="clear" w:color="auto" w:fill="76E3FF"/>
                        <w:spacing w:before="0" w:after="0" w:line="259" w:lineRule="auto"/>
                        <w:jc w:val="center"/>
                        <w:rPr>
                          <w:sz w:val="26"/>
                          <w:szCs w:val="26"/>
                        </w:rPr>
                      </w:pPr>
                      <w:r>
                        <w:rPr>
                          <w:b/>
                          <w:bCs/>
                          <w:sz w:val="26"/>
                          <w:szCs w:val="26"/>
                        </w:rPr>
                        <w:t>Module</w:t>
                      </w:r>
                      <w:r>
                        <w:rPr>
                          <w:sz w:val="26"/>
                          <w:szCs w:val="26"/>
                        </w:rPr>
                        <w:t>: Community Care and Management of Longer-term Conditions</w:t>
                      </w:r>
                    </w:p>
                    <w:p w14:paraId="781D9D79">
                      <w:pPr>
                        <w:shd w:val="clear" w:color="auto" w:fill="76E3FF"/>
                        <w:spacing w:before="0" w:after="0" w:line="259" w:lineRule="auto"/>
                        <w:jc w:val="center"/>
                        <w:rPr>
                          <w:sz w:val="26"/>
                          <w:szCs w:val="26"/>
                        </w:rPr>
                      </w:pPr>
                      <w:r>
                        <w:rPr>
                          <w:b/>
                          <w:bCs/>
                          <w:sz w:val="26"/>
                          <w:szCs w:val="26"/>
                        </w:rPr>
                        <w:t>Module code</w:t>
                      </w:r>
                      <w:r>
                        <w:rPr>
                          <w:sz w:val="26"/>
                          <w:szCs w:val="26"/>
                        </w:rPr>
                        <w:t>: LCHS7003</w:t>
                      </w:r>
                    </w:p>
                    <w:p w14:paraId="232F1B20">
                      <w:pPr>
                        <w:shd w:val="clear" w:color="auto" w:fill="76E3FF"/>
                        <w:spacing w:before="0" w:after="0"/>
                        <w:jc w:val="center"/>
                        <w:rPr>
                          <w:sz w:val="26"/>
                          <w:szCs w:val="26"/>
                        </w:rPr>
                      </w:pPr>
                      <w:r>
                        <w:rPr>
                          <w:b/>
                          <w:bCs/>
                          <w:sz w:val="30"/>
                          <w:szCs w:val="30"/>
                        </w:rPr>
                        <w:t>"Living Well with Asthma: An Information Booklet"</w:t>
                      </w:r>
                    </w:p>
                    <w:p w14:paraId="61307151">
                      <w:pPr>
                        <w:shd w:val="clear" w:color="auto" w:fill="76E3FF"/>
                        <w:spacing w:before="0" w:after="0"/>
                        <w:jc w:val="center"/>
                        <w:rPr>
                          <w:rFonts w:hint="default"/>
                          <w:b w:val="0"/>
                          <w:bCs w:val="0"/>
                          <w:lang w:val="en-US"/>
                        </w:rPr>
                      </w:pPr>
                      <w:r>
                        <w:rPr>
                          <w:b/>
                          <w:bCs/>
                        </w:rPr>
                        <w:t>Name and Student ID</w:t>
                      </w:r>
                      <w:r>
                        <w:t>:</w:t>
                      </w:r>
                      <w:r>
                        <w:rPr>
                          <w:rFonts w:hint="default"/>
                          <w:b/>
                          <w:bCs/>
                          <w:lang w:val="en-US"/>
                        </w:rPr>
                        <w:t xml:space="preserve"> </w:t>
                      </w:r>
                      <w:r>
                        <w:rPr>
                          <w:rFonts w:hint="default"/>
                          <w:b w:val="0"/>
                          <w:bCs w:val="0"/>
                          <w:lang w:val="en-US"/>
                        </w:rPr>
                        <w:t>Shruti Jatinkumar Patel - 2436893</w:t>
                      </w:r>
                    </w:p>
                    <w:p w14:paraId="1A781056">
                      <w:pPr>
                        <w:shd w:val="clear" w:color="auto" w:fill="76E3FF"/>
                        <w:spacing w:before="0" w:after="0"/>
                        <w:jc w:val="center"/>
                        <w:rPr>
                          <w:rFonts w:hint="default"/>
                          <w:b w:val="0"/>
                          <w:bCs w:val="0"/>
                          <w:lang w:val="en-US"/>
                        </w:rPr>
                      </w:pPr>
                      <w:r>
                        <w:rPr>
                          <w:b/>
                          <w:bCs/>
                        </w:rPr>
                        <w:t>Lecturer's name</w:t>
                      </w:r>
                      <w:r>
                        <w:t>:</w:t>
                      </w:r>
                      <w:r>
                        <w:rPr>
                          <w:rFonts w:hint="default"/>
                          <w:lang w:val="en-US"/>
                        </w:rPr>
                        <w:t xml:space="preserve"> </w:t>
                      </w:r>
                      <w:r>
                        <w:rPr>
                          <w:rFonts w:hint="default"/>
                          <w:b w:val="0"/>
                          <w:bCs w:val="0"/>
                          <w:lang w:val="en-US"/>
                        </w:rPr>
                        <w:t>Muhammed Khan</w:t>
                      </w:r>
                    </w:p>
                    <w:p w14:paraId="0B1779E7">
                      <w:pPr>
                        <w:shd w:val="clear" w:color="auto" w:fill="76E3FF"/>
                        <w:spacing w:before="0" w:after="0"/>
                        <w:jc w:val="center"/>
                        <w:rPr>
                          <w:rFonts w:hint="default"/>
                          <w:sz w:val="30"/>
                          <w:szCs w:val="30"/>
                          <w:lang w:val="en-US"/>
                        </w:rPr>
                      </w:pPr>
                      <w:r>
                        <w:rPr>
                          <w:b/>
                          <w:bCs/>
                        </w:rPr>
                        <w:t>Date</w:t>
                      </w:r>
                      <w:r>
                        <w:rPr>
                          <w:rFonts w:hint="default"/>
                          <w:b/>
                          <w:bCs/>
                          <w:lang w:val="en-US"/>
                        </w:rPr>
                        <w:t xml:space="preserve">: </w:t>
                      </w:r>
                      <w:r>
                        <w:rPr>
                          <w:rFonts w:hint="default"/>
                          <w:b w:val="0"/>
                          <w:bCs w:val="0"/>
                          <w:lang w:val="en-US"/>
                        </w:rPr>
                        <w:t>12/11/2025</w:t>
                      </w:r>
                    </w:p>
                    <w:p w14:paraId="1EAC5169"/>
                  </w:txbxContent>
                </v:textbox>
              </v:shape>
            </w:pict>
          </mc:Fallback>
        </mc:AlternateContent>
      </w:r>
    </w:p>
    <w:p w14:paraId="5AB2EAAB">
      <w:pPr>
        <w:spacing w:before="0" w:after="0" w:line="259" w:lineRule="auto"/>
      </w:pPr>
    </w:p>
    <w:p w14:paraId="1CE1840E">
      <w:pPr>
        <w:spacing w:before="0" w:after="0" w:line="259" w:lineRule="auto"/>
        <w:sectPr>
          <w:footerReference r:id="rId6" w:type="first"/>
          <w:footerReference r:id="rId5" w:type="default"/>
          <w:pgSz w:w="16838" w:h="11906" w:orient="landscape"/>
          <w:pgMar w:top="1440" w:right="1440" w:bottom="1440" w:left="1440" w:header="708" w:footer="708" w:gutter="0"/>
          <w:pgBorders w:offsetFrom="page">
            <w:top w:val="thinThickSmallGap" w:color="00B0F0" w:sz="24" w:space="24"/>
            <w:left w:val="thinThickSmallGap" w:color="00B0F0" w:sz="24" w:space="24"/>
            <w:bottom w:val="thickThinSmallGap" w:color="00B0F0" w:sz="24" w:space="24"/>
            <w:right w:val="thickThinSmallGap" w:color="00B0F0" w:sz="24" w:space="24"/>
          </w:pgBorders>
          <w:pgNumType w:start="1"/>
          <w:cols w:equalWidth="0" w:num="2">
            <w:col w:w="6625" w:space="708"/>
            <w:col w:w="6625"/>
          </w:cols>
          <w:titlePg/>
        </w:sectPr>
      </w:pPr>
    </w:p>
    <w:p w14:paraId="1293D013">
      <w:pPr>
        <w:spacing w:before="0" w:after="0" w:line="259" w:lineRule="auto"/>
      </w:pPr>
    </w:p>
    <w:p w14:paraId="4BA22B37">
      <w:pPr>
        <w:spacing w:before="0" w:after="0" w:line="259" w:lineRule="auto"/>
      </w:pPr>
    </w:p>
    <w:p w14:paraId="2760AD4E">
      <w:pPr>
        <w:spacing w:before="0" w:after="0"/>
      </w:pPr>
    </w:p>
    <w:p w14:paraId="42E55863">
      <w:pPr>
        <w:spacing w:before="0" w:after="0" w:line="259" w:lineRule="auto"/>
        <w:jc w:val="left"/>
      </w:pPr>
      <w:r>
        <mc:AlternateContent>
          <mc:Choice Requires="wps">
            <w:drawing>
              <wp:anchor distT="0" distB="0" distL="114300" distR="114300" simplePos="0" relativeHeight="251659264" behindDoc="0" locked="0" layoutInCell="1" allowOverlap="1">
                <wp:simplePos x="0" y="0"/>
                <wp:positionH relativeFrom="column">
                  <wp:posOffset>-47625</wp:posOffset>
                </wp:positionH>
                <wp:positionV relativeFrom="paragraph">
                  <wp:posOffset>153035</wp:posOffset>
                </wp:positionV>
                <wp:extent cx="8991600" cy="4857750"/>
                <wp:effectExtent l="0" t="0" r="0" b="0"/>
                <wp:wrapNone/>
                <wp:docPr id="1" name="Text Box 1"/>
                <wp:cNvGraphicFramePr/>
                <a:graphic xmlns:a="http://schemas.openxmlformats.org/drawingml/2006/main">
                  <a:graphicData uri="http://schemas.microsoft.com/office/word/2010/wordprocessingShape">
                    <wps:wsp>
                      <wps:cNvSpPr txBox="1"/>
                      <wps:spPr>
                        <a:xfrm>
                          <a:off x="0" y="0"/>
                          <a:ext cx="8991600" cy="4857750"/>
                        </a:xfrm>
                        <a:prstGeom prst="rect">
                          <a:avLst/>
                        </a:prstGeom>
                        <a:solidFill>
                          <a:schemeClr val="lt1"/>
                        </a:solidFill>
                        <a:ln w="6350">
                          <a:noFill/>
                        </a:ln>
                      </wps:spPr>
                      <wps:txbx>
                        <w:txbxContent>
                          <w:p w14:paraId="6BDA311A">
                            <w:r>
                              <w:drawing>
                                <wp:inline distT="0" distB="0" distL="0" distR="0">
                                  <wp:extent cx="8858250" cy="4657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8858250" cy="46577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75pt;margin-top:12.05pt;height:382.5pt;width:708pt;z-index:251659264;mso-width-relative:page;mso-height-relative:page;" fillcolor="#FFFFFF [3201]" filled="t" stroked="f" coordsize="21600,21600" o:gfxdata="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">
                <v:fill on="t" focussize="0,0"/>
                <v:stroke on="f" weight="0.5pt"/>
                <v:imagedata o:title=""/>
                <o:lock v:ext="edit" aspectratio="f"/>
                <v:textbox>
                  <w:txbxContent>
                    <w:p w14:paraId="6BDA311A">
                      <w:r>
                        <w:drawing>
                          <wp:inline distT="0" distB="0" distL="0" distR="0">
                            <wp:extent cx="8858250" cy="46577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8858250" cy="4657725"/>
                                    </a:xfrm>
                                    <a:prstGeom prst="rect">
                                      <a:avLst/>
                                    </a:prstGeom>
                                  </pic:spPr>
                                </pic:pic>
                              </a:graphicData>
                            </a:graphic>
                          </wp:inline>
                        </w:drawing>
                      </w:r>
                    </w:p>
                  </w:txbxContent>
                </v:textbox>
              </v:shape>
            </w:pict>
          </mc:Fallback>
        </mc:AlternateContent>
      </w:r>
    </w:p>
    <w:p w14:paraId="737C99A4">
      <w:pPr>
        <w:spacing w:before="0" w:after="0" w:line="259" w:lineRule="auto"/>
        <w:jc w:val="left"/>
      </w:pPr>
    </w:p>
    <w:p w14:paraId="0E1F13F4">
      <w:pPr>
        <w:spacing w:before="0" w:after="0" w:line="259" w:lineRule="auto"/>
        <w:jc w:val="center"/>
        <w:rPr>
          <w:sz w:val="32"/>
          <w:szCs w:val="32"/>
        </w:rPr>
        <w:sectPr>
          <w:type w:val="continuous"/>
          <w:pgSz w:w="16838" w:h="11906" w:orient="landscape"/>
          <w:pgMar w:top="1440" w:right="1440" w:bottom="1440" w:left="1440" w:header="708" w:footer="708" w:gutter="0"/>
          <w:pgBorders w:offsetFrom="page">
            <w:top w:val="thinThickSmallGap" w:color="00B0F0" w:sz="24" w:space="24"/>
            <w:left w:val="thinThickSmallGap" w:color="00B0F0" w:sz="24" w:space="24"/>
            <w:bottom w:val="thickThinSmallGap" w:color="00B0F0" w:sz="24" w:space="24"/>
            <w:right w:val="thickThinSmallGap" w:color="00B0F0" w:sz="24" w:space="24"/>
          </w:pgBorders>
          <w:cols w:equalWidth="0" w:num="1">
            <w:col w:w="13957"/>
          </w:cols>
        </w:sectPr>
      </w:pPr>
    </w:p>
    <w:p w14:paraId="594D365B">
      <w:pPr>
        <w:pStyle w:val="2"/>
        <w:keepNext w:val="0"/>
        <w:keepLines w:val="0"/>
        <w:spacing w:before="0"/>
      </w:pPr>
      <w:bookmarkStart w:id="0" w:name="_heading=h.d7lp4s1xvlo2" w:colFirst="0" w:colLast="0"/>
      <w:bookmarkEnd w:id="0"/>
      <w:r>
        <w:br w:type="page"/>
      </w:r>
    </w:p>
    <w:p w14:paraId="022B1C2D">
      <w:pPr>
        <w:pStyle w:val="2"/>
        <w:keepNext w:val="0"/>
        <w:keepLines w:val="0"/>
        <w:shd w:val="clear" w:color="auto" w:fill="76E3FF"/>
        <w:spacing w:before="0"/>
      </w:pPr>
      <w:bookmarkStart w:id="1" w:name="_heading=h.qtupsza9u5jg" w:colFirst="0" w:colLast="0"/>
      <w:bookmarkEnd w:id="1"/>
      <w:r>
        <w:t xml:space="preserve">Introduction </w:t>
      </w:r>
    </w:p>
    <w:p w14:paraId="4AE49907">
      <w:pPr>
        <w:spacing w:before="0" w:after="0"/>
      </w:pPr>
      <w:r>
        <w:t>Asthma affects millions of individuals spread throughout the United Kingdom, which is one of the most common chronic respiratory diseases with significant physical, psychological, and socioeconomic consequences. This booklet discusses evidence-based management practice, individualised care practices and policy frameworks that assist individuals living with asthma to live well.</w:t>
      </w:r>
    </w:p>
    <w:p w14:paraId="3ECF819B">
      <w:pPr>
        <w:pStyle w:val="2"/>
        <w:keepNext w:val="0"/>
        <w:keepLines w:val="0"/>
        <w:shd w:val="clear" w:color="auto" w:fill="76E3FF"/>
        <w:spacing w:before="0"/>
      </w:pPr>
      <w:bookmarkStart w:id="2" w:name="_heading=h.pnwsb6shex8k" w:colFirst="0" w:colLast="0"/>
      <w:bookmarkEnd w:id="2"/>
      <w:r>
        <w:t>Section 1: Understanding Asthma (200 words)</w:t>
      </w:r>
    </w:p>
    <w:p w14:paraId="39ABDC8B">
      <w:pPr>
        <w:pStyle w:val="3"/>
        <w:shd w:val="clear" w:color="auto" w:fill="DBE5F1" w:themeFill="accent1" w:themeFillTint="33"/>
        <w:spacing w:before="0"/>
      </w:pPr>
      <w:bookmarkStart w:id="3" w:name="_heading=h.9bt4ejz04cd3" w:colFirst="0" w:colLast="0"/>
      <w:bookmarkEnd w:id="3"/>
      <w:r>
        <w:t>What is Asthma?</w:t>
      </w:r>
    </w:p>
    <w:p w14:paraId="1138940B">
      <w:pPr>
        <w:spacing w:before="0" w:after="0"/>
      </w:pPr>
      <w:r>
        <w:t>Asthma is a long-term chronic inflammatory airway disorder or the tube that moves air in and out of the lungs in a chronic manner (Kudo, Ishigatsubo and Aoki, 2013). In the event of inflammation, airways experience three major pathophysiological changes including airway wall swelling, excessive secretion of mucus, and bronchial smooth muscle contraction (bronchospasm) that lead to disconcerting airways and typical respiratory symptoms.</w:t>
      </w:r>
    </w:p>
    <w:p w14:paraId="429431C7">
      <w:pPr>
        <w:pStyle w:val="3"/>
        <w:shd w:val="clear" w:color="auto" w:fill="76E3FF"/>
        <w:spacing w:before="0"/>
      </w:pPr>
      <w:bookmarkStart w:id="4" w:name="_heading=h.d55uii2qr15u" w:colFirst="0" w:colLast="0"/>
      <w:bookmarkEnd w:id="4"/>
      <w:r>
        <w:t>Prevalence and Global Burden</w:t>
      </w:r>
    </w:p>
    <w:p w14:paraId="4A467995">
      <w:pPr>
        <w:spacing w:before="0" w:after="0"/>
      </w:pPr>
      <w:r>
        <w:t>In the UK, it is estimated that there are 5.4 million asthmatics among populations, with 1.1 million children (Global Asthma Network, 2022).</w:t>
      </w:r>
    </w:p>
    <w:p w14:paraId="0CB31E40">
      <w:pPr>
        <w:spacing w:before="0" w:after="0"/>
        <w:jc w:val="center"/>
      </w:pPr>
      <w:r>
        <w:drawing>
          <wp:inline distT="114300" distB="114300" distL="114300" distR="114300">
            <wp:extent cx="4210050" cy="2197100"/>
            <wp:effectExtent l="12700" t="12700" r="12700" b="12700"/>
            <wp:docPr id="1549537268" name="image3.png"/>
            <wp:cNvGraphicFramePr/>
            <a:graphic xmlns:a="http://schemas.openxmlformats.org/drawingml/2006/main">
              <a:graphicData uri="http://schemas.openxmlformats.org/drawingml/2006/picture">
                <pic:pic xmlns:pic="http://schemas.openxmlformats.org/drawingml/2006/picture">
                  <pic:nvPicPr>
                    <pic:cNvPr id="1549537268" name="image3.png"/>
                    <pic:cNvPicPr preferRelativeResize="0"/>
                  </pic:nvPicPr>
                  <pic:blipFill>
                    <a:blip r:embed="rId9"/>
                    <a:srcRect/>
                    <a:stretch>
                      <a:fillRect/>
                    </a:stretch>
                  </pic:blipFill>
                  <pic:spPr>
                    <a:xfrm>
                      <a:off x="0" y="0"/>
                      <a:ext cx="4210050" cy="2197100"/>
                    </a:xfrm>
                    <a:prstGeom prst="rect">
                      <a:avLst/>
                    </a:prstGeom>
                    <a:ln w="12700">
                      <a:solidFill>
                        <a:srgbClr val="000000"/>
                      </a:solidFill>
                      <a:prstDash val="solid"/>
                    </a:ln>
                  </pic:spPr>
                </pic:pic>
              </a:graphicData>
            </a:graphic>
          </wp:inline>
        </w:drawing>
      </w:r>
    </w:p>
    <w:p w14:paraId="4E9C3DEA">
      <w:pPr>
        <w:shd w:val="clear" w:color="auto" w:fill="DDD9C4" w:themeFill="background2" w:themeFillShade="E6"/>
        <w:spacing w:before="0" w:after="0"/>
        <w:jc w:val="center"/>
        <w:rPr>
          <w:b/>
          <w:bCs/>
        </w:rPr>
      </w:pPr>
      <w:r>
        <w:rPr>
          <w:b/>
          <w:bCs/>
        </w:rPr>
        <w:t>Figure 1: Prevalence of asthma among individuals</w:t>
      </w:r>
    </w:p>
    <w:p w14:paraId="5B000A7B">
      <w:pPr>
        <w:spacing w:before="0" w:after="0"/>
        <w:jc w:val="center"/>
        <w:rPr>
          <w:b/>
          <w:bCs/>
        </w:rPr>
      </w:pPr>
      <w:r>
        <w:t>(Source: Global Asthma Network, 2022)</w:t>
      </w:r>
    </w:p>
    <w:p w14:paraId="2B9EEDAC">
      <w:pPr>
        <w:spacing w:before="0" w:after="0"/>
      </w:pPr>
      <w:r>
        <w:t>The World Health Organisation estimates 262 million cases of asthma in the world in 2019, claiming 455,000 deaths and 21.42 million disability-adjusted life-years (DALYs (Global Asthma Network, 2022). Asthma is listed as the 24th in the list of the top causes of years lived disabled.</w:t>
      </w:r>
    </w:p>
    <w:p w14:paraId="0B10A2EC">
      <w:pPr>
        <w:pStyle w:val="3"/>
        <w:shd w:val="clear" w:color="auto" w:fill="DBE5F1" w:themeFill="accent1" w:themeFillTint="33"/>
        <w:spacing w:before="0"/>
      </w:pPr>
      <w:bookmarkStart w:id="5" w:name="_heading=h.sqvotv3m9s64" w:colFirst="0" w:colLast="0"/>
      <w:bookmarkEnd w:id="5"/>
      <w:r>
        <w:t>Aetiology and Risk Factors</w:t>
      </w:r>
    </w:p>
    <w:p w14:paraId="1846FD7F">
      <w:pPr>
        <w:spacing w:before="0" w:after="0"/>
      </w:pPr>
      <w:r>
        <w:t>The causes of asthma are multifactorial in that they include genetic and environmental interaction. Key risk factors include:</w:t>
      </w:r>
    </w:p>
    <w:p w14:paraId="7677A8BB">
      <w:pPr>
        <w:spacing w:before="0" w:after="0"/>
      </w:pPr>
      <w:r>
        <w:rPr>
          <w:b/>
          <w:bCs/>
          <w:color w:val="007BB8"/>
        </w:rPr>
        <w:t>Genetic predisposition:</w:t>
      </w:r>
      <w:r>
        <w:rPr>
          <w:color w:val="007BB8"/>
        </w:rPr>
        <w:t xml:space="preserve"> </w:t>
      </w:r>
      <w:r>
        <w:t>Three out of five cases are genetic, where children with one asthmatic parent are at risk at 25-30% and increased to 50% with both parental asthmatic (Horizon Prime Hospital, 2025). More than 100 genes are known especially on chromosomes 17q21 and 5q13.</w:t>
      </w:r>
    </w:p>
    <w:p w14:paraId="67910598">
      <w:pPr>
        <w:spacing w:before="0" w:after="0"/>
      </w:pPr>
      <w:r>
        <w:rPr>
          <w:b/>
          <w:bCs/>
          <w:color w:val="007BB8"/>
        </w:rPr>
        <w:t>Environmental triggers:</w:t>
      </w:r>
      <w:r>
        <w:rPr>
          <w:color w:val="007BB8"/>
        </w:rPr>
        <w:t xml:space="preserve"> </w:t>
      </w:r>
      <w:r>
        <w:t xml:space="preserve">Allergens (pollen, dust mites), air pollution, mainly PM2.5 and NO2 produced by traffic, tobacco smoke, respiratory infections (He </w:t>
      </w:r>
      <w:r>
        <w:rPr>
          <w:i/>
          <w:iCs/>
        </w:rPr>
        <w:t>et al.,</w:t>
      </w:r>
      <w:r>
        <w:t xml:space="preserve"> 2024).</w:t>
      </w:r>
    </w:p>
    <w:p w14:paraId="41907534">
      <w:pPr>
        <w:spacing w:before="0" w:after="0"/>
      </w:pPr>
      <w:r>
        <w:rPr>
          <w:b/>
          <w:bCs/>
          <w:color w:val="007BB8"/>
        </w:rPr>
        <w:t>Occupational exposures:</w:t>
      </w:r>
      <w:r>
        <w:rPr>
          <w:color w:val="007BB8"/>
        </w:rPr>
        <w:t xml:space="preserve"> </w:t>
      </w:r>
      <w:r>
        <w:t>More than 200 occupational substances result in occupational asthma. It includes isocyanates, flour dust, wood dust, and latex (Occupational Asthma, 2025).</w:t>
      </w:r>
    </w:p>
    <w:p w14:paraId="5DED35B0">
      <w:pPr>
        <w:spacing w:before="0" w:after="0"/>
        <w:rPr>
          <w:b/>
          <w:bCs/>
        </w:rPr>
      </w:pPr>
      <w:r>
        <w:rPr>
          <w:b/>
          <w:bCs/>
          <w:color w:val="007BB8"/>
        </w:rPr>
        <w:t>Comorbidities:</w:t>
      </w:r>
      <w:r>
        <w:rPr>
          <w:color w:val="007BB8"/>
        </w:rPr>
        <w:t xml:space="preserve"> </w:t>
      </w:r>
      <w:r>
        <w:t>Asthma is at risk and severe with obesity, allergic rhinitis, and gastroesophageal reflux disease (Zhang and Zheng, 2022).</w:t>
      </w:r>
    </w:p>
    <w:p w14:paraId="70318D0E">
      <w:pPr>
        <w:pStyle w:val="2"/>
        <w:shd w:val="clear" w:color="auto" w:fill="76E3FF"/>
        <w:spacing w:before="0"/>
      </w:pPr>
      <w:bookmarkStart w:id="6" w:name="_heading=h.gxxo0vywr14s" w:colFirst="0" w:colLast="0"/>
      <w:bookmarkEnd w:id="6"/>
      <w:r>
        <w:t>Section 2: Impact of Asthma on Individuals</w:t>
      </w:r>
    </w:p>
    <w:p w14:paraId="37FD5669">
      <w:pPr>
        <w:pStyle w:val="3"/>
        <w:shd w:val="clear" w:color="auto" w:fill="76E3FF"/>
        <w:spacing w:before="0"/>
      </w:pPr>
      <w:bookmarkStart w:id="7" w:name="_heading=h.biydbotlfzva" w:colFirst="0" w:colLast="0"/>
      <w:bookmarkEnd w:id="7"/>
      <w:r>
        <w:t xml:space="preserve">Physical Impact </w:t>
      </w:r>
    </w:p>
    <w:p w14:paraId="0CE8CB98">
      <w:pPr>
        <w:spacing w:before="0" w:after="0"/>
      </w:pPr>
      <w:r>
        <w:t xml:space="preserve">Asthma has enormous physical disorders that go beyond the respiratory symptoms. Bronchoconstriction with exercises affects 40-90% of asthmatic patients considerably reducing the ability to exercise and cardiovascular performance (Faleiro </w:t>
      </w:r>
      <w:r>
        <w:rPr>
          <w:i/>
          <w:iCs/>
        </w:rPr>
        <w:t>et al.,</w:t>
      </w:r>
      <w:r>
        <w:t xml:space="preserve"> 2021; Greiwe </w:t>
      </w:r>
      <w:r>
        <w:rPr>
          <w:i/>
          <w:iCs/>
        </w:rPr>
        <w:t>et al.,</w:t>
      </w:r>
      <w:r>
        <w:t xml:space="preserve"> 2021). The prevalence of nocturnal asthma is high which leads to sleep disruptions, excessive drowsiness, and permanent tiredness (Reiter </w:t>
      </w:r>
      <w:r>
        <w:rPr>
          <w:i/>
          <w:iCs/>
        </w:rPr>
        <w:t>et al.</w:t>
      </w:r>
      <w:r>
        <w:t>, 2021). It has been observed that sleep disorders are a significant risk that elevates the prevalence of asthma there are two-way relationships, where asthma is more difficult to control because of inadequate sleep.</w:t>
      </w:r>
    </w:p>
    <w:p w14:paraId="59D74AB4">
      <w:pPr>
        <w:spacing w:before="0" w:after="0"/>
      </w:pPr>
      <w:r>
        <w:t>Physical impacts are significantly enhanced by comorbidities. Meth (2023), indicates that 80% of patients with asthmatics have allergic rhinitis, 60% have gastroesophageal reflux disease, and obesity is linked with more serious and resistant to treatment disease. The prevalence of CVD is between 3.5% and 70.4% in 18-30-years-old and above 65 years of age, respectively (Meth, 2023). There are also challenges of side effects of the treatment. Several corticosteroid side effects were recorded such as growth retardation and adrenal stifling. Long-term systemic corticosteroid use is associated with osteoporosis and metabolic and cardiovascular complications.</w:t>
      </w:r>
    </w:p>
    <w:p w14:paraId="3359B5FB">
      <w:pPr>
        <w:pStyle w:val="3"/>
        <w:shd w:val="clear" w:color="auto" w:fill="DDD9C4" w:themeFill="background2" w:themeFillShade="E6"/>
        <w:spacing w:before="0"/>
      </w:pPr>
      <w:bookmarkStart w:id="8" w:name="_heading=h.l33qtust2g8r" w:colFirst="0" w:colLast="0"/>
      <w:bookmarkEnd w:id="8"/>
      <w:r>
        <w:t>Psychological Impact</w:t>
      </w:r>
    </w:p>
    <w:p w14:paraId="13A728D1">
      <w:pPr>
        <w:spacing w:before="0" w:after="0"/>
      </w:pPr>
      <w:r>
        <w:t xml:space="preserve">Asthma has severe effects on mental health and psychological wellbeing. Caulfield (2021), developed a set of asthmatic individuals as three times more likely to develop the state of anxiety and depression than non-asthmatics. Bahra </w:t>
      </w:r>
      <w:r>
        <w:rPr>
          <w:i/>
          <w:iCs/>
        </w:rPr>
        <w:t>et al.</w:t>
      </w:r>
      <w:r>
        <w:t xml:space="preserve"> (2025), established that there were significant correlations between asthma, anxiety, depression and poor quality of life. The study by Nabi </w:t>
      </w:r>
      <w:r>
        <w:rPr>
          <w:i/>
          <w:iCs/>
        </w:rPr>
        <w:t>et al.</w:t>
      </w:r>
      <w:r>
        <w:t xml:space="preserve"> (2024), found out that 53.6% report emotional distress and 46.4% experience social isolation.</w:t>
      </w:r>
    </w:p>
    <w:p w14:paraId="0ED58A1C">
      <w:pPr>
        <w:spacing w:before="0" w:after="0"/>
      </w:pPr>
      <w:r>
        <w:t>All three areas of emotional, social, and occupational quality of life are severely affected. The fear of asthma attacks creates an ongoing state of anxiety and most of the respondents admitted to feeling embarrassed by the symptoms. There have been associations between anxiety, depression, frequent exacerbation and utilisation of healthcare resources.</w:t>
      </w:r>
    </w:p>
    <w:p w14:paraId="311FFFC8">
      <w:pPr>
        <w:spacing w:before="0" w:after="0"/>
      </w:pPr>
      <w:r>
        <w:t>More importantly, psychological factors and disease control are bidirectional. Negative emotions, anxiety, stress causes bronchospasm, and at the same time aggravate asthma control (Freitas and Novais, 2025). Depression is associated with low medication adherence, higher levels of symptoms, and low self-management capacity (Caulfield, 2021). There is a presence of much greater stigma and reduced self-esteem in asthmatic patients, which may impair the adherence to treatment.</w:t>
      </w:r>
    </w:p>
    <w:p w14:paraId="33A46A8F">
      <w:pPr>
        <w:pStyle w:val="3"/>
        <w:shd w:val="clear" w:color="auto" w:fill="DDD9C4" w:themeFill="background2" w:themeFillShade="E6"/>
        <w:spacing w:before="0"/>
      </w:pPr>
      <w:bookmarkStart w:id="9" w:name="_heading=h.cqsrxi3dayew" w:colFirst="0" w:colLast="0"/>
      <w:bookmarkEnd w:id="9"/>
      <w:r>
        <w:t xml:space="preserve">Social Impact </w:t>
      </w:r>
    </w:p>
    <w:p w14:paraId="4598ADB1">
      <w:pPr>
        <w:spacing w:before="0" w:after="0"/>
      </w:pPr>
      <w:r>
        <w:t xml:space="preserve">The social impacts of asthma traverse in various areas of life. Education is greatly impacted because the number of missed school days per year on average in asthmatic children is 2 more in comparison with non-asthmatics (Asthma and Allergy Foundation of America, 2024). Fleming </w:t>
      </w:r>
      <w:r>
        <w:rPr>
          <w:i/>
          <w:iCs/>
        </w:rPr>
        <w:t>et al.</w:t>
      </w:r>
      <w:r>
        <w:t xml:space="preserve"> (2019), report 20-25% higher absenteeism among Scottish asthmatic children, which leads to worse examination results.</w:t>
      </w:r>
    </w:p>
    <w:p w14:paraId="0D4C2C8E">
      <w:pPr>
        <w:spacing w:before="0" w:after="0"/>
      </w:pPr>
      <w:r>
        <w:t xml:space="preserve">The cost of productivity of employment is high. According to Dierick </w:t>
      </w:r>
      <w:r>
        <w:rPr>
          <w:i/>
          <w:iCs/>
        </w:rPr>
        <w:t>et al.</w:t>
      </w:r>
      <w:r>
        <w:t xml:space="preserve"> (2021), the asthmatic patients had 15.2% work absence and 8.9% in general populations. Omrane </w:t>
      </w:r>
      <w:r>
        <w:rPr>
          <w:i/>
          <w:iCs/>
        </w:rPr>
        <w:t>et al.</w:t>
      </w:r>
      <w:r>
        <w:t xml:space="preserve"> (2025), reported 33.1% presentism and 30.4% loss of overall productivity due to asthma. Job absenteeism is not caused by the severity but control of disease such as asthma resulting in high levels of sickness absence and loss of productivity. </w:t>
      </w:r>
    </w:p>
    <w:p w14:paraId="3E56017A">
      <w:pPr>
        <w:spacing w:before="0" w:after="0"/>
      </w:pPr>
      <w:r>
        <w:t>One of the very important under-recognised burdens is stigma. Swarnakar and Dhar (2024), pointed out that stigma results in reduced self-esteem, hiding symptoms, and reporting delays, especially in Indian groups. All these validated the presence of much more stigma in asthmatic patients compared to healthy controls.</w:t>
      </w:r>
    </w:p>
    <w:p w14:paraId="04838083">
      <w:pPr>
        <w:pStyle w:val="2"/>
        <w:shd w:val="clear" w:color="auto" w:fill="76E3FF"/>
        <w:spacing w:before="0"/>
      </w:pPr>
      <w:bookmarkStart w:id="10" w:name="_heading=h.tvusu99cveh" w:colFirst="0" w:colLast="0"/>
      <w:bookmarkEnd w:id="10"/>
      <w:r>
        <w:t xml:space="preserve">Section 3: Impact on Families and Carers </w:t>
      </w:r>
    </w:p>
    <w:p w14:paraId="43E5D73D">
      <w:pPr>
        <w:spacing w:before="0" w:after="0"/>
      </w:pPr>
      <w:r>
        <w:t xml:space="preserve">Paediatric asthma has a great impact on families and caregivers. Yang </w:t>
      </w:r>
      <w:r>
        <w:rPr>
          <w:i/>
          <w:iCs/>
        </w:rPr>
        <w:t>et al.</w:t>
      </w:r>
      <w:r>
        <w:t xml:space="preserve"> (2024), reported that more than one-third of parents had moderate-to-high caregiver burden, and 81.52% were noted to have high parenting stress. Wu, Zhang and Hu (2025), found that several stressors such as sleeping disturbance, overspending of time/energy, and dysfunctional family were identified. The anxiety of parents is also manifested clearly. Rogulj, Vukojević and Kalcina (2024), showed that parents are afraid of asthma attacks when they are not present, and the level of anxiety is higher than in children. A correlation was developed between caregiver stress, symptoms of depression, and inadequate asthma control. The effects of sibling relationships were important as mentioned by Plaza-González </w:t>
      </w:r>
      <w:r>
        <w:rPr>
          <w:i/>
          <w:iCs/>
        </w:rPr>
        <w:t>et al.</w:t>
      </w:r>
      <w:r>
        <w:t xml:space="preserve"> (2022), and children were shown to be dependent on their parents to manage the disease. The challenges are aggravated by financial burden: families pay more to obtain healthcare, become less productive, and have to spend a fortune on treatment.</w:t>
      </w:r>
    </w:p>
    <w:p w14:paraId="637F1B18">
      <w:pPr>
        <w:pStyle w:val="2"/>
        <w:shd w:val="clear" w:color="auto" w:fill="76E3FF"/>
        <w:spacing w:before="0"/>
      </w:pPr>
      <w:bookmarkStart w:id="11" w:name="_heading=h.h3n7exaakt1k" w:colFirst="0" w:colLast="0"/>
      <w:bookmarkEnd w:id="11"/>
      <w:r>
        <w:t xml:space="preserve">Section 4: Evidence-Based Management and NHS Treatments </w:t>
      </w:r>
    </w:p>
    <w:p w14:paraId="1E3F630E">
      <w:pPr>
        <w:spacing w:before="0" w:after="0"/>
      </w:pPr>
      <w:r>
        <w:t>The BTS/NICE/SIGN joint guideline 2024 is a paradigm shift in the management of asthma in the UK, which focuses on eosinophilic inflammation indicators and anti-inflammatory reliever (AIR) therapy (Gruffydd-Jones, 2025; National Institute for Health and Care Excellence, 2024).</w:t>
      </w:r>
    </w:p>
    <w:p w14:paraId="00C7C2D1">
      <w:pPr>
        <w:pStyle w:val="3"/>
        <w:shd w:val="clear" w:color="auto" w:fill="DDD9C4" w:themeFill="background2" w:themeFillShade="E6"/>
        <w:spacing w:before="0"/>
      </w:pPr>
      <w:bookmarkStart w:id="12" w:name="_heading=h.3m94avbrdoe5" w:colFirst="0" w:colLast="0"/>
      <w:bookmarkEnd w:id="12"/>
      <w:r>
        <w:t>Diagnostic Approaches</w:t>
      </w:r>
    </w:p>
    <w:p w14:paraId="0A897E48">
      <w:pPr>
        <w:spacing w:before="0" w:after="0"/>
        <w:rPr>
          <w:rFonts w:eastAsia="Roboto"/>
        </w:rPr>
      </w:pPr>
      <w:r>
        <w:rPr>
          <w:rFonts w:eastAsia="Nova Mono"/>
        </w:rPr>
        <w:t>The diagnosis has to be based on characteristic symptoms ascertained via objective testing (British Thoracic Society, 2019). The priority is given to the FeNO (fractional exhaled nitric oxide) testing; the positivity limits in adults are ≥50 parts per billion (ppb) and in children aged 5-16 years ≥35 ppb (NICE, 2024). Diagnosis is supplemented by spirometry with bronchodilator reversibility testing and the count of blood eosinophils. Clinical assessment aims at assessing symptom patterns, triggers, and comorbidities.</w:t>
      </w:r>
    </w:p>
    <w:p w14:paraId="57BE4608">
      <w:pPr>
        <w:pStyle w:val="3"/>
        <w:shd w:val="clear" w:color="auto" w:fill="DDD9C4" w:themeFill="background2" w:themeFillShade="E6"/>
        <w:spacing w:before="0"/>
      </w:pPr>
      <w:bookmarkStart w:id="13" w:name="_heading=h.7ejv85grp8l4" w:colFirst="0" w:colLast="0"/>
      <w:bookmarkEnd w:id="13"/>
      <w:r>
        <w:t>Pharmacological Management</w:t>
      </w:r>
    </w:p>
    <w:p w14:paraId="399176E3">
      <w:pPr>
        <w:spacing w:before="0" w:after="0"/>
        <w:rPr>
          <w:rFonts w:eastAsia="Roboto"/>
        </w:rPr>
      </w:pPr>
      <w:r>
        <w:rPr>
          <w:rFonts w:eastAsia="Nova Mono"/>
        </w:rPr>
        <w:t xml:space="preserve">Guideline 2024 abolishes the short-acting beta-agonist (SABA)-only treatment directions, requiring inhaled corticosteroids (ICS) among all patients aged ≥12 years (Piwko et al., 2024). </w:t>
      </w:r>
    </w:p>
    <w:p w14:paraId="1C8AB9AF">
      <w:pPr>
        <w:spacing w:before="0" w:after="0"/>
        <w:jc w:val="center"/>
        <w:rPr>
          <w:rFonts w:eastAsia="Roboto"/>
        </w:rPr>
      </w:pPr>
      <w:r>
        <w:rPr>
          <w:rFonts w:eastAsia="Roboto"/>
        </w:rPr>
        <w:drawing>
          <wp:inline distT="114300" distB="114300" distL="114300" distR="114300">
            <wp:extent cx="4210050" cy="2933700"/>
            <wp:effectExtent l="0" t="0" r="0" b="0"/>
            <wp:docPr id="1549537267" name="image2.png"/>
            <wp:cNvGraphicFramePr/>
            <a:graphic xmlns:a="http://schemas.openxmlformats.org/drawingml/2006/main">
              <a:graphicData uri="http://schemas.openxmlformats.org/drawingml/2006/picture">
                <pic:pic xmlns:pic="http://schemas.openxmlformats.org/drawingml/2006/picture">
                  <pic:nvPicPr>
                    <pic:cNvPr id="1549537267" name="image2.png"/>
                    <pic:cNvPicPr preferRelativeResize="0"/>
                  </pic:nvPicPr>
                  <pic:blipFill>
                    <a:blip r:embed="rId10"/>
                    <a:srcRect/>
                    <a:stretch>
                      <a:fillRect/>
                    </a:stretch>
                  </pic:blipFill>
                  <pic:spPr>
                    <a:xfrm>
                      <a:off x="0" y="0"/>
                      <a:ext cx="4210050" cy="2933700"/>
                    </a:xfrm>
                    <a:prstGeom prst="rect">
                      <a:avLst/>
                    </a:prstGeom>
                  </pic:spPr>
                </pic:pic>
              </a:graphicData>
            </a:graphic>
          </wp:inline>
        </w:drawing>
      </w:r>
    </w:p>
    <w:p w14:paraId="1102328A">
      <w:pPr>
        <w:shd w:val="clear" w:color="auto" w:fill="DDD9C4" w:themeFill="background2" w:themeFillShade="E6"/>
        <w:spacing w:before="0" w:after="0"/>
        <w:jc w:val="center"/>
        <w:rPr>
          <w:rFonts w:eastAsia="Roboto"/>
          <w:b/>
          <w:bCs/>
        </w:rPr>
      </w:pPr>
      <w:r>
        <w:rPr>
          <w:rFonts w:eastAsia="Roboto"/>
          <w:b/>
          <w:bCs/>
        </w:rPr>
        <w:t>Figure 2: Current treatment of asthma</w:t>
      </w:r>
    </w:p>
    <w:p w14:paraId="1C5981F2">
      <w:pPr>
        <w:spacing w:before="0" w:after="0"/>
        <w:jc w:val="center"/>
        <w:rPr>
          <w:rFonts w:eastAsia="Roboto"/>
        </w:rPr>
      </w:pPr>
      <w:r>
        <w:rPr>
          <w:rFonts w:eastAsia="Roboto"/>
        </w:rPr>
        <w:t>(Source: Piwko et al., 2024)</w:t>
      </w:r>
    </w:p>
    <w:p w14:paraId="30DAE207">
      <w:pPr>
        <w:spacing w:before="0" w:after="0"/>
        <w:rPr>
          <w:rFonts w:eastAsia="Roboto"/>
        </w:rPr>
      </w:pPr>
      <w:r>
        <w:rPr>
          <w:rFonts w:eastAsia="Roboto"/>
        </w:rPr>
        <w:t>ICS (beclometasone, budesonide, fluticasone) is an inhaler preventer that helps reduce the inflammation in the airways (Piwko et al., 2024). Soon alleviation of symptoms is achieved with reliever inhalers (salbutamol, terbutaline).</w:t>
      </w:r>
    </w:p>
    <w:p w14:paraId="581DFA76">
      <w:pPr>
        <w:spacing w:before="0" w:after="0"/>
        <w:rPr>
          <w:rFonts w:eastAsia="Roboto"/>
        </w:rPr>
      </w:pPr>
      <w:r>
        <w:rPr>
          <w:rFonts w:eastAsia="Roboto"/>
        </w:rPr>
        <w:t xml:space="preserve">The key one is combination therapy of </w:t>
      </w:r>
      <w:r>
        <w:rPr>
          <w:rFonts w:eastAsia="Roboto"/>
          <w:b/>
          <w:bCs/>
        </w:rPr>
        <w:t xml:space="preserve">MART </w:t>
      </w:r>
      <w:r>
        <w:rPr>
          <w:rFonts w:eastAsia="Roboto"/>
        </w:rPr>
        <w:t>(maintenance and reliever therapy) with single ICS/formoterol inhalers helps to decrease the number of exacerbations by 40% but proves to be economically prevailing in comparison to the traditional regimens (Piwko et al., 2024). AIR therapy is appropriate to mild intermittent asthma.</w:t>
      </w:r>
    </w:p>
    <w:p w14:paraId="111E6B7E">
      <w:pPr>
        <w:spacing w:before="0" w:after="0"/>
        <w:jc w:val="center"/>
        <w:rPr>
          <w:rFonts w:eastAsia="Roboto"/>
        </w:rPr>
      </w:pPr>
      <w:r>
        <w:rPr>
          <w:rFonts w:eastAsia="Roboto"/>
        </w:rPr>
        <w:drawing>
          <wp:inline distT="114300" distB="114300" distL="114300" distR="114300">
            <wp:extent cx="4210050" cy="1562100"/>
            <wp:effectExtent l="0" t="0" r="0" b="0"/>
            <wp:docPr id="1549537272" name="image5.png"/>
            <wp:cNvGraphicFramePr/>
            <a:graphic xmlns:a="http://schemas.openxmlformats.org/drawingml/2006/main">
              <a:graphicData uri="http://schemas.openxmlformats.org/drawingml/2006/picture">
                <pic:pic xmlns:pic="http://schemas.openxmlformats.org/drawingml/2006/picture">
                  <pic:nvPicPr>
                    <pic:cNvPr id="1549537272" name="image5.png"/>
                    <pic:cNvPicPr preferRelativeResize="0"/>
                  </pic:nvPicPr>
                  <pic:blipFill>
                    <a:blip r:embed="rId11"/>
                    <a:srcRect/>
                    <a:stretch>
                      <a:fillRect/>
                    </a:stretch>
                  </pic:blipFill>
                  <pic:spPr>
                    <a:xfrm>
                      <a:off x="0" y="0"/>
                      <a:ext cx="4210050" cy="1562100"/>
                    </a:xfrm>
                    <a:prstGeom prst="rect">
                      <a:avLst/>
                    </a:prstGeom>
                  </pic:spPr>
                </pic:pic>
              </a:graphicData>
            </a:graphic>
          </wp:inline>
        </w:drawing>
      </w:r>
    </w:p>
    <w:p w14:paraId="570E8675">
      <w:pPr>
        <w:shd w:val="clear" w:color="auto" w:fill="DDD9C4" w:themeFill="background2" w:themeFillShade="E6"/>
        <w:spacing w:before="0" w:after="0"/>
        <w:jc w:val="center"/>
        <w:rPr>
          <w:rFonts w:eastAsia="Roboto"/>
          <w:b/>
          <w:bCs/>
        </w:rPr>
      </w:pPr>
      <w:r>
        <w:rPr>
          <w:rFonts w:eastAsia="Roboto"/>
          <w:b/>
          <w:bCs/>
        </w:rPr>
        <w:t>Figure 3: MART therapy</w:t>
      </w:r>
    </w:p>
    <w:p w14:paraId="63490D7E">
      <w:pPr>
        <w:spacing w:before="0" w:after="0"/>
        <w:jc w:val="center"/>
        <w:rPr>
          <w:rFonts w:eastAsia="Roboto"/>
        </w:rPr>
      </w:pPr>
      <w:r>
        <w:rPr>
          <w:rFonts w:eastAsia="Roboto"/>
        </w:rPr>
        <w:t>(Source: Piwko et al., 2024)</w:t>
      </w:r>
    </w:p>
    <w:p w14:paraId="0497968F">
      <w:pPr>
        <w:spacing w:before="0" w:after="0"/>
        <w:rPr>
          <w:rFonts w:eastAsia="Roboto"/>
        </w:rPr>
      </w:pPr>
      <w:r>
        <w:rPr>
          <w:rFonts w:eastAsia="Roboto"/>
        </w:rPr>
        <w:t>Biological therapy is used in the treatment of severe asthma. Omalizumab (anti-IgE), mepolizumab/reslizumab (anti-IL-5), benralizumab (anti-IL-5 receptor), dupilumab (anti-IL-4/IL-13), and tezepelumab (anti-TSLP) have outstanding efficacy and safety responses (Faria et al., 2025).</w:t>
      </w:r>
    </w:p>
    <w:p w14:paraId="4677A21F">
      <w:pPr>
        <w:pStyle w:val="3"/>
        <w:shd w:val="clear" w:color="auto" w:fill="DDD9C4" w:themeFill="background2" w:themeFillShade="E6"/>
        <w:spacing w:before="0"/>
      </w:pPr>
      <w:bookmarkStart w:id="14" w:name="_heading=h.a6276nrzkjp2" w:colFirst="0" w:colLast="0"/>
      <w:bookmarkEnd w:id="14"/>
      <w:r>
        <w:t>Non-Pharmacological Interventions</w:t>
      </w:r>
    </w:p>
    <w:p w14:paraId="7693659C">
      <w:pPr>
        <w:spacing w:before="0" w:after="0"/>
      </w:pPr>
      <w:r>
        <w:rPr>
          <w:rFonts w:eastAsia="Roboto"/>
        </w:rPr>
        <w:t xml:space="preserve">The evidence is moderate in terms of pulmonary rehabilitation to improve both the exercise capacity and the quality of life (Osadnik </w:t>
      </w:r>
      <w:r>
        <w:rPr>
          <w:rFonts w:eastAsia="Roboto"/>
          <w:i/>
          <w:iCs/>
        </w:rPr>
        <w:t>et al.</w:t>
      </w:r>
      <w:r>
        <w:rPr>
          <w:rFonts w:eastAsia="Roboto"/>
        </w:rPr>
        <w:t>, 2022). Cessation of smoking yields great results. Optimisation of control is achieved through self-management education and frequent monitoring.</w:t>
      </w:r>
    </w:p>
    <w:p w14:paraId="0FAE1686">
      <w:pPr>
        <w:pStyle w:val="2"/>
        <w:shd w:val="clear" w:color="auto" w:fill="76E3FF"/>
        <w:spacing w:before="0"/>
        <w:rPr>
          <w:sz w:val="34"/>
          <w:szCs w:val="34"/>
        </w:rPr>
      </w:pPr>
      <w:bookmarkStart w:id="15" w:name="_heading=h.4uhiphmubs" w:colFirst="0" w:colLast="0"/>
      <w:bookmarkEnd w:id="15"/>
      <w:r>
        <w:t xml:space="preserve">Section 5: Theoretical Models and Frameworks </w:t>
      </w:r>
    </w:p>
    <w:p w14:paraId="24A2C81B">
      <w:pPr>
        <w:pStyle w:val="3"/>
        <w:shd w:val="clear" w:color="auto" w:fill="76E3FF"/>
        <w:spacing w:before="0"/>
      </w:pPr>
      <w:bookmarkStart w:id="16" w:name="_heading=h.pjuo7klz0tuu" w:colFirst="0" w:colLast="0"/>
      <w:bookmarkEnd w:id="16"/>
      <w:r>
        <w:t xml:space="preserve">UK Model: House of Care </w:t>
      </w:r>
    </w:p>
    <w:p w14:paraId="13E37AD8">
      <w:pPr>
        <w:spacing w:before="0" w:after="0"/>
      </w:pPr>
      <w:r>
        <w:t>The House of Care model is one of the most advanced models of long-term conditions management that position collaborative personalised care planning in its core (Dixon and Roberts, 2013). The model uses an architectural metaphor that focuses on interdependency of the whole system.</w:t>
      </w:r>
    </w:p>
    <w:p w14:paraId="18EC6B71">
      <w:pPr>
        <w:spacing w:before="0" w:after="0"/>
        <w:jc w:val="center"/>
      </w:pPr>
      <w:r>
        <w:drawing>
          <wp:inline distT="114300" distB="114300" distL="114300" distR="114300">
            <wp:extent cx="2591435" cy="2414270"/>
            <wp:effectExtent l="0" t="0" r="0" b="0"/>
            <wp:docPr id="1549537271" name="image6.png"/>
            <wp:cNvGraphicFramePr/>
            <a:graphic xmlns:a="http://schemas.openxmlformats.org/drawingml/2006/main">
              <a:graphicData uri="http://schemas.openxmlformats.org/drawingml/2006/picture">
                <pic:pic xmlns:pic="http://schemas.openxmlformats.org/drawingml/2006/picture">
                  <pic:nvPicPr>
                    <pic:cNvPr id="1549537271" name="image6.png"/>
                    <pic:cNvPicPr preferRelativeResize="0"/>
                  </pic:nvPicPr>
                  <pic:blipFill>
                    <a:blip r:embed="rId12"/>
                    <a:srcRect l="23755" r="23049"/>
                    <a:stretch>
                      <a:fillRect/>
                    </a:stretch>
                  </pic:blipFill>
                  <pic:spPr>
                    <a:xfrm>
                      <a:off x="0" y="0"/>
                      <a:ext cx="2591480" cy="2414588"/>
                    </a:xfrm>
                    <a:prstGeom prst="rect">
                      <a:avLst/>
                    </a:prstGeom>
                  </pic:spPr>
                </pic:pic>
              </a:graphicData>
            </a:graphic>
          </wp:inline>
        </w:drawing>
      </w:r>
    </w:p>
    <w:p w14:paraId="40E27FA7">
      <w:pPr>
        <w:shd w:val="clear" w:color="auto" w:fill="DDD9C4" w:themeFill="background2" w:themeFillShade="E6"/>
        <w:spacing w:before="0" w:after="0"/>
        <w:jc w:val="center"/>
        <w:rPr>
          <w:b/>
          <w:bCs/>
        </w:rPr>
      </w:pPr>
      <w:r>
        <w:rPr>
          <w:b/>
          <w:bCs/>
        </w:rPr>
        <w:t>Figure 4: House of Care</w:t>
      </w:r>
    </w:p>
    <w:p w14:paraId="4C480CF3">
      <w:pPr>
        <w:spacing w:before="0" w:after="0"/>
        <w:jc w:val="center"/>
      </w:pPr>
      <w:r>
        <w:t>(Source: Health and Social Care Alliance Scotland, 2018)</w:t>
      </w:r>
    </w:p>
    <w:p w14:paraId="0325939B">
      <w:pPr>
        <w:spacing w:before="0" w:after="0"/>
      </w:pPr>
      <w:r>
        <w:t>There are four basic pieces, which form the foundation:</w:t>
      </w:r>
    </w:p>
    <w:p w14:paraId="539C662B">
      <w:pPr>
        <w:spacing w:before="0" w:after="0"/>
      </w:pPr>
      <w:r>
        <w:rPr>
          <w:b/>
          <w:bCs/>
          <w:i/>
          <w:iCs/>
          <w:color w:val="007BB8"/>
        </w:rPr>
        <w:t>Informed, engaged individuals and carers (left wall)</w:t>
      </w:r>
      <w:r>
        <w:rPr>
          <w:color w:val="007BB8"/>
        </w:rPr>
        <w:t xml:space="preserve">: </w:t>
      </w:r>
      <w:r>
        <w:t>Patients are informed and empowered to participate in a preparation programme based on two-stage consultations, patient-specific information, decision aids, and structured education programmes (Health and Social Care Alliance Scotland, 2018).</w:t>
      </w:r>
    </w:p>
    <w:p w14:paraId="320856B1">
      <w:pPr>
        <w:spacing w:before="0" w:after="0"/>
      </w:pPr>
      <w:r>
        <w:rPr>
          <w:b/>
          <w:bCs/>
          <w:i/>
          <w:iCs/>
          <w:color w:val="007BB8"/>
        </w:rPr>
        <w:t>Clinicians who are determined to work in partnership (right wall)</w:t>
      </w:r>
      <w:r>
        <w:rPr>
          <w:color w:val="007BB8"/>
        </w:rPr>
        <w:t xml:space="preserve">: </w:t>
      </w:r>
      <w:r>
        <w:t>Clinicians apply partnership-based consulting styles that focus on empathy, shared decision-making, goal setting, and will give up the old-fashioned paternalistic style of working with patients.</w:t>
      </w:r>
    </w:p>
    <w:p w14:paraId="04F29155">
      <w:pPr>
        <w:spacing w:before="0" w:after="0"/>
      </w:pPr>
      <w:r>
        <w:rPr>
          <w:b/>
          <w:bCs/>
          <w:i/>
          <w:iCs/>
          <w:color w:val="007BB8"/>
        </w:rPr>
        <w:t>Organisational processes and systems (roof)</w:t>
      </w:r>
      <w:r>
        <w:rPr>
          <w:color w:val="007BB8"/>
        </w:rPr>
        <w:t xml:space="preserve">: </w:t>
      </w:r>
      <w:r>
        <w:t>Implementation is supported by robust infrastructure such as risk stratification, flexible appointment systems, integrated electronic records and coordinated care pathways (Health and Social Care Alliance Scotland, 2018).</w:t>
      </w:r>
    </w:p>
    <w:p w14:paraId="68BE12DD">
      <w:pPr>
        <w:spacing w:before="0" w:after="0"/>
      </w:pPr>
      <w:r>
        <w:rPr>
          <w:b/>
          <w:bCs/>
          <w:i/>
          <w:iCs/>
          <w:color w:val="007BB8"/>
        </w:rPr>
        <w:t>Responsive commissioning (foundation)</w:t>
      </w:r>
      <w:r>
        <w:rPr>
          <w:color w:val="007BB8"/>
        </w:rPr>
        <w:t xml:space="preserve">: </w:t>
      </w:r>
      <w:r>
        <w:t>Bridges the gap between population and individual care planning by creating a menu of community services, telehealth and self-management support.</w:t>
      </w:r>
    </w:p>
    <w:p w14:paraId="5EE68FD6">
      <w:pPr>
        <w:spacing w:before="0" w:after="0"/>
        <w:rPr>
          <w:b/>
          <w:bCs/>
          <w:color w:val="007BB8"/>
        </w:rPr>
      </w:pPr>
      <w:r>
        <w:rPr>
          <w:b/>
          <w:bCs/>
          <w:color w:val="007BB8"/>
        </w:rPr>
        <w:t>Application to Asthma:</w:t>
      </w:r>
    </w:p>
    <w:p w14:paraId="4E28DFA1">
      <w:pPr>
        <w:spacing w:before="0" w:after="0"/>
      </w:pPr>
      <w:r>
        <w:t xml:space="preserve">In asthma management, the House of Care enables a personalised action plan, training inhaler techniques, identifying triggers, and referring to a pulmonary rehabilitation programme. Crawford </w:t>
      </w:r>
      <w:r>
        <w:rPr>
          <w:i/>
          <w:iCs/>
        </w:rPr>
        <w:t>et al.</w:t>
      </w:r>
      <w:r>
        <w:t xml:space="preserve"> (2025), also highlighted the importance of systematic integration of health systems to offer evidence-based care of asthma.</w:t>
      </w:r>
    </w:p>
    <w:p w14:paraId="111809FE">
      <w:pPr>
        <w:spacing w:before="0" w:after="0"/>
        <w:rPr>
          <w:color w:val="007BB8"/>
        </w:rPr>
      </w:pPr>
      <w:r>
        <w:rPr>
          <w:b/>
          <w:bCs/>
          <w:color w:val="007BB8"/>
        </w:rPr>
        <w:t>Evidence and Critique</w:t>
      </w:r>
      <w:r>
        <w:rPr>
          <w:color w:val="007BB8"/>
        </w:rPr>
        <w:t>:</w:t>
      </w:r>
    </w:p>
    <w:p w14:paraId="62441B54">
      <w:pPr>
        <w:spacing w:before="0" w:after="0"/>
      </w:pPr>
      <w:r>
        <w:t>The evaluation of the Year of Care programme showed that the patient experience was improved, self-care behaviours were better, the level of professional satisfaction was higher, and the Quality and Outcomes Framework scores were improved. Nevertheless, the issues remain as not all of the components are implemented at the same time, the IT systems lack flexibility to facilitate documentation, and the management of multi-morbidity seems to be a challenging issue. The most important barrier to implementation is cultural change that necessitates new conceptualisation of professional roles.</w:t>
      </w:r>
    </w:p>
    <w:p w14:paraId="69D95F59">
      <w:pPr>
        <w:pStyle w:val="3"/>
        <w:shd w:val="clear" w:color="auto" w:fill="DDD9C4" w:themeFill="background2" w:themeFillShade="E6"/>
        <w:spacing w:before="0"/>
      </w:pPr>
      <w:bookmarkStart w:id="17" w:name="_heading=h.65jh3cg2s72w" w:colFirst="0" w:colLast="0"/>
      <w:bookmarkEnd w:id="17"/>
      <w:r>
        <w:t xml:space="preserve">International Model: Chronic Care Model </w:t>
      </w:r>
    </w:p>
    <w:p w14:paraId="532BC082">
      <w:pPr>
        <w:spacing w:before="0" w:after="0"/>
      </w:pPr>
      <w:r>
        <w:t>The Chronic Care Model (CCM) developed by Edward Wagner in1998 is one of the most popular models globally and is changing the paradigm of chronic disease management to proactive, patient-centred care instead of reactive and episodic care (Wagner, 1998).</w:t>
      </w:r>
    </w:p>
    <w:p w14:paraId="508519A3">
      <w:pPr>
        <w:spacing w:before="0" w:after="0"/>
        <w:jc w:val="center"/>
      </w:pPr>
      <w:r>
        <w:drawing>
          <wp:inline distT="114300" distB="114300" distL="114300" distR="114300">
            <wp:extent cx="3352800" cy="2724150"/>
            <wp:effectExtent l="0" t="0" r="0" b="0"/>
            <wp:docPr id="1549537269" name="image4.png"/>
            <wp:cNvGraphicFramePr/>
            <a:graphic xmlns:a="http://schemas.openxmlformats.org/drawingml/2006/main">
              <a:graphicData uri="http://schemas.openxmlformats.org/drawingml/2006/picture">
                <pic:pic xmlns:pic="http://schemas.openxmlformats.org/drawingml/2006/picture">
                  <pic:nvPicPr>
                    <pic:cNvPr id="1549537269" name="image4.png"/>
                    <pic:cNvPicPr preferRelativeResize="0"/>
                  </pic:nvPicPr>
                  <pic:blipFill>
                    <a:blip r:embed="rId13"/>
                    <a:srcRect/>
                    <a:stretch>
                      <a:fillRect/>
                    </a:stretch>
                  </pic:blipFill>
                  <pic:spPr>
                    <a:xfrm>
                      <a:off x="0" y="0"/>
                      <a:ext cx="3352800" cy="2724150"/>
                    </a:xfrm>
                    <a:prstGeom prst="rect">
                      <a:avLst/>
                    </a:prstGeom>
                  </pic:spPr>
                </pic:pic>
              </a:graphicData>
            </a:graphic>
          </wp:inline>
        </w:drawing>
      </w:r>
    </w:p>
    <w:p w14:paraId="1D3556F6">
      <w:pPr>
        <w:spacing w:before="0" w:after="0"/>
        <w:jc w:val="center"/>
        <w:rPr>
          <w:b/>
          <w:bCs/>
        </w:rPr>
      </w:pPr>
      <w:r>
        <w:rPr>
          <w:b/>
          <w:bCs/>
        </w:rPr>
        <w:t>Figure 5: Chronic Care Model</w:t>
      </w:r>
    </w:p>
    <w:p w14:paraId="2255DF8E">
      <w:pPr>
        <w:spacing w:before="0" w:after="0"/>
        <w:jc w:val="center"/>
      </w:pPr>
      <w:r>
        <w:t>(Source: Center for Accelerating Care Transformation, 2024)</w:t>
      </w:r>
    </w:p>
    <w:p w14:paraId="536E094D">
      <w:pPr>
        <w:spacing w:before="0" w:after="0"/>
        <w:rPr>
          <w:b/>
          <w:bCs/>
          <w:color w:val="007BB8"/>
        </w:rPr>
      </w:pPr>
      <w:r>
        <w:rPr>
          <w:b/>
          <w:bCs/>
          <w:color w:val="007BB8"/>
        </w:rPr>
        <w:t>Six Core Elements:</w:t>
      </w:r>
    </w:p>
    <w:p w14:paraId="3F67AA16">
      <w:pPr>
        <w:spacing w:before="0" w:after="0"/>
      </w:pPr>
      <w:r>
        <w:rPr>
          <w:b/>
          <w:bCs/>
          <w:color w:val="007BB8"/>
        </w:rPr>
        <w:t>Self-management support</w:t>
      </w:r>
      <w:r>
        <w:rPr>
          <w:color w:val="007BB8"/>
        </w:rPr>
        <w:t xml:space="preserve">: </w:t>
      </w:r>
      <w:r>
        <w:t>This approach focuses on the key role of patients, and it includes goal-setting, problem-solving, plan of action, and empowerment strategies (Wagner, 1998).</w:t>
      </w:r>
    </w:p>
    <w:p w14:paraId="06F4E30A">
      <w:pPr>
        <w:spacing w:before="0" w:after="0"/>
      </w:pPr>
      <w:r>
        <w:rPr>
          <w:b/>
          <w:bCs/>
          <w:color w:val="007BB8"/>
        </w:rPr>
        <w:t>Design of delivery systems</w:t>
      </w:r>
      <w:r>
        <w:rPr>
          <w:color w:val="007BB8"/>
        </w:rPr>
        <w:t xml:space="preserve">: </w:t>
      </w:r>
      <w:r>
        <w:t>Makes available specific roles of multidisciplinary teams, scheduled interactions and rigorous follow-ups.</w:t>
      </w:r>
    </w:p>
    <w:p w14:paraId="7BB6B053">
      <w:pPr>
        <w:spacing w:before="0" w:after="0"/>
      </w:pPr>
      <w:r>
        <w:rPr>
          <w:b/>
          <w:bCs/>
          <w:color w:val="007BB8"/>
        </w:rPr>
        <w:t>Decision support</w:t>
      </w:r>
      <w:r>
        <w:rPr>
          <w:color w:val="007BB8"/>
        </w:rPr>
        <w:t xml:space="preserve">: </w:t>
      </w:r>
      <w:r>
        <w:t>Puts evidence-based guidelines, specialist knowledge, and clinical pathways into standard care (Wagner, 1998).</w:t>
      </w:r>
    </w:p>
    <w:p w14:paraId="2A975B1C">
      <w:pPr>
        <w:spacing w:before="0" w:after="0"/>
      </w:pPr>
      <w:r>
        <w:rPr>
          <w:b/>
          <w:bCs/>
          <w:color w:val="007BB8"/>
        </w:rPr>
        <w:t>Clinical information systems</w:t>
      </w:r>
      <w:r>
        <w:rPr>
          <w:color w:val="007BB8"/>
        </w:rPr>
        <w:t xml:space="preserve">: </w:t>
      </w:r>
      <w:r>
        <w:t>Employs registries, reminder systems, and performance feedback systems that allow the active management of the population.</w:t>
      </w:r>
    </w:p>
    <w:p w14:paraId="0B8F1DDD">
      <w:pPr>
        <w:spacing w:before="0" w:after="0"/>
      </w:pPr>
      <w:r>
        <w:rPr>
          <w:b/>
          <w:bCs/>
          <w:color w:val="007BB8"/>
        </w:rPr>
        <w:t>Healthcare organisation</w:t>
      </w:r>
      <w:r>
        <w:rPr>
          <w:color w:val="007BB8"/>
        </w:rPr>
        <w:t xml:space="preserve">: </w:t>
      </w:r>
      <w:r>
        <w:t>Secures the leadership, end of quality care culture, and resource distribution to accommodate chronic illnesses (Wagner, 1998).</w:t>
      </w:r>
    </w:p>
    <w:p w14:paraId="0C794EDA">
      <w:pPr>
        <w:spacing w:before="0" w:after="0"/>
      </w:pPr>
      <w:r>
        <w:rPr>
          <w:b/>
          <w:bCs/>
          <w:color w:val="007BB8"/>
        </w:rPr>
        <w:t>Community resources</w:t>
      </w:r>
      <w:r>
        <w:rPr>
          <w:color w:val="007BB8"/>
        </w:rPr>
        <w:t xml:space="preserve">: </w:t>
      </w:r>
      <w:r>
        <w:t>Organises community programmes, support groups, and non-traditional resources to augment clinical services.</w:t>
      </w:r>
    </w:p>
    <w:p w14:paraId="41E0025D">
      <w:pPr>
        <w:spacing w:before="0" w:after="0"/>
        <w:rPr>
          <w:b/>
          <w:bCs/>
          <w:color w:val="007BB8"/>
        </w:rPr>
      </w:pPr>
      <w:r>
        <w:rPr>
          <w:b/>
          <w:bCs/>
          <w:color w:val="007BB8"/>
        </w:rPr>
        <w:t>Application to Asthma:</w:t>
      </w:r>
      <w:r>
        <w:t>The implementation of CCM in managing asthma resulted in a decrease in the use of rescue inhalers, reduction of respiratory symptoms and adoption of spirometry, using respiratory care specialists to enhance primary care.</w:t>
      </w:r>
    </w:p>
    <w:p w14:paraId="49C7892B">
      <w:pPr>
        <w:spacing w:before="0" w:after="0"/>
        <w:rPr>
          <w:color w:val="007BB8"/>
        </w:rPr>
      </w:pPr>
      <w:r>
        <w:rPr>
          <w:b/>
          <w:bCs/>
          <w:color w:val="007BB8"/>
        </w:rPr>
        <w:t>Evidence and Critique</w:t>
      </w:r>
      <w:r>
        <w:rPr>
          <w:color w:val="007BB8"/>
        </w:rPr>
        <w:t>:</w:t>
      </w:r>
    </w:p>
    <w:p w14:paraId="06E6193B">
      <w:pPr>
        <w:spacing w:before="0" w:after="0"/>
      </w:pPr>
      <w:r>
        <w:t xml:space="preserve">CCM is proved effective in chronic conditions. Nevertheless, Grudniewicz </w:t>
      </w:r>
      <w:r>
        <w:rPr>
          <w:i/>
          <w:iCs/>
        </w:rPr>
        <w:t>et al.</w:t>
      </w:r>
      <w:r>
        <w:t xml:space="preserve"> (2023), criticised disease-focused care and argued that goal-oriented care should be promoted with the focus on whole-person goals rather than disease outcomes. Multi-morbidity poses a treatment burden that can be experienced to intolerable levels. Recent evidence indicates that better CCM iterations should be developed to use patient narratives, contextualise and person-centred quality indicators to enhance applicability.</w:t>
      </w:r>
    </w:p>
    <w:p w14:paraId="4462A168">
      <w:pPr>
        <w:pStyle w:val="2"/>
        <w:shd w:val="clear" w:color="auto" w:fill="76E3FF"/>
        <w:spacing w:before="0"/>
        <w:rPr>
          <w:sz w:val="34"/>
          <w:szCs w:val="34"/>
        </w:rPr>
      </w:pPr>
      <w:bookmarkStart w:id="18" w:name="_heading=h.nr1h6vn5hkxn" w:colFirst="0" w:colLast="0"/>
      <w:bookmarkEnd w:id="18"/>
      <w:r>
        <w:t xml:space="preserve">Section 6: Policy and Political Agendas </w:t>
      </w:r>
    </w:p>
    <w:p w14:paraId="16D6FCBC">
      <w:pPr>
        <w:pStyle w:val="3"/>
        <w:shd w:val="clear" w:color="auto" w:fill="DDD9C4" w:themeFill="background2" w:themeFillShade="E6"/>
        <w:spacing w:before="0"/>
        <w:rPr>
          <w:color w:val="007BB8"/>
        </w:rPr>
      </w:pPr>
      <w:bookmarkStart w:id="19" w:name="_heading=h.jsoo7kc631nj" w:colFirst="0" w:colLast="0"/>
      <w:bookmarkEnd w:id="19"/>
      <w:r>
        <w:rPr>
          <w:color w:val="007BB8"/>
        </w:rPr>
        <w:t>National Political Agendas</w:t>
      </w:r>
    </w:p>
    <w:p w14:paraId="50AA65A1">
      <w:pPr>
        <w:spacing w:before="0" w:after="0"/>
      </w:pPr>
      <w:r>
        <w:t>The NHS Long Term Plan (2019) focuses on respiratory health, it will prevent 80,000 hospital admissions by preventing lung conditions early and treating them (NHS England, 2022). Universal Personalised Care model requires the use of six evidence-based elements: shared decision-making, personalised care planning, enabling choice, social prescribing, supported self-management, and personal health budgets that aim at 2.5 million individuals in 2023/24 (NHS England, 2022).</w:t>
      </w:r>
    </w:p>
    <w:p w14:paraId="3409A735">
      <w:pPr>
        <w:spacing w:before="0" w:after="0"/>
      </w:pPr>
      <w:r>
        <w:t xml:space="preserve">In the case of asthma, 2024 BTS/NICE/SIGN guidelines transform the way management is carried out, since SABA-monotherapy is removed and inhaled corticosteroids are required (Piwko </w:t>
      </w:r>
      <w:r>
        <w:rPr>
          <w:i/>
          <w:iCs/>
        </w:rPr>
        <w:t>et al.</w:t>
      </w:r>
      <w:r>
        <w:t>, 2024). The targets of the Environment Act 2021 on Air Quality should bring down the levels of PM2.5, which indicates that traffic pollution is associated with the onset of childhood asthma.</w:t>
      </w:r>
    </w:p>
    <w:p w14:paraId="71606E4C">
      <w:pPr>
        <w:pStyle w:val="3"/>
        <w:shd w:val="clear" w:color="auto" w:fill="DDD9C4" w:themeFill="background2" w:themeFillShade="E6"/>
        <w:spacing w:before="0"/>
      </w:pPr>
      <w:bookmarkStart w:id="20" w:name="_heading=h.rim58amv0oag" w:colFirst="0" w:colLast="0"/>
      <w:bookmarkEnd w:id="20"/>
      <w:r>
        <w:t xml:space="preserve">Local Implementation </w:t>
      </w:r>
    </w:p>
    <w:p w14:paraId="1B7455D8">
      <w:pPr>
        <w:spacing w:before="0" w:after="0"/>
      </w:pPr>
      <w:r>
        <w:rPr>
          <w:b/>
          <w:bCs/>
          <w:color w:val="007BB8"/>
        </w:rPr>
        <w:t>Integrated Care Systems (ICSs)</w:t>
      </w:r>
      <w:r>
        <w:rPr>
          <w:color w:val="007BB8"/>
        </w:rPr>
        <w:t xml:space="preserve"> </w:t>
      </w:r>
      <w:r>
        <w:t xml:space="preserve">are the structures that organise the local respiratory services in 42 geographical areas in England (Charles, 2022). Nevertheless, the ICS Respiratory Review shows that implementation issues are quite crucial as 59% of the surveyed ICSs are inadequate regarding the ability to conduct spirometry, and 81% lack the ability to measure referral volumes. </w:t>
      </w:r>
    </w:p>
    <w:p w14:paraId="590DF93D">
      <w:pPr>
        <w:spacing w:before="0" w:after="0"/>
        <w:rPr>
          <w:b/>
          <w:bCs/>
        </w:rPr>
      </w:pPr>
      <w:r>
        <w:rPr>
          <w:b/>
          <w:bCs/>
          <w:color w:val="007BB8"/>
        </w:rPr>
        <w:t>Local respiratory networks</w:t>
      </w:r>
      <w:r>
        <w:rPr>
          <w:color w:val="007BB8"/>
        </w:rPr>
        <w:t xml:space="preserve"> </w:t>
      </w:r>
      <w:r>
        <w:t xml:space="preserve">can be an example of innovation: in the city of Birmingham/Solihull ICS, community-level diagnostic services are established to cover the fragmented FeNO/spirometry coverage </w:t>
      </w:r>
      <w:r>
        <w:rPr>
          <w:rFonts w:eastAsia="Roboto"/>
        </w:rPr>
        <w:t>(NICE, 2024)</w:t>
      </w:r>
      <w:r>
        <w:t>. Social prescribing can be defined as a system involving the linked workers as part of primary care networks in which patients receive community-based support to deal with determinants of housing, exercise activity, and wellbeing.</w:t>
      </w:r>
    </w:p>
    <w:p w14:paraId="081F74BA">
      <w:pPr>
        <w:shd w:val="clear" w:color="auto" w:fill="DDD9C4" w:themeFill="background2" w:themeFillShade="E6"/>
        <w:spacing w:before="0" w:after="0"/>
        <w:rPr>
          <w:b/>
          <w:bCs/>
        </w:rPr>
      </w:pPr>
      <w:r>
        <w:rPr>
          <w:b/>
          <w:bCs/>
        </w:rPr>
        <w:t>Critical challenges include:</w:t>
      </w:r>
    </w:p>
    <w:p w14:paraId="39CDB5B3">
      <w:pPr>
        <w:spacing w:before="0" w:after="0"/>
      </w:pPr>
      <w:r>
        <w:rPr>
          <w:b/>
          <w:bCs/>
          <w:color w:val="007BB8"/>
        </w:rPr>
        <w:t>Health inequalities:</w:t>
      </w:r>
      <w:r>
        <w:rPr>
          <w:color w:val="007BB8"/>
        </w:rPr>
        <w:t xml:space="preserve"> </w:t>
      </w:r>
      <w:r>
        <w:t xml:space="preserve">Children in the majority of the most deprived quintiles have 2.5 times the rates of admission into asthma as children in the least deprived groups (Lo </w:t>
      </w:r>
      <w:r>
        <w:rPr>
          <w:i/>
          <w:iCs/>
        </w:rPr>
        <w:t>et al.</w:t>
      </w:r>
      <w:r>
        <w:t>, 2024).</w:t>
      </w:r>
    </w:p>
    <w:p w14:paraId="23C05B5C">
      <w:pPr>
        <w:spacing w:before="0" w:after="0"/>
      </w:pPr>
      <w:r>
        <w:rPr>
          <w:b/>
          <w:bCs/>
          <w:color w:val="007BB8"/>
        </w:rPr>
        <w:t>Resource allocation:</w:t>
      </w:r>
      <w:r>
        <w:rPr>
          <w:color w:val="007BB8"/>
        </w:rPr>
        <w:t xml:space="preserve"> </w:t>
      </w:r>
      <w:r>
        <w:t xml:space="preserve">Asthma and Lung UK (2024), projects indicated that </w:t>
      </w:r>
      <w:r>
        <w:rPr>
          <w:rFonts w:eastAsia="Roboto"/>
        </w:rPr>
        <w:t>£</w:t>
      </w:r>
      <w:r>
        <w:t>40 million will be necessary to resolve spirometry backlogs throughout the country, but the guidance on operational measures in 2025/26 does not cover respiratory diagnostics.</w:t>
      </w:r>
    </w:p>
    <w:p w14:paraId="257DAF44">
      <w:pPr>
        <w:pStyle w:val="2"/>
        <w:shd w:val="clear" w:color="auto" w:fill="76E3FF"/>
        <w:spacing w:before="0"/>
      </w:pPr>
      <w:bookmarkStart w:id="21" w:name="_heading=h.9t49hz3irjod" w:colFirst="0" w:colLast="0"/>
      <w:bookmarkEnd w:id="21"/>
      <w:r>
        <w:t xml:space="preserve">Section 7: Person-Centred Care and Self-Management </w:t>
      </w:r>
    </w:p>
    <w:p w14:paraId="61B98B2F">
      <w:pPr>
        <w:pStyle w:val="3"/>
        <w:shd w:val="clear" w:color="auto" w:fill="DDD9C4" w:themeFill="background2" w:themeFillShade="E6"/>
        <w:spacing w:before="0"/>
      </w:pPr>
      <w:bookmarkStart w:id="22" w:name="_heading=h.wf3fwbytrxd1" w:colFirst="0" w:colLast="0"/>
      <w:bookmarkEnd w:id="22"/>
      <w:r>
        <w:t xml:space="preserve">Person-Centred Care Approaches </w:t>
      </w:r>
    </w:p>
    <w:p w14:paraId="261D6EDB">
      <w:pPr>
        <w:spacing w:before="0" w:after="0"/>
      </w:pPr>
      <w:r>
        <w:t>Comprehensive Model of Personalised Care consists of six evidence-based components that alters the way asthma is managed (NHS England, 2021). Shared decision-making empowers patients and clinicians to choose treatment options together in respect of patient preferences and values and circumstances. Goal-setting dialogues through personalised care planning provide an individualised plan of asthma actions in written form, noting the zones of symptoms, medication changes, and emergency actions.</w:t>
      </w:r>
    </w:p>
    <w:p w14:paraId="523286CC">
      <w:pPr>
        <w:spacing w:before="0" w:after="0"/>
      </w:pPr>
      <w:r>
        <w:t>The choice ensures that the patients have access to treatment choices that resonate with the style of living that is essential when choosing inhaler gadgets (NHS England, 2019). Social prescribing links patients to community services that deal with housing, exercise programmes, and smoking cessation services, which are non-medical determinants of asthma control (NHS England, 2021). Supported self-management involves systematic education, skill training and confidence building so that they can monitor their symptoms independently. Personal health budgets provide flexibility in finances to severe asthma patients who need specialist equipment or therapies.</w:t>
      </w:r>
    </w:p>
    <w:p w14:paraId="776A25A2">
      <w:pPr>
        <w:spacing w:before="0" w:after="0"/>
        <w:rPr>
          <w:b/>
          <w:bCs/>
        </w:rPr>
      </w:pPr>
      <w:r>
        <w:rPr>
          <w:b/>
          <w:bCs/>
          <w:color w:val="007BB8"/>
        </w:rPr>
        <w:t>Considerations of application</w:t>
      </w:r>
      <w:r>
        <w:rPr>
          <w:color w:val="007BB8"/>
        </w:rPr>
        <w:t xml:space="preserve">: </w:t>
      </w:r>
      <w:r>
        <w:t xml:space="preserve">Cultural sensitivity needs culturally competent consultations and resources in appropriate language. Health literacy evaluation is used to make sure that the materials are at the understanding level of patients such as pictorial action plans are more feasible in less literate groups (Sazlina </w:t>
      </w:r>
      <w:r>
        <w:rPr>
          <w:i/>
          <w:iCs/>
        </w:rPr>
        <w:t xml:space="preserve">et al., </w:t>
      </w:r>
      <w:r>
        <w:t>2022). Treatment choices of patients have a profound impact on compliance; the ability to master techniques is better with the engagement of patients in selecting an inhaler device.</w:t>
      </w:r>
    </w:p>
    <w:p w14:paraId="3E32BCC6">
      <w:pPr>
        <w:pStyle w:val="3"/>
        <w:shd w:val="clear" w:color="auto" w:fill="DDD9C4" w:themeFill="background2" w:themeFillShade="E6"/>
        <w:spacing w:before="0"/>
      </w:pPr>
      <w:bookmarkStart w:id="23" w:name="_heading=h.h2b5g73yuwkn" w:colFirst="0" w:colLast="0"/>
      <w:bookmarkEnd w:id="23"/>
      <w:r>
        <w:t xml:space="preserve">Self-Management Support </w:t>
      </w:r>
    </w:p>
    <w:p w14:paraId="3B80DAC3">
      <w:pPr>
        <w:spacing w:before="0" w:after="0"/>
      </w:pPr>
      <w:r>
        <w:t>Extensive self-management interventions have a significant positive impact. Traffic-light-based (green-yellow-red) asthma action plans lead to a decrease in hospitalisations, emergency room visits, and unscheduled appointments and increase asthma control (National Asthma Council Australia, 2024; Pinnock, 2015).</w:t>
      </w:r>
    </w:p>
    <w:p w14:paraId="595534B8">
      <w:pPr>
        <w:spacing w:before="0" w:after="0"/>
      </w:pPr>
      <w:r>
        <w:t>Training of inhaler technique using the methodology of teach-to-goal minimizes the risks of major flaws (0.28 risk ratio), and enhances the delivery of medication (Marko and Pawliczak, 2025). Personalised learning activities enhance the optimum compliance of patients.</w:t>
      </w:r>
    </w:p>
    <w:p w14:paraId="34D4546E">
      <w:pPr>
        <w:spacing w:before="0" w:after="0"/>
      </w:pPr>
      <w:r>
        <w:t xml:space="preserve">Digital health solutions are effective: smartphone apps that combine symptom management, medication alerts, environmental cues, and wearable biometric monitoring positively affect the scores obtained during the Asthma Control Test as well as the quality of life (Kandola </w:t>
      </w:r>
      <w:r>
        <w:rPr>
          <w:i/>
          <w:iCs/>
        </w:rPr>
        <w:t>et al.,</w:t>
      </w:r>
      <w:r>
        <w:t xml:space="preserve"> 2024). Smart inhalers offer real-time feedback on adherence, inhaler technique guidance, and provisional data on the usage to the clinicians.</w:t>
      </w:r>
    </w:p>
    <w:p w14:paraId="50B7D4C7">
      <w:pPr>
        <w:spacing w:before="0" w:after="0"/>
      </w:pPr>
      <w:r>
        <w:t>Programmes conducted by peers demonstrate better efficacy than those conducted by healthcare professionals, and indicate long-term changes being better about quality of life, asthma control, and self-efficacy.</w:t>
      </w:r>
    </w:p>
    <w:p w14:paraId="376AC7CF">
      <w:pPr>
        <w:spacing w:before="0" w:after="0"/>
      </w:pPr>
      <w:r>
        <w:rPr>
          <w:b/>
          <w:bCs/>
          <w:color w:val="007BB8"/>
        </w:rPr>
        <w:t>Recommendations</w:t>
      </w:r>
      <w:r>
        <w:rPr>
          <w:color w:val="007BB8"/>
        </w:rPr>
        <w:t xml:space="preserve">: </w:t>
      </w:r>
      <w:r>
        <w:t>introduce digital platforms methodically, create networks of specialist asthma nurses, make the teach-to-goal training mandatory, and focus on health literacy-appropriate materials that discuss socioeconomic inequalities.</w:t>
      </w:r>
    </w:p>
    <w:p w14:paraId="16803129">
      <w:pPr>
        <w:pStyle w:val="2"/>
        <w:shd w:val="clear" w:color="auto" w:fill="76E3FF"/>
        <w:spacing w:before="0"/>
      </w:pPr>
      <w:bookmarkStart w:id="24" w:name="_heading=h.hf6n66bq46xk" w:colFirst="0" w:colLast="0"/>
      <w:bookmarkEnd w:id="24"/>
      <w:r>
        <w:t xml:space="preserve">Section 8: End of Life Care Considerations </w:t>
      </w:r>
    </w:p>
    <w:p w14:paraId="4EEAA705">
      <w:pPr>
        <w:spacing w:before="0" w:after="0"/>
      </w:pPr>
      <w:r>
        <w:t>Although the mortality rate of asthma is comparatively low, that is, its contribution to the total number of deaths is less than 1% of the total deaths worldwide (Global Asthma Network, 2022). Severe asthma is a life-restricting condition. The number of deaths caused by asthma in the UK has risen by a quarter in the last 10 years with four fatalities each day, two-thirds of which can be prevented by better basic care.</w:t>
      </w:r>
    </w:p>
    <w:p w14:paraId="1B163C57">
      <w:pPr>
        <w:spacing w:before="0" w:after="0"/>
      </w:pPr>
      <w:r>
        <w:t xml:space="preserve">The narrative, </w:t>
      </w:r>
      <w:r>
        <w:rPr>
          <w:b/>
          <w:bCs/>
          <w:i/>
          <w:iCs/>
        </w:rPr>
        <w:t xml:space="preserve">“Every Moment Counts” </w:t>
      </w:r>
      <w:r>
        <w:t>(National Voices, 2015) focuses on five areas important to person-centred end-of-life care, namely, working towards patient goals and quality of life/death (National Voices, 2015). It includes candid dialogue and access to advance planning, key people in networks of support, meeting needs of physical, emotional, spiritual, and practical needs, and being responsive through timely 24/7 support.</w:t>
      </w:r>
    </w:p>
    <w:p w14:paraId="3F15A10F">
      <w:pPr>
        <w:spacing w:before="0" w:after="0"/>
      </w:pPr>
      <w:r>
        <w:t>Advance care planning (ACP) achieves communication by the definition of goals-of-care including advance decisions, lasting power of attorney, and advance care plans (Ribeiro, Pamplona and Simonds, 2024). The incorporation of palliative care into the respiratory services is proven effective. It enhances the mastery of breathlessness, the number of visits to emergency services decreases, and the preferred place-of-death is achieved.</w:t>
      </w:r>
    </w:p>
    <w:p w14:paraId="3BD092EB">
      <w:pPr>
        <w:spacing w:before="0" w:after="0"/>
      </w:pPr>
      <w:r>
        <w:rPr>
          <w:b/>
          <w:bCs/>
          <w:color w:val="007BB8"/>
        </w:rPr>
        <w:t>Recommendations</w:t>
      </w:r>
      <w:r>
        <w:rPr>
          <w:color w:val="007BB8"/>
        </w:rPr>
        <w:t xml:space="preserve">: </w:t>
      </w:r>
      <w:r>
        <w:t>Early identification based on such criteria as refractory breathlessness, frequent hospitalisations, psychological distress (Pascoe, Buchan and Smallwood, 2024). Analysing the holistic symptom management, psychosocial support of families, patient/family referral to specialist palliative care as soon as possible (before the end-of-life) to reap maximum benefits.</w:t>
      </w:r>
    </w:p>
    <w:p w14:paraId="4BA10C60">
      <w:pPr>
        <w:pStyle w:val="2"/>
        <w:shd w:val="clear" w:color="auto" w:fill="76E3FF"/>
        <w:spacing w:before="0"/>
      </w:pPr>
      <w:bookmarkStart w:id="25" w:name="_heading=h.d1dqqyi53f7l" w:colFirst="0" w:colLast="0"/>
      <w:bookmarkEnd w:id="25"/>
      <w:r>
        <w:t>Section 9: Key Recommendations and Conclusions</w:t>
      </w:r>
    </w:p>
    <w:p w14:paraId="7C6491E4">
      <w:pPr>
        <w:spacing w:before="0" w:after="0"/>
      </w:pPr>
      <w:r>
        <w:t>Millions of UK residents are affected with asthma and it incurs heavy physical, psychological, social, and family burdens besides raising £1.1 billion in yearly NHS expenses. Although evidence-based guidelines on BTS/NICE/SIGN (2024) and the necessity of introducing ICS-containing regimens are mandatory, there is still a high degree of implementation gaps.</w:t>
      </w:r>
    </w:p>
    <w:p w14:paraId="393DE1EC">
      <w:pPr>
        <w:shd w:val="clear" w:color="auto" w:fill="DDD9C4" w:themeFill="background2" w:themeFillShade="E6"/>
        <w:spacing w:before="0" w:after="0"/>
      </w:pPr>
      <w:r>
        <w:rPr>
          <w:b/>
          <w:bCs/>
        </w:rPr>
        <w:t>Critical Recommendations</w:t>
      </w:r>
      <w:r>
        <w:t>:</w:t>
      </w:r>
    </w:p>
    <w:p w14:paraId="1610EB96">
      <w:pPr>
        <w:pStyle w:val="46"/>
        <w:numPr>
          <w:ilvl w:val="0"/>
          <w:numId w:val="1"/>
        </w:numPr>
        <w:spacing w:before="0" w:after="0"/>
      </w:pPr>
      <w:r>
        <w:rPr>
          <w:b/>
          <w:bCs/>
          <w:color w:val="007BB8"/>
        </w:rPr>
        <w:t>Clinical Practice</w:t>
      </w:r>
      <w:r>
        <w:rPr>
          <w:color w:val="007BB8"/>
        </w:rPr>
        <w:t xml:space="preserve">: </w:t>
      </w:r>
      <w:r>
        <w:t xml:space="preserve">Introduce multidisciplinary respiratory teams that involve specialist nurses, pharmacists and social prescribing link workers (Turner </w:t>
      </w:r>
      <w:r>
        <w:rPr>
          <w:i/>
          <w:iCs/>
        </w:rPr>
        <w:t>et al.</w:t>
      </w:r>
      <w:r>
        <w:t>, 2022). Inhaler-based training of the mandate to goal technique (Mandate to goal reduction technique) decreased technique errors.</w:t>
      </w:r>
    </w:p>
    <w:p w14:paraId="222A8C98">
      <w:pPr>
        <w:pStyle w:val="46"/>
        <w:numPr>
          <w:ilvl w:val="0"/>
          <w:numId w:val="1"/>
        </w:numPr>
        <w:spacing w:before="0" w:after="0"/>
      </w:pPr>
      <w:r>
        <w:rPr>
          <w:b/>
          <w:bCs/>
          <w:color w:val="007BB8"/>
        </w:rPr>
        <w:t>Policy</w:t>
      </w:r>
      <w:r>
        <w:rPr>
          <w:color w:val="007BB8"/>
        </w:rPr>
        <w:t xml:space="preserve">: </w:t>
      </w:r>
      <w:r>
        <w:t>Accelerate Environment Act 2021 PM2.5 objectives to overcome deprivation-related admission disparity via ICS-focused interventions (RCPCH, 2020).</w:t>
      </w:r>
    </w:p>
    <w:p w14:paraId="55607869">
      <w:pPr>
        <w:pStyle w:val="46"/>
        <w:numPr>
          <w:ilvl w:val="0"/>
          <w:numId w:val="1"/>
        </w:numPr>
        <w:spacing w:before="0" w:after="0"/>
      </w:pPr>
      <w:r>
        <w:rPr>
          <w:b/>
          <w:bCs/>
          <w:color w:val="007BB8"/>
        </w:rPr>
        <w:t>Education</w:t>
      </w:r>
      <w:r>
        <w:rPr>
          <w:color w:val="007BB8"/>
        </w:rPr>
        <w:t>:</w:t>
      </w:r>
      <w:r>
        <w:t xml:space="preserve"> Build health literacy-relevant resources, and increase the number of nurses in asthma who are filling asthma nurse workforce gaps (Han </w:t>
      </w:r>
      <w:r>
        <w:rPr>
          <w:i/>
          <w:iCs/>
        </w:rPr>
        <w:t>et al.</w:t>
      </w:r>
      <w:r>
        <w:t>, 2023).</w:t>
      </w:r>
    </w:p>
    <w:p w14:paraId="70F84223">
      <w:pPr>
        <w:pStyle w:val="46"/>
        <w:numPr>
          <w:ilvl w:val="0"/>
          <w:numId w:val="1"/>
        </w:numPr>
        <w:spacing w:before="0" w:after="0"/>
      </w:pPr>
      <w:r>
        <w:rPr>
          <w:b/>
          <w:bCs/>
          <w:color w:val="007BB8"/>
        </w:rPr>
        <w:t>Research</w:t>
      </w:r>
      <w:r>
        <w:rPr>
          <w:color w:val="007BB8"/>
        </w:rPr>
        <w:t xml:space="preserve">: </w:t>
      </w:r>
      <w:r>
        <w:t>Study long-term efficacy of biological therapy; study scalability of digital health; study the frameworks of managing multi-morbidity.</w:t>
      </w:r>
    </w:p>
    <w:p w14:paraId="7F0E2B6D">
      <w:pPr>
        <w:pStyle w:val="46"/>
        <w:numPr>
          <w:ilvl w:val="0"/>
          <w:numId w:val="1"/>
        </w:numPr>
        <w:spacing w:before="0" w:after="0"/>
      </w:pPr>
      <w:r>
        <w:rPr>
          <w:b/>
          <w:bCs/>
          <w:color w:val="007BB8"/>
        </w:rPr>
        <w:t>Patient Empowerment</w:t>
      </w:r>
      <w:r>
        <w:rPr>
          <w:color w:val="007BB8"/>
        </w:rPr>
        <w:t xml:space="preserve">: </w:t>
      </w:r>
      <w:r>
        <w:t xml:space="preserve">Implement individualised action plans universally; use smartphone-based symptom tracking that proves to be better at improving the Asthma Control Test (Kandola </w:t>
      </w:r>
      <w:r>
        <w:rPr>
          <w:i/>
          <w:iCs/>
        </w:rPr>
        <w:t>et al.</w:t>
      </w:r>
      <w:r>
        <w:t>, 2024).</w:t>
      </w:r>
    </w:p>
    <w:p w14:paraId="5DA4F865">
      <w:pPr>
        <w:pStyle w:val="46"/>
        <w:numPr>
          <w:ilvl w:val="0"/>
          <w:numId w:val="1"/>
        </w:numPr>
        <w:spacing w:before="0" w:after="0"/>
      </w:pPr>
      <w:r>
        <w:rPr>
          <w:b/>
          <w:bCs/>
          <w:color w:val="007BB8"/>
        </w:rPr>
        <w:t>Service Delivery</w:t>
      </w:r>
      <w:r>
        <w:rPr>
          <w:color w:val="007BB8"/>
        </w:rPr>
        <w:t xml:space="preserve">: </w:t>
      </w:r>
      <w:r>
        <w:t>Incorporate the principles of House of Care/Chronic Care Model; provide the continuity of primary and secondary care with the community care.</w:t>
      </w:r>
    </w:p>
    <w:p w14:paraId="1CDA2804">
      <w:pPr>
        <w:pStyle w:val="46"/>
        <w:numPr>
          <w:ilvl w:val="0"/>
          <w:numId w:val="1"/>
        </w:numPr>
        <w:spacing w:before="0" w:after="0"/>
      </w:pPr>
      <w:r>
        <w:t>It is crucial to take urgent collective action; clinicians, policymakers, researchers, and patients should all take part to transform the outcomes of asthma, decrease preventable deaths, and equity in health.</w:t>
      </w:r>
    </w:p>
    <w:p w14:paraId="783DD573">
      <w:pPr>
        <w:pStyle w:val="2"/>
        <w:shd w:val="clear" w:color="auto" w:fill="76E3FF"/>
        <w:spacing w:before="0"/>
      </w:pPr>
      <w:bookmarkStart w:id="26" w:name="_heading=h.4bemlko1djdb" w:colFirst="0" w:colLast="0"/>
      <w:bookmarkEnd w:id="26"/>
      <w:r>
        <w:t>Useful Sources</w:t>
      </w:r>
    </w:p>
    <w:p w14:paraId="77329F39">
      <w:pPr>
        <w:pStyle w:val="46"/>
        <w:numPr>
          <w:ilvl w:val="0"/>
          <w:numId w:val="2"/>
        </w:numPr>
        <w:spacing w:before="0" w:after="0"/>
      </w:pPr>
      <w:r>
        <w:t xml:space="preserve">Asthma and Allergy Foundation of America (2024) </w:t>
      </w:r>
      <w:r>
        <w:rPr>
          <w:i/>
          <w:iCs/>
        </w:rPr>
        <w:t>Asthma and Allergy Foundation of America | AAFA | Home</w:t>
      </w:r>
      <w:r>
        <w:t xml:space="preserve">, </w:t>
      </w:r>
      <w:r>
        <w:rPr>
          <w:i/>
          <w:iCs/>
        </w:rPr>
        <w:t>Asthma &amp; Allergy Foundation of America</w:t>
      </w:r>
      <w:r>
        <w:t>. Available at: https://aafa.org/ (Accessed: 11 November 2025).</w:t>
      </w:r>
    </w:p>
    <w:p w14:paraId="6C13570C">
      <w:pPr>
        <w:pStyle w:val="46"/>
        <w:numPr>
          <w:ilvl w:val="0"/>
          <w:numId w:val="2"/>
        </w:numPr>
        <w:spacing w:before="0" w:after="0"/>
      </w:pPr>
      <w:r>
        <w:t xml:space="preserve">Asthma and Lung UK (2024) </w:t>
      </w:r>
      <w:r>
        <w:rPr>
          <w:i/>
          <w:iCs/>
        </w:rPr>
        <w:t>Asthma + Lung UK | Home</w:t>
      </w:r>
      <w:r>
        <w:t xml:space="preserve">, </w:t>
      </w:r>
      <w:r>
        <w:rPr>
          <w:i/>
          <w:iCs/>
        </w:rPr>
        <w:t>Asthma &amp; Lung UK</w:t>
      </w:r>
      <w:r>
        <w:t>. Available at: https://www.asthmaandlung.org.uk/ (Accessed: 11 November 2025).</w:t>
      </w:r>
    </w:p>
    <w:p w14:paraId="3CFF659D">
      <w:pPr>
        <w:pStyle w:val="46"/>
        <w:numPr>
          <w:ilvl w:val="0"/>
          <w:numId w:val="2"/>
        </w:numPr>
        <w:spacing w:before="0" w:after="0"/>
      </w:pPr>
      <w:r>
        <w:t xml:space="preserve">Bahra, N. </w:t>
      </w:r>
      <w:r>
        <w:rPr>
          <w:i/>
          <w:iCs/>
        </w:rPr>
        <w:t>et al.</w:t>
      </w:r>
      <w:r>
        <w:t xml:space="preserve"> (2025) ‘Impact of asthma on anxiety, depression, and quality of life: a Moroccan study’, </w:t>
      </w:r>
      <w:r>
        <w:rPr>
          <w:i/>
          <w:iCs/>
        </w:rPr>
        <w:t>Exploration of Asthma &amp; Allergy,</w:t>
      </w:r>
      <w:r>
        <w:t xml:space="preserve"> 3(2). doi: https://doi.org/10.37349/eaa.2025.100976.</w:t>
      </w:r>
    </w:p>
    <w:p w14:paraId="2CEA146C">
      <w:pPr>
        <w:pStyle w:val="46"/>
        <w:numPr>
          <w:ilvl w:val="0"/>
          <w:numId w:val="2"/>
        </w:numPr>
        <w:spacing w:before="0" w:after="0"/>
      </w:pPr>
      <w:r>
        <w:t xml:space="preserve">British Thoracic Society (2019) </w:t>
      </w:r>
      <w:r>
        <w:rPr>
          <w:i/>
          <w:iCs/>
        </w:rPr>
        <w:t>British Thoracic Society</w:t>
      </w:r>
      <w:r>
        <w:t xml:space="preserve">, </w:t>
      </w:r>
      <w:r>
        <w:rPr>
          <w:i/>
          <w:iCs/>
        </w:rPr>
        <w:t>Brit-thoracic.org.uk</w:t>
      </w:r>
      <w:r>
        <w:t>. Blueprint Web Tech. Available at: https://www.brit-thoracic.org.uk/ (Accessed: 11 November 2025).</w:t>
      </w:r>
    </w:p>
    <w:p w14:paraId="2B1E4BA7">
      <w:pPr>
        <w:pStyle w:val="46"/>
        <w:numPr>
          <w:ilvl w:val="0"/>
          <w:numId w:val="2"/>
        </w:numPr>
        <w:spacing w:before="0" w:after="0"/>
      </w:pPr>
      <w:r>
        <w:t xml:space="preserve">Caulfield, J. I. (2021) ‘Anxiety, depression, and asthma: New perspectives and approaches for psychoneuroimmunology research’, </w:t>
      </w:r>
      <w:r>
        <w:rPr>
          <w:i/>
          <w:iCs/>
        </w:rPr>
        <w:t>Brain, Behavior, &amp; Immunity - Health</w:t>
      </w:r>
      <w:r>
        <w:t>, 18(34661176), p. 100360. doi: https://doi.org/10.1016/j.bbih.2021.100360.</w:t>
      </w:r>
    </w:p>
    <w:p w14:paraId="44490608">
      <w:pPr>
        <w:pStyle w:val="46"/>
        <w:numPr>
          <w:ilvl w:val="0"/>
          <w:numId w:val="2"/>
        </w:numPr>
        <w:spacing w:before="0" w:after="0"/>
      </w:pPr>
      <w:r>
        <w:t xml:space="preserve">Center for Accelerating Care Transformation (2024) </w:t>
      </w:r>
      <w:r>
        <w:rPr>
          <w:i/>
          <w:iCs/>
        </w:rPr>
        <w:t>The chronic care model</w:t>
      </w:r>
      <w:r>
        <w:t>. Center for Accelerating Care Transformation. Available at: https://www.act-center.org/application/files/1616/3511/6445/Model_Chronic_Care.pdf (Accessed: 11 November 2025).</w:t>
      </w:r>
    </w:p>
    <w:p w14:paraId="40793BDF">
      <w:pPr>
        <w:pStyle w:val="46"/>
        <w:numPr>
          <w:ilvl w:val="0"/>
          <w:numId w:val="2"/>
        </w:numPr>
        <w:spacing w:before="0" w:after="0"/>
      </w:pPr>
      <w:r>
        <w:t xml:space="preserve">Charles, A. (2022) </w:t>
      </w:r>
      <w:r>
        <w:rPr>
          <w:i/>
          <w:iCs/>
        </w:rPr>
        <w:t>Integrated Care Systems Explained</w:t>
      </w:r>
      <w:r>
        <w:t xml:space="preserve">, </w:t>
      </w:r>
      <w:r>
        <w:rPr>
          <w:i/>
          <w:iCs/>
        </w:rPr>
        <w:t>The King’s Fund</w:t>
      </w:r>
      <w:r>
        <w:t>. The King’s Fund. Available at: https://www.kingsfund.org.uk/insight-and-analysis/long-reads/integrated-care-systems-explained (Accessed: 11 November 2025).</w:t>
      </w:r>
    </w:p>
    <w:p w14:paraId="05FAA11F">
      <w:pPr>
        <w:pStyle w:val="46"/>
        <w:numPr>
          <w:ilvl w:val="0"/>
          <w:numId w:val="2"/>
        </w:numPr>
        <w:spacing w:before="0" w:after="0"/>
      </w:pPr>
      <w:r>
        <w:t xml:space="preserve">Crawford, A. L. </w:t>
      </w:r>
      <w:r>
        <w:rPr>
          <w:i/>
          <w:iCs/>
        </w:rPr>
        <w:t>et al.</w:t>
      </w:r>
      <w:r>
        <w:t xml:space="preserve"> (2025) ‘Health system characteristics and evidence-based asthma care’, </w:t>
      </w:r>
      <w:r>
        <w:rPr>
          <w:i/>
          <w:iCs/>
        </w:rPr>
        <w:t>Frontiers in Allergy</w:t>
      </w:r>
      <w:r>
        <w:t>, 6. doi: https://doi.org/10.3389/falgy.2025.1528526.</w:t>
      </w:r>
    </w:p>
    <w:p w14:paraId="7B03E432">
      <w:pPr>
        <w:pStyle w:val="46"/>
        <w:numPr>
          <w:ilvl w:val="0"/>
          <w:numId w:val="2"/>
        </w:numPr>
        <w:spacing w:before="0" w:after="0"/>
      </w:pPr>
      <w:r>
        <w:t xml:space="preserve">Dierick, B. J. H. </w:t>
      </w:r>
      <w:r>
        <w:rPr>
          <w:i/>
          <w:iCs/>
        </w:rPr>
        <w:t>et al.</w:t>
      </w:r>
      <w:r>
        <w:t xml:space="preserve"> (2021) ‘Work absence in patients with asthma and/or COPD: a population-based study’, </w:t>
      </w:r>
      <w:r>
        <w:rPr>
          <w:i/>
          <w:iCs/>
        </w:rPr>
        <w:t>npj Primary Care Respiratory Medicine</w:t>
      </w:r>
      <w:r>
        <w:t>, 31(1), pp. 1–7. doi: https://doi.org/10.1038/s41533-021-00217-z.</w:t>
      </w:r>
    </w:p>
    <w:p w14:paraId="5F564C5F">
      <w:pPr>
        <w:pStyle w:val="46"/>
        <w:numPr>
          <w:ilvl w:val="0"/>
          <w:numId w:val="2"/>
        </w:numPr>
        <w:spacing w:before="0" w:after="0"/>
      </w:pPr>
      <w:r>
        <w:t xml:space="preserve">Dixon, A. and Roberts, S. (2013) </w:t>
      </w:r>
      <w:r>
        <w:rPr>
          <w:i/>
          <w:iCs/>
        </w:rPr>
        <w:t>Delivering better services for people with long-term conditions</w:t>
      </w:r>
      <w:r>
        <w:t xml:space="preserve">, </w:t>
      </w:r>
      <w:r>
        <w:rPr>
          <w:i/>
          <w:iCs/>
        </w:rPr>
        <w:t>The King’s Fund</w:t>
      </w:r>
      <w:r>
        <w:t>. Available at: https://www.kingsfund.org.uk/insight-and-analysis/reports/better-services-people-long-term-conditions (Accessed: 11 November 2025).</w:t>
      </w:r>
    </w:p>
    <w:p w14:paraId="0CBCBC3F">
      <w:pPr>
        <w:pStyle w:val="46"/>
        <w:numPr>
          <w:ilvl w:val="0"/>
          <w:numId w:val="2"/>
        </w:numPr>
        <w:spacing w:before="0" w:after="0"/>
      </w:pPr>
      <w:r>
        <w:rPr>
          <w:lang w:val="es-AR"/>
        </w:rPr>
        <w:t xml:space="preserve">Faleiro, R. C. </w:t>
      </w:r>
      <w:r>
        <w:rPr>
          <w:i/>
          <w:iCs/>
          <w:lang w:val="es-AR"/>
        </w:rPr>
        <w:t>et al.</w:t>
      </w:r>
      <w:r>
        <w:rPr>
          <w:lang w:val="es-AR"/>
        </w:rPr>
        <w:t xml:space="preserve"> </w:t>
      </w:r>
      <w:r>
        <w:t xml:space="preserve">(2021) ‘Exercise Limitation in Children and Adolescents With Severe Refractory Asthma: A Lack of Asthma Control?’, </w:t>
      </w:r>
      <w:r>
        <w:rPr>
          <w:i/>
          <w:iCs/>
        </w:rPr>
        <w:t>Frontiers in Physiology</w:t>
      </w:r>
      <w:r>
        <w:t>, 11. doi: https://doi.org/10.3389/fphys.2020.620736.</w:t>
      </w:r>
    </w:p>
    <w:p w14:paraId="3F8E674C">
      <w:pPr>
        <w:pStyle w:val="46"/>
        <w:numPr>
          <w:ilvl w:val="0"/>
          <w:numId w:val="2"/>
        </w:numPr>
        <w:spacing w:before="0" w:after="0"/>
      </w:pPr>
      <w:r>
        <w:t xml:space="preserve">Faria, N. </w:t>
      </w:r>
      <w:r>
        <w:rPr>
          <w:i/>
          <w:iCs/>
        </w:rPr>
        <w:t>et al.</w:t>
      </w:r>
      <w:r>
        <w:t xml:space="preserve"> (2025) ‘Biologic Therapies for Severe Asthma: Current Insights and Future Directions’, </w:t>
      </w:r>
      <w:r>
        <w:rPr>
          <w:i/>
          <w:iCs/>
        </w:rPr>
        <w:t>Journal of Clinical Medicine</w:t>
      </w:r>
      <w:r>
        <w:t>, 14(9), p. 3153. doi: https://doi.org/10.3390/jcm14093153.</w:t>
      </w:r>
    </w:p>
    <w:p w14:paraId="551DA11B">
      <w:pPr>
        <w:pStyle w:val="46"/>
        <w:numPr>
          <w:ilvl w:val="0"/>
          <w:numId w:val="2"/>
        </w:numPr>
        <w:spacing w:before="0" w:after="0"/>
      </w:pPr>
      <w:r>
        <w:t xml:space="preserve">Fleming, M. </w:t>
      </w:r>
      <w:r>
        <w:rPr>
          <w:i/>
          <w:iCs/>
        </w:rPr>
        <w:t>et al.</w:t>
      </w:r>
      <w:r>
        <w:t xml:space="preserve"> (2019) ‘Educational and health outcomes of children treated for asthma: Scotland-wide record linkage study of 683 716 children’, </w:t>
      </w:r>
      <w:r>
        <w:rPr>
          <w:i/>
          <w:iCs/>
        </w:rPr>
        <w:t>European Respiratory Journal</w:t>
      </w:r>
      <w:r>
        <w:t>, 54(3). doi: https://doi.org/10.1183/13993003.02309-2018.</w:t>
      </w:r>
    </w:p>
    <w:p w14:paraId="6CBA621F">
      <w:pPr>
        <w:pStyle w:val="46"/>
        <w:numPr>
          <w:ilvl w:val="0"/>
          <w:numId w:val="2"/>
        </w:numPr>
        <w:spacing w:before="0" w:after="0"/>
      </w:pPr>
      <w:r>
        <w:t xml:space="preserve">Freitas, J. and Novais, F. (2025) ‘Review on the relationship of asthma and mental disorders’, </w:t>
      </w:r>
      <w:r>
        <w:rPr>
          <w:i/>
          <w:iCs/>
        </w:rPr>
        <w:t>Personalized Medicine in Psychiatry</w:t>
      </w:r>
      <w:r>
        <w:t>, 51-52, p. 100157. doi: https://doi.org/10.1016/j.pmip.2025.100157.</w:t>
      </w:r>
    </w:p>
    <w:p w14:paraId="45532CE2">
      <w:pPr>
        <w:pStyle w:val="46"/>
        <w:numPr>
          <w:ilvl w:val="0"/>
          <w:numId w:val="2"/>
        </w:numPr>
        <w:spacing w:before="0" w:after="0"/>
      </w:pPr>
      <w:r>
        <w:t xml:space="preserve">Global Asthma Network (2022) </w:t>
      </w:r>
      <w:r>
        <w:rPr>
          <w:i/>
          <w:iCs/>
        </w:rPr>
        <w:t>The Global Asthma Report 2022</w:t>
      </w:r>
      <w:r>
        <w:t xml:space="preserve">, </w:t>
      </w:r>
      <w:r>
        <w:rPr>
          <w:i/>
          <w:iCs/>
        </w:rPr>
        <w:t>globalasthmareport.org</w:t>
      </w:r>
      <w:r>
        <w:t>. Available at: https://globalasthmareport.org/burden/burden.php (Accessed: 11 November 2025).</w:t>
      </w:r>
    </w:p>
    <w:p w14:paraId="22EDAA0D">
      <w:pPr>
        <w:pStyle w:val="46"/>
        <w:numPr>
          <w:ilvl w:val="0"/>
          <w:numId w:val="2"/>
        </w:numPr>
        <w:spacing w:before="0" w:after="0"/>
      </w:pPr>
      <w:r>
        <w:t xml:space="preserve">Grudniewicz, A. </w:t>
      </w:r>
      <w:r>
        <w:rPr>
          <w:i/>
          <w:iCs/>
        </w:rPr>
        <w:t>et al.</w:t>
      </w:r>
      <w:r>
        <w:t xml:space="preserve"> (2023) ‘Operationalizing the Chronic Care Model with Goal-Oriented Care’, </w:t>
      </w:r>
      <w:r>
        <w:rPr>
          <w:i/>
          <w:iCs/>
        </w:rPr>
        <w:t>The Patient: Patient-Centered Outcomes Research</w:t>
      </w:r>
      <w:r>
        <w:t>, 16(6), pp. 569–578. doi: https://doi.org/10.1007/s40271-023-00645-8.</w:t>
      </w:r>
    </w:p>
    <w:p w14:paraId="12A1874C">
      <w:pPr>
        <w:pStyle w:val="46"/>
        <w:numPr>
          <w:ilvl w:val="0"/>
          <w:numId w:val="2"/>
        </w:numPr>
        <w:spacing w:before="0" w:after="0"/>
      </w:pPr>
      <w:r>
        <w:t xml:space="preserve">Gruffydd-Jones, K. (2025) ‘BTS/NICE/SIGN guideline for asthma 2024: Diagnosis, monitoring and chronic asthma management. How does this compare to GINA 2024?’, </w:t>
      </w:r>
      <w:r>
        <w:rPr>
          <w:i/>
          <w:iCs/>
        </w:rPr>
        <w:t>npj Primary Care Respiratory Medicine</w:t>
      </w:r>
      <w:r>
        <w:t>, 35(1). doi: https://doi.org/10.1038/s41533-025-00425-x.</w:t>
      </w:r>
    </w:p>
    <w:p w14:paraId="59D02887">
      <w:pPr>
        <w:pStyle w:val="46"/>
        <w:numPr>
          <w:ilvl w:val="0"/>
          <w:numId w:val="2"/>
        </w:numPr>
        <w:spacing w:before="0" w:after="0"/>
      </w:pPr>
      <w:r>
        <w:t xml:space="preserve">Han, Y.-Y. </w:t>
      </w:r>
      <w:r>
        <w:rPr>
          <w:i/>
          <w:iCs/>
        </w:rPr>
        <w:t>et al.</w:t>
      </w:r>
      <w:r>
        <w:t xml:space="preserve"> (2023) ‘Health Literacy and Asthma: An Update’, </w:t>
      </w:r>
      <w:r>
        <w:rPr>
          <w:i/>
          <w:iCs/>
        </w:rPr>
        <w:t>Journal of Allergy and Clinical Immunology</w:t>
      </w:r>
      <w:r>
        <w:t>, 153(5). doi: https://doi.org/10.1016/j.jaci.2023.12.007.</w:t>
      </w:r>
    </w:p>
    <w:p w14:paraId="21AFAC8B">
      <w:pPr>
        <w:pStyle w:val="46"/>
        <w:numPr>
          <w:ilvl w:val="0"/>
          <w:numId w:val="2"/>
        </w:numPr>
        <w:spacing w:before="0" w:after="0"/>
      </w:pPr>
      <w:r>
        <w:t xml:space="preserve">He, J. </w:t>
      </w:r>
      <w:r>
        <w:rPr>
          <w:i/>
          <w:iCs/>
        </w:rPr>
        <w:t>et al.</w:t>
      </w:r>
      <w:r>
        <w:t xml:space="preserve"> (2024) ‘Associations of Lifestyle, Ambient Air Pollution With Progression of Asthma in Adults: A Comprehensive Analysis of UK Biobank Cohort’, </w:t>
      </w:r>
      <w:r>
        <w:rPr>
          <w:i/>
          <w:iCs/>
        </w:rPr>
        <w:t>International Journal of Public Health</w:t>
      </w:r>
      <w:r>
        <w:t>, 69. doi: https://doi.org/10.3389/ijph.2024.1607640.</w:t>
      </w:r>
    </w:p>
    <w:p w14:paraId="6B7B20BE">
      <w:pPr>
        <w:pStyle w:val="46"/>
        <w:numPr>
          <w:ilvl w:val="0"/>
          <w:numId w:val="2"/>
        </w:numPr>
        <w:spacing w:before="0" w:after="0"/>
      </w:pPr>
      <w:r>
        <w:t xml:space="preserve">Health and Social Care Alliance Scotland (2018) </w:t>
      </w:r>
      <w:r>
        <w:rPr>
          <w:i/>
          <w:iCs/>
        </w:rPr>
        <w:t>The House of Care Model</w:t>
      </w:r>
      <w:r>
        <w:t xml:space="preserve">, </w:t>
      </w:r>
      <w:r>
        <w:rPr>
          <w:i/>
          <w:iCs/>
        </w:rPr>
        <w:t>Health and Social Care Alliance Scotland</w:t>
      </w:r>
      <w:r>
        <w:t>. Available at: https://www.alliance-scotland.org.uk/past-work-and-projects/scotlands-house-of-care/the-house-of-care-model/ (Accessed: 11 November 2025).</w:t>
      </w:r>
    </w:p>
    <w:p w14:paraId="6DA40777">
      <w:pPr>
        <w:pStyle w:val="46"/>
        <w:numPr>
          <w:ilvl w:val="0"/>
          <w:numId w:val="2"/>
        </w:numPr>
        <w:spacing w:before="0" w:after="0"/>
      </w:pPr>
      <w:r>
        <w:t xml:space="preserve">Horizon Prime Hospital (2025) </w:t>
      </w:r>
      <w:r>
        <w:rPr>
          <w:i/>
          <w:iCs/>
        </w:rPr>
        <w:t>Is Asthma a Genetic Disease? Causes, Risk Factors, and Prevention</w:t>
      </w:r>
      <w:r>
        <w:t xml:space="preserve">, </w:t>
      </w:r>
      <w:r>
        <w:rPr>
          <w:i/>
          <w:iCs/>
        </w:rPr>
        <w:t>Best Hospital in Thane - Horizon Prime Hospital</w:t>
      </w:r>
      <w:r>
        <w:t>. Available at: https://prime.horizonhospital.com/is-asthma-a-genetic-disease/ (Accessed: 11 November 2025).</w:t>
      </w:r>
    </w:p>
    <w:p w14:paraId="48BF568B">
      <w:pPr>
        <w:pStyle w:val="46"/>
        <w:numPr>
          <w:ilvl w:val="0"/>
          <w:numId w:val="2"/>
        </w:numPr>
        <w:spacing w:before="0" w:after="0"/>
      </w:pPr>
      <w:r>
        <w:t xml:space="preserve">Kandola, A. </w:t>
      </w:r>
      <w:r>
        <w:rPr>
          <w:i/>
          <w:iCs/>
        </w:rPr>
        <w:t>et al.</w:t>
      </w:r>
      <w:r>
        <w:t xml:space="preserve"> (2024) ‘Digital Self-Management Platform for Adult Asthma: Randomized Attention-Placebo Controlled Trial’, </w:t>
      </w:r>
      <w:r>
        <w:rPr>
          <w:i/>
          <w:iCs/>
        </w:rPr>
        <w:t>Journal of Medical Internet Research</w:t>
      </w:r>
      <w:r>
        <w:t>, 26, pp. e50855–e50855. doi: https://doi.org/10.2196/50855.</w:t>
      </w:r>
    </w:p>
    <w:p w14:paraId="6F67E524">
      <w:pPr>
        <w:pStyle w:val="46"/>
        <w:numPr>
          <w:ilvl w:val="0"/>
          <w:numId w:val="2"/>
        </w:numPr>
        <w:spacing w:before="0" w:after="0"/>
      </w:pPr>
      <w:r>
        <w:t xml:space="preserve">Kudo, M., Ishigatsubo, Y. and Aoki, I. (2013) ‘Pathology of asthma’, </w:t>
      </w:r>
      <w:r>
        <w:rPr>
          <w:i/>
          <w:iCs/>
        </w:rPr>
        <w:t>Frontiers in Microbiology</w:t>
      </w:r>
      <w:r>
        <w:t>, 4(263). doi: https://doi.org/10.3389/fmicb.2013.00263.</w:t>
      </w:r>
    </w:p>
    <w:p w14:paraId="7FCE7D53">
      <w:pPr>
        <w:pStyle w:val="46"/>
        <w:numPr>
          <w:ilvl w:val="0"/>
          <w:numId w:val="2"/>
        </w:numPr>
        <w:spacing w:before="0" w:after="0"/>
      </w:pPr>
      <w:r>
        <w:t xml:space="preserve">Lo, D. </w:t>
      </w:r>
      <w:r>
        <w:rPr>
          <w:i/>
          <w:iCs/>
        </w:rPr>
        <w:t>et al.</w:t>
      </w:r>
      <w:r>
        <w:t xml:space="preserve"> (2024) ‘Association between socioeconomic deprivation, ethnicity and health outcomes in preschool children with recurrent wheeze in England: a retrospective cohort study’, </w:t>
      </w:r>
      <w:r>
        <w:rPr>
          <w:i/>
          <w:iCs/>
        </w:rPr>
        <w:t>Thorax</w:t>
      </w:r>
      <w:r>
        <w:t>, 79(11), p. thorax-221210. doi: https://doi.org/10.1136/thorax-2023-221210.</w:t>
      </w:r>
    </w:p>
    <w:p w14:paraId="2FAAE50B">
      <w:pPr>
        <w:pStyle w:val="46"/>
        <w:numPr>
          <w:ilvl w:val="0"/>
          <w:numId w:val="2"/>
        </w:numPr>
        <w:spacing w:before="0" w:after="0"/>
      </w:pPr>
      <w:r>
        <w:t xml:space="preserve">Marko, M. and Pawliczak, R. (2025) ‘Inhalation technique-related errors after education among asthma and COPD patients using different types of inhalers – systematic review and meta-analysis’, </w:t>
      </w:r>
      <w:r>
        <w:rPr>
          <w:i/>
          <w:iCs/>
        </w:rPr>
        <w:t>npj Primary Care Respiratory Medicine</w:t>
      </w:r>
      <w:r>
        <w:t>, 35(1). doi: https://doi.org/10.1038/s41533-025-00422-0.</w:t>
      </w:r>
    </w:p>
    <w:p w14:paraId="4A21B5A1">
      <w:pPr>
        <w:pStyle w:val="46"/>
        <w:numPr>
          <w:ilvl w:val="0"/>
          <w:numId w:val="2"/>
        </w:numPr>
        <w:spacing w:before="0" w:after="0"/>
      </w:pPr>
      <w:r>
        <w:t xml:space="preserve">Meth, M. (2023) </w:t>
      </w:r>
      <w:r>
        <w:rPr>
          <w:i/>
          <w:iCs/>
        </w:rPr>
        <w:t>Asthma comorbidities: What to know</w:t>
      </w:r>
      <w:r>
        <w:t xml:space="preserve">, </w:t>
      </w:r>
      <w:r>
        <w:rPr>
          <w:i/>
          <w:iCs/>
        </w:rPr>
        <w:t>www.medicalnewstoday.com</w:t>
      </w:r>
      <w:r>
        <w:t>. Available at: https://www.medicalnewstoday.com/articles/asthma-comorbidity (Accessed: 11 November 2025).</w:t>
      </w:r>
    </w:p>
    <w:p w14:paraId="0A41CB24">
      <w:pPr>
        <w:pStyle w:val="46"/>
        <w:numPr>
          <w:ilvl w:val="0"/>
          <w:numId w:val="2"/>
        </w:numPr>
        <w:spacing w:before="0" w:after="0"/>
      </w:pPr>
      <w:r>
        <w:rPr>
          <w:lang w:val="es-AR"/>
        </w:rPr>
        <w:t xml:space="preserve">Nabi, Z. A. </w:t>
      </w:r>
      <w:r>
        <w:rPr>
          <w:i/>
          <w:iCs/>
          <w:lang w:val="es-AR"/>
        </w:rPr>
        <w:t>et al.</w:t>
      </w:r>
      <w:r>
        <w:rPr>
          <w:lang w:val="es-AR"/>
        </w:rPr>
        <w:t xml:space="preserve"> </w:t>
      </w:r>
      <w:r>
        <w:t xml:space="preserve">(2024) ‘Burden of Stigma in Asthma: A Barrier to Psychological Well-being and Effective Treatment’, </w:t>
      </w:r>
      <w:r>
        <w:rPr>
          <w:i/>
          <w:iCs/>
        </w:rPr>
        <w:t>Pakistan Journal of Chest Medicine</w:t>
      </w:r>
      <w:r>
        <w:t>, 30(3), pp. 320–325. Available at: https://www.pjcm.net/index.php/pjcm/article/view/970.</w:t>
      </w:r>
    </w:p>
    <w:p w14:paraId="191ADBE7">
      <w:pPr>
        <w:pStyle w:val="46"/>
        <w:numPr>
          <w:ilvl w:val="0"/>
          <w:numId w:val="2"/>
        </w:numPr>
        <w:spacing w:before="0" w:after="0"/>
      </w:pPr>
      <w:r>
        <w:t xml:space="preserve">National Asthma Council Australia (2024) </w:t>
      </w:r>
      <w:r>
        <w:rPr>
          <w:i/>
          <w:iCs/>
        </w:rPr>
        <w:t>Asthma action plans</w:t>
      </w:r>
      <w:r>
        <w:t xml:space="preserve">, </w:t>
      </w:r>
      <w:r>
        <w:rPr>
          <w:i/>
          <w:iCs/>
        </w:rPr>
        <w:t>NACA</w:t>
      </w:r>
      <w:r>
        <w:t>. Available at: https://www.nationalasthma.org.au/health-professionals/asthma-action-plans (Accessed: 11 November 2025).</w:t>
      </w:r>
    </w:p>
    <w:p w14:paraId="3672ECC2">
      <w:pPr>
        <w:pStyle w:val="46"/>
        <w:numPr>
          <w:ilvl w:val="0"/>
          <w:numId w:val="2"/>
        </w:numPr>
        <w:spacing w:before="0" w:after="0"/>
      </w:pPr>
      <w:r>
        <w:t xml:space="preserve">National Institute for Health and Care Excellence (2024) </w:t>
      </w:r>
      <w:r>
        <w:rPr>
          <w:i/>
          <w:iCs/>
        </w:rPr>
        <w:t>Overview | Asthma: diagnosis, monitoring and chronic asthma management (BTS, NICE, SIGN) | Guidance | NICE</w:t>
      </w:r>
      <w:r>
        <w:t xml:space="preserve">, </w:t>
      </w:r>
      <w:r>
        <w:rPr>
          <w:i/>
          <w:iCs/>
        </w:rPr>
        <w:t>Nice.org.uk</w:t>
      </w:r>
      <w:r>
        <w:t>. NICE. Available at: https://www.nice.org.uk/guidance/NG245 (Accessed: 11 November 2025).</w:t>
      </w:r>
    </w:p>
    <w:p w14:paraId="71F19F06">
      <w:pPr>
        <w:pStyle w:val="46"/>
        <w:numPr>
          <w:ilvl w:val="0"/>
          <w:numId w:val="2"/>
        </w:numPr>
        <w:spacing w:before="0" w:after="0"/>
      </w:pPr>
      <w:r>
        <w:t xml:space="preserve">National Voices (2015) </w:t>
      </w:r>
      <w:r>
        <w:rPr>
          <w:i/>
          <w:iCs/>
        </w:rPr>
        <w:t>Every Moment Counts</w:t>
      </w:r>
      <w:r>
        <w:t xml:space="preserve">, </w:t>
      </w:r>
      <w:r>
        <w:rPr>
          <w:i/>
          <w:iCs/>
        </w:rPr>
        <w:t>National Voices</w:t>
      </w:r>
      <w:r>
        <w:t>. Available at: https://www.nationalvoices.org.uk/publication/every-moment-counts/ (Accessed: 11 November 2025).</w:t>
      </w:r>
    </w:p>
    <w:p w14:paraId="5D6E8D22">
      <w:pPr>
        <w:pStyle w:val="46"/>
        <w:numPr>
          <w:ilvl w:val="0"/>
          <w:numId w:val="2"/>
        </w:numPr>
        <w:spacing w:before="0" w:after="0"/>
      </w:pPr>
      <w:r>
        <w:t xml:space="preserve">NHS England (2021) </w:t>
      </w:r>
      <w:r>
        <w:rPr>
          <w:i/>
          <w:iCs/>
        </w:rPr>
        <w:t>Comprehensive model of personalised care</w:t>
      </w:r>
      <w:r>
        <w:t xml:space="preserve">, </w:t>
      </w:r>
      <w:r>
        <w:rPr>
          <w:i/>
          <w:iCs/>
        </w:rPr>
        <w:t>NHS England</w:t>
      </w:r>
      <w:r>
        <w:t>. Available at: https://www.england.nhs.uk/personalisedcare/comprehensive-model-of-personalised-care/ (Accessed: 11 November 2025).</w:t>
      </w:r>
    </w:p>
    <w:p w14:paraId="7529372D">
      <w:pPr>
        <w:pStyle w:val="46"/>
        <w:numPr>
          <w:ilvl w:val="0"/>
          <w:numId w:val="2"/>
        </w:numPr>
        <w:spacing w:before="0" w:after="0"/>
      </w:pPr>
      <w:r>
        <w:t xml:space="preserve">NHS England (2022) </w:t>
      </w:r>
      <w:r>
        <w:rPr>
          <w:i/>
          <w:iCs/>
        </w:rPr>
        <w:t>Personalised Care</w:t>
      </w:r>
      <w:r>
        <w:t xml:space="preserve">, </w:t>
      </w:r>
      <w:r>
        <w:rPr>
          <w:i/>
          <w:iCs/>
        </w:rPr>
        <w:t>England.nhs.uk</w:t>
      </w:r>
      <w:r>
        <w:t>. Available at: https://www.england.nhs.uk/personalisedcare/ (Accessed: 11 November 2025).</w:t>
      </w:r>
    </w:p>
    <w:p w14:paraId="4936B3C8">
      <w:pPr>
        <w:pStyle w:val="46"/>
        <w:numPr>
          <w:ilvl w:val="0"/>
          <w:numId w:val="2"/>
        </w:numPr>
        <w:spacing w:before="0" w:after="0"/>
      </w:pPr>
      <w:r>
        <w:t xml:space="preserve">NICE (2024) </w:t>
      </w:r>
      <w:r>
        <w:rPr>
          <w:i/>
          <w:iCs/>
        </w:rPr>
        <w:t>Asthma: diagnosis, monitoring and chronic asthma management (update)</w:t>
      </w:r>
      <w:r>
        <w:t xml:space="preserve">, </w:t>
      </w:r>
      <w:r>
        <w:rPr>
          <w:i/>
          <w:iCs/>
        </w:rPr>
        <w:t>NICE</w:t>
      </w:r>
      <w:r>
        <w:t>. Available at: https://www.nice.org.uk/guidance/ng245/evidence/evidence-review-n-feno-measures-to-monitor-asthma-pdf-488093282393.</w:t>
      </w:r>
    </w:p>
    <w:p w14:paraId="529BD200">
      <w:pPr>
        <w:pStyle w:val="46"/>
        <w:numPr>
          <w:ilvl w:val="0"/>
          <w:numId w:val="2"/>
        </w:numPr>
        <w:spacing w:before="0" w:after="0"/>
      </w:pPr>
      <w:r>
        <w:rPr>
          <w:lang w:val="es-AR"/>
        </w:rPr>
        <w:t xml:space="preserve">Nyenhuis, S. M. </w:t>
      </w:r>
      <w:r>
        <w:rPr>
          <w:i/>
          <w:iCs/>
          <w:lang w:val="es-AR"/>
        </w:rPr>
        <w:t>et al.</w:t>
      </w:r>
      <w:r>
        <w:rPr>
          <w:lang w:val="es-AR"/>
        </w:rPr>
        <w:t xml:space="preserve"> </w:t>
      </w:r>
      <w:r>
        <w:t xml:space="preserve">(2021) ‘Physical Activity and Asthma: The evidence for it and how to get my patients to do it: A Work Group Report of the AAAAI Sports, Exercise, and Fitness Committee’, </w:t>
      </w:r>
      <w:r>
        <w:rPr>
          <w:i/>
          <w:iCs/>
        </w:rPr>
        <w:t>The Journal of Allergy and Clinical Immunology: In Practice</w:t>
      </w:r>
      <w:r>
        <w:t>, 10(2). doi: https://doi.org/10.1016/j.jaip.2021.10.056.</w:t>
      </w:r>
    </w:p>
    <w:p w14:paraId="3ED43BBE">
      <w:pPr>
        <w:pStyle w:val="46"/>
        <w:numPr>
          <w:ilvl w:val="0"/>
          <w:numId w:val="2"/>
        </w:numPr>
        <w:spacing w:before="0" w:after="0"/>
      </w:pPr>
      <w:r>
        <w:t xml:space="preserve">Occupational Asthma (2025) </w:t>
      </w:r>
      <w:r>
        <w:rPr>
          <w:i/>
          <w:iCs/>
        </w:rPr>
        <w:t>Causes of Occupational Asthma</w:t>
      </w:r>
      <w:r>
        <w:t xml:space="preserve">, </w:t>
      </w:r>
      <w:r>
        <w:rPr>
          <w:i/>
          <w:iCs/>
        </w:rPr>
        <w:t>Occupationalasthma.org.uk</w:t>
      </w:r>
      <w:r>
        <w:t>. Available at: https://www.occupationalasthma.org.uk/causes-of-occupational-asthma (Accessed: 11 November 2025).</w:t>
      </w:r>
    </w:p>
    <w:p w14:paraId="6F04B785">
      <w:pPr>
        <w:pStyle w:val="46"/>
        <w:numPr>
          <w:ilvl w:val="0"/>
          <w:numId w:val="2"/>
        </w:numPr>
        <w:spacing w:before="0" w:after="0"/>
      </w:pPr>
      <w:r>
        <w:t xml:space="preserve">Omrane, A. </w:t>
      </w:r>
      <w:r>
        <w:rPr>
          <w:i/>
          <w:iCs/>
        </w:rPr>
        <w:t>et al.</w:t>
      </w:r>
      <w:r>
        <w:t xml:space="preserve"> (2025) ‘Assessing the Impact of Asthma: A Cross-Sectional Study in Workers Undergoing Therapy’, </w:t>
      </w:r>
      <w:r>
        <w:rPr>
          <w:i/>
          <w:iCs/>
        </w:rPr>
        <w:t>La Medicina del lavoro</w:t>
      </w:r>
      <w:r>
        <w:t>, 116(2), p. 15786. doi: https://doi.org/10.23749/mdl.v116i2.15786.</w:t>
      </w:r>
    </w:p>
    <w:p w14:paraId="23015ECE">
      <w:pPr>
        <w:pStyle w:val="46"/>
        <w:numPr>
          <w:ilvl w:val="0"/>
          <w:numId w:val="2"/>
        </w:numPr>
        <w:spacing w:before="0" w:after="0"/>
      </w:pPr>
      <w:r>
        <w:t xml:space="preserve">Osadnik, C. R. </w:t>
      </w:r>
      <w:r>
        <w:rPr>
          <w:i/>
          <w:iCs/>
        </w:rPr>
        <w:t>et al.</w:t>
      </w:r>
      <w:r>
        <w:t xml:space="preserve"> (2022) ‘Pulmonary rehabilitation versus usual care for adults with asthma’, </w:t>
      </w:r>
      <w:r>
        <w:rPr>
          <w:i/>
          <w:iCs/>
        </w:rPr>
        <w:t>Cochrane Database of Systematic Reviews</w:t>
      </w:r>
      <w:r>
        <w:t>, 2022(8). doi: https://doi.org/10.1002/14651858.cd013485.pub2.</w:t>
      </w:r>
    </w:p>
    <w:p w14:paraId="069ED77C">
      <w:pPr>
        <w:pStyle w:val="46"/>
        <w:numPr>
          <w:ilvl w:val="0"/>
          <w:numId w:val="2"/>
        </w:numPr>
        <w:spacing w:before="0" w:after="0"/>
      </w:pPr>
      <w:r>
        <w:t xml:space="preserve">Pascoe, A., Buchan, C. and Smallwood, N. (2024) ‘Provision of palliative care for people with chronic obstructive pulmonary disease: a narrative review’, </w:t>
      </w:r>
      <w:r>
        <w:rPr>
          <w:i/>
          <w:iCs/>
        </w:rPr>
        <w:t>Annals of Palliative Medicine</w:t>
      </w:r>
      <w:r>
        <w:t>, 13(4), pp. 1012–1027. doi: https://doi.org/10.21037/apm-24-11.</w:t>
      </w:r>
    </w:p>
    <w:p w14:paraId="16BD70F0">
      <w:pPr>
        <w:pStyle w:val="46"/>
        <w:numPr>
          <w:ilvl w:val="0"/>
          <w:numId w:val="2"/>
        </w:numPr>
        <w:spacing w:before="0" w:after="0"/>
      </w:pPr>
      <w:r>
        <w:t xml:space="preserve">Pinnock, H. (2015) ‘Supported self-management for asthma’, </w:t>
      </w:r>
      <w:r>
        <w:rPr>
          <w:i/>
          <w:iCs/>
        </w:rPr>
        <w:t>Breathe</w:t>
      </w:r>
      <w:r>
        <w:t>, 11(2), pp. 98–109. doi: https://doi.org/10.1183/20734735.015614.</w:t>
      </w:r>
    </w:p>
    <w:p w14:paraId="7CA26633">
      <w:pPr>
        <w:pStyle w:val="46"/>
        <w:numPr>
          <w:ilvl w:val="0"/>
          <w:numId w:val="2"/>
        </w:numPr>
        <w:spacing w:before="0" w:after="0"/>
      </w:pPr>
      <w:r>
        <w:t xml:space="preserve">Piwko, A. </w:t>
      </w:r>
      <w:r>
        <w:rPr>
          <w:i/>
          <w:iCs/>
        </w:rPr>
        <w:t>et al.</w:t>
      </w:r>
      <w:r>
        <w:t xml:space="preserve"> (2024) </w:t>
      </w:r>
      <w:r>
        <w:rPr>
          <w:i/>
          <w:iCs/>
        </w:rPr>
        <w:t>Diagnosis of Asthma Treatment of Asthma Management and Treatment of Asthma Management and Treatment of Asthma Monitoring and self-management</w:t>
      </w:r>
      <w:r>
        <w:t>. Available at: https://www.pcrs-uk.org/sites/default/files/resource/New_asthma_guidelines_first_steps.pdf.</w:t>
      </w:r>
    </w:p>
    <w:p w14:paraId="7D37A983">
      <w:pPr>
        <w:pStyle w:val="46"/>
        <w:numPr>
          <w:ilvl w:val="0"/>
          <w:numId w:val="2"/>
        </w:numPr>
        <w:spacing w:before="0" w:after="0"/>
      </w:pPr>
      <w:r>
        <w:rPr>
          <w:lang w:val="es-AR"/>
        </w:rPr>
        <w:t xml:space="preserve">Plaza-González, S. </w:t>
      </w:r>
      <w:r>
        <w:rPr>
          <w:i/>
          <w:iCs/>
          <w:lang w:val="es-AR"/>
        </w:rPr>
        <w:t>et al.</w:t>
      </w:r>
      <w:r>
        <w:rPr>
          <w:lang w:val="es-AR"/>
        </w:rPr>
        <w:t xml:space="preserve"> </w:t>
      </w:r>
      <w:r>
        <w:t xml:space="preserve">(2022) ‘Psychological and Sociocultural Determinants in Childhood Asthma Disease: Impact on Quality of Life’, </w:t>
      </w:r>
      <w:r>
        <w:rPr>
          <w:i/>
          <w:iCs/>
        </w:rPr>
        <w:t>International Journal of Environmental Research and Public Health</w:t>
      </w:r>
      <w:r>
        <w:t>, 19(5), p. 2652. doi: https://doi.org/10.3390/ijerph19052652.</w:t>
      </w:r>
    </w:p>
    <w:p w14:paraId="5B6EF183">
      <w:pPr>
        <w:pStyle w:val="46"/>
        <w:numPr>
          <w:ilvl w:val="0"/>
          <w:numId w:val="2"/>
        </w:numPr>
        <w:spacing w:before="0" w:after="0"/>
      </w:pPr>
      <w:r>
        <w:t xml:space="preserve">RCPCH (2020) </w:t>
      </w:r>
      <w:r>
        <w:rPr>
          <w:i/>
          <w:iCs/>
        </w:rPr>
        <w:t>RCPCH – State of Child Health – Insight into the state of child health in the UK</w:t>
      </w:r>
      <w:r>
        <w:t xml:space="preserve">, </w:t>
      </w:r>
      <w:r>
        <w:rPr>
          <w:i/>
          <w:iCs/>
        </w:rPr>
        <w:t>stateofchildhealth.rcpch.ac.uk</w:t>
      </w:r>
      <w:r>
        <w:t>. Available at: https://stateofchildhealth.rcpch.ac.uk/ (Accessed: 11 November 2025).</w:t>
      </w:r>
    </w:p>
    <w:p w14:paraId="4A341039">
      <w:pPr>
        <w:pStyle w:val="46"/>
        <w:numPr>
          <w:ilvl w:val="0"/>
          <w:numId w:val="2"/>
        </w:numPr>
        <w:spacing w:before="0" w:after="0"/>
      </w:pPr>
      <w:r>
        <w:t xml:space="preserve">Reiter, J. </w:t>
      </w:r>
      <w:r>
        <w:rPr>
          <w:i/>
          <w:iCs/>
        </w:rPr>
        <w:t>et al.</w:t>
      </w:r>
      <w:r>
        <w:t xml:space="preserve"> (2021) ‘Sleep Disorders in Children with Asthma’, </w:t>
      </w:r>
      <w:r>
        <w:rPr>
          <w:i/>
          <w:iCs/>
        </w:rPr>
        <w:t>Pediatric Pulmonology</w:t>
      </w:r>
      <w:r>
        <w:t>, 57(8). doi: https://doi.org/10.1002/ppul.25264.</w:t>
      </w:r>
    </w:p>
    <w:p w14:paraId="4A5F282F">
      <w:pPr>
        <w:pStyle w:val="46"/>
        <w:numPr>
          <w:ilvl w:val="0"/>
          <w:numId w:val="2"/>
        </w:numPr>
        <w:spacing w:before="0" w:after="0"/>
      </w:pPr>
      <w:r>
        <w:t xml:space="preserve">Ribeiro, C., Pamplona, P. and Simonds, A. K. (2024) ‘Advance care planning in patients with respiratory failure’, </w:t>
      </w:r>
      <w:r>
        <w:rPr>
          <w:i/>
          <w:iCs/>
        </w:rPr>
        <w:t>European Respiratory Review</w:t>
      </w:r>
      <w:r>
        <w:t>, 33(174), p. 240120. doi: https://doi.org/10.1183/16000617.0120-2024.</w:t>
      </w:r>
    </w:p>
    <w:p w14:paraId="3F9565DF">
      <w:pPr>
        <w:pStyle w:val="46"/>
        <w:numPr>
          <w:ilvl w:val="0"/>
          <w:numId w:val="2"/>
        </w:numPr>
        <w:spacing w:before="0" w:after="0"/>
      </w:pPr>
      <w:r>
        <w:t xml:space="preserve">Rogulj, M., Vukojević, K. and Kalcina, L. L. (2024) ‘A Closer Look at Parental Anxiety in Asthma Outpacing Children’s Concerns: Fear of Physical Activity over the Fear of Drug Side Effects’, </w:t>
      </w:r>
      <w:r>
        <w:rPr>
          <w:i/>
          <w:iCs/>
        </w:rPr>
        <w:t>Children</w:t>
      </w:r>
      <w:r>
        <w:t>, 11(3), p. 289. doi: https://doi.org/10.3390/children11030289.</w:t>
      </w:r>
    </w:p>
    <w:p w14:paraId="6171EAD6">
      <w:pPr>
        <w:pStyle w:val="46"/>
        <w:numPr>
          <w:ilvl w:val="0"/>
          <w:numId w:val="2"/>
        </w:numPr>
        <w:spacing w:before="0" w:after="0"/>
      </w:pPr>
      <w:r>
        <w:rPr>
          <w:lang w:val="es-AR"/>
        </w:rPr>
        <w:t xml:space="preserve">Sazlina, S. G. </w:t>
      </w:r>
      <w:r>
        <w:rPr>
          <w:i/>
          <w:iCs/>
          <w:lang w:val="es-AR"/>
        </w:rPr>
        <w:t>et al.</w:t>
      </w:r>
      <w:r>
        <w:rPr>
          <w:lang w:val="es-AR"/>
        </w:rPr>
        <w:t xml:space="preserve"> </w:t>
      </w:r>
      <w:r>
        <w:t xml:space="preserve">(2022) ‘Feasibility of supported self-management with a pictorial action plan to improve asthma control’, </w:t>
      </w:r>
      <w:r>
        <w:rPr>
          <w:i/>
          <w:iCs/>
        </w:rPr>
        <w:t>npj Primary Care Respiratory Medicine</w:t>
      </w:r>
      <w:r>
        <w:t>, 32(1). doi: https://doi.org/10.1038/s41533-022-00294-8.</w:t>
      </w:r>
    </w:p>
    <w:p w14:paraId="6A4AF0E0">
      <w:pPr>
        <w:pStyle w:val="46"/>
        <w:numPr>
          <w:ilvl w:val="0"/>
          <w:numId w:val="2"/>
        </w:numPr>
        <w:spacing w:before="0" w:after="0"/>
      </w:pPr>
      <w:r>
        <w:t xml:space="preserve">Swarnakar, R. and Dhar, R. (2024) ‘Call to action: Addressing asthma diagnosis and treatment gaps in India’, </w:t>
      </w:r>
      <w:r>
        <w:rPr>
          <w:i/>
          <w:iCs/>
        </w:rPr>
        <w:t>Lung India</w:t>
      </w:r>
      <w:r>
        <w:t>, 41(3), p. 209. doi: https://doi.org/10.4103/lungindia.lungindia_518_23.</w:t>
      </w:r>
    </w:p>
    <w:p w14:paraId="5807B91C">
      <w:pPr>
        <w:pStyle w:val="46"/>
        <w:numPr>
          <w:ilvl w:val="0"/>
          <w:numId w:val="2"/>
        </w:numPr>
        <w:spacing w:before="0" w:after="0"/>
      </w:pPr>
      <w:r>
        <w:t xml:space="preserve">Turner, E. </w:t>
      </w:r>
      <w:r>
        <w:rPr>
          <w:i/>
          <w:iCs/>
        </w:rPr>
        <w:t>et al.</w:t>
      </w:r>
      <w:r>
        <w:t xml:space="preserve"> (2022) ‘Multi-disciplinary community respiratory team management of patients with chronic respiratory illness during the COVID-19 pandemic’, </w:t>
      </w:r>
      <w:r>
        <w:rPr>
          <w:i/>
          <w:iCs/>
        </w:rPr>
        <w:t>npj Primary Care Respiratory Medicine</w:t>
      </w:r>
      <w:r>
        <w:t>, 32(1). doi: https://doi.org/10.1038/s41533-022-00290-y.</w:t>
      </w:r>
    </w:p>
    <w:p w14:paraId="3B554B0D">
      <w:pPr>
        <w:pStyle w:val="46"/>
        <w:numPr>
          <w:ilvl w:val="0"/>
          <w:numId w:val="2"/>
        </w:numPr>
        <w:spacing w:before="0" w:after="0"/>
      </w:pPr>
      <w:r>
        <w:t xml:space="preserve">Wagner, E. H. (1998) ‘Chronic Disease management: What Will It Take to Improve Care for Chronic illness?’, </w:t>
      </w:r>
      <w:r>
        <w:rPr>
          <w:i/>
          <w:iCs/>
        </w:rPr>
        <w:t>Effective Clinical Practice: ECP</w:t>
      </w:r>
      <w:r>
        <w:t>, 1(1), pp. 2–4.</w:t>
      </w:r>
    </w:p>
    <w:p w14:paraId="522D106E">
      <w:pPr>
        <w:pStyle w:val="46"/>
        <w:numPr>
          <w:ilvl w:val="0"/>
          <w:numId w:val="2"/>
        </w:numPr>
        <w:spacing w:before="0" w:after="0"/>
      </w:pPr>
      <w:r>
        <w:t xml:space="preserve">Wu, P., Zhang, J. and Hu, Y. (2025) ‘Understanding Caregiver Burden in Severe Pediatric Asthma - A Qualitative Study’, </w:t>
      </w:r>
      <w:r>
        <w:rPr>
          <w:i/>
          <w:iCs/>
        </w:rPr>
        <w:t>Journal of Multidisciplinary Healthcare</w:t>
      </w:r>
      <w:r>
        <w:t>, Volume 18, pp. 865–876. doi: https://doi.org/10.2147/jmdh.s505739.</w:t>
      </w:r>
    </w:p>
    <w:p w14:paraId="25DC3C95">
      <w:pPr>
        <w:pStyle w:val="46"/>
        <w:numPr>
          <w:ilvl w:val="0"/>
          <w:numId w:val="2"/>
        </w:numPr>
        <w:spacing w:before="0" w:after="0"/>
      </w:pPr>
      <w:r>
        <w:t xml:space="preserve">Yang, F. </w:t>
      </w:r>
      <w:r>
        <w:rPr>
          <w:i/>
          <w:iCs/>
        </w:rPr>
        <w:t>et al.</w:t>
      </w:r>
      <w:r>
        <w:t xml:space="preserve"> (2024) ‘Caregiver burden among parents of school-age children with asthma: a cross-sectional study’, </w:t>
      </w:r>
      <w:r>
        <w:rPr>
          <w:i/>
          <w:iCs/>
        </w:rPr>
        <w:t>Frontiers in Public Health</w:t>
      </w:r>
      <w:r>
        <w:t>, 12. doi: https://doi.org/10.3389/fpubh.2024.1368519.</w:t>
      </w:r>
    </w:p>
    <w:p w14:paraId="0D0CD3D5">
      <w:pPr>
        <w:pStyle w:val="46"/>
        <w:numPr>
          <w:ilvl w:val="0"/>
          <w:numId w:val="2"/>
        </w:numPr>
        <w:spacing w:before="0" w:after="0"/>
      </w:pPr>
      <w:r>
        <w:t xml:space="preserve">Zhang, D. and Zheng, J. (2022) ‘The Burden of Childhood Asthma by Age Group, 1990–2019: A Systematic Analysis of Global Burden of Disease 2019 Data’, </w:t>
      </w:r>
      <w:r>
        <w:rPr>
          <w:i/>
          <w:iCs/>
        </w:rPr>
        <w:t>Frontiers in Pediatrics</w:t>
      </w:r>
      <w:r>
        <w:t>, 10. doi: https://doi.org/10.3389/fped.2022.823399.</w:t>
      </w:r>
    </w:p>
    <w:p w14:paraId="40275298">
      <w:pPr>
        <w:spacing w:before="0" w:after="0"/>
      </w:pPr>
    </w:p>
    <w:sectPr>
      <w:type w:val="continuous"/>
      <w:pgSz w:w="16838" w:h="11906" w:orient="landscape"/>
      <w:pgMar w:top="1440" w:right="1440" w:bottom="1440" w:left="1440" w:header="708" w:footer="708" w:gutter="0"/>
      <w:pgBorders w:offsetFrom="page">
        <w:top w:val="thinThickSmallGap" w:color="00B0F0" w:sz="24" w:space="24"/>
        <w:left w:val="thinThickSmallGap" w:color="00B0F0" w:sz="24" w:space="24"/>
        <w:bottom w:val="thickThinSmallGap" w:color="00B0F0" w:sz="24" w:space="24"/>
        <w:right w:val="thickThinSmallGap" w:color="00B0F0" w:sz="24" w:space="24"/>
      </w:pgBorders>
      <w:cols w:equalWidth="0" w:num="2">
        <w:col w:w="6625" w:space="708"/>
        <w:col w:w="6625"/>
      </w:cols>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embedRegular r:id="rId1" w:fontKey="{DCDAA045-FD2A-4110-8ACD-F5E9E8E3EFA6}"/>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2" w:fontKey="{D1287463-7D0D-4D69-BC97-A39F52274314}"/>
  </w:font>
  <w:font w:name="Wingdings">
    <w:panose1 w:val="05000000000000000000"/>
    <w:charset w:val="02"/>
    <w:family w:val="auto"/>
    <w:pitch w:val="default"/>
    <w:sig w:usb0="00000000" w:usb1="00000000" w:usb2="00000000" w:usb3="00000000" w:csb0="80000000" w:csb1="00000000"/>
    <w:embedRegular r:id="rId3" w:fontKey="{6BC9093B-B223-41C4-A732-3669E16B36BC}"/>
  </w:font>
  <w:font w:name="Calibri">
    <w:panose1 w:val="020F0502020204030204"/>
    <w:charset w:val="00"/>
    <w:family w:val="swiss"/>
    <w:pitch w:val="default"/>
    <w:sig w:usb0="E4002EFF" w:usb1="C200247B" w:usb2="00000009" w:usb3="00000000" w:csb0="200001FF" w:csb1="00000000"/>
    <w:embedRegular r:id="rId4" w:fontKey="{D9C853CC-02E6-45D2-B011-F9F74EC13A67}"/>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embedRegular r:id="rId5" w:fontKey="{12959670-1E72-4B50-B04C-CF974F2A66A3}"/>
  </w:font>
  <w:font w:name="Cambria">
    <w:panose1 w:val="02040503050406030204"/>
    <w:charset w:val="00"/>
    <w:family w:val="roman"/>
    <w:pitch w:val="default"/>
    <w:sig w:usb0="E00006FF" w:usb1="420024FF" w:usb2="02000000" w:usb3="00000000" w:csb0="2000019F" w:csb1="00000000"/>
    <w:embedRegular r:id="rId6" w:fontKey="{D66B8547-5831-4FCB-A6AC-B6966635F4C8}"/>
  </w:font>
  <w:font w:name="Roboto">
    <w:panose1 w:val="02000000000000000000"/>
    <w:charset w:val="00"/>
    <w:family w:val="auto"/>
    <w:pitch w:val="default"/>
    <w:sig w:usb0="E0000AFF" w:usb1="5000217F" w:usb2="00000021" w:usb3="00000000" w:csb0="2000019F" w:csb1="00000000"/>
    <w:embedRegular r:id="rId7" w:fontKey="{03B77630-59AD-4FA2-8743-80827369FF4B}"/>
  </w:font>
  <w:font w:name="Nova Mono">
    <w:altName w:val="Segoe Print"/>
    <w:panose1 w:val="00000000000000000000"/>
    <w:charset w:val="00"/>
    <w:family w:val="auto"/>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embedRegular r:id="rId8" w:fontKey="{9633658C-CFA3-4051-B36D-6BC38CAADF89}"/>
  </w:font>
  <w:font w:name="Segoe Print">
    <w:panose1 w:val="02000600000000000000"/>
    <w:charset w:val="00"/>
    <w:family w:val="auto"/>
    <w:pitch w:val="default"/>
    <w:sig w:usb0="0000028F" w:usb1="00000000" w:usb2="00000000" w:usb3="00000000" w:csb0="2000009F" w:csb1="47010000"/>
    <w:embedRegular r:id="rId9" w:fontKey="{60105ED5-3AC5-4D0C-B1DD-3F079B0E91B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37698640"/>
      <w:docPartObj>
        <w:docPartGallery w:val="autotext"/>
      </w:docPartObj>
    </w:sdtPr>
    <w:sdtContent>
      <w:p w14:paraId="612E1EB6">
        <w:pPr>
          <w:pStyle w:val="15"/>
        </w:pPr>
        <w:r>
          <w:drawing>
            <wp:anchor distT="114300" distB="114300" distL="114300" distR="114300" simplePos="0" relativeHeight="251661312" behindDoc="0" locked="0" layoutInCell="1" allowOverlap="1">
              <wp:simplePos x="0" y="0"/>
              <wp:positionH relativeFrom="column">
                <wp:posOffset>0</wp:posOffset>
              </wp:positionH>
              <wp:positionV relativeFrom="paragraph">
                <wp:posOffset>289560</wp:posOffset>
              </wp:positionV>
              <wp:extent cx="1628775" cy="523875"/>
              <wp:effectExtent l="0" t="0" r="9525" b="9525"/>
              <wp:wrapSquare wrapText="bothSides"/>
              <wp:docPr id="1828734830" name="image1.png"/>
              <wp:cNvGraphicFramePr/>
              <a:graphic xmlns:a="http://schemas.openxmlformats.org/drawingml/2006/main">
                <a:graphicData uri="http://schemas.openxmlformats.org/drawingml/2006/picture">
                  <pic:pic xmlns:pic="http://schemas.openxmlformats.org/drawingml/2006/picture">
                    <pic:nvPicPr>
                      <pic:cNvPr id="1828734830" name="image1.png"/>
                      <pic:cNvPicPr preferRelativeResize="0"/>
                    </pic:nvPicPr>
                    <pic:blipFill>
                      <a:blip r:embed="rId1"/>
                      <a:srcRect/>
                      <a:stretch>
                        <a:fillRect/>
                      </a:stretch>
                    </pic:blipFill>
                    <pic:spPr>
                      <a:xfrm>
                        <a:off x="0" y="0"/>
                        <a:ext cx="1628775" cy="523875"/>
                      </a:xfrm>
                      <a:prstGeom prst="rect">
                        <a:avLst/>
                      </a:prstGeom>
                    </pic:spPr>
                  </pic:pic>
                </a:graphicData>
              </a:graphic>
            </wp:anchor>
          </w:drawing>
        </w:r>
        <w:r>
          <w:fldChar w:fldCharType="begin"/>
        </w:r>
        <w:r>
          <w:instrText xml:space="preserve"> PAGE   \* MERGEFORMAT </w:instrText>
        </w:r>
        <w:r>
          <w:fldChar w:fldCharType="separate"/>
        </w:r>
        <w:r>
          <w:t>14</w:t>
        </w:r>
        <w:r>
          <w:fldChar w:fldCharType="end"/>
        </w:r>
        <w:r>
          <w:t xml:space="preserve"> </w:t>
        </w:r>
        <w:r>
          <w:tab/>
        </w:r>
        <w:r>
          <w:tab/>
        </w:r>
        <w:r>
          <w:tab/>
        </w:r>
        <w:r>
          <w:tab/>
        </w:r>
        <w:r>
          <w:tab/>
        </w:r>
        <w:r>
          <w:tab/>
        </w:r>
        <w:r>
          <w:tab/>
        </w:r>
        <w:r>
          <w:tab/>
        </w:r>
        <w:r>
          <w:t>Asthma</w:t>
        </w:r>
      </w:p>
    </w:sdtContent>
  </w:sdt>
  <w:p w14:paraId="415D298C">
    <w:pPr>
      <w:jc w:val="left"/>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CB5954E">
    <w:pPr>
      <w:jc w:val="center"/>
    </w:pPr>
    <w:r>
      <w:drawing>
        <wp:anchor distT="114300" distB="114300" distL="114300" distR="114300" simplePos="0" relativeHeight="251659264" behindDoc="0" locked="0" layoutInCell="1" allowOverlap="1">
          <wp:simplePos x="0" y="0"/>
          <wp:positionH relativeFrom="column">
            <wp:posOffset>-7620</wp:posOffset>
          </wp:positionH>
          <wp:positionV relativeFrom="paragraph">
            <wp:posOffset>281940</wp:posOffset>
          </wp:positionV>
          <wp:extent cx="1628775" cy="523875"/>
          <wp:effectExtent l="0" t="0" r="9525" b="9525"/>
          <wp:wrapSquare wrapText="bothSides"/>
          <wp:docPr id="1549537270" name="image1.png"/>
          <wp:cNvGraphicFramePr/>
          <a:graphic xmlns:a="http://schemas.openxmlformats.org/drawingml/2006/main">
            <a:graphicData uri="http://schemas.openxmlformats.org/drawingml/2006/picture">
              <pic:pic xmlns:pic="http://schemas.openxmlformats.org/drawingml/2006/picture">
                <pic:nvPicPr>
                  <pic:cNvPr id="1549537270" name="image1.png"/>
                  <pic:cNvPicPr preferRelativeResize="0"/>
                </pic:nvPicPr>
                <pic:blipFill>
                  <a:blip r:embed="rId1"/>
                  <a:srcRect/>
                  <a:stretch>
                    <a:fillRect/>
                  </a:stretch>
                </pic:blipFill>
                <pic:spPr>
                  <a:xfrm>
                    <a:off x="0" y="0"/>
                    <a:ext cx="1628775" cy="523875"/>
                  </a:xfrm>
                  <a:prstGeom prst="rect">
                    <a:avLst/>
                  </a:prstGeom>
                </pic:spPr>
              </pic:pic>
            </a:graphicData>
          </a:graphic>
        </wp:anchor>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numPicBullet w:numPicBulletId="0">
    <w:pict>
      <v:shape id="0" type="#_x0000_t75" style="width:15px;height:15px" o:bullet="t">
        <v:imagedata r:id="rId1" o:title=""/>
      </v:shape>
    </w:pict>
  </w:numPicBullet>
  <w:abstractNum w:abstractNumId="0">
    <w:nsid w:val="138331EE"/>
    <w:multiLevelType w:val="multilevel"/>
    <w:tmpl w:val="138331EE"/>
    <w:lvl w:ilvl="0" w:tentative="0">
      <w:start w:val="1"/>
      <w:numFmt w:val="bullet"/>
      <w:lvlText w:val=""/>
      <w:lvlJc w:val="left"/>
      <w:pPr>
        <w:ind w:left="720" w:hanging="360"/>
      </w:pPr>
      <w:rPr>
        <w:rFonts w:hint="default" w:ascii="Symbol" w:hAnsi="Symbol"/>
        <w:color w:val="007BB8"/>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53B04B8D"/>
    <w:multiLevelType w:val="multilevel"/>
    <w:tmpl w:val="53B04B8D"/>
    <w:lvl w:ilvl="0" w:tentative="0">
      <w:start w:val="1"/>
      <w:numFmt w:val="bullet"/>
      <w:lvlText w:val=""/>
      <w:lvlPicBulletId w:val="0"/>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7"/>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309C"/>
    <w:rsid w:val="00204AE0"/>
    <w:rsid w:val="002350C2"/>
    <w:rsid w:val="005F309C"/>
    <w:rsid w:val="006B71E7"/>
    <w:rsid w:val="006F4D99"/>
    <w:rsid w:val="00731EC1"/>
    <w:rsid w:val="007332A0"/>
    <w:rsid w:val="00A11F55"/>
    <w:rsid w:val="00BA0C67"/>
    <w:rsid w:val="08E14270"/>
    <w:rsid w:val="221F613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240" w:after="240" w:line="360" w:lineRule="auto"/>
      <w:jc w:val="both"/>
    </w:pPr>
    <w:rPr>
      <w:rFonts w:ascii="Arial" w:hAnsi="Arial" w:eastAsia="Arial" w:cs="Arial"/>
      <w:sz w:val="24"/>
      <w:szCs w:val="24"/>
      <w:lang w:val="en-IN" w:eastAsia="en-IN" w:bidi="ar-SA"/>
    </w:rPr>
  </w:style>
  <w:style w:type="paragraph" w:styleId="2">
    <w:name w:val="heading 1"/>
    <w:basedOn w:val="1"/>
    <w:next w:val="1"/>
    <w:link w:val="22"/>
    <w:qFormat/>
    <w:uiPriority w:val="0"/>
    <w:pPr>
      <w:keepNext/>
      <w:keepLines/>
      <w:spacing w:after="0"/>
      <w:outlineLvl w:val="0"/>
    </w:pPr>
    <w:rPr>
      <w:b/>
      <w:bCs/>
      <w:sz w:val="28"/>
      <w:szCs w:val="28"/>
    </w:rPr>
  </w:style>
  <w:style w:type="paragraph" w:styleId="3">
    <w:name w:val="heading 2"/>
    <w:basedOn w:val="1"/>
    <w:next w:val="1"/>
    <w:link w:val="23"/>
    <w:qFormat/>
    <w:uiPriority w:val="0"/>
    <w:pPr>
      <w:keepNext/>
      <w:keepLines/>
      <w:spacing w:after="0"/>
      <w:outlineLvl w:val="1"/>
    </w:pPr>
    <w:rPr>
      <w:b/>
      <w:bCs/>
      <w:i/>
      <w:iCs/>
      <w:sz w:val="26"/>
      <w:szCs w:val="26"/>
    </w:rPr>
  </w:style>
  <w:style w:type="paragraph" w:styleId="4">
    <w:name w:val="heading 3"/>
    <w:basedOn w:val="1"/>
    <w:next w:val="1"/>
    <w:link w:val="24"/>
    <w:qFormat/>
    <w:uiPriority w:val="0"/>
    <w:pPr>
      <w:keepNext/>
      <w:keepLines/>
      <w:spacing w:before="120" w:after="0" w:line="240" w:lineRule="auto"/>
      <w:outlineLvl w:val="2"/>
    </w:pPr>
    <w:rPr>
      <w:rFonts w:ascii="Cambria" w:hAnsi="Cambria" w:eastAsia="Cambria" w:cs="Cambria"/>
      <w:smallCaps/>
      <w:sz w:val="28"/>
      <w:szCs w:val="28"/>
    </w:rPr>
  </w:style>
  <w:style w:type="paragraph" w:styleId="5">
    <w:name w:val="heading 4"/>
    <w:basedOn w:val="1"/>
    <w:next w:val="1"/>
    <w:link w:val="25"/>
    <w:qFormat/>
    <w:uiPriority w:val="0"/>
    <w:pPr>
      <w:keepNext/>
      <w:keepLines/>
      <w:spacing w:before="120" w:after="0"/>
      <w:outlineLvl w:val="3"/>
    </w:pPr>
    <w:rPr>
      <w:rFonts w:ascii="Cambria" w:hAnsi="Cambria" w:eastAsia="Cambria" w:cs="Cambria"/>
      <w:smallCaps/>
    </w:rPr>
  </w:style>
  <w:style w:type="paragraph" w:styleId="6">
    <w:name w:val="heading 5"/>
    <w:basedOn w:val="1"/>
    <w:next w:val="1"/>
    <w:link w:val="26"/>
    <w:qFormat/>
    <w:uiPriority w:val="0"/>
    <w:pPr>
      <w:keepNext/>
      <w:keepLines/>
      <w:spacing w:before="120" w:after="0"/>
      <w:outlineLvl w:val="4"/>
    </w:pPr>
    <w:rPr>
      <w:rFonts w:ascii="Cambria" w:hAnsi="Cambria" w:eastAsia="Cambria" w:cs="Cambria"/>
      <w:i/>
      <w:iCs/>
      <w:smallCaps/>
    </w:rPr>
  </w:style>
  <w:style w:type="paragraph" w:styleId="7">
    <w:name w:val="heading 6"/>
    <w:basedOn w:val="1"/>
    <w:next w:val="1"/>
    <w:link w:val="27"/>
    <w:uiPriority w:val="0"/>
    <w:pPr>
      <w:keepNext/>
      <w:keepLines/>
      <w:spacing w:before="120" w:after="0"/>
      <w:outlineLvl w:val="5"/>
    </w:pPr>
    <w:rPr>
      <w:rFonts w:ascii="Cambria" w:hAnsi="Cambria" w:eastAsia="Cambria" w:cs="Cambria"/>
      <w:b/>
      <w:bCs/>
      <w:smallCaps/>
      <w:color w:val="262626"/>
      <w:sz w:val="20"/>
      <w:szCs w:val="20"/>
    </w:rPr>
  </w:style>
  <w:style w:type="paragraph" w:styleId="8">
    <w:name w:val="heading 7"/>
    <w:basedOn w:val="1"/>
    <w:next w:val="1"/>
    <w:link w:val="28"/>
    <w:semiHidden/>
    <w:unhideWhenUsed/>
    <w:qFormat/>
    <w:uiPriority w:val="9"/>
    <w:pPr>
      <w:keepNext/>
      <w:keepLines/>
      <w:spacing w:before="120" w:after="0"/>
      <w:outlineLvl w:val="6"/>
    </w:pPr>
    <w:rPr>
      <w:rFonts w:asciiTheme="majorHAnsi" w:hAnsiTheme="majorHAnsi" w:eastAsiaTheme="majorEastAsia" w:cstheme="majorBidi"/>
      <w:b/>
      <w:bCs/>
      <w:i/>
      <w:iCs/>
      <w:caps/>
      <w:color w:val="262626" w:themeColor="text1" w:themeTint="D9"/>
      <w:sz w:val="20"/>
      <w:szCs w:val="20"/>
      <w14:textFill>
        <w14:solidFill>
          <w14:schemeClr w14:val="tx1">
            <w14:lumMod w14:val="85000"/>
            <w14:lumOff w14:val="15000"/>
          </w14:schemeClr>
        </w14:solidFill>
      </w14:textFill>
    </w:rPr>
  </w:style>
  <w:style w:type="paragraph" w:styleId="9">
    <w:name w:val="heading 8"/>
    <w:basedOn w:val="1"/>
    <w:next w:val="1"/>
    <w:link w:val="29"/>
    <w:semiHidden/>
    <w:unhideWhenUsed/>
    <w:qFormat/>
    <w:uiPriority w:val="9"/>
    <w:pPr>
      <w:keepNext/>
      <w:keepLines/>
      <w:spacing w:before="120" w:after="0"/>
      <w:outlineLvl w:val="7"/>
    </w:pPr>
    <w:rPr>
      <w:rFonts w:asciiTheme="majorHAnsi" w:hAnsiTheme="majorHAnsi" w:eastAsiaTheme="majorEastAsia" w:cstheme="majorBidi"/>
      <w:b/>
      <w:bCs/>
      <w:caps/>
      <w:color w:val="808080" w:themeColor="text1" w:themeTint="80"/>
      <w:sz w:val="20"/>
      <w:szCs w:val="20"/>
      <w14:textFill>
        <w14:solidFill>
          <w14:schemeClr w14:val="tx1">
            <w14:lumMod w14:val="50000"/>
            <w14:lumOff w14:val="50000"/>
          </w14:schemeClr>
        </w14:solidFill>
      </w14:textFill>
    </w:rPr>
  </w:style>
  <w:style w:type="paragraph" w:styleId="10">
    <w:name w:val="heading 9"/>
    <w:basedOn w:val="1"/>
    <w:next w:val="1"/>
    <w:link w:val="30"/>
    <w:semiHidden/>
    <w:unhideWhenUsed/>
    <w:qFormat/>
    <w:uiPriority w:val="9"/>
    <w:pPr>
      <w:keepNext/>
      <w:keepLines/>
      <w:spacing w:before="120" w:after="0"/>
      <w:outlineLvl w:val="8"/>
    </w:pPr>
    <w:rPr>
      <w:rFonts w:asciiTheme="majorHAnsi" w:hAnsiTheme="majorHAnsi" w:eastAsiaTheme="majorEastAsia" w:cstheme="majorBidi"/>
      <w:b/>
      <w:bCs/>
      <w:i/>
      <w:iCs/>
      <w:caps/>
      <w:color w:val="808080" w:themeColor="text1" w:themeTint="80"/>
      <w:sz w:val="20"/>
      <w:szCs w:val="20"/>
      <w14:textFill>
        <w14:solidFill>
          <w14:schemeClr w14:val="tx1">
            <w14:lumMod w14:val="50000"/>
            <w14:lumOff w14:val="50000"/>
          </w14:schemeClr>
        </w14:solidFill>
      </w14:textFill>
    </w:rPr>
  </w:style>
  <w:style w:type="character" w:default="1" w:styleId="11">
    <w:name w:val="Default Paragraph Font"/>
    <w:semiHidden/>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caption"/>
    <w:basedOn w:val="1"/>
    <w:next w:val="1"/>
    <w:semiHidden/>
    <w:unhideWhenUsed/>
    <w:qFormat/>
    <w:uiPriority w:val="35"/>
    <w:pPr>
      <w:spacing w:line="240" w:lineRule="auto"/>
    </w:pPr>
    <w:rPr>
      <w:b/>
      <w:bCs/>
      <w:smallCaps/>
      <w:color w:val="595959" w:themeColor="text1" w:themeTint="A6"/>
      <w14:textFill>
        <w14:solidFill>
          <w14:schemeClr w14:val="tx1">
            <w14:lumMod w14:val="65000"/>
            <w14:lumOff w14:val="35000"/>
          </w14:schemeClr>
        </w14:solidFill>
      </w14:textFill>
    </w:rPr>
  </w:style>
  <w:style w:type="character" w:styleId="14">
    <w:name w:val="Emphasis"/>
    <w:basedOn w:val="11"/>
    <w:qFormat/>
    <w:uiPriority w:val="20"/>
    <w:rPr>
      <w:i/>
      <w:iCs/>
    </w:rPr>
  </w:style>
  <w:style w:type="paragraph" w:styleId="15">
    <w:name w:val="footer"/>
    <w:basedOn w:val="1"/>
    <w:link w:val="45"/>
    <w:unhideWhenUsed/>
    <w:qFormat/>
    <w:uiPriority w:val="99"/>
    <w:pPr>
      <w:tabs>
        <w:tab w:val="center" w:pos="4513"/>
        <w:tab w:val="right" w:pos="9026"/>
      </w:tabs>
      <w:spacing w:before="0" w:after="0" w:line="240" w:lineRule="auto"/>
    </w:pPr>
  </w:style>
  <w:style w:type="paragraph" w:styleId="16">
    <w:name w:val="header"/>
    <w:basedOn w:val="1"/>
    <w:link w:val="44"/>
    <w:unhideWhenUsed/>
    <w:qFormat/>
    <w:uiPriority w:val="99"/>
    <w:pPr>
      <w:tabs>
        <w:tab w:val="center" w:pos="4513"/>
        <w:tab w:val="right" w:pos="9026"/>
      </w:tabs>
      <w:spacing w:before="0" w:after="0" w:line="240" w:lineRule="auto"/>
    </w:pPr>
  </w:style>
  <w:style w:type="character" w:styleId="17">
    <w:name w:val="Strong"/>
    <w:basedOn w:val="11"/>
    <w:qFormat/>
    <w:uiPriority w:val="22"/>
    <w:rPr>
      <w:b/>
      <w:bCs/>
    </w:rPr>
  </w:style>
  <w:style w:type="paragraph" w:styleId="18">
    <w:name w:val="Subtitle"/>
    <w:basedOn w:val="1"/>
    <w:next w:val="1"/>
    <w:link w:val="32"/>
    <w:qFormat/>
    <w:uiPriority w:val="0"/>
    <w:rPr>
      <w:rFonts w:ascii="Cambria" w:hAnsi="Cambria" w:eastAsia="Cambria" w:cs="Cambria"/>
      <w:smallCaps/>
      <w:color w:val="595959"/>
      <w:sz w:val="28"/>
      <w:szCs w:val="28"/>
    </w:rPr>
  </w:style>
  <w:style w:type="table" w:styleId="19">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0">
    <w:name w:val="Title"/>
    <w:basedOn w:val="1"/>
    <w:next w:val="1"/>
    <w:link w:val="31"/>
    <w:uiPriority w:val="0"/>
    <w:pPr>
      <w:spacing w:after="0" w:line="240" w:lineRule="auto"/>
    </w:pPr>
    <w:rPr>
      <w:rFonts w:ascii="Cambria" w:hAnsi="Cambria" w:eastAsia="Cambria" w:cs="Cambria"/>
      <w:smallCaps/>
      <w:color w:val="404040"/>
      <w:sz w:val="72"/>
      <w:szCs w:val="72"/>
    </w:rPr>
  </w:style>
  <w:style w:type="table" w:customStyle="1" w:styleId="21">
    <w:name w:val="TableNormal"/>
    <w:uiPriority w:val="0"/>
    <w:tblPr>
      <w:tblCellMar>
        <w:top w:w="100" w:type="dxa"/>
        <w:left w:w="100" w:type="dxa"/>
        <w:bottom w:w="100" w:type="dxa"/>
        <w:right w:w="100" w:type="dxa"/>
      </w:tblCellMar>
    </w:tblPr>
  </w:style>
  <w:style w:type="character" w:customStyle="1" w:styleId="22">
    <w:name w:val="Heading 1 Char"/>
    <w:basedOn w:val="11"/>
    <w:link w:val="2"/>
    <w:qFormat/>
    <w:uiPriority w:val="9"/>
    <w:rPr>
      <w:rFonts w:asciiTheme="majorHAnsi" w:hAnsiTheme="majorHAnsi" w:eastAsiaTheme="majorEastAsia" w:cstheme="majorBidi"/>
      <w:caps/>
      <w:sz w:val="36"/>
      <w:szCs w:val="36"/>
    </w:rPr>
  </w:style>
  <w:style w:type="character" w:customStyle="1" w:styleId="23">
    <w:name w:val="Heading 2 Char"/>
    <w:basedOn w:val="11"/>
    <w:link w:val="3"/>
    <w:semiHidden/>
    <w:uiPriority w:val="9"/>
    <w:rPr>
      <w:rFonts w:asciiTheme="majorHAnsi" w:hAnsiTheme="majorHAnsi" w:eastAsiaTheme="majorEastAsia" w:cstheme="majorBidi"/>
      <w:caps/>
      <w:sz w:val="28"/>
      <w:szCs w:val="28"/>
    </w:rPr>
  </w:style>
  <w:style w:type="character" w:customStyle="1" w:styleId="24">
    <w:name w:val="Heading 3 Char"/>
    <w:basedOn w:val="11"/>
    <w:link w:val="4"/>
    <w:semiHidden/>
    <w:qFormat/>
    <w:uiPriority w:val="9"/>
    <w:rPr>
      <w:rFonts w:asciiTheme="majorHAnsi" w:hAnsiTheme="majorHAnsi" w:eastAsiaTheme="majorEastAsia" w:cstheme="majorBidi"/>
      <w:smallCaps/>
      <w:sz w:val="28"/>
      <w:szCs w:val="28"/>
    </w:rPr>
  </w:style>
  <w:style w:type="character" w:customStyle="1" w:styleId="25">
    <w:name w:val="Heading 4 Char"/>
    <w:basedOn w:val="11"/>
    <w:link w:val="5"/>
    <w:semiHidden/>
    <w:uiPriority w:val="9"/>
    <w:rPr>
      <w:rFonts w:asciiTheme="majorHAnsi" w:hAnsiTheme="majorHAnsi" w:eastAsiaTheme="majorEastAsia" w:cstheme="majorBidi"/>
      <w:caps/>
    </w:rPr>
  </w:style>
  <w:style w:type="character" w:customStyle="1" w:styleId="26">
    <w:name w:val="Heading 5 Char"/>
    <w:basedOn w:val="11"/>
    <w:link w:val="6"/>
    <w:semiHidden/>
    <w:uiPriority w:val="9"/>
    <w:rPr>
      <w:rFonts w:asciiTheme="majorHAnsi" w:hAnsiTheme="majorHAnsi" w:eastAsiaTheme="majorEastAsia" w:cstheme="majorBidi"/>
      <w:i/>
      <w:iCs/>
      <w:caps/>
    </w:rPr>
  </w:style>
  <w:style w:type="character" w:customStyle="1" w:styleId="27">
    <w:name w:val="Heading 6 Char"/>
    <w:basedOn w:val="11"/>
    <w:link w:val="7"/>
    <w:semiHidden/>
    <w:uiPriority w:val="9"/>
    <w:rPr>
      <w:rFonts w:asciiTheme="majorHAnsi" w:hAnsiTheme="majorHAnsi" w:eastAsiaTheme="majorEastAsia" w:cstheme="majorBidi"/>
      <w:b/>
      <w:bCs/>
      <w:caps/>
      <w:color w:val="262626" w:themeColor="text1" w:themeTint="D9"/>
      <w:sz w:val="20"/>
      <w:szCs w:val="20"/>
      <w14:textFill>
        <w14:solidFill>
          <w14:schemeClr w14:val="tx1">
            <w14:lumMod w14:val="85000"/>
            <w14:lumOff w14:val="15000"/>
          </w14:schemeClr>
        </w14:solidFill>
      </w14:textFill>
    </w:rPr>
  </w:style>
  <w:style w:type="character" w:customStyle="1" w:styleId="28">
    <w:name w:val="Heading 7 Char"/>
    <w:basedOn w:val="11"/>
    <w:link w:val="8"/>
    <w:semiHidden/>
    <w:uiPriority w:val="9"/>
    <w:rPr>
      <w:rFonts w:asciiTheme="majorHAnsi" w:hAnsiTheme="majorHAnsi" w:eastAsiaTheme="majorEastAsia" w:cstheme="majorBidi"/>
      <w:b/>
      <w:bCs/>
      <w:i/>
      <w:iCs/>
      <w:caps/>
      <w:color w:val="262626" w:themeColor="text1" w:themeTint="D9"/>
      <w:sz w:val="20"/>
      <w:szCs w:val="20"/>
      <w14:textFill>
        <w14:solidFill>
          <w14:schemeClr w14:val="tx1">
            <w14:lumMod w14:val="85000"/>
            <w14:lumOff w14:val="15000"/>
          </w14:schemeClr>
        </w14:solidFill>
      </w14:textFill>
    </w:rPr>
  </w:style>
  <w:style w:type="character" w:customStyle="1" w:styleId="29">
    <w:name w:val="Heading 8 Char"/>
    <w:basedOn w:val="11"/>
    <w:link w:val="9"/>
    <w:semiHidden/>
    <w:uiPriority w:val="9"/>
    <w:rPr>
      <w:rFonts w:asciiTheme="majorHAnsi" w:hAnsiTheme="majorHAnsi" w:eastAsiaTheme="majorEastAsia" w:cstheme="majorBidi"/>
      <w:b/>
      <w:bCs/>
      <w:caps/>
      <w:color w:val="808080" w:themeColor="text1" w:themeTint="80"/>
      <w:sz w:val="20"/>
      <w:szCs w:val="20"/>
      <w14:textFill>
        <w14:solidFill>
          <w14:schemeClr w14:val="tx1">
            <w14:lumMod w14:val="50000"/>
            <w14:lumOff w14:val="50000"/>
          </w14:schemeClr>
        </w14:solidFill>
      </w14:textFill>
    </w:rPr>
  </w:style>
  <w:style w:type="character" w:customStyle="1" w:styleId="30">
    <w:name w:val="Heading 9 Char"/>
    <w:basedOn w:val="11"/>
    <w:link w:val="10"/>
    <w:semiHidden/>
    <w:qFormat/>
    <w:uiPriority w:val="9"/>
    <w:rPr>
      <w:rFonts w:asciiTheme="majorHAnsi" w:hAnsiTheme="majorHAnsi" w:eastAsiaTheme="majorEastAsia" w:cstheme="majorBidi"/>
      <w:b/>
      <w:bCs/>
      <w:i/>
      <w:iCs/>
      <w:caps/>
      <w:color w:val="808080" w:themeColor="text1" w:themeTint="80"/>
      <w:sz w:val="20"/>
      <w:szCs w:val="20"/>
      <w14:textFill>
        <w14:solidFill>
          <w14:schemeClr w14:val="tx1">
            <w14:lumMod w14:val="50000"/>
            <w14:lumOff w14:val="50000"/>
          </w14:schemeClr>
        </w14:solidFill>
      </w14:textFill>
    </w:rPr>
  </w:style>
  <w:style w:type="character" w:customStyle="1" w:styleId="31">
    <w:name w:val="Title Char"/>
    <w:basedOn w:val="11"/>
    <w:link w:val="20"/>
    <w:qFormat/>
    <w:uiPriority w:val="10"/>
    <w:rPr>
      <w:rFonts w:asciiTheme="majorHAnsi" w:hAnsiTheme="majorHAnsi" w:eastAsiaTheme="majorEastAsia" w:cstheme="majorBidi"/>
      <w:caps/>
      <w:color w:val="404040" w:themeColor="text1" w:themeTint="BF"/>
      <w:spacing w:val="-10"/>
      <w:sz w:val="72"/>
      <w:szCs w:val="72"/>
      <w14:textFill>
        <w14:solidFill>
          <w14:schemeClr w14:val="tx1">
            <w14:lumMod w14:val="75000"/>
            <w14:lumOff w14:val="25000"/>
          </w14:schemeClr>
        </w14:solidFill>
      </w14:textFill>
    </w:rPr>
  </w:style>
  <w:style w:type="character" w:customStyle="1" w:styleId="32">
    <w:name w:val="Subtitle Char"/>
    <w:basedOn w:val="11"/>
    <w:link w:val="18"/>
    <w:qFormat/>
    <w:uiPriority w:val="11"/>
    <w:rPr>
      <w:rFonts w:asciiTheme="majorHAnsi" w:hAnsiTheme="majorHAnsi" w:eastAsiaTheme="majorEastAsia" w:cstheme="majorBidi"/>
      <w:smallCaps/>
      <w:color w:val="595959" w:themeColor="text1" w:themeTint="A6"/>
      <w:sz w:val="28"/>
      <w:szCs w:val="28"/>
      <w14:textFill>
        <w14:solidFill>
          <w14:schemeClr w14:val="tx1">
            <w14:lumMod w14:val="65000"/>
            <w14:lumOff w14:val="35000"/>
          </w14:schemeClr>
        </w14:solidFill>
      </w14:textFill>
    </w:rPr>
  </w:style>
  <w:style w:type="paragraph" w:styleId="33">
    <w:name w:val="No Spacing"/>
    <w:qFormat/>
    <w:uiPriority w:val="1"/>
    <w:pPr>
      <w:spacing w:before="240" w:after="0" w:line="240" w:lineRule="auto"/>
      <w:jc w:val="both"/>
    </w:pPr>
    <w:rPr>
      <w:rFonts w:ascii="Arial" w:hAnsi="Arial" w:eastAsia="Arial" w:cs="Arial"/>
      <w:sz w:val="24"/>
      <w:szCs w:val="24"/>
      <w:lang w:val="en-IN" w:eastAsia="en-IN" w:bidi="ar-SA"/>
    </w:rPr>
  </w:style>
  <w:style w:type="paragraph" w:styleId="34">
    <w:name w:val="Quote"/>
    <w:basedOn w:val="1"/>
    <w:next w:val="1"/>
    <w:link w:val="35"/>
    <w:qFormat/>
    <w:uiPriority w:val="29"/>
    <w:pPr>
      <w:spacing w:before="160" w:line="240" w:lineRule="auto"/>
      <w:ind w:left="720" w:right="720"/>
    </w:pPr>
    <w:rPr>
      <w:rFonts w:asciiTheme="majorHAnsi" w:hAnsiTheme="majorHAnsi" w:eastAsiaTheme="majorEastAsia" w:cstheme="majorBidi"/>
      <w:sz w:val="25"/>
      <w:szCs w:val="25"/>
    </w:rPr>
  </w:style>
  <w:style w:type="character" w:customStyle="1" w:styleId="35">
    <w:name w:val="Quote Char"/>
    <w:basedOn w:val="11"/>
    <w:link w:val="34"/>
    <w:qFormat/>
    <w:uiPriority w:val="29"/>
    <w:rPr>
      <w:rFonts w:asciiTheme="majorHAnsi" w:hAnsiTheme="majorHAnsi" w:eastAsiaTheme="majorEastAsia" w:cstheme="majorBidi"/>
      <w:sz w:val="25"/>
      <w:szCs w:val="25"/>
    </w:rPr>
  </w:style>
  <w:style w:type="paragraph" w:styleId="36">
    <w:name w:val="Intense Quote"/>
    <w:basedOn w:val="1"/>
    <w:next w:val="1"/>
    <w:link w:val="37"/>
    <w:qFormat/>
    <w:uiPriority w:val="30"/>
    <w:pPr>
      <w:spacing w:before="280" w:after="280" w:line="240" w:lineRule="auto"/>
      <w:ind w:left="1080" w:right="1080"/>
      <w:jc w:val="center"/>
    </w:pPr>
    <w:rPr>
      <w:color w:val="404040" w:themeColor="text1" w:themeTint="BF"/>
      <w:sz w:val="32"/>
      <w:szCs w:val="32"/>
      <w14:textFill>
        <w14:solidFill>
          <w14:schemeClr w14:val="tx1">
            <w14:lumMod w14:val="75000"/>
            <w14:lumOff w14:val="25000"/>
          </w14:schemeClr>
        </w14:solidFill>
      </w14:textFill>
    </w:rPr>
  </w:style>
  <w:style w:type="character" w:customStyle="1" w:styleId="37">
    <w:name w:val="Intense Quote Char"/>
    <w:basedOn w:val="11"/>
    <w:link w:val="36"/>
    <w:qFormat/>
    <w:uiPriority w:val="30"/>
    <w:rPr>
      <w:color w:val="404040" w:themeColor="text1" w:themeTint="BF"/>
      <w:sz w:val="32"/>
      <w:szCs w:val="32"/>
      <w14:textFill>
        <w14:solidFill>
          <w14:schemeClr w14:val="tx1">
            <w14:lumMod w14:val="75000"/>
            <w14:lumOff w14:val="25000"/>
          </w14:schemeClr>
        </w14:solidFill>
      </w14:textFill>
    </w:rPr>
  </w:style>
  <w:style w:type="character" w:customStyle="1" w:styleId="38">
    <w:name w:val="Subtle Emphasis"/>
    <w:basedOn w:val="11"/>
    <w:qFormat/>
    <w:uiPriority w:val="19"/>
    <w:rPr>
      <w:i/>
      <w:iCs/>
      <w:color w:val="595959" w:themeColor="text1" w:themeTint="A6"/>
      <w14:textFill>
        <w14:solidFill>
          <w14:schemeClr w14:val="tx1">
            <w14:lumMod w14:val="65000"/>
            <w14:lumOff w14:val="35000"/>
          </w14:schemeClr>
        </w14:solidFill>
      </w14:textFill>
    </w:rPr>
  </w:style>
  <w:style w:type="character" w:customStyle="1" w:styleId="39">
    <w:name w:val="Intense Emphasis"/>
    <w:basedOn w:val="11"/>
    <w:qFormat/>
    <w:uiPriority w:val="21"/>
    <w:rPr>
      <w:b/>
      <w:bCs/>
      <w:i/>
      <w:iCs/>
    </w:rPr>
  </w:style>
  <w:style w:type="character" w:customStyle="1" w:styleId="40">
    <w:name w:val="Subtle Reference"/>
    <w:basedOn w:val="11"/>
    <w:qFormat/>
    <w:uiPriority w:val="31"/>
    <w:rPr>
      <w:smallCaps/>
      <w:color w:val="404040" w:themeColor="text1" w:themeTint="BF"/>
      <w:u w:val="single" w:color="7E7E7E" w:themeColor="text1" w:themeTint="80"/>
      <w14:textFill>
        <w14:solidFill>
          <w14:schemeClr w14:val="tx1">
            <w14:lumMod w14:val="75000"/>
            <w14:lumOff w14:val="25000"/>
          </w14:schemeClr>
        </w14:solidFill>
      </w14:textFill>
    </w:rPr>
  </w:style>
  <w:style w:type="character" w:customStyle="1" w:styleId="41">
    <w:name w:val="Intense Reference"/>
    <w:basedOn w:val="11"/>
    <w:qFormat/>
    <w:uiPriority w:val="32"/>
    <w:rPr>
      <w:b/>
      <w:bCs/>
      <w:smallCaps/>
      <w:color w:val="auto"/>
      <w:spacing w:val="3"/>
      <w:u w:val="single"/>
    </w:rPr>
  </w:style>
  <w:style w:type="character" w:customStyle="1" w:styleId="42">
    <w:name w:val="Book Title"/>
    <w:basedOn w:val="11"/>
    <w:qFormat/>
    <w:uiPriority w:val="33"/>
    <w:rPr>
      <w:b/>
      <w:bCs/>
      <w:smallCaps/>
      <w:spacing w:val="7"/>
    </w:rPr>
  </w:style>
  <w:style w:type="paragraph" w:customStyle="1" w:styleId="43">
    <w:name w:val="TOC Heading"/>
    <w:basedOn w:val="2"/>
    <w:next w:val="1"/>
    <w:semiHidden/>
    <w:unhideWhenUsed/>
    <w:qFormat/>
    <w:uiPriority w:val="39"/>
    <w:pPr>
      <w:outlineLvl w:val="9"/>
    </w:pPr>
  </w:style>
  <w:style w:type="character" w:customStyle="1" w:styleId="44">
    <w:name w:val="Header Char"/>
    <w:basedOn w:val="11"/>
    <w:link w:val="16"/>
    <w:qFormat/>
    <w:uiPriority w:val="99"/>
  </w:style>
  <w:style w:type="character" w:customStyle="1" w:styleId="45">
    <w:name w:val="Footer Char"/>
    <w:basedOn w:val="11"/>
    <w:link w:val="15"/>
    <w:qFormat/>
    <w:uiPriority w:val="99"/>
  </w:style>
  <w:style w:type="paragraph" w:styleId="4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2.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numbering.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ABy1oGYuTw487NSyY68x437n1A==">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</go:docsCustomData>
</go:gDocsCustomXmlDataStorage>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20</Pages>
  <Words>4497</Words>
  <Characters>29844</Characters>
  <Lines>697</Lines>
  <Paragraphs>162</Paragraphs>
  <TotalTime>42</TotalTime>
  <ScaleCrop>false</ScaleCrop>
  <LinksUpToDate>false</LinksUpToDate>
  <CharactersWithSpaces>34247</CharactersWithSpaces>
  <Application>WPS Office_12.2.0.22549_F1E327BC-269C-435d-A152-05C5408002CA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2025-11-11T13:53:00Z</dcterms:created>
  <dc:creator>SAI</dc:creator>
  <cp:lastModifiedBy>Np17</cp:lastModifiedBy>
  <dcterms:modified xsi:type="dcterms:W3CDTF">2025-11-12T23:11:22Z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y fmtid="{D5CDD505-2E9C-101B-9397-08002B2CF9AE}" pid="3" name="GrammarlyDocumentId">
    <vt:lpwstr>f7599a88-a77e-42a2-9507-8abec883c372</vt:lpwstr>
  </property>
  <property fmtid="{D5CDD505-2E9C-101B-9397-08002B2CF9AE}" pid="4" name="KSOProductBuildVer">
    <vt:lpwstr>1033-12.2.0.22549</vt:lpwstr>
  </property>
  <property fmtid="{D5CDD505-2E9C-101B-9397-08002B2CF9AE}" pid="5" name="ICV">
    <vt:lpwstr>87A8BB26FA8B490CAAC72789BE0BE15F_12</vt:lpwstr>
  </property>
</Properties>
</file>