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8E923" w14:textId="77777777" w:rsidR="00D62C4D" w:rsidRDefault="00D62C4D" w:rsidP="00D62C4D">
      <w:pPr>
        <w:jc w:val="center"/>
      </w:pPr>
    </w:p>
    <w:p w14:paraId="6014D335" w14:textId="77777777" w:rsidR="00D62C4D" w:rsidRDefault="00D62C4D" w:rsidP="00D62C4D">
      <w:pPr>
        <w:jc w:val="center"/>
      </w:pPr>
    </w:p>
    <w:p w14:paraId="19F77CE3" w14:textId="77777777" w:rsidR="00D62C4D" w:rsidRDefault="00D62C4D" w:rsidP="00D62C4D">
      <w:pPr>
        <w:jc w:val="center"/>
      </w:pPr>
    </w:p>
    <w:p w14:paraId="467EC1C5" w14:textId="77777777" w:rsidR="00D62C4D" w:rsidRDefault="00D62C4D" w:rsidP="00D62C4D">
      <w:pPr>
        <w:jc w:val="center"/>
      </w:pPr>
    </w:p>
    <w:p w14:paraId="07DC69FA" w14:textId="77777777" w:rsidR="00D62C4D" w:rsidRPr="00D62C4D" w:rsidRDefault="00D62C4D" w:rsidP="00D62C4D">
      <w:pPr>
        <w:jc w:val="center"/>
        <w:rPr>
          <w:sz w:val="22"/>
        </w:rPr>
      </w:pPr>
    </w:p>
    <w:p w14:paraId="2DDA5345" w14:textId="77777777" w:rsidR="00D62C4D" w:rsidRPr="00D62C4D" w:rsidRDefault="00D62C4D" w:rsidP="00D62C4D">
      <w:pPr>
        <w:jc w:val="center"/>
        <w:rPr>
          <w:rFonts w:ascii="Bookman Old Style" w:hAnsi="Bookman Old Style"/>
          <w:b/>
          <w:sz w:val="56"/>
        </w:rPr>
      </w:pPr>
      <w:r w:rsidRPr="00D62C4D">
        <w:rPr>
          <w:rFonts w:ascii="Bookman Old Style" w:hAnsi="Bookman Old Style"/>
          <w:b/>
          <w:sz w:val="32"/>
        </w:rPr>
        <w:t>Understanding the Importance of Stakeholder Engagement in the Successful Launch of “StaySmart+”</w:t>
      </w:r>
    </w:p>
    <w:p w14:paraId="2BB9416E" w14:textId="77777777" w:rsidR="00D62C4D" w:rsidRPr="00D62C4D" w:rsidRDefault="00D62C4D" w:rsidP="00D62C4D">
      <w:pPr>
        <w:jc w:val="center"/>
        <w:rPr>
          <w:rFonts w:ascii="Bookman Old Style" w:hAnsi="Bookman Old Style"/>
          <w:b/>
          <w:sz w:val="32"/>
        </w:rPr>
      </w:pPr>
      <w:r w:rsidRPr="00D62C4D">
        <w:rPr>
          <w:rFonts w:ascii="Bookman Old Style" w:hAnsi="Bookman Old Style"/>
          <w:b/>
          <w:sz w:val="32"/>
        </w:rPr>
        <w:t>A Strategic Analysis within Hilton Hotels &amp; Resorts</w:t>
      </w:r>
    </w:p>
    <w:p w14:paraId="7D0FD7BF" w14:textId="0375035F" w:rsidR="00D62C4D" w:rsidRPr="00D62C4D" w:rsidRDefault="00D62C4D" w:rsidP="00D62C4D">
      <w:pPr>
        <w:jc w:val="center"/>
        <w:rPr>
          <w:sz w:val="32"/>
        </w:rPr>
      </w:pPr>
      <w:r w:rsidRPr="00D62C4D">
        <w:rPr>
          <w:rStyle w:val="Strong"/>
          <w:sz w:val="32"/>
        </w:rPr>
        <w:t>Student Name:</w:t>
      </w:r>
      <w:r w:rsidRPr="00D62C4D">
        <w:rPr>
          <w:sz w:val="32"/>
        </w:rPr>
        <w:t xml:space="preserve"> [</w:t>
      </w:r>
      <w:r w:rsidR="005221D3">
        <w:rPr>
          <w:sz w:val="32"/>
        </w:rPr>
        <w:t>Iosif-Daniel chiriac</w:t>
      </w:r>
      <w:r w:rsidRPr="00D62C4D">
        <w:rPr>
          <w:sz w:val="32"/>
        </w:rPr>
        <w:t>]</w:t>
      </w:r>
      <w:r w:rsidRPr="00D62C4D">
        <w:rPr>
          <w:sz w:val="32"/>
        </w:rPr>
        <w:br/>
      </w:r>
      <w:r w:rsidRPr="00D62C4D">
        <w:rPr>
          <w:rStyle w:val="Strong"/>
          <w:sz w:val="32"/>
        </w:rPr>
        <w:t>Student ID:</w:t>
      </w:r>
      <w:r w:rsidRPr="00D62C4D">
        <w:rPr>
          <w:sz w:val="32"/>
        </w:rPr>
        <w:t xml:space="preserve"> [</w:t>
      </w:r>
      <w:r w:rsidR="00AF666D">
        <w:rPr>
          <w:sz w:val="32"/>
        </w:rPr>
        <w:t>2419583</w:t>
      </w:r>
      <w:r w:rsidRPr="00D62C4D">
        <w:rPr>
          <w:sz w:val="32"/>
        </w:rPr>
        <w:t>]</w:t>
      </w:r>
    </w:p>
    <w:p w14:paraId="63D4C2D4" w14:textId="77777777" w:rsidR="00D62C4D" w:rsidRPr="00D62C4D" w:rsidRDefault="00D62C4D" w:rsidP="00D62C4D">
      <w:pPr>
        <w:jc w:val="center"/>
        <w:rPr>
          <w:sz w:val="32"/>
        </w:rPr>
      </w:pPr>
      <w:r w:rsidRPr="00D62C4D">
        <w:rPr>
          <w:rStyle w:val="Strong"/>
          <w:sz w:val="32"/>
        </w:rPr>
        <w:t>Programme:</w:t>
      </w:r>
      <w:r w:rsidRPr="00D62C4D">
        <w:rPr>
          <w:sz w:val="32"/>
        </w:rPr>
        <w:t xml:space="preserve"> BA (Hons) Leadership and Management Skills for the Workplace</w:t>
      </w:r>
    </w:p>
    <w:p w14:paraId="74433660" w14:textId="77777777" w:rsidR="00D62C4D" w:rsidRPr="00D62C4D" w:rsidRDefault="00D62C4D" w:rsidP="00D62C4D">
      <w:pPr>
        <w:jc w:val="center"/>
        <w:rPr>
          <w:sz w:val="32"/>
        </w:rPr>
      </w:pPr>
      <w:r w:rsidRPr="00D62C4D">
        <w:rPr>
          <w:rStyle w:val="Strong"/>
          <w:sz w:val="32"/>
        </w:rPr>
        <w:t>Module Title:</w:t>
      </w:r>
      <w:r w:rsidRPr="00D62C4D">
        <w:rPr>
          <w:sz w:val="32"/>
        </w:rPr>
        <w:t xml:space="preserve"> Understanding and Engaging Stakeholders</w:t>
      </w:r>
    </w:p>
    <w:p w14:paraId="5189E846" w14:textId="77777777" w:rsidR="00D62C4D" w:rsidRPr="00D62C4D" w:rsidRDefault="00D62C4D" w:rsidP="00D62C4D">
      <w:pPr>
        <w:jc w:val="center"/>
        <w:rPr>
          <w:sz w:val="32"/>
        </w:rPr>
      </w:pPr>
      <w:r w:rsidRPr="00D62C4D">
        <w:rPr>
          <w:rStyle w:val="Strong"/>
          <w:sz w:val="32"/>
        </w:rPr>
        <w:t>Module Code:</w:t>
      </w:r>
      <w:r w:rsidRPr="00D62C4D">
        <w:rPr>
          <w:sz w:val="32"/>
        </w:rPr>
        <w:t xml:space="preserve"> LCLM5001</w:t>
      </w:r>
    </w:p>
    <w:p w14:paraId="32A0B8BF" w14:textId="77777777" w:rsidR="00D62C4D" w:rsidRPr="00D62C4D" w:rsidRDefault="00D62C4D" w:rsidP="00D62C4D">
      <w:pPr>
        <w:jc w:val="center"/>
        <w:rPr>
          <w:sz w:val="32"/>
        </w:rPr>
      </w:pPr>
      <w:r w:rsidRPr="00D62C4D">
        <w:rPr>
          <w:rStyle w:val="Strong"/>
          <w:sz w:val="32"/>
        </w:rPr>
        <w:t>Module Leader:</w:t>
      </w:r>
      <w:r w:rsidRPr="00D62C4D">
        <w:rPr>
          <w:sz w:val="32"/>
        </w:rPr>
        <w:t xml:space="preserve"> Nishi Ramsurrun / Eric Osei</w:t>
      </w:r>
    </w:p>
    <w:p w14:paraId="5ADC3FC4" w14:textId="7D77B137" w:rsidR="00D62C4D" w:rsidRPr="00D62C4D" w:rsidRDefault="00D62C4D" w:rsidP="00D62C4D">
      <w:pPr>
        <w:jc w:val="center"/>
        <w:rPr>
          <w:sz w:val="32"/>
        </w:rPr>
      </w:pPr>
      <w:r w:rsidRPr="00D62C4D">
        <w:rPr>
          <w:rStyle w:val="Strong"/>
          <w:sz w:val="32"/>
        </w:rPr>
        <w:t>Word Count:</w:t>
      </w:r>
      <w:r w:rsidRPr="00D62C4D">
        <w:rPr>
          <w:sz w:val="32"/>
        </w:rPr>
        <w:t xml:space="preserve"> </w:t>
      </w:r>
      <w:r w:rsidR="00AF666D">
        <w:rPr>
          <w:sz w:val="32"/>
        </w:rPr>
        <w:t>4000</w:t>
      </w:r>
      <w:r w:rsidRPr="00D62C4D">
        <w:rPr>
          <w:sz w:val="32"/>
        </w:rPr>
        <w:t xml:space="preserve"> Words</w:t>
      </w:r>
    </w:p>
    <w:p w14:paraId="4E872DE0" w14:textId="77777777" w:rsidR="00D62C4D" w:rsidRPr="00D62C4D" w:rsidRDefault="00D62C4D" w:rsidP="00D62C4D">
      <w:pPr>
        <w:jc w:val="center"/>
        <w:rPr>
          <w:sz w:val="32"/>
        </w:rPr>
      </w:pPr>
      <w:r w:rsidRPr="00D62C4D">
        <w:rPr>
          <w:rStyle w:val="Strong"/>
          <w:sz w:val="32"/>
        </w:rPr>
        <w:t>University:</w:t>
      </w:r>
      <w:r w:rsidRPr="00D62C4D">
        <w:rPr>
          <w:sz w:val="32"/>
        </w:rPr>
        <w:t xml:space="preserve"> University of Wales Trinity Saint David</w:t>
      </w:r>
    </w:p>
    <w:p w14:paraId="32F7C4E4" w14:textId="77777777" w:rsidR="00082E2D" w:rsidRPr="00D62C4D" w:rsidRDefault="00082E2D" w:rsidP="00D62C4D">
      <w:pPr>
        <w:jc w:val="center"/>
        <w:rPr>
          <w:sz w:val="28"/>
        </w:rPr>
      </w:pPr>
    </w:p>
    <w:p w14:paraId="6649227D" w14:textId="77777777" w:rsidR="00363793" w:rsidRPr="00D62C4D" w:rsidRDefault="00363793">
      <w:pPr>
        <w:rPr>
          <w:sz w:val="28"/>
        </w:rPr>
      </w:pPr>
    </w:p>
    <w:p w14:paraId="1EBCF013" w14:textId="77777777" w:rsidR="00363793" w:rsidRPr="00D62C4D" w:rsidRDefault="00363793">
      <w:pPr>
        <w:rPr>
          <w:sz w:val="28"/>
        </w:rPr>
      </w:pPr>
    </w:p>
    <w:p w14:paraId="5152DA80" w14:textId="77777777" w:rsidR="00363793" w:rsidRDefault="00363793"/>
    <w:p w14:paraId="729532EB" w14:textId="77777777" w:rsidR="00D62C4D" w:rsidRDefault="00D62C4D"/>
    <w:p w14:paraId="60CF5A14" w14:textId="77777777" w:rsidR="00363793" w:rsidRDefault="00363793"/>
    <w:p w14:paraId="0DBFA316" w14:textId="77777777" w:rsidR="00363793" w:rsidRDefault="00363793"/>
    <w:p w14:paraId="0BE0331A" w14:textId="77777777" w:rsidR="00D62C4D" w:rsidRDefault="00D62C4D"/>
    <w:sdt>
      <w:sdtPr>
        <w:rPr>
          <w:rFonts w:ascii="Times New Roman" w:eastAsiaTheme="minorHAnsi" w:hAnsi="Times New Roman" w:cstheme="minorBidi"/>
          <w:color w:val="auto"/>
          <w:sz w:val="24"/>
          <w:szCs w:val="22"/>
        </w:rPr>
        <w:id w:val="1728494080"/>
        <w:docPartObj>
          <w:docPartGallery w:val="Table of Contents"/>
          <w:docPartUnique/>
        </w:docPartObj>
      </w:sdtPr>
      <w:sdtEndPr>
        <w:rPr>
          <w:b/>
          <w:bCs/>
          <w:noProof/>
        </w:rPr>
      </w:sdtEndPr>
      <w:sdtContent>
        <w:p w14:paraId="33151116" w14:textId="77777777" w:rsidR="00D62C4D" w:rsidRDefault="00D62C4D">
          <w:pPr>
            <w:pStyle w:val="TOCHeading"/>
          </w:pPr>
          <w:r>
            <w:t>Table of Contents</w:t>
          </w:r>
        </w:p>
        <w:p w14:paraId="4A3D4C03" w14:textId="77777777" w:rsidR="007C28EB" w:rsidRDefault="00D62C4D" w:rsidP="007C28EB">
          <w:pPr>
            <w:pStyle w:val="TOC1"/>
            <w:tabs>
              <w:tab w:val="left" w:pos="440"/>
              <w:tab w:val="right" w:leader="dot" w:pos="9350"/>
            </w:tabs>
            <w:spacing w:line="276"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222025050" w:history="1">
            <w:r w:rsidR="007C28EB" w:rsidRPr="00093C3B">
              <w:rPr>
                <w:rStyle w:val="Hyperlink"/>
                <w:noProof/>
              </w:rPr>
              <w:t>1.</w:t>
            </w:r>
            <w:r w:rsidR="007C28EB">
              <w:rPr>
                <w:rFonts w:asciiTheme="minorHAnsi" w:eastAsiaTheme="minorEastAsia" w:hAnsiTheme="minorHAnsi"/>
                <w:noProof/>
                <w:sz w:val="22"/>
              </w:rPr>
              <w:tab/>
            </w:r>
            <w:r w:rsidR="007C28EB" w:rsidRPr="00093C3B">
              <w:rPr>
                <w:rStyle w:val="Hyperlink"/>
                <w:noProof/>
              </w:rPr>
              <w:t>Introduction to the Organisation and Project Context</w:t>
            </w:r>
            <w:r w:rsidR="007C28EB">
              <w:rPr>
                <w:noProof/>
                <w:webHidden/>
              </w:rPr>
              <w:tab/>
            </w:r>
            <w:r w:rsidR="007C28EB">
              <w:rPr>
                <w:noProof/>
                <w:webHidden/>
              </w:rPr>
              <w:fldChar w:fldCharType="begin"/>
            </w:r>
            <w:r w:rsidR="007C28EB">
              <w:rPr>
                <w:noProof/>
                <w:webHidden/>
              </w:rPr>
              <w:instrText xml:space="preserve"> PAGEREF _Toc222025050 \h </w:instrText>
            </w:r>
            <w:r w:rsidR="007C28EB">
              <w:rPr>
                <w:noProof/>
                <w:webHidden/>
              </w:rPr>
            </w:r>
            <w:r w:rsidR="007C28EB">
              <w:rPr>
                <w:noProof/>
                <w:webHidden/>
              </w:rPr>
              <w:fldChar w:fldCharType="separate"/>
            </w:r>
            <w:r w:rsidR="007C28EB">
              <w:rPr>
                <w:noProof/>
                <w:webHidden/>
              </w:rPr>
              <w:t>3</w:t>
            </w:r>
            <w:r w:rsidR="007C28EB">
              <w:rPr>
                <w:noProof/>
                <w:webHidden/>
              </w:rPr>
              <w:fldChar w:fldCharType="end"/>
            </w:r>
          </w:hyperlink>
        </w:p>
        <w:p w14:paraId="2C99F2D2"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51" w:history="1">
            <w:r w:rsidRPr="00093C3B">
              <w:rPr>
                <w:rStyle w:val="Hyperlink"/>
                <w:noProof/>
              </w:rPr>
              <w:t>2.</w:t>
            </w:r>
            <w:r>
              <w:rPr>
                <w:rFonts w:asciiTheme="minorHAnsi" w:eastAsiaTheme="minorEastAsia" w:hAnsiTheme="minorHAnsi"/>
                <w:noProof/>
                <w:sz w:val="22"/>
              </w:rPr>
              <w:tab/>
            </w:r>
            <w:r w:rsidRPr="00093C3B">
              <w:rPr>
                <w:rStyle w:val="Hyperlink"/>
                <w:noProof/>
              </w:rPr>
              <w:t>Situational Analysis – Strategic Readiness Assessment</w:t>
            </w:r>
            <w:r>
              <w:rPr>
                <w:noProof/>
                <w:webHidden/>
              </w:rPr>
              <w:tab/>
            </w:r>
            <w:r>
              <w:rPr>
                <w:noProof/>
                <w:webHidden/>
              </w:rPr>
              <w:fldChar w:fldCharType="begin"/>
            </w:r>
            <w:r>
              <w:rPr>
                <w:noProof/>
                <w:webHidden/>
              </w:rPr>
              <w:instrText xml:space="preserve"> PAGEREF _Toc222025051 \h </w:instrText>
            </w:r>
            <w:r>
              <w:rPr>
                <w:noProof/>
                <w:webHidden/>
              </w:rPr>
            </w:r>
            <w:r>
              <w:rPr>
                <w:noProof/>
                <w:webHidden/>
              </w:rPr>
              <w:fldChar w:fldCharType="separate"/>
            </w:r>
            <w:r>
              <w:rPr>
                <w:noProof/>
                <w:webHidden/>
              </w:rPr>
              <w:t>3</w:t>
            </w:r>
            <w:r>
              <w:rPr>
                <w:noProof/>
                <w:webHidden/>
              </w:rPr>
              <w:fldChar w:fldCharType="end"/>
            </w:r>
          </w:hyperlink>
        </w:p>
        <w:p w14:paraId="29053310"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52" w:history="1">
            <w:r w:rsidRPr="00093C3B">
              <w:rPr>
                <w:rStyle w:val="Hyperlink"/>
                <w:noProof/>
              </w:rPr>
              <w:t>2.1.</w:t>
            </w:r>
            <w:r>
              <w:rPr>
                <w:rFonts w:asciiTheme="minorHAnsi" w:eastAsiaTheme="minorEastAsia" w:hAnsiTheme="minorHAnsi"/>
                <w:noProof/>
                <w:sz w:val="22"/>
              </w:rPr>
              <w:tab/>
            </w:r>
            <w:r w:rsidRPr="00093C3B">
              <w:rPr>
                <w:rStyle w:val="Hyperlink"/>
                <w:noProof/>
              </w:rPr>
              <w:t>SWOT Analysis (Strategic Internal–External Positioning)</w:t>
            </w:r>
            <w:r>
              <w:rPr>
                <w:noProof/>
                <w:webHidden/>
              </w:rPr>
              <w:tab/>
            </w:r>
            <w:r>
              <w:rPr>
                <w:noProof/>
                <w:webHidden/>
              </w:rPr>
              <w:fldChar w:fldCharType="begin"/>
            </w:r>
            <w:r>
              <w:rPr>
                <w:noProof/>
                <w:webHidden/>
              </w:rPr>
              <w:instrText xml:space="preserve"> PAGEREF _Toc222025052 \h </w:instrText>
            </w:r>
            <w:r>
              <w:rPr>
                <w:noProof/>
                <w:webHidden/>
              </w:rPr>
            </w:r>
            <w:r>
              <w:rPr>
                <w:noProof/>
                <w:webHidden/>
              </w:rPr>
              <w:fldChar w:fldCharType="separate"/>
            </w:r>
            <w:r>
              <w:rPr>
                <w:noProof/>
                <w:webHidden/>
              </w:rPr>
              <w:t>3</w:t>
            </w:r>
            <w:r>
              <w:rPr>
                <w:noProof/>
                <w:webHidden/>
              </w:rPr>
              <w:fldChar w:fldCharType="end"/>
            </w:r>
          </w:hyperlink>
        </w:p>
        <w:p w14:paraId="4784BF4F"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53" w:history="1">
            <w:r w:rsidRPr="00093C3B">
              <w:rPr>
                <w:rStyle w:val="Hyperlink"/>
                <w:noProof/>
              </w:rPr>
              <w:t>2.2.</w:t>
            </w:r>
            <w:r>
              <w:rPr>
                <w:rFonts w:asciiTheme="minorHAnsi" w:eastAsiaTheme="minorEastAsia" w:hAnsiTheme="minorHAnsi"/>
                <w:noProof/>
                <w:sz w:val="22"/>
              </w:rPr>
              <w:tab/>
            </w:r>
            <w:r w:rsidRPr="00093C3B">
              <w:rPr>
                <w:rStyle w:val="Hyperlink"/>
                <w:noProof/>
              </w:rPr>
              <w:t>PESTLE Analysis (Macro-Environmental Factors)</w:t>
            </w:r>
            <w:r>
              <w:rPr>
                <w:noProof/>
                <w:webHidden/>
              </w:rPr>
              <w:tab/>
            </w:r>
            <w:r>
              <w:rPr>
                <w:noProof/>
                <w:webHidden/>
              </w:rPr>
              <w:fldChar w:fldCharType="begin"/>
            </w:r>
            <w:r>
              <w:rPr>
                <w:noProof/>
                <w:webHidden/>
              </w:rPr>
              <w:instrText xml:space="preserve"> PAGEREF _Toc222025053 \h </w:instrText>
            </w:r>
            <w:r>
              <w:rPr>
                <w:noProof/>
                <w:webHidden/>
              </w:rPr>
            </w:r>
            <w:r>
              <w:rPr>
                <w:noProof/>
                <w:webHidden/>
              </w:rPr>
              <w:fldChar w:fldCharType="separate"/>
            </w:r>
            <w:r>
              <w:rPr>
                <w:noProof/>
                <w:webHidden/>
              </w:rPr>
              <w:t>5</w:t>
            </w:r>
            <w:r>
              <w:rPr>
                <w:noProof/>
                <w:webHidden/>
              </w:rPr>
              <w:fldChar w:fldCharType="end"/>
            </w:r>
          </w:hyperlink>
        </w:p>
        <w:p w14:paraId="4AAC1303"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54" w:history="1">
            <w:r w:rsidRPr="00093C3B">
              <w:rPr>
                <w:rStyle w:val="Hyperlink"/>
                <w:noProof/>
              </w:rPr>
              <w:t>2.3.</w:t>
            </w:r>
            <w:r>
              <w:rPr>
                <w:rFonts w:asciiTheme="minorHAnsi" w:eastAsiaTheme="minorEastAsia" w:hAnsiTheme="minorHAnsi"/>
                <w:noProof/>
                <w:sz w:val="22"/>
              </w:rPr>
              <w:tab/>
            </w:r>
            <w:r w:rsidRPr="00093C3B">
              <w:rPr>
                <w:rStyle w:val="Hyperlink"/>
                <w:noProof/>
              </w:rPr>
              <w:t>SMART Objectives (Project Accountability Framework)</w:t>
            </w:r>
            <w:r>
              <w:rPr>
                <w:noProof/>
                <w:webHidden/>
              </w:rPr>
              <w:tab/>
            </w:r>
            <w:r>
              <w:rPr>
                <w:noProof/>
                <w:webHidden/>
              </w:rPr>
              <w:fldChar w:fldCharType="begin"/>
            </w:r>
            <w:r>
              <w:rPr>
                <w:noProof/>
                <w:webHidden/>
              </w:rPr>
              <w:instrText xml:space="preserve"> PAGEREF _Toc222025054 \h </w:instrText>
            </w:r>
            <w:r>
              <w:rPr>
                <w:noProof/>
                <w:webHidden/>
              </w:rPr>
            </w:r>
            <w:r>
              <w:rPr>
                <w:noProof/>
                <w:webHidden/>
              </w:rPr>
              <w:fldChar w:fldCharType="separate"/>
            </w:r>
            <w:r>
              <w:rPr>
                <w:noProof/>
                <w:webHidden/>
              </w:rPr>
              <w:t>5</w:t>
            </w:r>
            <w:r>
              <w:rPr>
                <w:noProof/>
                <w:webHidden/>
              </w:rPr>
              <w:fldChar w:fldCharType="end"/>
            </w:r>
          </w:hyperlink>
        </w:p>
        <w:p w14:paraId="466247B6"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55" w:history="1">
            <w:r w:rsidRPr="00093C3B">
              <w:rPr>
                <w:rStyle w:val="Hyperlink"/>
                <w:noProof/>
              </w:rPr>
              <w:t>3.</w:t>
            </w:r>
            <w:r>
              <w:rPr>
                <w:rFonts w:asciiTheme="minorHAnsi" w:eastAsiaTheme="minorEastAsia" w:hAnsiTheme="minorHAnsi"/>
                <w:noProof/>
                <w:sz w:val="22"/>
              </w:rPr>
              <w:tab/>
            </w:r>
            <w:r w:rsidRPr="00093C3B">
              <w:rPr>
                <w:rStyle w:val="Hyperlink"/>
                <w:noProof/>
              </w:rPr>
              <w:t>Identification and Categorization of Key Stakeholders</w:t>
            </w:r>
            <w:r>
              <w:rPr>
                <w:noProof/>
                <w:webHidden/>
              </w:rPr>
              <w:tab/>
            </w:r>
            <w:r>
              <w:rPr>
                <w:noProof/>
                <w:webHidden/>
              </w:rPr>
              <w:fldChar w:fldCharType="begin"/>
            </w:r>
            <w:r>
              <w:rPr>
                <w:noProof/>
                <w:webHidden/>
              </w:rPr>
              <w:instrText xml:space="preserve"> PAGEREF _Toc222025055 \h </w:instrText>
            </w:r>
            <w:r>
              <w:rPr>
                <w:noProof/>
                <w:webHidden/>
              </w:rPr>
            </w:r>
            <w:r>
              <w:rPr>
                <w:noProof/>
                <w:webHidden/>
              </w:rPr>
              <w:fldChar w:fldCharType="separate"/>
            </w:r>
            <w:r>
              <w:rPr>
                <w:noProof/>
                <w:webHidden/>
              </w:rPr>
              <w:t>5</w:t>
            </w:r>
            <w:r>
              <w:rPr>
                <w:noProof/>
                <w:webHidden/>
              </w:rPr>
              <w:fldChar w:fldCharType="end"/>
            </w:r>
          </w:hyperlink>
        </w:p>
        <w:p w14:paraId="4365E0FE"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56" w:history="1">
            <w:r w:rsidRPr="00093C3B">
              <w:rPr>
                <w:rStyle w:val="Hyperlink"/>
                <w:noProof/>
              </w:rPr>
              <w:t>3.1.</w:t>
            </w:r>
            <w:r>
              <w:rPr>
                <w:rFonts w:asciiTheme="minorHAnsi" w:eastAsiaTheme="minorEastAsia" w:hAnsiTheme="minorHAnsi"/>
                <w:noProof/>
                <w:sz w:val="22"/>
              </w:rPr>
              <w:tab/>
            </w:r>
            <w:r w:rsidRPr="00093C3B">
              <w:rPr>
                <w:rStyle w:val="Hyperlink"/>
                <w:noProof/>
              </w:rPr>
              <w:t>Internal Stakeholders</w:t>
            </w:r>
            <w:r>
              <w:rPr>
                <w:noProof/>
                <w:webHidden/>
              </w:rPr>
              <w:tab/>
            </w:r>
            <w:r>
              <w:rPr>
                <w:noProof/>
                <w:webHidden/>
              </w:rPr>
              <w:fldChar w:fldCharType="begin"/>
            </w:r>
            <w:r>
              <w:rPr>
                <w:noProof/>
                <w:webHidden/>
              </w:rPr>
              <w:instrText xml:space="preserve"> PAGEREF _Toc222025056 \h </w:instrText>
            </w:r>
            <w:r>
              <w:rPr>
                <w:noProof/>
                <w:webHidden/>
              </w:rPr>
            </w:r>
            <w:r>
              <w:rPr>
                <w:noProof/>
                <w:webHidden/>
              </w:rPr>
              <w:fldChar w:fldCharType="separate"/>
            </w:r>
            <w:r>
              <w:rPr>
                <w:noProof/>
                <w:webHidden/>
              </w:rPr>
              <w:t>5</w:t>
            </w:r>
            <w:r>
              <w:rPr>
                <w:noProof/>
                <w:webHidden/>
              </w:rPr>
              <w:fldChar w:fldCharType="end"/>
            </w:r>
          </w:hyperlink>
        </w:p>
        <w:p w14:paraId="36753BE1"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57" w:history="1">
            <w:r w:rsidRPr="00093C3B">
              <w:rPr>
                <w:rStyle w:val="Hyperlink"/>
                <w:noProof/>
              </w:rPr>
              <w:t>3.2.</w:t>
            </w:r>
            <w:r>
              <w:rPr>
                <w:rFonts w:asciiTheme="minorHAnsi" w:eastAsiaTheme="minorEastAsia" w:hAnsiTheme="minorHAnsi"/>
                <w:noProof/>
                <w:sz w:val="22"/>
              </w:rPr>
              <w:tab/>
            </w:r>
            <w:r w:rsidRPr="00093C3B">
              <w:rPr>
                <w:rStyle w:val="Hyperlink"/>
                <w:noProof/>
              </w:rPr>
              <w:t>External Stakeholders</w:t>
            </w:r>
            <w:r>
              <w:rPr>
                <w:noProof/>
                <w:webHidden/>
              </w:rPr>
              <w:tab/>
            </w:r>
            <w:r>
              <w:rPr>
                <w:noProof/>
                <w:webHidden/>
              </w:rPr>
              <w:fldChar w:fldCharType="begin"/>
            </w:r>
            <w:r>
              <w:rPr>
                <w:noProof/>
                <w:webHidden/>
              </w:rPr>
              <w:instrText xml:space="preserve"> PAGEREF _Toc222025057 \h </w:instrText>
            </w:r>
            <w:r>
              <w:rPr>
                <w:noProof/>
                <w:webHidden/>
              </w:rPr>
            </w:r>
            <w:r>
              <w:rPr>
                <w:noProof/>
                <w:webHidden/>
              </w:rPr>
              <w:fldChar w:fldCharType="separate"/>
            </w:r>
            <w:r>
              <w:rPr>
                <w:noProof/>
                <w:webHidden/>
              </w:rPr>
              <w:t>6</w:t>
            </w:r>
            <w:r>
              <w:rPr>
                <w:noProof/>
                <w:webHidden/>
              </w:rPr>
              <w:fldChar w:fldCharType="end"/>
            </w:r>
          </w:hyperlink>
        </w:p>
        <w:p w14:paraId="4A86E4C7"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58" w:history="1">
            <w:r w:rsidRPr="00093C3B">
              <w:rPr>
                <w:rStyle w:val="Hyperlink"/>
                <w:noProof/>
              </w:rPr>
              <w:t>3.3.</w:t>
            </w:r>
            <w:r>
              <w:rPr>
                <w:rFonts w:asciiTheme="minorHAnsi" w:eastAsiaTheme="minorEastAsia" w:hAnsiTheme="minorHAnsi"/>
                <w:noProof/>
                <w:sz w:val="22"/>
              </w:rPr>
              <w:tab/>
            </w:r>
            <w:r w:rsidRPr="00093C3B">
              <w:rPr>
                <w:rStyle w:val="Hyperlink"/>
                <w:noProof/>
              </w:rPr>
              <w:t>Stakeholder Categorization and Strategic Implications</w:t>
            </w:r>
            <w:r>
              <w:rPr>
                <w:noProof/>
                <w:webHidden/>
              </w:rPr>
              <w:tab/>
            </w:r>
            <w:r>
              <w:rPr>
                <w:noProof/>
                <w:webHidden/>
              </w:rPr>
              <w:fldChar w:fldCharType="begin"/>
            </w:r>
            <w:r>
              <w:rPr>
                <w:noProof/>
                <w:webHidden/>
              </w:rPr>
              <w:instrText xml:space="preserve"> PAGEREF _Toc222025058 \h </w:instrText>
            </w:r>
            <w:r>
              <w:rPr>
                <w:noProof/>
                <w:webHidden/>
              </w:rPr>
            </w:r>
            <w:r>
              <w:rPr>
                <w:noProof/>
                <w:webHidden/>
              </w:rPr>
              <w:fldChar w:fldCharType="separate"/>
            </w:r>
            <w:r>
              <w:rPr>
                <w:noProof/>
                <w:webHidden/>
              </w:rPr>
              <w:t>7</w:t>
            </w:r>
            <w:r>
              <w:rPr>
                <w:noProof/>
                <w:webHidden/>
              </w:rPr>
              <w:fldChar w:fldCharType="end"/>
            </w:r>
          </w:hyperlink>
        </w:p>
        <w:p w14:paraId="34038F6B"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59" w:history="1">
            <w:r w:rsidRPr="00093C3B">
              <w:rPr>
                <w:rStyle w:val="Hyperlink"/>
                <w:noProof/>
              </w:rPr>
              <w:t>4.</w:t>
            </w:r>
            <w:r>
              <w:rPr>
                <w:rFonts w:asciiTheme="minorHAnsi" w:eastAsiaTheme="minorEastAsia" w:hAnsiTheme="minorHAnsi"/>
                <w:noProof/>
                <w:sz w:val="22"/>
              </w:rPr>
              <w:tab/>
            </w:r>
            <w:r w:rsidRPr="00093C3B">
              <w:rPr>
                <w:rStyle w:val="Hyperlink"/>
                <w:noProof/>
              </w:rPr>
              <w:t>Roles, Responsibilities, Benefits and Challenges</w:t>
            </w:r>
            <w:r>
              <w:rPr>
                <w:noProof/>
                <w:webHidden/>
              </w:rPr>
              <w:tab/>
            </w:r>
            <w:r>
              <w:rPr>
                <w:noProof/>
                <w:webHidden/>
              </w:rPr>
              <w:fldChar w:fldCharType="begin"/>
            </w:r>
            <w:r>
              <w:rPr>
                <w:noProof/>
                <w:webHidden/>
              </w:rPr>
              <w:instrText xml:space="preserve"> PAGEREF _Toc222025059 \h </w:instrText>
            </w:r>
            <w:r>
              <w:rPr>
                <w:noProof/>
                <w:webHidden/>
              </w:rPr>
            </w:r>
            <w:r>
              <w:rPr>
                <w:noProof/>
                <w:webHidden/>
              </w:rPr>
              <w:fldChar w:fldCharType="separate"/>
            </w:r>
            <w:r>
              <w:rPr>
                <w:noProof/>
                <w:webHidden/>
              </w:rPr>
              <w:t>7</w:t>
            </w:r>
            <w:r>
              <w:rPr>
                <w:noProof/>
                <w:webHidden/>
              </w:rPr>
              <w:fldChar w:fldCharType="end"/>
            </w:r>
          </w:hyperlink>
        </w:p>
        <w:p w14:paraId="07A1CFA5"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0" w:history="1">
            <w:r w:rsidRPr="00093C3B">
              <w:rPr>
                <w:rStyle w:val="Hyperlink"/>
                <w:noProof/>
              </w:rPr>
              <w:t>4.1.</w:t>
            </w:r>
            <w:r>
              <w:rPr>
                <w:rFonts w:asciiTheme="minorHAnsi" w:eastAsiaTheme="minorEastAsia" w:hAnsiTheme="minorHAnsi"/>
                <w:noProof/>
                <w:sz w:val="22"/>
              </w:rPr>
              <w:tab/>
            </w:r>
            <w:r w:rsidRPr="00093C3B">
              <w:rPr>
                <w:rStyle w:val="Hyperlink"/>
                <w:noProof/>
              </w:rPr>
              <w:t>Strategic Implications and Relational Tensions</w:t>
            </w:r>
            <w:r>
              <w:rPr>
                <w:noProof/>
                <w:webHidden/>
              </w:rPr>
              <w:tab/>
            </w:r>
            <w:r>
              <w:rPr>
                <w:noProof/>
                <w:webHidden/>
              </w:rPr>
              <w:fldChar w:fldCharType="begin"/>
            </w:r>
            <w:r>
              <w:rPr>
                <w:noProof/>
                <w:webHidden/>
              </w:rPr>
              <w:instrText xml:space="preserve"> PAGEREF _Toc222025060 \h </w:instrText>
            </w:r>
            <w:r>
              <w:rPr>
                <w:noProof/>
                <w:webHidden/>
              </w:rPr>
            </w:r>
            <w:r>
              <w:rPr>
                <w:noProof/>
                <w:webHidden/>
              </w:rPr>
              <w:fldChar w:fldCharType="separate"/>
            </w:r>
            <w:r>
              <w:rPr>
                <w:noProof/>
                <w:webHidden/>
              </w:rPr>
              <w:t>9</w:t>
            </w:r>
            <w:r>
              <w:rPr>
                <w:noProof/>
                <w:webHidden/>
              </w:rPr>
              <w:fldChar w:fldCharType="end"/>
            </w:r>
          </w:hyperlink>
        </w:p>
        <w:p w14:paraId="65A7A343"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61" w:history="1">
            <w:r w:rsidRPr="00093C3B">
              <w:rPr>
                <w:rStyle w:val="Hyperlink"/>
                <w:noProof/>
              </w:rPr>
              <w:t>5.</w:t>
            </w:r>
            <w:r>
              <w:rPr>
                <w:rFonts w:asciiTheme="minorHAnsi" w:eastAsiaTheme="minorEastAsia" w:hAnsiTheme="minorHAnsi"/>
                <w:noProof/>
                <w:sz w:val="22"/>
              </w:rPr>
              <w:tab/>
            </w:r>
            <w:r w:rsidRPr="00093C3B">
              <w:rPr>
                <w:rStyle w:val="Hyperlink"/>
                <w:noProof/>
              </w:rPr>
              <w:t>Engagement Frameworks and Application</w:t>
            </w:r>
            <w:r>
              <w:rPr>
                <w:noProof/>
                <w:webHidden/>
              </w:rPr>
              <w:tab/>
            </w:r>
            <w:r>
              <w:rPr>
                <w:noProof/>
                <w:webHidden/>
              </w:rPr>
              <w:fldChar w:fldCharType="begin"/>
            </w:r>
            <w:r>
              <w:rPr>
                <w:noProof/>
                <w:webHidden/>
              </w:rPr>
              <w:instrText xml:space="preserve"> PAGEREF _Toc222025061 \h </w:instrText>
            </w:r>
            <w:r>
              <w:rPr>
                <w:noProof/>
                <w:webHidden/>
              </w:rPr>
            </w:r>
            <w:r>
              <w:rPr>
                <w:noProof/>
                <w:webHidden/>
              </w:rPr>
              <w:fldChar w:fldCharType="separate"/>
            </w:r>
            <w:r>
              <w:rPr>
                <w:noProof/>
                <w:webHidden/>
              </w:rPr>
              <w:t>9</w:t>
            </w:r>
            <w:r>
              <w:rPr>
                <w:noProof/>
                <w:webHidden/>
              </w:rPr>
              <w:fldChar w:fldCharType="end"/>
            </w:r>
          </w:hyperlink>
        </w:p>
        <w:p w14:paraId="6B2F35A0"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2" w:history="1">
            <w:r w:rsidRPr="00093C3B">
              <w:rPr>
                <w:rStyle w:val="Hyperlink"/>
                <w:noProof/>
              </w:rPr>
              <w:t>5.1.</w:t>
            </w:r>
            <w:r>
              <w:rPr>
                <w:rFonts w:asciiTheme="minorHAnsi" w:eastAsiaTheme="minorEastAsia" w:hAnsiTheme="minorHAnsi"/>
                <w:noProof/>
                <w:sz w:val="22"/>
              </w:rPr>
              <w:tab/>
            </w:r>
            <w:r w:rsidRPr="00093C3B">
              <w:rPr>
                <w:rStyle w:val="Hyperlink"/>
                <w:noProof/>
              </w:rPr>
              <w:t>Stakeholder Map</w:t>
            </w:r>
            <w:r>
              <w:rPr>
                <w:noProof/>
                <w:webHidden/>
              </w:rPr>
              <w:tab/>
            </w:r>
            <w:r>
              <w:rPr>
                <w:noProof/>
                <w:webHidden/>
              </w:rPr>
              <w:fldChar w:fldCharType="begin"/>
            </w:r>
            <w:r>
              <w:rPr>
                <w:noProof/>
                <w:webHidden/>
              </w:rPr>
              <w:instrText xml:space="preserve"> PAGEREF _Toc222025062 \h </w:instrText>
            </w:r>
            <w:r>
              <w:rPr>
                <w:noProof/>
                <w:webHidden/>
              </w:rPr>
            </w:r>
            <w:r>
              <w:rPr>
                <w:noProof/>
                <w:webHidden/>
              </w:rPr>
              <w:fldChar w:fldCharType="separate"/>
            </w:r>
            <w:r>
              <w:rPr>
                <w:noProof/>
                <w:webHidden/>
              </w:rPr>
              <w:t>9</w:t>
            </w:r>
            <w:r>
              <w:rPr>
                <w:noProof/>
                <w:webHidden/>
              </w:rPr>
              <w:fldChar w:fldCharType="end"/>
            </w:r>
          </w:hyperlink>
        </w:p>
        <w:p w14:paraId="0D2937BC"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3" w:history="1">
            <w:r w:rsidRPr="00093C3B">
              <w:rPr>
                <w:rStyle w:val="Hyperlink"/>
                <w:noProof/>
              </w:rPr>
              <w:t>5.2.</w:t>
            </w:r>
            <w:r>
              <w:rPr>
                <w:rFonts w:asciiTheme="minorHAnsi" w:eastAsiaTheme="minorEastAsia" w:hAnsiTheme="minorHAnsi"/>
                <w:noProof/>
                <w:sz w:val="22"/>
              </w:rPr>
              <w:tab/>
            </w:r>
            <w:r w:rsidRPr="00093C3B">
              <w:rPr>
                <w:rStyle w:val="Hyperlink"/>
                <w:noProof/>
              </w:rPr>
              <w:t>RACI Matrix</w:t>
            </w:r>
            <w:r>
              <w:rPr>
                <w:noProof/>
                <w:webHidden/>
              </w:rPr>
              <w:tab/>
            </w:r>
            <w:r>
              <w:rPr>
                <w:noProof/>
                <w:webHidden/>
              </w:rPr>
              <w:fldChar w:fldCharType="begin"/>
            </w:r>
            <w:r>
              <w:rPr>
                <w:noProof/>
                <w:webHidden/>
              </w:rPr>
              <w:instrText xml:space="preserve"> PAGEREF _Toc222025063 \h </w:instrText>
            </w:r>
            <w:r>
              <w:rPr>
                <w:noProof/>
                <w:webHidden/>
              </w:rPr>
            </w:r>
            <w:r>
              <w:rPr>
                <w:noProof/>
                <w:webHidden/>
              </w:rPr>
              <w:fldChar w:fldCharType="separate"/>
            </w:r>
            <w:r>
              <w:rPr>
                <w:noProof/>
                <w:webHidden/>
              </w:rPr>
              <w:t>9</w:t>
            </w:r>
            <w:r>
              <w:rPr>
                <w:noProof/>
                <w:webHidden/>
              </w:rPr>
              <w:fldChar w:fldCharType="end"/>
            </w:r>
          </w:hyperlink>
        </w:p>
        <w:p w14:paraId="014BDD79"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4" w:history="1">
            <w:r w:rsidRPr="00093C3B">
              <w:rPr>
                <w:rStyle w:val="Hyperlink"/>
                <w:noProof/>
              </w:rPr>
              <w:t>5.3.</w:t>
            </w:r>
            <w:r>
              <w:rPr>
                <w:rFonts w:asciiTheme="minorHAnsi" w:eastAsiaTheme="minorEastAsia" w:hAnsiTheme="minorHAnsi"/>
                <w:noProof/>
                <w:sz w:val="22"/>
              </w:rPr>
              <w:tab/>
            </w:r>
            <w:r w:rsidRPr="00093C3B">
              <w:rPr>
                <w:rStyle w:val="Hyperlink"/>
                <w:noProof/>
              </w:rPr>
              <w:t>Communication Plan</w:t>
            </w:r>
            <w:r>
              <w:rPr>
                <w:noProof/>
                <w:webHidden/>
              </w:rPr>
              <w:tab/>
            </w:r>
            <w:r>
              <w:rPr>
                <w:noProof/>
                <w:webHidden/>
              </w:rPr>
              <w:fldChar w:fldCharType="begin"/>
            </w:r>
            <w:r>
              <w:rPr>
                <w:noProof/>
                <w:webHidden/>
              </w:rPr>
              <w:instrText xml:space="preserve"> PAGEREF _Toc222025064 \h </w:instrText>
            </w:r>
            <w:r>
              <w:rPr>
                <w:noProof/>
                <w:webHidden/>
              </w:rPr>
            </w:r>
            <w:r>
              <w:rPr>
                <w:noProof/>
                <w:webHidden/>
              </w:rPr>
              <w:fldChar w:fldCharType="separate"/>
            </w:r>
            <w:r>
              <w:rPr>
                <w:noProof/>
                <w:webHidden/>
              </w:rPr>
              <w:t>10</w:t>
            </w:r>
            <w:r>
              <w:rPr>
                <w:noProof/>
                <w:webHidden/>
              </w:rPr>
              <w:fldChar w:fldCharType="end"/>
            </w:r>
          </w:hyperlink>
        </w:p>
        <w:p w14:paraId="567C2AF2"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5" w:history="1">
            <w:r w:rsidRPr="00093C3B">
              <w:rPr>
                <w:rStyle w:val="Hyperlink"/>
                <w:noProof/>
              </w:rPr>
              <w:t>5.4.</w:t>
            </w:r>
            <w:r>
              <w:rPr>
                <w:rFonts w:asciiTheme="minorHAnsi" w:eastAsiaTheme="minorEastAsia" w:hAnsiTheme="minorHAnsi"/>
                <w:noProof/>
                <w:sz w:val="22"/>
              </w:rPr>
              <w:tab/>
            </w:r>
            <w:r w:rsidRPr="00093C3B">
              <w:rPr>
                <w:rStyle w:val="Hyperlink"/>
                <w:noProof/>
              </w:rPr>
              <w:t>Engagement Plan</w:t>
            </w:r>
            <w:r>
              <w:rPr>
                <w:noProof/>
                <w:webHidden/>
              </w:rPr>
              <w:tab/>
            </w:r>
            <w:r>
              <w:rPr>
                <w:noProof/>
                <w:webHidden/>
              </w:rPr>
              <w:fldChar w:fldCharType="begin"/>
            </w:r>
            <w:r>
              <w:rPr>
                <w:noProof/>
                <w:webHidden/>
              </w:rPr>
              <w:instrText xml:space="preserve"> PAGEREF _Toc222025065 \h </w:instrText>
            </w:r>
            <w:r>
              <w:rPr>
                <w:noProof/>
                <w:webHidden/>
              </w:rPr>
            </w:r>
            <w:r>
              <w:rPr>
                <w:noProof/>
                <w:webHidden/>
              </w:rPr>
              <w:fldChar w:fldCharType="separate"/>
            </w:r>
            <w:r>
              <w:rPr>
                <w:noProof/>
                <w:webHidden/>
              </w:rPr>
              <w:t>10</w:t>
            </w:r>
            <w:r>
              <w:rPr>
                <w:noProof/>
                <w:webHidden/>
              </w:rPr>
              <w:fldChar w:fldCharType="end"/>
            </w:r>
          </w:hyperlink>
        </w:p>
        <w:p w14:paraId="74886466"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66" w:history="1">
            <w:r w:rsidRPr="00093C3B">
              <w:rPr>
                <w:rStyle w:val="Hyperlink"/>
                <w:noProof/>
              </w:rPr>
              <w:t>6.</w:t>
            </w:r>
            <w:r>
              <w:rPr>
                <w:rFonts w:asciiTheme="minorHAnsi" w:eastAsiaTheme="minorEastAsia" w:hAnsiTheme="minorHAnsi"/>
                <w:noProof/>
                <w:sz w:val="22"/>
              </w:rPr>
              <w:tab/>
            </w:r>
            <w:r w:rsidRPr="00093C3B">
              <w:rPr>
                <w:rStyle w:val="Hyperlink"/>
                <w:noProof/>
              </w:rPr>
              <w:t>Critical Stakeholder Engagement Process – The 4C’s Model</w:t>
            </w:r>
            <w:r>
              <w:rPr>
                <w:noProof/>
                <w:webHidden/>
              </w:rPr>
              <w:tab/>
            </w:r>
            <w:r>
              <w:rPr>
                <w:noProof/>
                <w:webHidden/>
              </w:rPr>
              <w:fldChar w:fldCharType="begin"/>
            </w:r>
            <w:r>
              <w:rPr>
                <w:noProof/>
                <w:webHidden/>
              </w:rPr>
              <w:instrText xml:space="preserve"> PAGEREF _Toc222025066 \h </w:instrText>
            </w:r>
            <w:r>
              <w:rPr>
                <w:noProof/>
                <w:webHidden/>
              </w:rPr>
            </w:r>
            <w:r>
              <w:rPr>
                <w:noProof/>
                <w:webHidden/>
              </w:rPr>
              <w:fldChar w:fldCharType="separate"/>
            </w:r>
            <w:r>
              <w:rPr>
                <w:noProof/>
                <w:webHidden/>
              </w:rPr>
              <w:t>10</w:t>
            </w:r>
            <w:r>
              <w:rPr>
                <w:noProof/>
                <w:webHidden/>
              </w:rPr>
              <w:fldChar w:fldCharType="end"/>
            </w:r>
          </w:hyperlink>
        </w:p>
        <w:p w14:paraId="2F80843B"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7" w:history="1">
            <w:r w:rsidRPr="00093C3B">
              <w:rPr>
                <w:rStyle w:val="Hyperlink"/>
                <w:noProof/>
              </w:rPr>
              <w:t>6.1.</w:t>
            </w:r>
            <w:r>
              <w:rPr>
                <w:rFonts w:asciiTheme="minorHAnsi" w:eastAsiaTheme="minorEastAsia" w:hAnsiTheme="minorHAnsi"/>
                <w:noProof/>
                <w:sz w:val="22"/>
              </w:rPr>
              <w:tab/>
            </w:r>
            <w:r w:rsidRPr="00093C3B">
              <w:rPr>
                <w:rStyle w:val="Hyperlink"/>
                <w:noProof/>
              </w:rPr>
              <w:t>Communication</w:t>
            </w:r>
            <w:r>
              <w:rPr>
                <w:noProof/>
                <w:webHidden/>
              </w:rPr>
              <w:tab/>
            </w:r>
            <w:r>
              <w:rPr>
                <w:noProof/>
                <w:webHidden/>
              </w:rPr>
              <w:fldChar w:fldCharType="begin"/>
            </w:r>
            <w:r>
              <w:rPr>
                <w:noProof/>
                <w:webHidden/>
              </w:rPr>
              <w:instrText xml:space="preserve"> PAGEREF _Toc222025067 \h </w:instrText>
            </w:r>
            <w:r>
              <w:rPr>
                <w:noProof/>
                <w:webHidden/>
              </w:rPr>
            </w:r>
            <w:r>
              <w:rPr>
                <w:noProof/>
                <w:webHidden/>
              </w:rPr>
              <w:fldChar w:fldCharType="separate"/>
            </w:r>
            <w:r>
              <w:rPr>
                <w:noProof/>
                <w:webHidden/>
              </w:rPr>
              <w:t>10</w:t>
            </w:r>
            <w:r>
              <w:rPr>
                <w:noProof/>
                <w:webHidden/>
              </w:rPr>
              <w:fldChar w:fldCharType="end"/>
            </w:r>
          </w:hyperlink>
        </w:p>
        <w:p w14:paraId="705DA9EA"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8" w:history="1">
            <w:r w:rsidRPr="00093C3B">
              <w:rPr>
                <w:rStyle w:val="Hyperlink"/>
                <w:noProof/>
              </w:rPr>
              <w:t>6.2.</w:t>
            </w:r>
            <w:r>
              <w:rPr>
                <w:rFonts w:asciiTheme="minorHAnsi" w:eastAsiaTheme="minorEastAsia" w:hAnsiTheme="minorHAnsi"/>
                <w:noProof/>
                <w:sz w:val="22"/>
              </w:rPr>
              <w:tab/>
            </w:r>
            <w:r w:rsidRPr="00093C3B">
              <w:rPr>
                <w:rStyle w:val="Hyperlink"/>
                <w:noProof/>
              </w:rPr>
              <w:t>Collaboration</w:t>
            </w:r>
            <w:r>
              <w:rPr>
                <w:noProof/>
                <w:webHidden/>
              </w:rPr>
              <w:tab/>
            </w:r>
            <w:r>
              <w:rPr>
                <w:noProof/>
                <w:webHidden/>
              </w:rPr>
              <w:fldChar w:fldCharType="begin"/>
            </w:r>
            <w:r>
              <w:rPr>
                <w:noProof/>
                <w:webHidden/>
              </w:rPr>
              <w:instrText xml:space="preserve"> PAGEREF _Toc222025068 \h </w:instrText>
            </w:r>
            <w:r>
              <w:rPr>
                <w:noProof/>
                <w:webHidden/>
              </w:rPr>
            </w:r>
            <w:r>
              <w:rPr>
                <w:noProof/>
                <w:webHidden/>
              </w:rPr>
              <w:fldChar w:fldCharType="separate"/>
            </w:r>
            <w:r>
              <w:rPr>
                <w:noProof/>
                <w:webHidden/>
              </w:rPr>
              <w:t>11</w:t>
            </w:r>
            <w:r>
              <w:rPr>
                <w:noProof/>
                <w:webHidden/>
              </w:rPr>
              <w:fldChar w:fldCharType="end"/>
            </w:r>
          </w:hyperlink>
        </w:p>
        <w:p w14:paraId="544C7815"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69" w:history="1">
            <w:r w:rsidRPr="00093C3B">
              <w:rPr>
                <w:rStyle w:val="Hyperlink"/>
                <w:noProof/>
              </w:rPr>
              <w:t>6.3.</w:t>
            </w:r>
            <w:r>
              <w:rPr>
                <w:rFonts w:asciiTheme="minorHAnsi" w:eastAsiaTheme="minorEastAsia" w:hAnsiTheme="minorHAnsi"/>
                <w:noProof/>
                <w:sz w:val="22"/>
              </w:rPr>
              <w:tab/>
            </w:r>
            <w:r w:rsidRPr="00093C3B">
              <w:rPr>
                <w:rStyle w:val="Hyperlink"/>
                <w:noProof/>
              </w:rPr>
              <w:t>Consultation</w:t>
            </w:r>
            <w:r>
              <w:rPr>
                <w:noProof/>
                <w:webHidden/>
              </w:rPr>
              <w:tab/>
            </w:r>
            <w:r>
              <w:rPr>
                <w:noProof/>
                <w:webHidden/>
              </w:rPr>
              <w:fldChar w:fldCharType="begin"/>
            </w:r>
            <w:r>
              <w:rPr>
                <w:noProof/>
                <w:webHidden/>
              </w:rPr>
              <w:instrText xml:space="preserve"> PAGEREF _Toc222025069 \h </w:instrText>
            </w:r>
            <w:r>
              <w:rPr>
                <w:noProof/>
                <w:webHidden/>
              </w:rPr>
            </w:r>
            <w:r>
              <w:rPr>
                <w:noProof/>
                <w:webHidden/>
              </w:rPr>
              <w:fldChar w:fldCharType="separate"/>
            </w:r>
            <w:r>
              <w:rPr>
                <w:noProof/>
                <w:webHidden/>
              </w:rPr>
              <w:t>11</w:t>
            </w:r>
            <w:r>
              <w:rPr>
                <w:noProof/>
                <w:webHidden/>
              </w:rPr>
              <w:fldChar w:fldCharType="end"/>
            </w:r>
          </w:hyperlink>
        </w:p>
        <w:p w14:paraId="14A7A40F"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70" w:history="1">
            <w:r w:rsidRPr="00093C3B">
              <w:rPr>
                <w:rStyle w:val="Hyperlink"/>
                <w:noProof/>
              </w:rPr>
              <w:t>6.4.</w:t>
            </w:r>
            <w:r>
              <w:rPr>
                <w:rFonts w:asciiTheme="minorHAnsi" w:eastAsiaTheme="minorEastAsia" w:hAnsiTheme="minorHAnsi"/>
                <w:noProof/>
                <w:sz w:val="22"/>
              </w:rPr>
              <w:tab/>
            </w:r>
            <w:r w:rsidRPr="00093C3B">
              <w:rPr>
                <w:rStyle w:val="Hyperlink"/>
                <w:noProof/>
              </w:rPr>
              <w:t>Commitment</w:t>
            </w:r>
            <w:r>
              <w:rPr>
                <w:noProof/>
                <w:webHidden/>
              </w:rPr>
              <w:tab/>
            </w:r>
            <w:r>
              <w:rPr>
                <w:noProof/>
                <w:webHidden/>
              </w:rPr>
              <w:fldChar w:fldCharType="begin"/>
            </w:r>
            <w:r>
              <w:rPr>
                <w:noProof/>
                <w:webHidden/>
              </w:rPr>
              <w:instrText xml:space="preserve"> PAGEREF _Toc222025070 \h </w:instrText>
            </w:r>
            <w:r>
              <w:rPr>
                <w:noProof/>
                <w:webHidden/>
              </w:rPr>
            </w:r>
            <w:r>
              <w:rPr>
                <w:noProof/>
                <w:webHidden/>
              </w:rPr>
              <w:fldChar w:fldCharType="separate"/>
            </w:r>
            <w:r>
              <w:rPr>
                <w:noProof/>
                <w:webHidden/>
              </w:rPr>
              <w:t>11</w:t>
            </w:r>
            <w:r>
              <w:rPr>
                <w:noProof/>
                <w:webHidden/>
              </w:rPr>
              <w:fldChar w:fldCharType="end"/>
            </w:r>
          </w:hyperlink>
        </w:p>
        <w:p w14:paraId="7E4D9289"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71" w:history="1">
            <w:r w:rsidRPr="00093C3B">
              <w:rPr>
                <w:rStyle w:val="Hyperlink"/>
                <w:noProof/>
              </w:rPr>
              <w:t>6.5.</w:t>
            </w:r>
            <w:r>
              <w:rPr>
                <w:rFonts w:asciiTheme="minorHAnsi" w:eastAsiaTheme="minorEastAsia" w:hAnsiTheme="minorHAnsi"/>
                <w:noProof/>
                <w:sz w:val="22"/>
              </w:rPr>
              <w:tab/>
            </w:r>
            <w:r w:rsidRPr="00093C3B">
              <w:rPr>
                <w:rStyle w:val="Hyperlink"/>
                <w:noProof/>
              </w:rPr>
              <w:t>Managerial Accountability and Conflict Management</w:t>
            </w:r>
            <w:r>
              <w:rPr>
                <w:noProof/>
                <w:webHidden/>
              </w:rPr>
              <w:tab/>
            </w:r>
            <w:r>
              <w:rPr>
                <w:noProof/>
                <w:webHidden/>
              </w:rPr>
              <w:fldChar w:fldCharType="begin"/>
            </w:r>
            <w:r>
              <w:rPr>
                <w:noProof/>
                <w:webHidden/>
              </w:rPr>
              <w:instrText xml:space="preserve"> PAGEREF _Toc222025071 \h </w:instrText>
            </w:r>
            <w:r>
              <w:rPr>
                <w:noProof/>
                <w:webHidden/>
              </w:rPr>
            </w:r>
            <w:r>
              <w:rPr>
                <w:noProof/>
                <w:webHidden/>
              </w:rPr>
              <w:fldChar w:fldCharType="separate"/>
            </w:r>
            <w:r>
              <w:rPr>
                <w:noProof/>
                <w:webHidden/>
              </w:rPr>
              <w:t>11</w:t>
            </w:r>
            <w:r>
              <w:rPr>
                <w:noProof/>
                <w:webHidden/>
              </w:rPr>
              <w:fldChar w:fldCharType="end"/>
            </w:r>
          </w:hyperlink>
        </w:p>
        <w:p w14:paraId="00FB8FBA"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72" w:history="1">
            <w:r w:rsidRPr="00093C3B">
              <w:rPr>
                <w:rStyle w:val="Hyperlink"/>
                <w:noProof/>
              </w:rPr>
              <w:t>7.</w:t>
            </w:r>
            <w:r>
              <w:rPr>
                <w:rFonts w:asciiTheme="minorHAnsi" w:eastAsiaTheme="minorEastAsia" w:hAnsiTheme="minorHAnsi"/>
                <w:noProof/>
                <w:sz w:val="22"/>
              </w:rPr>
              <w:tab/>
            </w:r>
            <w:r w:rsidRPr="00093C3B">
              <w:rPr>
                <w:rStyle w:val="Hyperlink"/>
                <w:noProof/>
              </w:rPr>
              <w:t>Impact on Business Performance and Strategic Recommendations</w:t>
            </w:r>
            <w:r>
              <w:rPr>
                <w:noProof/>
                <w:webHidden/>
              </w:rPr>
              <w:tab/>
            </w:r>
            <w:r>
              <w:rPr>
                <w:noProof/>
                <w:webHidden/>
              </w:rPr>
              <w:fldChar w:fldCharType="begin"/>
            </w:r>
            <w:r>
              <w:rPr>
                <w:noProof/>
                <w:webHidden/>
              </w:rPr>
              <w:instrText xml:space="preserve"> PAGEREF _Toc222025072 \h </w:instrText>
            </w:r>
            <w:r>
              <w:rPr>
                <w:noProof/>
                <w:webHidden/>
              </w:rPr>
            </w:r>
            <w:r>
              <w:rPr>
                <w:noProof/>
                <w:webHidden/>
              </w:rPr>
              <w:fldChar w:fldCharType="separate"/>
            </w:r>
            <w:r>
              <w:rPr>
                <w:noProof/>
                <w:webHidden/>
              </w:rPr>
              <w:t>12</w:t>
            </w:r>
            <w:r>
              <w:rPr>
                <w:noProof/>
                <w:webHidden/>
              </w:rPr>
              <w:fldChar w:fldCharType="end"/>
            </w:r>
          </w:hyperlink>
        </w:p>
        <w:p w14:paraId="4DC59315"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73" w:history="1">
            <w:r w:rsidRPr="00093C3B">
              <w:rPr>
                <w:rStyle w:val="Hyperlink"/>
                <w:noProof/>
              </w:rPr>
              <w:t>7.1.</w:t>
            </w:r>
            <w:r>
              <w:rPr>
                <w:rFonts w:asciiTheme="minorHAnsi" w:eastAsiaTheme="minorEastAsia" w:hAnsiTheme="minorHAnsi"/>
                <w:noProof/>
                <w:sz w:val="22"/>
              </w:rPr>
              <w:tab/>
            </w:r>
            <w:r w:rsidRPr="00093C3B">
              <w:rPr>
                <w:rStyle w:val="Hyperlink"/>
                <w:noProof/>
              </w:rPr>
              <w:t>Impact Evaluation</w:t>
            </w:r>
            <w:r>
              <w:rPr>
                <w:noProof/>
                <w:webHidden/>
              </w:rPr>
              <w:tab/>
            </w:r>
            <w:r>
              <w:rPr>
                <w:noProof/>
                <w:webHidden/>
              </w:rPr>
              <w:fldChar w:fldCharType="begin"/>
            </w:r>
            <w:r>
              <w:rPr>
                <w:noProof/>
                <w:webHidden/>
              </w:rPr>
              <w:instrText xml:space="preserve"> PAGEREF _Toc222025073 \h </w:instrText>
            </w:r>
            <w:r>
              <w:rPr>
                <w:noProof/>
                <w:webHidden/>
              </w:rPr>
            </w:r>
            <w:r>
              <w:rPr>
                <w:noProof/>
                <w:webHidden/>
              </w:rPr>
              <w:fldChar w:fldCharType="separate"/>
            </w:r>
            <w:r>
              <w:rPr>
                <w:noProof/>
                <w:webHidden/>
              </w:rPr>
              <w:t>12</w:t>
            </w:r>
            <w:r>
              <w:rPr>
                <w:noProof/>
                <w:webHidden/>
              </w:rPr>
              <w:fldChar w:fldCharType="end"/>
            </w:r>
          </w:hyperlink>
        </w:p>
        <w:p w14:paraId="2FA87588" w14:textId="77777777" w:rsidR="007C28EB" w:rsidRDefault="007C28EB" w:rsidP="007C28EB">
          <w:pPr>
            <w:pStyle w:val="TOC2"/>
            <w:tabs>
              <w:tab w:val="left" w:pos="880"/>
              <w:tab w:val="right" w:leader="dot" w:pos="9350"/>
            </w:tabs>
            <w:spacing w:line="276" w:lineRule="auto"/>
            <w:rPr>
              <w:rFonts w:asciiTheme="minorHAnsi" w:eastAsiaTheme="minorEastAsia" w:hAnsiTheme="minorHAnsi"/>
              <w:noProof/>
              <w:sz w:val="22"/>
            </w:rPr>
          </w:pPr>
          <w:hyperlink w:anchor="_Toc222025074" w:history="1">
            <w:r w:rsidRPr="00093C3B">
              <w:rPr>
                <w:rStyle w:val="Hyperlink"/>
                <w:noProof/>
              </w:rPr>
              <w:t>7.2.</w:t>
            </w:r>
            <w:r>
              <w:rPr>
                <w:rFonts w:asciiTheme="minorHAnsi" w:eastAsiaTheme="minorEastAsia" w:hAnsiTheme="minorHAnsi"/>
                <w:noProof/>
                <w:sz w:val="22"/>
              </w:rPr>
              <w:tab/>
            </w:r>
            <w:r w:rsidRPr="00093C3B">
              <w:rPr>
                <w:rStyle w:val="Hyperlink"/>
                <w:noProof/>
              </w:rPr>
              <w:t>Strategic Recommendations</w:t>
            </w:r>
            <w:r>
              <w:rPr>
                <w:noProof/>
                <w:webHidden/>
              </w:rPr>
              <w:tab/>
            </w:r>
            <w:r>
              <w:rPr>
                <w:noProof/>
                <w:webHidden/>
              </w:rPr>
              <w:fldChar w:fldCharType="begin"/>
            </w:r>
            <w:r>
              <w:rPr>
                <w:noProof/>
                <w:webHidden/>
              </w:rPr>
              <w:instrText xml:space="preserve"> PAGEREF _Toc222025074 \h </w:instrText>
            </w:r>
            <w:r>
              <w:rPr>
                <w:noProof/>
                <w:webHidden/>
              </w:rPr>
            </w:r>
            <w:r>
              <w:rPr>
                <w:noProof/>
                <w:webHidden/>
              </w:rPr>
              <w:fldChar w:fldCharType="separate"/>
            </w:r>
            <w:r>
              <w:rPr>
                <w:noProof/>
                <w:webHidden/>
              </w:rPr>
              <w:t>13</w:t>
            </w:r>
            <w:r>
              <w:rPr>
                <w:noProof/>
                <w:webHidden/>
              </w:rPr>
              <w:fldChar w:fldCharType="end"/>
            </w:r>
          </w:hyperlink>
        </w:p>
        <w:p w14:paraId="6CB1ACBC"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75" w:history="1">
            <w:r w:rsidRPr="00093C3B">
              <w:rPr>
                <w:rStyle w:val="Hyperlink"/>
                <w:noProof/>
              </w:rPr>
              <w:t>8.</w:t>
            </w:r>
            <w:r>
              <w:rPr>
                <w:rFonts w:asciiTheme="minorHAnsi" w:eastAsiaTheme="minorEastAsia" w:hAnsiTheme="minorHAnsi"/>
                <w:noProof/>
                <w:sz w:val="22"/>
              </w:rPr>
              <w:tab/>
            </w:r>
            <w:r w:rsidRPr="00093C3B">
              <w:rPr>
                <w:rStyle w:val="Hyperlink"/>
                <w:noProof/>
              </w:rPr>
              <w:t>Conclusion</w:t>
            </w:r>
            <w:r>
              <w:rPr>
                <w:noProof/>
                <w:webHidden/>
              </w:rPr>
              <w:tab/>
            </w:r>
            <w:r>
              <w:rPr>
                <w:noProof/>
                <w:webHidden/>
              </w:rPr>
              <w:fldChar w:fldCharType="begin"/>
            </w:r>
            <w:r>
              <w:rPr>
                <w:noProof/>
                <w:webHidden/>
              </w:rPr>
              <w:instrText xml:space="preserve"> PAGEREF _Toc222025075 \h </w:instrText>
            </w:r>
            <w:r>
              <w:rPr>
                <w:noProof/>
                <w:webHidden/>
              </w:rPr>
            </w:r>
            <w:r>
              <w:rPr>
                <w:noProof/>
                <w:webHidden/>
              </w:rPr>
              <w:fldChar w:fldCharType="separate"/>
            </w:r>
            <w:r>
              <w:rPr>
                <w:noProof/>
                <w:webHidden/>
              </w:rPr>
              <w:t>13</w:t>
            </w:r>
            <w:r>
              <w:rPr>
                <w:noProof/>
                <w:webHidden/>
              </w:rPr>
              <w:fldChar w:fldCharType="end"/>
            </w:r>
          </w:hyperlink>
        </w:p>
        <w:p w14:paraId="773C8953" w14:textId="77777777" w:rsidR="007C28EB" w:rsidRDefault="007C28EB" w:rsidP="007C28EB">
          <w:pPr>
            <w:pStyle w:val="TOC1"/>
            <w:tabs>
              <w:tab w:val="left" w:pos="440"/>
              <w:tab w:val="right" w:leader="dot" w:pos="9350"/>
            </w:tabs>
            <w:spacing w:line="276" w:lineRule="auto"/>
            <w:rPr>
              <w:rFonts w:asciiTheme="minorHAnsi" w:eastAsiaTheme="minorEastAsia" w:hAnsiTheme="minorHAnsi"/>
              <w:noProof/>
              <w:sz w:val="22"/>
            </w:rPr>
          </w:pPr>
          <w:hyperlink w:anchor="_Toc222025076" w:history="1">
            <w:r w:rsidRPr="00093C3B">
              <w:rPr>
                <w:rStyle w:val="Hyperlink"/>
                <w:noProof/>
              </w:rPr>
              <w:t>9.</w:t>
            </w:r>
            <w:r>
              <w:rPr>
                <w:rFonts w:asciiTheme="minorHAnsi" w:eastAsiaTheme="minorEastAsia" w:hAnsiTheme="minorHAnsi"/>
                <w:noProof/>
                <w:sz w:val="22"/>
              </w:rPr>
              <w:tab/>
            </w:r>
            <w:r w:rsidRPr="00093C3B">
              <w:rPr>
                <w:rStyle w:val="Hyperlink"/>
                <w:noProof/>
              </w:rPr>
              <w:t>References</w:t>
            </w:r>
            <w:r>
              <w:rPr>
                <w:noProof/>
                <w:webHidden/>
              </w:rPr>
              <w:tab/>
            </w:r>
            <w:r>
              <w:rPr>
                <w:noProof/>
                <w:webHidden/>
              </w:rPr>
              <w:fldChar w:fldCharType="begin"/>
            </w:r>
            <w:r>
              <w:rPr>
                <w:noProof/>
                <w:webHidden/>
              </w:rPr>
              <w:instrText xml:space="preserve"> PAGEREF _Toc222025076 \h </w:instrText>
            </w:r>
            <w:r>
              <w:rPr>
                <w:noProof/>
                <w:webHidden/>
              </w:rPr>
            </w:r>
            <w:r>
              <w:rPr>
                <w:noProof/>
                <w:webHidden/>
              </w:rPr>
              <w:fldChar w:fldCharType="separate"/>
            </w:r>
            <w:r>
              <w:rPr>
                <w:noProof/>
                <w:webHidden/>
              </w:rPr>
              <w:t>15</w:t>
            </w:r>
            <w:r>
              <w:rPr>
                <w:noProof/>
                <w:webHidden/>
              </w:rPr>
              <w:fldChar w:fldCharType="end"/>
            </w:r>
          </w:hyperlink>
        </w:p>
        <w:p w14:paraId="686D3E0B" w14:textId="77777777" w:rsidR="00D62C4D" w:rsidRDefault="00D62C4D" w:rsidP="007C28EB">
          <w:pPr>
            <w:spacing w:line="276" w:lineRule="auto"/>
          </w:pPr>
          <w:r>
            <w:rPr>
              <w:b/>
              <w:bCs/>
              <w:noProof/>
            </w:rPr>
            <w:fldChar w:fldCharType="end"/>
          </w:r>
        </w:p>
      </w:sdtContent>
    </w:sdt>
    <w:p w14:paraId="41F226CE" w14:textId="77777777" w:rsidR="007C28EB" w:rsidRDefault="007C28EB" w:rsidP="007C28EB">
      <w:pPr>
        <w:pStyle w:val="Heading1"/>
        <w:numPr>
          <w:ilvl w:val="0"/>
          <w:numId w:val="0"/>
        </w:numPr>
        <w:ind w:left="360"/>
      </w:pPr>
      <w:bookmarkStart w:id="0" w:name="_Toc222025050"/>
    </w:p>
    <w:p w14:paraId="01C77B84" w14:textId="77777777" w:rsidR="007C28EB" w:rsidRDefault="007C28EB" w:rsidP="007C28EB"/>
    <w:p w14:paraId="5CDA1FCA" w14:textId="77777777" w:rsidR="007C28EB" w:rsidRPr="007C28EB" w:rsidRDefault="007C28EB" w:rsidP="007C28EB"/>
    <w:p w14:paraId="37026200" w14:textId="77777777" w:rsidR="0047155F" w:rsidRDefault="0047155F" w:rsidP="0047155F">
      <w:pPr>
        <w:pStyle w:val="Heading1"/>
      </w:pPr>
      <w:r>
        <w:lastRenderedPageBreak/>
        <w:t>Introduction to the Organisation and Project Context</w:t>
      </w:r>
      <w:bookmarkEnd w:id="0"/>
    </w:p>
    <w:p w14:paraId="71766DC4" w14:textId="77777777" w:rsidR="0047155F" w:rsidRDefault="0047155F" w:rsidP="0047155F">
      <w:r>
        <w:t xml:space="preserve">Hilton Hotels and Resorts have more than 7,000 properties in 120 countries, and the strategy of the company is placed in the segment of the high-end hospitality sector due to the use of technology that enables service delivery innovation and brand differentiation </w:t>
      </w:r>
      <w:r w:rsidR="00A153FE">
        <w:fldChar w:fldCharType="begin"/>
      </w:r>
      <w:r w:rsidR="00A153FE">
        <w:instrText xml:space="preserve"> ADDIN EN.CITE &lt;EndNote&gt;&lt;Cite&gt;&lt;Author&gt;Hilton&lt;/Author&gt;&lt;Year&gt;2025&lt;/Year&gt;&lt;RecNum&gt;6425&lt;/RecNum&gt;&lt;DisplayText&gt;(Hilton, 2025)&lt;/DisplayText&gt;&lt;record&gt;&lt;rec-number&gt;6425&lt;/rec-number&gt;&lt;foreign-keys&gt;&lt;key app="EN" db-id="af0evp9er5rsrueeefpxrr2ie0xp2zexvfz0" timestamp="1771113316"&gt;6425&lt;/key&gt;&lt;/foreign-keys&gt;&lt;ref-type name="Web Page"&gt;12&lt;/ref-type&gt;&lt;contributors&gt;&lt;authors&gt;&lt;author&gt;Hilton&lt;/author&gt;&lt;/authors&gt;&lt;/contributors&gt;&lt;titles&gt;&lt;title&gt;Annual Report.&lt;/title&gt;&lt;/titles&gt;&lt;volume&gt;2026&lt;/volume&gt;&lt;number&gt;15 February&lt;/number&gt;&lt;dates&gt;&lt;year&gt;2025&lt;/year&gt;&lt;/dates&gt;&lt;urls&gt;&lt;related-urls&gt;&lt;url&gt;https://www.hilton.com/en/&lt;/url&gt;&lt;/related-urls&gt;&lt;/urls&gt;&lt;/record&gt;&lt;/Cite&gt;&lt;/EndNote&gt;</w:instrText>
      </w:r>
      <w:r w:rsidR="00A153FE">
        <w:fldChar w:fldCharType="separate"/>
      </w:r>
      <w:r w:rsidR="00A153FE">
        <w:rPr>
          <w:noProof/>
        </w:rPr>
        <w:t>(Hilton, 2025)</w:t>
      </w:r>
      <w:r w:rsidR="00A153FE">
        <w:fldChar w:fldCharType="end"/>
      </w:r>
      <w:r>
        <w:t>. Hilton has a strong presence in London and Birmingham in the United Kingdom with sophisticated brands catering to the demands of corporates and leisure travelers. Mobile key technology, digital check-in, and AI-powered revenue management systems are examples of evidences of digital maturity in the hospitality sector that the organisation has shown through advanced digital capabilities to improve its competitive edge</w:t>
      </w:r>
      <w:r w:rsidR="00082E2D">
        <w:t xml:space="preserve"> </w:t>
      </w:r>
      <w:r w:rsidR="00082E2D">
        <w:fldChar w:fldCharType="begin"/>
      </w:r>
      <w:r w:rsidR="00082E2D">
        <w:instrText xml:space="preserve"> ADDIN EN.CITE &lt;EndNote&gt;&lt;Cite&gt;&lt;Author&gt;Buhalis&lt;/Author&gt;&lt;Year&gt;2023&lt;/Year&gt;&lt;RecNum&gt;6426&lt;/RecNum&gt;&lt;DisplayText&gt;(Buhalis et al., 2023)&lt;/DisplayText&gt;&lt;record&gt;&lt;rec-number&gt;6426&lt;/rec-number&gt;&lt;foreign-keys&gt;&lt;key app="EN" db-id="af0evp9er5rsrueeefpxrr2ie0xp2zexvfz0" timestamp="1771113430"&gt;6426&lt;/key&gt;&lt;/foreign-keys&gt;&lt;ref-type name="Journal Article"&gt;17&lt;/ref-type&gt;&lt;contributors&gt;&lt;authors&gt;&lt;author&gt;Buhalis, Dimitrios&lt;/author&gt;&lt;author&gt;O’Connor, Peter&lt;/author&gt;&lt;author&gt;Leung, Rosanna&lt;/author&gt;&lt;/authors&gt;&lt;/contributors&gt;&lt;titles&gt;&lt;title&gt;Smart hospitality: from smart cities and smart tourism towards agile business ecosystems in networked destinations&lt;/title&gt;&lt;secondary-title&gt;International Journal of Contemporary Hospitality Management&lt;/secondary-title&gt;&lt;/titles&gt;&lt;periodical&gt;&lt;full-title&gt;International Journal of Contemporary Hospitality Management&lt;/full-title&gt;&lt;/periodical&gt;&lt;pages&gt;369-393&lt;/pages&gt;&lt;volume&gt;35&lt;/volume&gt;&lt;number&gt;1&lt;/number&gt;&lt;dates&gt;&lt;year&gt;2023&lt;/year&gt;&lt;/dates&gt;&lt;isbn&gt;0959-6119&lt;/isbn&gt;&lt;urls&gt;&lt;/urls&gt;&lt;/record&gt;&lt;/Cite&gt;&lt;/EndNote&gt;</w:instrText>
      </w:r>
      <w:r w:rsidR="00082E2D">
        <w:fldChar w:fldCharType="separate"/>
      </w:r>
      <w:r w:rsidR="00082E2D">
        <w:rPr>
          <w:noProof/>
        </w:rPr>
        <w:t>(Buhalis et al., 2023)</w:t>
      </w:r>
      <w:r w:rsidR="00082E2D">
        <w:fldChar w:fldCharType="end"/>
      </w:r>
      <w:r>
        <w:t xml:space="preserve">. Moreover, the ESG initiative, Travel with Purpose, undertaken by Hilton is dedicated to minimizing the carbon emissions intensity and halting waste by 50 percent by 2030, which is in line with rising demands of sustainable tourism among stakeholders </w:t>
      </w:r>
      <w:r w:rsidR="00082E2D">
        <w:fldChar w:fldCharType="begin"/>
      </w:r>
      <w:r w:rsidR="00082E2D">
        <w:instrText xml:space="preserve"> ADDIN EN.CITE &lt;EndNote&gt;&lt;Cite&gt;&lt;Author&gt;Rodríguez-García&lt;/Author&gt;&lt;Year&gt;2023&lt;/Year&gt;&lt;RecNum&gt;6427&lt;/RecNum&gt;&lt;DisplayText&gt;(Rodríguez-García et al., 2023)&lt;/DisplayText&gt;&lt;record&gt;&lt;rec-number&gt;6427&lt;/rec-number&gt;&lt;foreign-keys&gt;&lt;key app="EN" db-id="af0evp9er5rsrueeefpxrr2ie0xp2zexvfz0" timestamp="1771113468"&gt;6427&lt;/key&gt;&lt;/foreign-keys&gt;&lt;ref-type name="Journal Article"&gt;17&lt;/ref-type&gt;&lt;contributors&gt;&lt;authors&gt;&lt;author&gt;Rodríguez-García, Roberto&lt;/author&gt;&lt;author&gt;Ferrero-Ferrero, Idoya&lt;/author&gt;&lt;author&gt;Fernández-Izquierdo, María Ángeles&lt;/author&gt;&lt;/authors&gt;&lt;/contributors&gt;&lt;titles&gt;&lt;title&gt;Analysis of integration of sustainability in sustainability certifications in the hotel industry&lt;/title&gt;&lt;secondary-title&gt;Frontiers in Sustainability&lt;/secondary-title&gt;&lt;/titles&gt;&lt;periodical&gt;&lt;full-title&gt;Frontiers in Sustainability&lt;/full-title&gt;&lt;/periodical&gt;&lt;pages&gt;1116359&lt;/pages&gt;&lt;volume&gt;4&lt;/volume&gt;&lt;dates&gt;&lt;year&gt;2023&lt;/year&gt;&lt;/dates&gt;&lt;isbn&gt;2673-4524&lt;/isbn&gt;&lt;urls&gt;&lt;/urls&gt;&lt;/record&gt;&lt;/Cite&gt;&lt;/EndNote&gt;</w:instrText>
      </w:r>
      <w:r w:rsidR="00082E2D">
        <w:fldChar w:fldCharType="separate"/>
      </w:r>
      <w:r w:rsidR="00082E2D">
        <w:rPr>
          <w:noProof/>
        </w:rPr>
        <w:t>(Rodríguez-García et al., 2023)</w:t>
      </w:r>
      <w:r w:rsidR="00082E2D">
        <w:fldChar w:fldCharType="end"/>
      </w:r>
      <w:r>
        <w:t>.</w:t>
      </w:r>
    </w:p>
    <w:p w14:paraId="675DFB40" w14:textId="77777777" w:rsidR="0047155F" w:rsidRDefault="0047155F" w:rsidP="0047155F">
      <w:r>
        <w:t xml:space="preserve">The future project, named “StaySmart+”, is </w:t>
      </w:r>
      <w:r w:rsidR="007C28EB">
        <w:t>a</w:t>
      </w:r>
      <w:r>
        <w:t xml:space="preserve"> unified set of AI-based guest-interaction services, </w:t>
      </w:r>
      <w:r w:rsidR="007C28EB">
        <w:t>customized</w:t>
      </w:r>
      <w:r>
        <w:t xml:space="preserve"> digital itinerary planning, room-preference algorithms, and, finally, smart systems of energy management to optimise both comfort and environmental footprint. The six-month global implementation symbolizes the technological change, as well as experience innovation, encompassing the integration of IT, operations, marketing, compliance, and sustainability operations. Nonetheless, the regulatory heterogeneity, especially, data protection regulations like GDPR, cultural differences in attitudes toward AI-based automation of the service, uneven sustainability criteria, and too much employee training are factors that contribute to complexity. Therefore, the success of the StaySmart+ is not only determined by technological infrastructure but rather organised stakeholder engagement mechanisms that inculcate the aspects of legitimacy, trust, and functional orientation at various stages of planning, implementation and adoption.</w:t>
      </w:r>
    </w:p>
    <w:p w14:paraId="1B7CBA9E" w14:textId="77777777" w:rsidR="0047155F" w:rsidRDefault="0047155F" w:rsidP="0047155F">
      <w:pPr>
        <w:pStyle w:val="Heading1"/>
      </w:pPr>
      <w:bookmarkStart w:id="1" w:name="_Toc222025051"/>
      <w:r>
        <w:t>Situational Analysis – Strategic Readiness Assessment</w:t>
      </w:r>
      <w:bookmarkEnd w:id="1"/>
    </w:p>
    <w:p w14:paraId="1B0FF640" w14:textId="77777777" w:rsidR="0047155F" w:rsidRDefault="0047155F" w:rsidP="0064212D">
      <w:pPr>
        <w:pStyle w:val="Heading2"/>
      </w:pPr>
      <w:bookmarkStart w:id="2" w:name="_Toc222025052"/>
      <w:r>
        <w:t>SWOT Analysis (Strategic Internal–External Positioning)</w:t>
      </w:r>
      <w:bookmarkEnd w:id="2"/>
    </w:p>
    <w:tbl>
      <w:tblPr>
        <w:tblStyle w:val="TableGridLight"/>
        <w:tblW w:w="0" w:type="auto"/>
        <w:tblLook w:val="04A0" w:firstRow="1" w:lastRow="0" w:firstColumn="1" w:lastColumn="0" w:noHBand="0" w:noVBand="1"/>
      </w:tblPr>
      <w:tblGrid>
        <w:gridCol w:w="2130"/>
        <w:gridCol w:w="6462"/>
        <w:gridCol w:w="758"/>
      </w:tblGrid>
      <w:tr w:rsidR="00306BC8" w:rsidRPr="0047155F" w14:paraId="1957932E" w14:textId="77777777" w:rsidTr="00306BC8">
        <w:tc>
          <w:tcPr>
            <w:tcW w:w="0" w:type="auto"/>
            <w:shd w:val="clear" w:color="auto" w:fill="FFE599" w:themeFill="accent4" w:themeFillTint="66"/>
            <w:vAlign w:val="center"/>
            <w:hideMark/>
          </w:tcPr>
          <w:p w14:paraId="4E66A73A" w14:textId="77777777" w:rsidR="00306BC8" w:rsidRPr="0047155F" w:rsidRDefault="00306BC8" w:rsidP="00306BC8">
            <w:pPr>
              <w:jc w:val="center"/>
              <w:rPr>
                <w:rFonts w:ascii="Copperplate Gothic Bold" w:eastAsia="Times New Roman" w:hAnsi="Copperplate Gothic Bold" w:cs="Times New Roman"/>
                <w:szCs w:val="24"/>
              </w:rPr>
            </w:pPr>
            <w:r w:rsidRPr="00306BC8">
              <w:rPr>
                <w:rFonts w:ascii="Copperplate Gothic Bold" w:eastAsia="Times New Roman" w:hAnsi="Copperplate Gothic Bold" w:cs="Times New Roman"/>
                <w:b/>
                <w:bCs/>
                <w:szCs w:val="24"/>
              </w:rPr>
              <w:t>Strengths</w:t>
            </w:r>
          </w:p>
        </w:tc>
        <w:tc>
          <w:tcPr>
            <w:tcW w:w="0" w:type="auto"/>
            <w:hideMark/>
          </w:tcPr>
          <w:p w14:paraId="532A3BD4" w14:textId="77777777" w:rsidR="00306BC8" w:rsidRPr="0047155F" w:rsidRDefault="00306BC8" w:rsidP="00306BC8">
            <w:pPr>
              <w:rPr>
                <w:rFonts w:eastAsia="Times New Roman" w:cs="Times New Roman"/>
                <w:szCs w:val="24"/>
              </w:rPr>
            </w:pPr>
            <w:r w:rsidRPr="0047155F">
              <w:rPr>
                <w:rFonts w:eastAsia="Times New Roman" w:cs="Times New Roman"/>
                <w:szCs w:val="24"/>
              </w:rPr>
              <w:t xml:space="preserve">A legitimate brand is supported by global brand equity with 7,000-plus properties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&lt;EndNote&gt;&lt;Cite&gt;&lt;Author&gt;Hilton&lt;/Author&gt;&lt;Year&gt;2003&lt;/Year&gt;&lt;RecNum&gt;338&lt;/RecNum&gt;&lt;DisplayText&gt;(Hilton et al., 2003)&lt;/DisplayText&gt;&lt;record&gt;&lt;rec-number&gt;338&lt;/rec-number&gt;&lt;foreign-keys&gt;&lt;key app="EN" db-id="af0evp9er5rsrueeefpxrr2ie0xp2zexvfz0" timestamp="1765609789"&gt;338&lt;/key&gt;&lt;/foreign-keys&gt;&lt;ref-type name="Journal Article"&gt;17&lt;/ref-type&gt;&lt;contributors&gt;&lt;authors&gt;&lt;author&gt;Hilton, Ronald W&lt;/author&gt;&lt;author&gt;Maher, Michael&lt;/author&gt;&lt;author&gt;Selto, Frank H&lt;/author&gt;&lt;/authors&gt;&lt;/contributors&gt;&lt;titles&gt;&lt;title&gt;Cost management: Strategies for business decisions&lt;/title&gt;&lt;secondary-title&gt;(No Title)&lt;/secondary-title&gt;&lt;/titles&gt;&lt;periodical&gt;&lt;full-title&gt;(No Title)&lt;/full-title&gt;&lt;/periodical&gt;&lt;dates&gt;&lt;year&gt;2003&lt;/year&gt;&lt;/dates&gt;&lt;urls&gt;&lt;/urls&gt;&lt;/record&gt;&lt;/Cite&gt;&lt;/EndNote&gt;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(Hilton et al., 2003)</w:t>
            </w:r>
            <w:r w:rsidR="00082E2D">
              <w:rPr>
                <w:rFonts w:eastAsia="Times New Roman" w:cs="Times New Roman"/>
                <w:szCs w:val="24"/>
              </w:rPr>
              <w:fldChar w:fldCharType="end"/>
            </w:r>
            <w:r w:rsidRPr="0047155F">
              <w:rPr>
                <w:rFonts w:eastAsia="Times New Roman" w:cs="Times New Roman"/>
                <w:szCs w:val="24"/>
              </w:rPr>
              <w:t xml:space="preserve">. Good cash flow enables AI capital investment. The 180+ million members of Hilton Honors offer data infrastructure with </w:t>
            </w:r>
            <w:r w:rsidR="007C28EB" w:rsidRPr="0047155F">
              <w:rPr>
                <w:rFonts w:eastAsia="Times New Roman" w:cs="Times New Roman"/>
                <w:szCs w:val="24"/>
              </w:rPr>
              <w:t>personalized</w:t>
            </w:r>
            <w:r w:rsidRPr="0047155F">
              <w:rPr>
                <w:rFonts w:eastAsia="Times New Roman" w:cs="Times New Roman"/>
                <w:szCs w:val="24"/>
              </w:rPr>
              <w:t xml:space="preserve"> </w:t>
            </w:r>
            <w:r w:rsidRPr="0047155F">
              <w:rPr>
                <w:rFonts w:eastAsia="Times New Roman" w:cs="Times New Roman"/>
                <w:szCs w:val="24"/>
              </w:rPr>
              <w:lastRenderedPageBreak/>
              <w:t xml:space="preserve">algorithms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&lt;EndNote&gt;&lt;Cite&gt;&lt;Author&gt;Buhalis&lt;/Author&gt;&lt;Year&gt;2023&lt;/Year&gt;&lt;RecNum&gt;6428&lt;/RecNum&gt;&lt;DisplayText&gt;(Buhalis et al., 2023)&lt;/DisplayText&gt;&lt;record&gt;&lt;rec-number&gt;6428&lt;/rec-number&gt;&lt;foreign-keys&gt;&lt;key app="EN" db-id="af0evp9er5rsrueeefpxrr2ie0xp2zexvfz0" timestamp="1771113535"&gt;6428&lt;/key&gt;&lt;/foreign-keys&gt;&lt;ref-type name="Journal Article"&gt;17&lt;/ref-type&gt;&lt;contributors&gt;&lt;authors&gt;&lt;author&gt;Buhalis, Dimitrios&lt;/author&gt;&lt;author&gt;O’Connor, Peter&lt;/author&gt;&lt;author&gt;Leung, Rosanna&lt;/author&gt;&lt;/authors&gt;&lt;/contributors&gt;&lt;titles&gt;&lt;title&gt;Smart hospitality: from smart cities and smart tourism towards agile business ecosystems in networked destinations&lt;/title&gt;&lt;secondary-title&gt;International Journal of Contemporary Hospitality Management&lt;/secondary-title&gt;&lt;/titles&gt;&lt;periodical&gt;&lt;full-title&gt;International Journal of Contemporary Hospitality Management&lt;/full-title&gt;&lt;/periodical&gt;&lt;pages&gt;369-393&lt;/pages&gt;&lt;volume&gt;35&lt;/volume&gt;&lt;number&gt;1&lt;/number&gt;&lt;dates&gt;&lt;year&gt;2023&lt;/year&gt;&lt;/dates&gt;&lt;isbn&gt;0959-6119&lt;/isbn&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(Buhalis et al., 2023)</w:t>
            </w:r>
            <w:r w:rsidR="00082E2D">
              <w:rPr>
                <w:rFonts w:eastAsia="Times New Roman" w:cs="Times New Roman"/>
                <w:szCs w:val="24"/>
              </w:rPr>
              <w:fldChar w:fldCharType="end"/>
            </w:r>
            <w:r w:rsidRPr="0047155F">
              <w:rPr>
                <w:rFonts w:eastAsia="Times New Roman" w:cs="Times New Roman"/>
                <w:szCs w:val="24"/>
              </w:rPr>
              <w:t>. Current digital maturity enhances the technological flexibility of employees.</w:t>
            </w:r>
          </w:p>
        </w:tc>
        <w:tc>
          <w:tcPr>
            <w:tcW w:w="0" w:type="auto"/>
            <w:shd w:val="clear" w:color="auto" w:fill="FFE599" w:themeFill="accent4" w:themeFillTint="66"/>
            <w:vAlign w:val="center"/>
          </w:tcPr>
          <w:p w14:paraId="1646131A" w14:textId="77777777" w:rsidR="00306BC8" w:rsidRPr="00306BC8" w:rsidRDefault="00306BC8" w:rsidP="00306BC8">
            <w:pPr>
              <w:jc w:val="center"/>
              <w:rPr>
                <w:rFonts w:ascii="Copperplate Gothic Bold" w:eastAsia="Times New Roman" w:hAnsi="Copperplate Gothic Bold" w:cs="Times New Roman"/>
                <w:b/>
                <w:sz w:val="48"/>
                <w:szCs w:val="24"/>
              </w:rPr>
            </w:pPr>
            <w:r w:rsidRPr="00306BC8">
              <w:rPr>
                <w:rFonts w:ascii="Copperplate Gothic Bold" w:eastAsia="Times New Roman" w:hAnsi="Copperplate Gothic Bold" w:cs="Times New Roman"/>
                <w:b/>
                <w:sz w:val="48"/>
                <w:szCs w:val="24"/>
              </w:rPr>
              <w:lastRenderedPageBreak/>
              <w:t>S</w:t>
            </w:r>
          </w:p>
        </w:tc>
      </w:tr>
      <w:tr w:rsidR="00306BC8" w:rsidRPr="0047155F" w14:paraId="4033E834" w14:textId="77777777" w:rsidTr="00306BC8">
        <w:tc>
          <w:tcPr>
            <w:tcW w:w="0" w:type="auto"/>
            <w:shd w:val="clear" w:color="auto" w:fill="FFE599" w:themeFill="accent4" w:themeFillTint="66"/>
            <w:vAlign w:val="center"/>
            <w:hideMark/>
          </w:tcPr>
          <w:p w14:paraId="4FB6112B" w14:textId="77777777" w:rsidR="00306BC8" w:rsidRPr="0047155F" w:rsidRDefault="00306BC8" w:rsidP="00306BC8">
            <w:pPr>
              <w:jc w:val="center"/>
              <w:rPr>
                <w:rFonts w:ascii="Copperplate Gothic Bold" w:eastAsia="Times New Roman" w:hAnsi="Copperplate Gothic Bold" w:cs="Times New Roman"/>
                <w:szCs w:val="24"/>
              </w:rPr>
            </w:pPr>
            <w:r w:rsidRPr="00306BC8">
              <w:rPr>
                <w:rFonts w:ascii="Copperplate Gothic Bold" w:eastAsia="Times New Roman" w:hAnsi="Copperplate Gothic Bold" w:cs="Times New Roman"/>
                <w:b/>
                <w:bCs/>
                <w:szCs w:val="24"/>
              </w:rPr>
              <w:t>Weaknesses</w:t>
            </w:r>
          </w:p>
        </w:tc>
        <w:tc>
          <w:tcPr>
            <w:tcW w:w="0" w:type="auto"/>
            <w:hideMark/>
          </w:tcPr>
          <w:p w14:paraId="16BD8713" w14:textId="77777777" w:rsidR="00306BC8" w:rsidRPr="0047155F" w:rsidRDefault="00306BC8" w:rsidP="00306BC8">
            <w:pPr>
              <w:rPr>
                <w:rFonts w:eastAsia="Times New Roman" w:cs="Times New Roman"/>
                <w:szCs w:val="24"/>
              </w:rPr>
            </w:pPr>
            <w:r w:rsidRPr="0047155F">
              <w:rPr>
                <w:rFonts w:eastAsia="Times New Roman" w:cs="Times New Roman"/>
                <w:szCs w:val="24"/>
              </w:rPr>
              <w:t xml:space="preserve">The use of AI involves a large initial investment of capital, which adds more scrutiny to investors. Automation can also cause frontline worker resistance, which aligns with technology anxiety research in hospitality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&lt;EndNote&gt;&lt;Cite&gt;&lt;Author&gt;Webster&lt;/Author&gt;&lt;Year&gt;2023&lt;/Year&gt;&lt;RecNum&gt;6429&lt;/RecNum&gt;&lt;DisplayText&gt;(Webster and Ivanov, 2023)&lt;/DisplayText&gt;&lt;record&gt;&lt;rec-number&gt;6429&lt;/rec-number&gt;&lt;foreign-keys&gt;&lt;key app="EN" db-id="af0evp9er5rsrueeefpxrr2ie0xp2zexvfz0" timestamp="1771113566"&gt;6429&lt;/key&gt;&lt;/foreign-keys&gt;&lt;ref-type name="Book Section"&gt;5&lt;/ref-type&gt;&lt;contributors&gt;&lt;authors&gt;&lt;author&gt;Webster, Craig&lt;/author&gt;&lt;author&gt;Ivanov, Stanislav&lt;/author&gt;&lt;/authors&gt;&lt;/contributors&gt;&lt;titles&gt;&lt;title&gt;Robots, artificial intelligence and service automation in tourism and quality of life&lt;/title&gt;&lt;secondary-title&gt;Handbook of Tourism and Quality-of-Life Research II: Enhancing the Lives of Tourists, Residents of Host Communities and Service Providers&lt;/secondary-title&gt;&lt;/titles&gt;&lt;pages&gt;533-544&lt;/pages&gt;&lt;dates&gt;&lt;year&gt;2023&lt;/year&gt;&lt;/dates&gt;&lt;publisher&gt;Springer&lt;/publisher&gt;&lt;urls&gt;&lt;/urls&gt;&lt;/record&gt;&lt;/Cite&gt;&lt;/EndNote&gt;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(Webster and Ivanov, 2023)</w:t>
            </w:r>
            <w:r w:rsidR="00082E2D">
              <w:rPr>
                <w:rFonts w:eastAsia="Times New Roman" w:cs="Times New Roman"/>
                <w:szCs w:val="24"/>
              </w:rPr>
              <w:fldChar w:fldCharType="end"/>
            </w:r>
            <w:r w:rsidRPr="0047155F">
              <w:rPr>
                <w:rFonts w:eastAsia="Times New Roman" w:cs="Times New Roman"/>
                <w:szCs w:val="24"/>
              </w:rPr>
              <w:t>. Operational risk is exposed to the vendor dependency. Global alignment is complicated by cross-cultural communication.</w:t>
            </w:r>
          </w:p>
        </w:tc>
        <w:tc>
          <w:tcPr>
            <w:tcW w:w="0" w:type="auto"/>
            <w:shd w:val="clear" w:color="auto" w:fill="FFE599" w:themeFill="accent4" w:themeFillTint="66"/>
            <w:vAlign w:val="center"/>
          </w:tcPr>
          <w:p w14:paraId="7FF39F51" w14:textId="77777777" w:rsidR="00306BC8" w:rsidRPr="00306BC8" w:rsidRDefault="00306BC8" w:rsidP="00306BC8">
            <w:pPr>
              <w:jc w:val="center"/>
              <w:rPr>
                <w:rFonts w:ascii="Copperplate Gothic Bold" w:eastAsia="Times New Roman" w:hAnsi="Copperplate Gothic Bold" w:cs="Times New Roman"/>
                <w:b/>
                <w:sz w:val="48"/>
                <w:szCs w:val="24"/>
              </w:rPr>
            </w:pPr>
            <w:r w:rsidRPr="00306BC8">
              <w:rPr>
                <w:rFonts w:ascii="Copperplate Gothic Bold" w:eastAsia="Times New Roman" w:hAnsi="Copperplate Gothic Bold" w:cs="Times New Roman"/>
                <w:b/>
                <w:sz w:val="48"/>
                <w:szCs w:val="24"/>
              </w:rPr>
              <w:t>W</w:t>
            </w:r>
          </w:p>
        </w:tc>
      </w:tr>
      <w:tr w:rsidR="00306BC8" w:rsidRPr="0047155F" w14:paraId="345009E4" w14:textId="77777777" w:rsidTr="00306BC8">
        <w:tc>
          <w:tcPr>
            <w:tcW w:w="0" w:type="auto"/>
            <w:shd w:val="clear" w:color="auto" w:fill="FFE599" w:themeFill="accent4" w:themeFillTint="66"/>
            <w:vAlign w:val="center"/>
            <w:hideMark/>
          </w:tcPr>
          <w:p w14:paraId="225FDD72" w14:textId="77777777" w:rsidR="00306BC8" w:rsidRPr="0047155F" w:rsidRDefault="00306BC8" w:rsidP="00306BC8">
            <w:pPr>
              <w:jc w:val="center"/>
              <w:rPr>
                <w:rFonts w:ascii="Copperplate Gothic Bold" w:eastAsia="Times New Roman" w:hAnsi="Copperplate Gothic Bold" w:cs="Times New Roman"/>
                <w:szCs w:val="24"/>
              </w:rPr>
            </w:pPr>
            <w:r w:rsidRPr="00306BC8">
              <w:rPr>
                <w:rFonts w:ascii="Copperplate Gothic Bold" w:eastAsia="Times New Roman" w:hAnsi="Copperplate Gothic Bold" w:cs="Times New Roman"/>
                <w:b/>
                <w:bCs/>
                <w:szCs w:val="24"/>
              </w:rPr>
              <w:t>Opportunities</w:t>
            </w:r>
          </w:p>
        </w:tc>
        <w:tc>
          <w:tcPr>
            <w:tcW w:w="0" w:type="auto"/>
            <w:hideMark/>
          </w:tcPr>
          <w:p w14:paraId="52BF2DFD" w14:textId="77777777" w:rsidR="00306BC8" w:rsidRPr="0047155F" w:rsidRDefault="007C28EB" w:rsidP="00306BC8">
            <w:pPr>
              <w:rPr>
                <w:rFonts w:eastAsia="Times New Roman" w:cs="Times New Roman"/>
                <w:szCs w:val="24"/>
              </w:rPr>
            </w:pPr>
            <w:r w:rsidRPr="0047155F">
              <w:rPr>
                <w:rFonts w:eastAsia="Times New Roman" w:cs="Times New Roman"/>
                <w:szCs w:val="24"/>
              </w:rPr>
              <w:t>Customized</w:t>
            </w:r>
            <w:r w:rsidR="00306BC8" w:rsidRPr="0047155F">
              <w:rPr>
                <w:rFonts w:eastAsia="Times New Roman" w:cs="Times New Roman"/>
                <w:szCs w:val="24"/>
              </w:rPr>
              <w:t xml:space="preserve"> digital services play a role in enhancing perceived customer value and customer loyalty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&lt;EndNote&gt;&lt;Cite&gt;&lt;Author&gt;Buhalis&lt;/Author&gt;&lt;Year&gt;2024&lt;/Year&gt;&lt;RecNum&gt;6430&lt;/RecNum&gt;&lt;DisplayText&gt;(Buhalis et al., 2024)&lt;/DisplayText&gt;&lt;record&gt;&lt;rec-number&gt;6430&lt;/rec-number&gt;&lt;foreign-keys&gt;&lt;key app="EN" db-id="af0evp9er5rsrueeefpxrr2ie0xp2zexvfz0" timestamp="1771113631"&gt;6430&lt;/key&gt;&lt;/foreign-keys&gt;&lt;ref-type name="Journal Article"&gt;17&lt;/ref-type&gt;&lt;contributors&gt;&lt;authors&gt;&lt;author&gt;Buhalis, Dimitrios&lt;/author&gt;&lt;author&gt;Efthymiou, Leonidas&lt;/author&gt;&lt;author&gt;Uzunboylu, Naziyet&lt;/author&gt;&lt;author&gt;Thrassou, Alkis&lt;/author&gt;&lt;/authors&gt;&lt;/contributors&gt;&lt;titles&gt;&lt;title&gt;Charting the progress of technology adoption in tourism and hospitality in the era of industry 4.0&lt;/title&gt;&lt;secondary-title&gt;EuroMed Journal of Business&lt;/secondary-title&gt;&lt;/titles&gt;&lt;periodical&gt;&lt;full-title&gt;EuroMed Journal of Business&lt;/full-title&gt;&lt;/periodical&gt;&lt;pages&gt;1-20&lt;/pages&gt;&lt;volume&gt;19&lt;/volume&gt;&lt;number&gt;1&lt;/number&gt;&lt;dates&gt;&lt;year&gt;2024&lt;/year&gt;&lt;/dates&gt;&lt;isbn&gt;1450-2194&lt;/isbn&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(Buhalis et al., 2024)</w:t>
            </w:r>
            <w:r w:rsidR="00082E2D">
              <w:rPr>
                <w:rFonts w:eastAsia="Times New Roman" w:cs="Times New Roman"/>
                <w:szCs w:val="24"/>
              </w:rPr>
              <w:fldChar w:fldCharType="end"/>
            </w:r>
            <w:r w:rsidR="00306BC8" w:rsidRPr="0047155F">
              <w:rPr>
                <w:rFonts w:eastAsia="Times New Roman" w:cs="Times New Roman"/>
                <w:szCs w:val="24"/>
              </w:rPr>
              <w:t>. Certain consumers focus on sustainable accommodation options because of being ESG oriented</w:t>
            </w:r>
            <w:r w:rsidR="00082E2D">
              <w:rPr>
                <w:rFonts w:eastAsia="Times New Roman" w:cs="Times New Roman"/>
                <w:szCs w:val="24"/>
              </w:rPr>
              <w:t xml:space="preserve">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&lt;EndNote&gt;&lt;Cite&gt;&lt;Author&gt;Rodríguez-García&lt;/Author&gt;&lt;Year&gt;2023&lt;/Year&gt;&lt;RecNum&gt;6431&lt;/RecNum&gt;&lt;DisplayText&gt;(Rodríguez-García et al., 2023)&lt;/DisplayText&gt;&lt;record&gt;&lt;rec-number&gt;6431&lt;/rec-number&gt;&lt;foreign-keys&gt;&lt;key app="EN" db-id="af0evp9er5rsrueeefpxrr2ie0xp2zexvfz0" timestamp="1771113665"&gt;6431&lt;/key&gt;&lt;/foreign-keys&gt;&lt;ref-type name="Journal Article"&gt;17&lt;/ref-type&gt;&lt;contributors&gt;&lt;authors&gt;&lt;author&gt;Rodríguez-García, Roberto&lt;/author&gt;&lt;author&gt;Ferrero-Ferrero, Idoya&lt;/author&gt;&lt;author&gt;Fernández-Izquierdo, María Ángeles&lt;/author&gt;&lt;/authors&gt;&lt;/contributors&gt;&lt;titles&gt;&lt;title&gt;Analysis of integration of sustainability in sustainability certifications in the hotel industry&lt;/title&gt;&lt;secondary-title&gt;Frontiers in Sustainability&lt;/secondary-title&gt;&lt;/titles&gt;&lt;periodical&gt;&lt;full-title&gt;Frontiers in Sustainability&lt;/full-title&gt;&lt;/periodical&gt;&lt;pages&gt;1116359&lt;/pages&gt;&lt;volume&gt;4&lt;/volume&gt;&lt;dates&gt;&lt;year&gt;2023&lt;/year&gt;&lt;/dates&gt;&lt;isbn&gt;2673-4524&lt;/isbn&gt;&lt;urls&gt;&lt;/urls&gt;&lt;/record&gt;&lt;/Cite&gt;&lt;/EndNote&gt;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(Rodríguez-García et al., 2023)</w:t>
            </w:r>
            <w:r w:rsidR="00082E2D">
              <w:rPr>
                <w:rFonts w:eastAsia="Times New Roman" w:cs="Times New Roman"/>
                <w:szCs w:val="24"/>
              </w:rPr>
              <w:fldChar w:fldCharType="end"/>
            </w:r>
            <w:r w:rsidR="00306BC8" w:rsidRPr="0047155F">
              <w:rPr>
                <w:rFonts w:eastAsia="Times New Roman" w:cs="Times New Roman"/>
                <w:szCs w:val="24"/>
              </w:rPr>
              <w:t>. Operational optimisation based on AI will lower energy expenses and differentiate.</w:t>
            </w:r>
          </w:p>
        </w:tc>
        <w:tc>
          <w:tcPr>
            <w:tcW w:w="0" w:type="auto"/>
            <w:shd w:val="clear" w:color="auto" w:fill="FFE599" w:themeFill="accent4" w:themeFillTint="66"/>
            <w:vAlign w:val="center"/>
          </w:tcPr>
          <w:p w14:paraId="0B541902" w14:textId="77777777" w:rsidR="00306BC8" w:rsidRPr="00306BC8" w:rsidRDefault="00306BC8" w:rsidP="00306BC8">
            <w:pPr>
              <w:jc w:val="center"/>
              <w:rPr>
                <w:rFonts w:ascii="Copperplate Gothic Bold" w:eastAsia="Times New Roman" w:hAnsi="Copperplate Gothic Bold" w:cs="Times New Roman"/>
                <w:b/>
                <w:sz w:val="48"/>
                <w:szCs w:val="24"/>
              </w:rPr>
            </w:pPr>
            <w:r w:rsidRPr="00306BC8">
              <w:rPr>
                <w:rFonts w:ascii="Copperplate Gothic Bold" w:eastAsia="Times New Roman" w:hAnsi="Copperplate Gothic Bold" w:cs="Times New Roman"/>
                <w:b/>
                <w:sz w:val="48"/>
                <w:szCs w:val="24"/>
              </w:rPr>
              <w:t>O</w:t>
            </w:r>
          </w:p>
        </w:tc>
      </w:tr>
      <w:tr w:rsidR="00306BC8" w:rsidRPr="0047155F" w14:paraId="45DE816F" w14:textId="77777777" w:rsidTr="00306BC8">
        <w:tc>
          <w:tcPr>
            <w:tcW w:w="0" w:type="auto"/>
            <w:shd w:val="clear" w:color="auto" w:fill="FFE599" w:themeFill="accent4" w:themeFillTint="66"/>
            <w:vAlign w:val="center"/>
            <w:hideMark/>
          </w:tcPr>
          <w:p w14:paraId="7D983116" w14:textId="77777777" w:rsidR="00306BC8" w:rsidRPr="0047155F" w:rsidRDefault="00306BC8" w:rsidP="00306BC8">
            <w:pPr>
              <w:jc w:val="center"/>
              <w:rPr>
                <w:rFonts w:ascii="Copperplate Gothic Bold" w:eastAsia="Times New Roman" w:hAnsi="Copperplate Gothic Bold" w:cs="Times New Roman"/>
                <w:szCs w:val="24"/>
              </w:rPr>
            </w:pPr>
            <w:r w:rsidRPr="00306BC8">
              <w:rPr>
                <w:rFonts w:ascii="Copperplate Gothic Bold" w:eastAsia="Times New Roman" w:hAnsi="Copperplate Gothic Bold" w:cs="Times New Roman"/>
                <w:b/>
                <w:bCs/>
                <w:szCs w:val="24"/>
              </w:rPr>
              <w:t>Threats</w:t>
            </w:r>
          </w:p>
        </w:tc>
        <w:tc>
          <w:tcPr>
            <w:tcW w:w="0" w:type="auto"/>
            <w:hideMark/>
          </w:tcPr>
          <w:p w14:paraId="52A02136" w14:textId="77777777" w:rsidR="00306BC8" w:rsidRPr="0047155F" w:rsidRDefault="00306BC8" w:rsidP="00306BC8">
            <w:pPr>
              <w:rPr>
                <w:rFonts w:eastAsia="Times New Roman" w:cs="Times New Roman"/>
                <w:szCs w:val="24"/>
              </w:rPr>
            </w:pPr>
            <w:r w:rsidRPr="0047155F">
              <w:rPr>
                <w:rFonts w:eastAsia="Times New Roman" w:cs="Times New Roman"/>
                <w:szCs w:val="24"/>
              </w:rPr>
              <w:t>Hackings jeopardize brand reputation. Compliance is a burden caused by GDPR and cross-border data limitations</w:t>
            </w:r>
            <w:r w:rsidR="00082E2D">
              <w:rPr>
                <w:rFonts w:eastAsia="Times New Roman" w:cs="Times New Roman"/>
                <w:szCs w:val="24"/>
              </w:rPr>
              <w:t xml:space="preserve">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&lt;EndNote&gt;&lt;Cite&gt;&lt;Author&gt;Avramidis&lt;/Author&gt;&lt;Year&gt;2022&lt;/Year&gt;&lt;RecNum&gt;6432&lt;/RecNum&gt;&lt;DisplayText&gt;(Avramidis et al., 2022)&lt;/DisplayText&gt;&lt;record&gt;&lt;rec-number&gt;6432&lt;/rec-number&gt;&lt;foreign-keys&gt;&lt;key app="EN" db-id="af0evp9er5rsrueeefpxrr2ie0xp2zexvfz0" timestamp="1771113704"&gt;6432&lt;/key&gt;&lt;/foreign-keys&gt;&lt;ref-type name="Journal Article"&gt;17&lt;/ref-type&gt;&lt;contributors&gt;&lt;authors&gt;&lt;author&gt;Avramidis, Panagiotis&lt;/author&gt;&lt;author&gt;Serfes, Konstantinos&lt;/author&gt;&lt;author&gt;Vlachos, Pavlos A&lt;/author&gt;&lt;author&gt;Panagopoulos, Nikolaos G&lt;/author&gt;&lt;/authors&gt;&lt;/contributors&gt;&lt;titles&gt;&lt;title&gt;Customer Data Privacy, Competition and Firm Performance&lt;/title&gt;&lt;secondary-title&gt;Competition and Firm Performance (April 1, 2022)&lt;/secondary-title&gt;&lt;/titles&gt;&lt;periodical&gt;&lt;full-title&gt;Competition and Firm Performance (April 1, 2022)&lt;/full-title&gt;&lt;/periodical&gt;&lt;dates&gt;&lt;year&gt;2022&lt;/year&gt;&lt;/dates&gt;&lt;urls&gt;&lt;/urls&gt;&lt;/record&gt;&lt;/Cite&gt;&lt;/EndNote&gt;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(Avramidis et al., 2022)</w:t>
            </w:r>
            <w:r w:rsidR="00082E2D">
              <w:rPr>
                <w:rFonts w:eastAsia="Times New Roman" w:cs="Times New Roman"/>
                <w:szCs w:val="24"/>
              </w:rPr>
              <w:fldChar w:fldCharType="end"/>
            </w:r>
            <w:r w:rsidRPr="0047155F">
              <w:rPr>
                <w:rFonts w:eastAsia="Times New Roman" w:cs="Times New Roman"/>
                <w:szCs w:val="24"/>
              </w:rPr>
              <w:t>. The occupancy is influenced by macroeconomic volatility. The adverse attitudes to AI as a substitute to human interaction can harm the service perception.</w:t>
            </w:r>
          </w:p>
        </w:tc>
        <w:tc>
          <w:tcPr>
            <w:tcW w:w="0" w:type="auto"/>
            <w:shd w:val="clear" w:color="auto" w:fill="FFE599" w:themeFill="accent4" w:themeFillTint="66"/>
            <w:vAlign w:val="center"/>
          </w:tcPr>
          <w:p w14:paraId="6426F6FF" w14:textId="77777777" w:rsidR="00306BC8" w:rsidRPr="00306BC8" w:rsidRDefault="00306BC8" w:rsidP="00306BC8">
            <w:pPr>
              <w:jc w:val="center"/>
              <w:rPr>
                <w:rFonts w:ascii="Copperplate Gothic Bold" w:eastAsia="Times New Roman" w:hAnsi="Copperplate Gothic Bold" w:cs="Times New Roman"/>
                <w:b/>
                <w:sz w:val="48"/>
                <w:szCs w:val="24"/>
              </w:rPr>
            </w:pPr>
            <w:r w:rsidRPr="00306BC8">
              <w:rPr>
                <w:rFonts w:ascii="Copperplate Gothic Bold" w:eastAsia="Times New Roman" w:hAnsi="Copperplate Gothic Bold" w:cs="Times New Roman"/>
                <w:b/>
                <w:sz w:val="48"/>
                <w:szCs w:val="24"/>
              </w:rPr>
              <w:t>T</w:t>
            </w:r>
          </w:p>
        </w:tc>
      </w:tr>
    </w:tbl>
    <w:p w14:paraId="04184F47" w14:textId="77777777" w:rsidR="0047155F" w:rsidRDefault="0047155F" w:rsidP="0047155F"/>
    <w:p w14:paraId="33A60300" w14:textId="77777777" w:rsidR="0064212D" w:rsidRDefault="0064212D" w:rsidP="0047155F">
      <w:r w:rsidRPr="0064212D">
        <w:t>The strengths would allow the stakeholders to be confident; the weaknesses and threats would require the organization to be transparent when engaging with the employees, regulators, and investors in order to overcome resistance and compliance risks, as well as reputational exposure.</w:t>
      </w:r>
    </w:p>
    <w:p w14:paraId="02CDF749" w14:textId="77777777" w:rsidR="0064212D" w:rsidRDefault="0064212D" w:rsidP="0064212D">
      <w:pPr>
        <w:pStyle w:val="Heading2"/>
      </w:pPr>
      <w:bookmarkStart w:id="3" w:name="_Toc222025053"/>
      <w:r>
        <w:rPr>
          <w:noProof/>
        </w:rPr>
        <w:lastRenderedPageBreak/>
        <w:drawing>
          <wp:anchor distT="0" distB="0" distL="114300" distR="114300" simplePos="0" relativeHeight="251658240" behindDoc="1" locked="0" layoutInCell="1" allowOverlap="1" wp14:anchorId="655C232A" wp14:editId="1ABDEE88">
            <wp:simplePos x="0" y="0"/>
            <wp:positionH relativeFrom="margin">
              <wp:align>center</wp:align>
            </wp:positionH>
            <wp:positionV relativeFrom="paragraph">
              <wp:posOffset>298450</wp:posOffset>
            </wp:positionV>
            <wp:extent cx="6813550" cy="2927350"/>
            <wp:effectExtent l="0" t="0" r="0" b="13335"/>
            <wp:wrapTight wrapText="bothSides">
              <wp:wrapPolygon edited="0">
                <wp:start x="2908" y="0"/>
                <wp:lineTo x="2517" y="130"/>
                <wp:lineTo x="1286" y="1692"/>
                <wp:lineTo x="1118" y="2733"/>
                <wp:lineTo x="727" y="4165"/>
                <wp:lineTo x="559" y="6248"/>
                <wp:lineTo x="615" y="8330"/>
                <wp:lineTo x="1063" y="10413"/>
                <wp:lineTo x="1063" y="10543"/>
                <wp:lineTo x="2013" y="12495"/>
                <wp:lineTo x="3411" y="14578"/>
                <wp:lineTo x="3523" y="16660"/>
                <wp:lineTo x="3915" y="18743"/>
                <wp:lineTo x="3915" y="18873"/>
                <wp:lineTo x="4921" y="20956"/>
                <wp:lineTo x="5704" y="21607"/>
                <wp:lineTo x="5816" y="21607"/>
                <wp:lineTo x="18734" y="21607"/>
                <wp:lineTo x="18846" y="21607"/>
                <wp:lineTo x="19685" y="20956"/>
                <wp:lineTo x="20635" y="18743"/>
                <wp:lineTo x="21250" y="18743"/>
                <wp:lineTo x="21362" y="18222"/>
                <wp:lineTo x="21027" y="16660"/>
                <wp:lineTo x="21362" y="16270"/>
                <wp:lineTo x="21418" y="15489"/>
                <wp:lineTo x="21083" y="14578"/>
                <wp:lineTo x="20915" y="12495"/>
                <wp:lineTo x="20356" y="10022"/>
                <wp:lineTo x="19181" y="8721"/>
                <wp:lineTo x="18510" y="8330"/>
                <wp:lineTo x="18510" y="6898"/>
                <wp:lineTo x="18119" y="6248"/>
                <wp:lineTo x="17951" y="4165"/>
                <wp:lineTo x="17504" y="2473"/>
                <wp:lineTo x="17448" y="1692"/>
                <wp:lineTo x="16273" y="260"/>
                <wp:lineTo x="15770" y="0"/>
                <wp:lineTo x="2908" y="0"/>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t>PESTLE Analysis (Macro-Environmental Factors)</w:t>
      </w:r>
      <w:bookmarkEnd w:id="3"/>
    </w:p>
    <w:p w14:paraId="32946EA8" w14:textId="77777777" w:rsidR="0064212D" w:rsidRDefault="0064212D" w:rsidP="0064212D"/>
    <w:p w14:paraId="0365F349" w14:textId="77777777" w:rsidR="0064212D" w:rsidRDefault="0064212D" w:rsidP="0064212D"/>
    <w:p w14:paraId="7932F03D" w14:textId="77777777" w:rsidR="0064212D" w:rsidRDefault="0064212D" w:rsidP="0064212D"/>
    <w:p w14:paraId="32374142" w14:textId="77777777" w:rsidR="0064212D" w:rsidRDefault="0064212D" w:rsidP="0064212D"/>
    <w:p w14:paraId="0CCF4670" w14:textId="77777777" w:rsidR="0064212D" w:rsidRDefault="0064212D" w:rsidP="0064212D"/>
    <w:p w14:paraId="06CDF8C7" w14:textId="77777777" w:rsidR="0064212D" w:rsidRDefault="0064212D" w:rsidP="0064212D"/>
    <w:p w14:paraId="26CDA5B7" w14:textId="77777777" w:rsidR="0064212D" w:rsidRDefault="0064212D" w:rsidP="0064212D"/>
    <w:p w14:paraId="3A5B1288" w14:textId="77777777" w:rsidR="0064212D" w:rsidRDefault="0064212D" w:rsidP="0064212D"/>
    <w:p w14:paraId="52E2B5F6" w14:textId="77777777" w:rsidR="0064212D" w:rsidRDefault="0064212D" w:rsidP="0064212D"/>
    <w:p w14:paraId="5E6B6DF1" w14:textId="77777777" w:rsidR="0064212D" w:rsidRDefault="0064212D" w:rsidP="0064212D">
      <w:r w:rsidRPr="0064212D">
        <w:t>The complexity of the macro-environment brings the need to have organized stakeholder discourse and cross-border coordination that will support legitimacy.</w:t>
      </w:r>
    </w:p>
    <w:p w14:paraId="5A658CA4" w14:textId="77777777" w:rsidR="0064212D" w:rsidRDefault="0064212D" w:rsidP="0064212D">
      <w:pPr>
        <w:pStyle w:val="Heading2"/>
      </w:pPr>
      <w:bookmarkStart w:id="4" w:name="_Toc222025054"/>
      <w:r>
        <w:t>SMART Objectives (Project Accountability Framework)</w:t>
      </w:r>
      <w:bookmarkEnd w:id="4"/>
    </w:p>
    <w:p w14:paraId="04D16478" w14:textId="77777777" w:rsidR="00306BC8" w:rsidRDefault="00306BC8" w:rsidP="00306BC8">
      <w:pPr>
        <w:pStyle w:val="ListParagraph"/>
        <w:numPr>
          <w:ilvl w:val="0"/>
          <w:numId w:val="48"/>
        </w:numPr>
      </w:pPr>
      <w:r>
        <w:t>Grow the level of guest satisfaction by 15% in 12 months.</w:t>
      </w:r>
    </w:p>
    <w:p w14:paraId="700810DB" w14:textId="77777777" w:rsidR="00306BC8" w:rsidRDefault="00306BC8" w:rsidP="00306BC8">
      <w:pPr>
        <w:pStyle w:val="ListParagraph"/>
        <w:numPr>
          <w:ilvl w:val="0"/>
          <w:numId w:val="48"/>
        </w:numPr>
      </w:pPr>
      <w:r>
        <w:t>70% utilisation of AI concierge in a year.</w:t>
      </w:r>
    </w:p>
    <w:p w14:paraId="007B836B" w14:textId="77777777" w:rsidR="00306BC8" w:rsidRDefault="00306BC8" w:rsidP="00306BC8">
      <w:pPr>
        <w:pStyle w:val="ListParagraph"/>
        <w:numPr>
          <w:ilvl w:val="0"/>
          <w:numId w:val="48"/>
        </w:numPr>
      </w:pPr>
      <w:r>
        <w:t>Reduce the energy use of property by 10% in six months.</w:t>
      </w:r>
    </w:p>
    <w:p w14:paraId="1D6D5BE4" w14:textId="77777777" w:rsidR="00306BC8" w:rsidRDefault="00306BC8" w:rsidP="00306BC8">
      <w:pPr>
        <w:pStyle w:val="ListParagraph"/>
        <w:numPr>
          <w:ilvl w:val="0"/>
          <w:numId w:val="48"/>
        </w:numPr>
      </w:pPr>
      <w:r>
        <w:t>Through 100% regulatory compliance before launching.</w:t>
      </w:r>
    </w:p>
    <w:p w14:paraId="076B0044" w14:textId="77777777" w:rsidR="00306BC8" w:rsidRPr="00306BC8" w:rsidRDefault="00306BC8" w:rsidP="00306BC8">
      <w:r>
        <w:t>These quantifiable targets establish performance transparency that enhances accountability processes between the managerial, operational and regulatory stakeholders.</w:t>
      </w:r>
    </w:p>
    <w:p w14:paraId="2EF5E5CB" w14:textId="77777777" w:rsidR="0064212D" w:rsidRDefault="00306BC8" w:rsidP="00306BC8">
      <w:pPr>
        <w:pStyle w:val="Heading1"/>
      </w:pPr>
      <w:bookmarkStart w:id="5" w:name="_Toc222025055"/>
      <w:r>
        <w:t xml:space="preserve">Identification and </w:t>
      </w:r>
      <w:r w:rsidR="007C28EB">
        <w:t>Categorization</w:t>
      </w:r>
      <w:r>
        <w:t xml:space="preserve"> of Key Stakeholders</w:t>
      </w:r>
      <w:bookmarkEnd w:id="5"/>
    </w:p>
    <w:p w14:paraId="2A7D579B" w14:textId="77777777" w:rsidR="00306BC8" w:rsidRDefault="00306BC8" w:rsidP="00306BC8">
      <w:pPr>
        <w:pStyle w:val="Heading2"/>
      </w:pPr>
      <w:bookmarkStart w:id="6" w:name="_Toc222025056"/>
      <w:r>
        <w:t>Internal Stakeholders</w:t>
      </w:r>
      <w:bookmarkEnd w:id="6"/>
    </w:p>
    <w:tbl>
      <w:tblPr>
        <w:tblStyle w:val="GridTable5Dark-Accent6"/>
        <w:tblW w:w="0" w:type="auto"/>
        <w:tblLook w:val="04A0" w:firstRow="1" w:lastRow="0" w:firstColumn="1" w:lastColumn="0" w:noHBand="0" w:noVBand="1"/>
      </w:tblPr>
      <w:tblGrid>
        <w:gridCol w:w="2599"/>
        <w:gridCol w:w="6751"/>
      </w:tblGrid>
      <w:tr w:rsidR="00306BC8" w:rsidRPr="00306BC8" w14:paraId="612430AF" w14:textId="77777777" w:rsidTr="00306B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968FA4" w14:textId="77777777" w:rsidR="00306BC8" w:rsidRPr="00306BC8" w:rsidRDefault="00306BC8" w:rsidP="00306BC8">
            <w:pPr>
              <w:jc w:val="center"/>
              <w:rPr>
                <w:rFonts w:eastAsia="Times New Roman" w:cs="Times New Roman"/>
                <w:szCs w:val="24"/>
              </w:rPr>
            </w:pPr>
            <w:r w:rsidRPr="00306BC8">
              <w:rPr>
                <w:rFonts w:eastAsia="Times New Roman" w:cs="Times New Roman"/>
                <w:szCs w:val="24"/>
              </w:rPr>
              <w:t>Stakeholder</w:t>
            </w:r>
          </w:p>
        </w:tc>
        <w:tc>
          <w:tcPr>
            <w:tcW w:w="0" w:type="auto"/>
            <w:hideMark/>
          </w:tcPr>
          <w:p w14:paraId="1C115CDC" w14:textId="77777777" w:rsidR="00306BC8" w:rsidRPr="00306BC8" w:rsidRDefault="00306BC8" w:rsidP="00306BC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306BC8">
              <w:rPr>
                <w:rFonts w:eastAsia="Times New Roman" w:cs="Times New Roman"/>
                <w:szCs w:val="24"/>
              </w:rPr>
              <w:t>Strategic Role in StaySmart+ Implementation</w:t>
            </w:r>
          </w:p>
        </w:tc>
      </w:tr>
      <w:tr w:rsidR="00306BC8" w:rsidRPr="00306BC8" w14:paraId="18588CF7" w14:textId="77777777" w:rsidTr="00306B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6C9A14"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t>Board of Directors</w:t>
            </w:r>
          </w:p>
        </w:tc>
        <w:tc>
          <w:tcPr>
            <w:tcW w:w="0" w:type="auto"/>
            <w:hideMark/>
          </w:tcPr>
          <w:p w14:paraId="155FD419" w14:textId="77777777" w:rsidR="00306BC8" w:rsidRPr="00306BC8" w:rsidRDefault="00306BC8" w:rsidP="00306BC8">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06BC8">
              <w:rPr>
                <w:rFonts w:eastAsia="Times New Roman" w:cs="Times New Roman"/>
                <w:szCs w:val="24"/>
              </w:rPr>
              <w:t xml:space="preserve">Governs AI infrastructure, grants capital investment on AI infrastructure, and guarantees the risk is properly attached to corporate ESG plan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&lt;EndNote&gt;&lt;Cite&gt;&lt;Author&gt;Freeman&lt;/Author&gt;&lt;Year&gt;2010&lt;/Year&gt;&lt;RecNum&gt;556&lt;/RecNum&gt;&lt;DisplayText&gt;(Freeman, 2010)&lt;/DisplayText&gt;&lt;record&gt;&lt;rec-number&gt;556&lt;/rec-number&gt;&lt;foreign-keys&gt;&lt;key app="EN" db-id="af0evp9er5rsrueeefpxrr2ie0xp2zexvfz0" timestamp="1765609790"&gt;556&lt;/key&gt;&lt;/foreign-keys&gt;&lt;ref-type name="Book"&gt;6&lt;/ref-type&gt;&lt;contributors&gt;&lt;authors&gt;&lt;author&gt;Freeman, R Edward&lt;/author&gt;&lt;/authors&gt;&lt;/contributors&gt;&lt;titles&gt;&lt;title&gt;Strategic management: A stakeholder approach&lt;/title&gt;&lt;/titles&gt;&lt;dates&gt;&lt;year&gt;2010&lt;/year&gt;&lt;/dates&gt;&lt;publisher&gt;Cambridge university press&lt;/publisher&gt;&lt;isbn&gt;0521151740&lt;/isbn&gt;&lt;urls&gt;&lt;/urls&gt;&lt;/record&gt;&lt;/Cite&gt;&lt;/EndNote&gt;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(Freeman, 2010)</w:t>
            </w:r>
            <w:r w:rsidR="00082E2D">
              <w:rPr>
                <w:rFonts w:eastAsia="Times New Roman" w:cs="Times New Roman"/>
                <w:szCs w:val="24"/>
              </w:rPr>
              <w:fldChar w:fldCharType="end"/>
            </w:r>
            <w:r w:rsidRPr="00306BC8">
              <w:rPr>
                <w:rFonts w:eastAsia="Times New Roman" w:cs="Times New Roman"/>
                <w:szCs w:val="24"/>
              </w:rPr>
              <w:t>.</w:t>
            </w:r>
          </w:p>
        </w:tc>
      </w:tr>
      <w:tr w:rsidR="00306BC8" w:rsidRPr="00306BC8" w14:paraId="3285F105" w14:textId="77777777" w:rsidTr="00306BC8">
        <w:tc>
          <w:tcPr>
            <w:cnfStyle w:val="001000000000" w:firstRow="0" w:lastRow="0" w:firstColumn="1" w:lastColumn="0" w:oddVBand="0" w:evenVBand="0" w:oddHBand="0" w:evenHBand="0" w:firstRowFirstColumn="0" w:firstRowLastColumn="0" w:lastRowFirstColumn="0" w:lastRowLastColumn="0"/>
            <w:tcW w:w="0" w:type="auto"/>
            <w:hideMark/>
          </w:tcPr>
          <w:p w14:paraId="182496F5"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t>Senior Management</w:t>
            </w:r>
          </w:p>
        </w:tc>
        <w:tc>
          <w:tcPr>
            <w:tcW w:w="0" w:type="auto"/>
            <w:hideMark/>
          </w:tcPr>
          <w:p w14:paraId="4EBFE375" w14:textId="77777777" w:rsidR="00306BC8" w:rsidRPr="00306BC8" w:rsidRDefault="00306BC8" w:rsidP="00306BC8">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06BC8">
              <w:rPr>
                <w:rFonts w:eastAsia="Times New Roman" w:cs="Times New Roman"/>
                <w:szCs w:val="24"/>
              </w:rPr>
              <w:t>Turns strategic intent into operational priorities, and assigns inter-functional resources, as well as reviews performance metrics.</w:t>
            </w:r>
          </w:p>
        </w:tc>
      </w:tr>
      <w:tr w:rsidR="00306BC8" w:rsidRPr="00306BC8" w14:paraId="3A523A65" w14:textId="77777777" w:rsidTr="00306B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C2DC6"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lastRenderedPageBreak/>
              <w:t>Project Management Team</w:t>
            </w:r>
          </w:p>
        </w:tc>
        <w:tc>
          <w:tcPr>
            <w:tcW w:w="0" w:type="auto"/>
            <w:hideMark/>
          </w:tcPr>
          <w:p w14:paraId="51F4E06B" w14:textId="77777777" w:rsidR="00306BC8" w:rsidRPr="00306BC8" w:rsidRDefault="00306BC8" w:rsidP="00306BC8">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06BC8">
              <w:rPr>
                <w:rFonts w:eastAsia="Times New Roman" w:cs="Times New Roman"/>
                <w:szCs w:val="24"/>
              </w:rPr>
              <w:t>Organizes schedules, blends stakeholder anticipations, and removes interdepartmental discordance in implementation.</w:t>
            </w:r>
          </w:p>
        </w:tc>
      </w:tr>
      <w:tr w:rsidR="00306BC8" w:rsidRPr="00306BC8" w14:paraId="53D1F2A6" w14:textId="77777777" w:rsidTr="00306BC8">
        <w:tc>
          <w:tcPr>
            <w:cnfStyle w:val="001000000000" w:firstRow="0" w:lastRow="0" w:firstColumn="1" w:lastColumn="0" w:oddVBand="0" w:evenVBand="0" w:oddHBand="0" w:evenHBand="0" w:firstRowFirstColumn="0" w:firstRowLastColumn="0" w:lastRowFirstColumn="0" w:lastRowLastColumn="0"/>
            <w:tcW w:w="0" w:type="auto"/>
            <w:hideMark/>
          </w:tcPr>
          <w:p w14:paraId="7F970024"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t>IT &amp; Digital Transformation Teams</w:t>
            </w:r>
          </w:p>
        </w:tc>
        <w:tc>
          <w:tcPr>
            <w:tcW w:w="0" w:type="auto"/>
            <w:hideMark/>
          </w:tcPr>
          <w:p w14:paraId="5EED61E8" w14:textId="77777777" w:rsidR="00306BC8" w:rsidRPr="00306BC8" w:rsidRDefault="00306BC8" w:rsidP="00306BC8">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06BC8">
              <w:rPr>
                <w:rFonts w:eastAsia="Times New Roman" w:cs="Times New Roman"/>
                <w:szCs w:val="24"/>
              </w:rPr>
              <w:t xml:space="preserve">Architecture Design AI, administer cybersecurity measures, and make sure that it can interoperate with existing online systems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&lt;EndNote&gt;&lt;Cite&gt;&lt;Author&gt;Buhalis&lt;/Author&gt;&lt;Year&gt;2023&lt;/Year&gt;&lt;RecNum&gt;6433&lt;/RecNum&gt;&lt;DisplayText&gt;(Buhalis et al., 2023)&lt;/DisplayText&gt;&lt;record&gt;&lt;rec-number&gt;6433&lt;/rec-number&gt;&lt;foreign-keys&gt;&lt;key app="EN" db-id="af0evp9er5rsrueeefpxrr2ie0xp2zexvfz0" timestamp="1771113752"&gt;6433&lt;/key&gt;&lt;/foreign-keys&gt;&lt;ref-type name="Journal Article"&gt;17&lt;/ref-type&gt;&lt;contributors&gt;&lt;authors&gt;&lt;author&gt;Buhalis, Dimitrios&lt;/author&gt;&lt;author&gt;O’Connor, Peter&lt;/author&gt;&lt;author&gt;Leung, Rosanna&lt;/author&gt;&lt;/authors&gt;&lt;/contributors&gt;&lt;titles&gt;&lt;title&gt;Smart hospitality: from smart cities and smart tourism towards agile business ecosystems in networked destinations&lt;/title&gt;&lt;secondary-title&gt;International Journal of Contemporary Hospitality Management&lt;/secondary-title&gt;&lt;/titles&gt;&lt;periodical&gt;&lt;full-title&gt;International Journal of Contemporary Hospitality Management&lt;/full-title&gt;&lt;/periodical&gt;&lt;pages&gt;369-393&lt;/pages&gt;&lt;volume&gt;35&lt;/volume&gt;&lt;number&gt;1&lt;/number&gt;&lt;dates&gt;&lt;year&gt;2023&lt;/year&gt;&lt;/dates&gt;&lt;isbn&gt;0959-6119&lt;/isbn&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(Buhalis et al., 2023)</w:t>
            </w:r>
            <w:r w:rsidR="00082E2D">
              <w:rPr>
                <w:rFonts w:eastAsia="Times New Roman" w:cs="Times New Roman"/>
                <w:szCs w:val="24"/>
              </w:rPr>
              <w:fldChar w:fldCharType="end"/>
            </w:r>
            <w:r w:rsidRPr="00306BC8">
              <w:rPr>
                <w:rFonts w:eastAsia="Times New Roman" w:cs="Times New Roman"/>
                <w:szCs w:val="24"/>
              </w:rPr>
              <w:t>.</w:t>
            </w:r>
          </w:p>
        </w:tc>
      </w:tr>
      <w:tr w:rsidR="00306BC8" w:rsidRPr="00306BC8" w14:paraId="069E1AE1" w14:textId="77777777" w:rsidTr="00306B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569D53"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t>Operations Managers</w:t>
            </w:r>
          </w:p>
        </w:tc>
        <w:tc>
          <w:tcPr>
            <w:tcW w:w="0" w:type="auto"/>
            <w:hideMark/>
          </w:tcPr>
          <w:p w14:paraId="6DDE5CE1" w14:textId="77777777" w:rsidR="00306BC8" w:rsidRPr="00306BC8" w:rsidRDefault="007C28EB" w:rsidP="00306BC8">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06BC8">
              <w:rPr>
                <w:rFonts w:eastAsia="Times New Roman" w:cs="Times New Roman"/>
                <w:szCs w:val="24"/>
              </w:rPr>
              <w:t>Operationalize</w:t>
            </w:r>
            <w:r w:rsidR="00306BC8" w:rsidRPr="00306BC8">
              <w:rPr>
                <w:rFonts w:eastAsia="Times New Roman" w:cs="Times New Roman"/>
                <w:szCs w:val="24"/>
              </w:rPr>
              <w:t xml:space="preserve"> AI-enabled processes across properties and </w:t>
            </w:r>
            <w:r w:rsidRPr="00306BC8">
              <w:rPr>
                <w:rFonts w:eastAsia="Times New Roman" w:cs="Times New Roman"/>
                <w:szCs w:val="24"/>
              </w:rPr>
              <w:t>standardize</w:t>
            </w:r>
            <w:r w:rsidR="00306BC8" w:rsidRPr="00306BC8">
              <w:rPr>
                <w:rFonts w:eastAsia="Times New Roman" w:cs="Times New Roman"/>
                <w:szCs w:val="24"/>
              </w:rPr>
              <w:t xml:space="preserve"> service delivery.</w:t>
            </w:r>
          </w:p>
        </w:tc>
      </w:tr>
      <w:tr w:rsidR="00306BC8" w:rsidRPr="00306BC8" w14:paraId="5FE94EC5" w14:textId="77777777" w:rsidTr="00306BC8">
        <w:tc>
          <w:tcPr>
            <w:cnfStyle w:val="001000000000" w:firstRow="0" w:lastRow="0" w:firstColumn="1" w:lastColumn="0" w:oddVBand="0" w:evenVBand="0" w:oddHBand="0" w:evenHBand="0" w:firstRowFirstColumn="0" w:firstRowLastColumn="0" w:lastRowFirstColumn="0" w:lastRowLastColumn="0"/>
            <w:tcW w:w="0" w:type="auto"/>
            <w:hideMark/>
          </w:tcPr>
          <w:p w14:paraId="7A79D5DE"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t>Frontline Employees</w:t>
            </w:r>
          </w:p>
        </w:tc>
        <w:tc>
          <w:tcPr>
            <w:tcW w:w="0" w:type="auto"/>
            <w:hideMark/>
          </w:tcPr>
          <w:p w14:paraId="2F0EA554" w14:textId="77777777" w:rsidR="00306BC8" w:rsidRPr="00306BC8" w:rsidRDefault="00306BC8" w:rsidP="00306BC8">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06BC8">
              <w:rPr>
                <w:rFonts w:eastAsia="Times New Roman" w:cs="Times New Roman"/>
                <w:szCs w:val="24"/>
              </w:rPr>
              <w:t xml:space="preserve">Provide AI-enhanced guest experiences; the perception of their acceptability will directly affect service quality </w:t>
            </w:r>
            <w:r w:rsidR="00082E2D">
              <w:rPr>
                <w:rFonts w:eastAsia="Times New Roman" w:cs="Times New Roman"/>
                <w:szCs w:val="24"/>
              </w:rPr>
              <w:fldChar w:fldCharType="begin"/>
            </w:r>
            <w:r w:rsidR="00082E2D">
              <w:rPr>
                <w:rFonts w:eastAsia="Times New Roman" w:cs="Times New Roman"/>
                <w:szCs w:val="24"/>
              </w:rPr>
              <w:instrText xml:space="preserve"> ADDIN EN.CITE &lt;EndNote&gt;&lt;Cite&gt;&lt;Author&gt;Webster&lt;/Author&gt;&lt;Year&gt;2023&lt;/Year&gt;&lt;RecNum&gt;6434&lt;/RecNum&gt;&lt;DisplayText&gt;(Webster and Ivanov, 2023)&lt;/DisplayText&gt;&lt;record&gt;&lt;rec-number&gt;6434&lt;/rec-number&gt;&lt;foreign-keys&gt;&lt;key app="EN" db-id="af0evp9er5rsrueeefpxrr2ie0xp2zexvfz0" timestamp="1771113781"&gt;6434&lt;/key&gt;&lt;/foreign-keys&gt;&lt;ref-type name="Book Section"&gt;5&lt;/ref-type&gt;&lt;contributors&gt;&lt;authors&gt;&lt;author&gt;Webster, Craig&lt;/author&gt;&lt;author&gt;Ivanov, Stanislav&lt;/author&gt;&lt;/authors&gt;&lt;/contributors&gt;&lt;titles&gt;&lt;title&gt;Robots, artificial intelligence and service automation in tourism and quality of life&lt;/title&gt;&lt;secondary-title&gt;Handbook of Tourism and Quality-of-Life Research II: Enhancing the Lives of Tourists, Residents of Host Communities and Service Providers&lt;/secondary-title&gt;&lt;/titles&gt;&lt;pages&gt;533-544&lt;/pages&gt;&lt;dates&gt;&lt;year&gt;2023&lt;/year&gt;&lt;/dates&gt;&lt;publisher&gt;Springer&lt;/publisher&gt;&lt;urls&gt;&lt;/urls&gt;&lt;/record&gt;&lt;/Cite&gt;&lt;/EndNote&gt;</w:instrText>
            </w:r>
            <w:r w:rsidR="00082E2D">
              <w:rPr>
                <w:rFonts w:eastAsia="Times New Roman" w:cs="Times New Roman"/>
                <w:szCs w:val="24"/>
              </w:rPr>
              <w:fldChar w:fldCharType="separate"/>
            </w:r>
            <w:r w:rsidR="00082E2D">
              <w:rPr>
                <w:rFonts w:eastAsia="Times New Roman" w:cs="Times New Roman"/>
                <w:noProof/>
                <w:szCs w:val="24"/>
              </w:rPr>
              <w:t>(Webster and Ivanov, 2023)</w:t>
            </w:r>
            <w:r w:rsidR="00082E2D">
              <w:rPr>
                <w:rFonts w:eastAsia="Times New Roman" w:cs="Times New Roman"/>
                <w:szCs w:val="24"/>
              </w:rPr>
              <w:fldChar w:fldCharType="end"/>
            </w:r>
            <w:r w:rsidRPr="00306BC8">
              <w:rPr>
                <w:rFonts w:eastAsia="Times New Roman" w:cs="Times New Roman"/>
                <w:szCs w:val="24"/>
              </w:rPr>
              <w:t>.</w:t>
            </w:r>
          </w:p>
        </w:tc>
      </w:tr>
      <w:tr w:rsidR="00306BC8" w:rsidRPr="00306BC8" w14:paraId="59DE8817" w14:textId="77777777" w:rsidTr="00306B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7FD1CE"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t>HR &amp; Training Departments</w:t>
            </w:r>
          </w:p>
        </w:tc>
        <w:tc>
          <w:tcPr>
            <w:tcW w:w="0" w:type="auto"/>
            <w:hideMark/>
          </w:tcPr>
          <w:p w14:paraId="06A09771" w14:textId="77777777" w:rsidR="00306BC8" w:rsidRPr="00306BC8" w:rsidRDefault="00306BC8" w:rsidP="00306BC8">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06BC8">
              <w:rPr>
                <w:rFonts w:eastAsia="Times New Roman" w:cs="Times New Roman"/>
                <w:szCs w:val="24"/>
              </w:rPr>
              <w:t>Develop digital competency programmes and manage change-readiness initiatives.</w:t>
            </w:r>
          </w:p>
        </w:tc>
      </w:tr>
      <w:tr w:rsidR="00306BC8" w:rsidRPr="00306BC8" w14:paraId="04E453D5" w14:textId="77777777" w:rsidTr="00306BC8">
        <w:tc>
          <w:tcPr>
            <w:cnfStyle w:val="001000000000" w:firstRow="0" w:lastRow="0" w:firstColumn="1" w:lastColumn="0" w:oddVBand="0" w:evenVBand="0" w:oddHBand="0" w:evenHBand="0" w:firstRowFirstColumn="0" w:firstRowLastColumn="0" w:lastRowFirstColumn="0" w:lastRowLastColumn="0"/>
            <w:tcW w:w="0" w:type="auto"/>
            <w:hideMark/>
          </w:tcPr>
          <w:p w14:paraId="4917C37B" w14:textId="77777777" w:rsidR="00306BC8" w:rsidRPr="00306BC8" w:rsidRDefault="00306BC8" w:rsidP="00306BC8">
            <w:pPr>
              <w:jc w:val="left"/>
              <w:rPr>
                <w:rFonts w:eastAsia="Times New Roman" w:cs="Times New Roman"/>
                <w:szCs w:val="24"/>
              </w:rPr>
            </w:pPr>
            <w:r w:rsidRPr="00306BC8">
              <w:rPr>
                <w:rFonts w:eastAsia="Times New Roman" w:cs="Times New Roman"/>
                <w:szCs w:val="24"/>
              </w:rPr>
              <w:t>Marketing &amp; Sales Teams</w:t>
            </w:r>
          </w:p>
        </w:tc>
        <w:tc>
          <w:tcPr>
            <w:tcW w:w="0" w:type="auto"/>
            <w:hideMark/>
          </w:tcPr>
          <w:p w14:paraId="2FB31974" w14:textId="77777777" w:rsidR="00306BC8" w:rsidRPr="00306BC8" w:rsidRDefault="00306BC8" w:rsidP="00306BC8">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06BC8">
              <w:rPr>
                <w:rFonts w:eastAsia="Times New Roman" w:cs="Times New Roman"/>
                <w:szCs w:val="24"/>
              </w:rPr>
              <w:t>Position StaySmart+ within premium customer segments and communicate value propositions.</w:t>
            </w:r>
          </w:p>
        </w:tc>
      </w:tr>
    </w:tbl>
    <w:p w14:paraId="4670B9F1" w14:textId="77777777" w:rsidR="00306BC8" w:rsidRDefault="00306BC8" w:rsidP="00306BC8"/>
    <w:p w14:paraId="6D9A28CA" w14:textId="77777777" w:rsidR="00306BC8" w:rsidRDefault="00306BC8" w:rsidP="00306BC8">
      <w:pPr>
        <w:pStyle w:val="Heading2"/>
      </w:pPr>
      <w:bookmarkStart w:id="7" w:name="_Toc222025057"/>
      <w:r>
        <w:t>External Stakeholders</w:t>
      </w:r>
      <w:bookmarkEnd w:id="7"/>
    </w:p>
    <w:tbl>
      <w:tblPr>
        <w:tblStyle w:val="GridTable5Dark-Accent5"/>
        <w:tblW w:w="0" w:type="auto"/>
        <w:tblLook w:val="04A0" w:firstRow="1" w:lastRow="0" w:firstColumn="1" w:lastColumn="0" w:noHBand="0" w:noVBand="1"/>
      </w:tblPr>
      <w:tblGrid>
        <w:gridCol w:w="2605"/>
        <w:gridCol w:w="6745"/>
      </w:tblGrid>
      <w:tr w:rsidR="00306BC8" w:rsidRPr="00306BC8" w14:paraId="14FB2FD3" w14:textId="77777777" w:rsidTr="003637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hideMark/>
          </w:tcPr>
          <w:p w14:paraId="4E1BD035" w14:textId="77777777" w:rsidR="00306BC8" w:rsidRPr="00306BC8" w:rsidRDefault="00306BC8" w:rsidP="00363793">
            <w:pPr>
              <w:jc w:val="center"/>
              <w:rPr>
                <w:rFonts w:eastAsia="Times New Roman" w:cs="Times New Roman"/>
                <w:szCs w:val="24"/>
              </w:rPr>
            </w:pPr>
            <w:r w:rsidRPr="00306BC8">
              <w:rPr>
                <w:rFonts w:eastAsia="Times New Roman" w:cs="Times New Roman"/>
                <w:szCs w:val="24"/>
              </w:rPr>
              <w:t>Stakeholder</w:t>
            </w:r>
          </w:p>
        </w:tc>
        <w:tc>
          <w:tcPr>
            <w:tcW w:w="6745" w:type="dxa"/>
            <w:hideMark/>
          </w:tcPr>
          <w:p w14:paraId="1C0F60A4" w14:textId="77777777" w:rsidR="00306BC8" w:rsidRPr="00306BC8" w:rsidRDefault="00306BC8" w:rsidP="0036379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306BC8">
              <w:rPr>
                <w:rFonts w:eastAsia="Times New Roman" w:cs="Times New Roman"/>
                <w:szCs w:val="24"/>
              </w:rPr>
              <w:t>Strategic Influence on Project Success</w:t>
            </w:r>
          </w:p>
        </w:tc>
      </w:tr>
      <w:tr w:rsidR="00306BC8" w:rsidRPr="00306BC8" w14:paraId="50029699" w14:textId="77777777" w:rsidTr="003637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hideMark/>
          </w:tcPr>
          <w:p w14:paraId="036666A1" w14:textId="77777777" w:rsidR="00306BC8" w:rsidRPr="00306BC8" w:rsidRDefault="00306BC8" w:rsidP="00363793">
            <w:pPr>
              <w:jc w:val="left"/>
              <w:rPr>
                <w:rFonts w:eastAsia="Times New Roman" w:cs="Times New Roman"/>
                <w:szCs w:val="24"/>
              </w:rPr>
            </w:pPr>
            <w:r w:rsidRPr="00306BC8">
              <w:rPr>
                <w:rFonts w:eastAsia="Times New Roman" w:cs="Times New Roman"/>
                <w:szCs w:val="24"/>
              </w:rPr>
              <w:t>Customers</w:t>
            </w:r>
          </w:p>
        </w:tc>
        <w:tc>
          <w:tcPr>
            <w:tcW w:w="6745" w:type="dxa"/>
            <w:hideMark/>
          </w:tcPr>
          <w:p w14:paraId="0A7BF214" w14:textId="77777777" w:rsidR="00306BC8" w:rsidRPr="00306BC8" w:rsidRDefault="00306BC8" w:rsidP="0036379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06BC8">
              <w:rPr>
                <w:rFonts w:eastAsia="Times New Roman" w:cs="Times New Roman"/>
                <w:szCs w:val="24"/>
              </w:rPr>
              <w:t>Adoption behaviour determines utilisation rates and satisfaction outcomes.</w:t>
            </w:r>
          </w:p>
        </w:tc>
      </w:tr>
      <w:tr w:rsidR="00306BC8" w:rsidRPr="00306BC8" w14:paraId="7AD70AAE" w14:textId="77777777" w:rsidTr="00363793">
        <w:tc>
          <w:tcPr>
            <w:cnfStyle w:val="001000000000" w:firstRow="0" w:lastRow="0" w:firstColumn="1" w:lastColumn="0" w:oddVBand="0" w:evenVBand="0" w:oddHBand="0" w:evenHBand="0" w:firstRowFirstColumn="0" w:firstRowLastColumn="0" w:lastRowFirstColumn="0" w:lastRowLastColumn="0"/>
            <w:tcW w:w="2605" w:type="dxa"/>
            <w:hideMark/>
          </w:tcPr>
          <w:p w14:paraId="0E58414E" w14:textId="77777777" w:rsidR="00306BC8" w:rsidRPr="00306BC8" w:rsidRDefault="00306BC8" w:rsidP="00363793">
            <w:pPr>
              <w:jc w:val="left"/>
              <w:rPr>
                <w:rFonts w:eastAsia="Times New Roman" w:cs="Times New Roman"/>
                <w:szCs w:val="24"/>
              </w:rPr>
            </w:pPr>
            <w:r w:rsidRPr="00306BC8">
              <w:rPr>
                <w:rFonts w:eastAsia="Times New Roman" w:cs="Times New Roman"/>
                <w:szCs w:val="24"/>
              </w:rPr>
              <w:t>Technology Vendors</w:t>
            </w:r>
          </w:p>
        </w:tc>
        <w:tc>
          <w:tcPr>
            <w:tcW w:w="6745" w:type="dxa"/>
            <w:hideMark/>
          </w:tcPr>
          <w:p w14:paraId="6ACDF904" w14:textId="77777777" w:rsidR="00306BC8" w:rsidRPr="00306BC8" w:rsidRDefault="00363793" w:rsidP="0036379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63793">
              <w:rPr>
                <w:rFonts w:eastAsia="Times New Roman" w:cs="Times New Roman"/>
                <w:szCs w:val="24"/>
              </w:rPr>
              <w:t>Offer system maintenance and AI algorithms; dependency puts strain on the operations.</w:t>
            </w:r>
          </w:p>
        </w:tc>
      </w:tr>
      <w:tr w:rsidR="00306BC8" w:rsidRPr="00306BC8" w14:paraId="05820A02" w14:textId="77777777" w:rsidTr="003637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hideMark/>
          </w:tcPr>
          <w:p w14:paraId="26C1BB8F" w14:textId="77777777" w:rsidR="00306BC8" w:rsidRPr="00306BC8" w:rsidRDefault="00306BC8" w:rsidP="00363793">
            <w:pPr>
              <w:jc w:val="left"/>
              <w:rPr>
                <w:rFonts w:eastAsia="Times New Roman" w:cs="Times New Roman"/>
                <w:szCs w:val="24"/>
              </w:rPr>
            </w:pPr>
            <w:r w:rsidRPr="00306BC8">
              <w:rPr>
                <w:rFonts w:eastAsia="Times New Roman" w:cs="Times New Roman"/>
                <w:szCs w:val="24"/>
              </w:rPr>
              <w:t>Investors &amp; Shareholders</w:t>
            </w:r>
          </w:p>
        </w:tc>
        <w:tc>
          <w:tcPr>
            <w:tcW w:w="6745" w:type="dxa"/>
            <w:hideMark/>
          </w:tcPr>
          <w:p w14:paraId="71452AA6" w14:textId="77777777" w:rsidR="00306BC8" w:rsidRPr="00306BC8" w:rsidRDefault="00306BC8" w:rsidP="0036379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06BC8">
              <w:rPr>
                <w:rFonts w:eastAsia="Times New Roman" w:cs="Times New Roman"/>
                <w:szCs w:val="24"/>
              </w:rPr>
              <w:t>Evaluate financial returns and ESG impact disclosures.</w:t>
            </w:r>
          </w:p>
        </w:tc>
      </w:tr>
      <w:tr w:rsidR="00306BC8" w:rsidRPr="00306BC8" w14:paraId="6F5905D5" w14:textId="77777777" w:rsidTr="00363793">
        <w:tc>
          <w:tcPr>
            <w:cnfStyle w:val="001000000000" w:firstRow="0" w:lastRow="0" w:firstColumn="1" w:lastColumn="0" w:oddVBand="0" w:evenVBand="0" w:oddHBand="0" w:evenHBand="0" w:firstRowFirstColumn="0" w:firstRowLastColumn="0" w:lastRowFirstColumn="0" w:lastRowLastColumn="0"/>
            <w:tcW w:w="2605" w:type="dxa"/>
            <w:hideMark/>
          </w:tcPr>
          <w:p w14:paraId="68C6B130" w14:textId="77777777" w:rsidR="00306BC8" w:rsidRPr="00306BC8" w:rsidRDefault="00306BC8" w:rsidP="00363793">
            <w:pPr>
              <w:jc w:val="left"/>
              <w:rPr>
                <w:rFonts w:eastAsia="Times New Roman" w:cs="Times New Roman"/>
                <w:szCs w:val="24"/>
              </w:rPr>
            </w:pPr>
            <w:r w:rsidRPr="00306BC8">
              <w:rPr>
                <w:rFonts w:eastAsia="Times New Roman" w:cs="Times New Roman"/>
                <w:szCs w:val="24"/>
              </w:rPr>
              <w:t>Regulatory Authorities</w:t>
            </w:r>
          </w:p>
        </w:tc>
        <w:tc>
          <w:tcPr>
            <w:tcW w:w="6745" w:type="dxa"/>
            <w:hideMark/>
          </w:tcPr>
          <w:p w14:paraId="29885CB3" w14:textId="77777777" w:rsidR="00306BC8" w:rsidRPr="00306BC8" w:rsidRDefault="00363793" w:rsidP="0036379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63793">
              <w:rPr>
                <w:rFonts w:eastAsia="Times New Roman" w:cs="Times New Roman"/>
                <w:szCs w:val="24"/>
              </w:rPr>
              <w:t>Standardize cross-border data management and GDPR compliance.</w:t>
            </w:r>
          </w:p>
        </w:tc>
      </w:tr>
      <w:tr w:rsidR="00306BC8" w:rsidRPr="00306BC8" w14:paraId="3F9A946F" w14:textId="77777777" w:rsidTr="003637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hideMark/>
          </w:tcPr>
          <w:p w14:paraId="4541AF2B" w14:textId="77777777" w:rsidR="00306BC8" w:rsidRPr="00306BC8" w:rsidRDefault="00306BC8" w:rsidP="00363793">
            <w:pPr>
              <w:jc w:val="left"/>
              <w:rPr>
                <w:rFonts w:eastAsia="Times New Roman" w:cs="Times New Roman"/>
                <w:szCs w:val="24"/>
              </w:rPr>
            </w:pPr>
            <w:r w:rsidRPr="00306BC8">
              <w:rPr>
                <w:rFonts w:eastAsia="Times New Roman" w:cs="Times New Roman"/>
                <w:szCs w:val="24"/>
              </w:rPr>
              <w:t>Sustainability Advocacy Groups</w:t>
            </w:r>
          </w:p>
        </w:tc>
        <w:tc>
          <w:tcPr>
            <w:tcW w:w="6745" w:type="dxa"/>
            <w:hideMark/>
          </w:tcPr>
          <w:p w14:paraId="03E9E8F4" w14:textId="77777777" w:rsidR="00306BC8" w:rsidRPr="00306BC8" w:rsidRDefault="00306BC8" w:rsidP="0036379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06BC8">
              <w:rPr>
                <w:rFonts w:eastAsia="Times New Roman" w:cs="Times New Roman"/>
                <w:szCs w:val="24"/>
              </w:rPr>
              <w:t>Influence corporate legitimacy through ESG scrutiny.</w:t>
            </w:r>
          </w:p>
        </w:tc>
      </w:tr>
      <w:tr w:rsidR="00306BC8" w:rsidRPr="00306BC8" w14:paraId="247A2EB2" w14:textId="77777777" w:rsidTr="00363793">
        <w:tc>
          <w:tcPr>
            <w:cnfStyle w:val="001000000000" w:firstRow="0" w:lastRow="0" w:firstColumn="1" w:lastColumn="0" w:oddVBand="0" w:evenVBand="0" w:oddHBand="0" w:evenHBand="0" w:firstRowFirstColumn="0" w:firstRowLastColumn="0" w:lastRowFirstColumn="0" w:lastRowLastColumn="0"/>
            <w:tcW w:w="2605" w:type="dxa"/>
            <w:hideMark/>
          </w:tcPr>
          <w:p w14:paraId="283D3E38" w14:textId="77777777" w:rsidR="00306BC8" w:rsidRPr="00306BC8" w:rsidRDefault="00306BC8" w:rsidP="00363793">
            <w:pPr>
              <w:jc w:val="left"/>
              <w:rPr>
                <w:rFonts w:eastAsia="Times New Roman" w:cs="Times New Roman"/>
                <w:szCs w:val="24"/>
              </w:rPr>
            </w:pPr>
            <w:r w:rsidRPr="00306BC8">
              <w:rPr>
                <w:rFonts w:eastAsia="Times New Roman" w:cs="Times New Roman"/>
                <w:szCs w:val="24"/>
              </w:rPr>
              <w:t>Local Communities</w:t>
            </w:r>
          </w:p>
        </w:tc>
        <w:tc>
          <w:tcPr>
            <w:tcW w:w="6745" w:type="dxa"/>
            <w:hideMark/>
          </w:tcPr>
          <w:p w14:paraId="5088A04B" w14:textId="77777777" w:rsidR="00306BC8" w:rsidRPr="00306BC8" w:rsidRDefault="00306BC8" w:rsidP="0036379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06BC8">
              <w:rPr>
                <w:rFonts w:eastAsia="Times New Roman" w:cs="Times New Roman"/>
                <w:szCs w:val="24"/>
              </w:rPr>
              <w:t>Assess environmental footprint and employment impact.</w:t>
            </w:r>
          </w:p>
        </w:tc>
      </w:tr>
      <w:tr w:rsidR="00306BC8" w:rsidRPr="00306BC8" w14:paraId="05586866" w14:textId="77777777" w:rsidTr="003637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hideMark/>
          </w:tcPr>
          <w:p w14:paraId="7E5E2725" w14:textId="77777777" w:rsidR="00306BC8" w:rsidRPr="00306BC8" w:rsidRDefault="00306BC8" w:rsidP="00363793">
            <w:pPr>
              <w:jc w:val="left"/>
              <w:rPr>
                <w:rFonts w:eastAsia="Times New Roman" w:cs="Times New Roman"/>
                <w:szCs w:val="24"/>
              </w:rPr>
            </w:pPr>
            <w:r w:rsidRPr="00306BC8">
              <w:rPr>
                <w:rFonts w:eastAsia="Times New Roman" w:cs="Times New Roman"/>
                <w:szCs w:val="24"/>
              </w:rPr>
              <w:t>Corporate Travel Partners</w:t>
            </w:r>
          </w:p>
        </w:tc>
        <w:tc>
          <w:tcPr>
            <w:tcW w:w="6745" w:type="dxa"/>
            <w:hideMark/>
          </w:tcPr>
          <w:p w14:paraId="7D10B764" w14:textId="77777777" w:rsidR="00306BC8" w:rsidRPr="00306BC8" w:rsidRDefault="00363793" w:rsidP="0036379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63793">
              <w:rPr>
                <w:rFonts w:eastAsia="Times New Roman" w:cs="Times New Roman"/>
                <w:szCs w:val="24"/>
              </w:rPr>
              <w:t>Incorporate online products into reservation systems and loyalty programs.</w:t>
            </w:r>
          </w:p>
        </w:tc>
      </w:tr>
    </w:tbl>
    <w:p w14:paraId="2BA9C847" w14:textId="77777777" w:rsidR="00306BC8" w:rsidRDefault="00306BC8" w:rsidP="00306BC8"/>
    <w:p w14:paraId="2B75209D" w14:textId="77777777" w:rsidR="00363793" w:rsidRDefault="00363793" w:rsidP="00363793">
      <w:pPr>
        <w:pStyle w:val="Heading2"/>
      </w:pPr>
      <w:bookmarkStart w:id="8" w:name="_Toc222025058"/>
      <w:r>
        <w:lastRenderedPageBreak/>
        <w:t xml:space="preserve">Stakeholder </w:t>
      </w:r>
      <w:r w:rsidR="007C28EB">
        <w:t>Categorization</w:t>
      </w:r>
      <w:r>
        <w:t xml:space="preserve"> and Strategic Implications</w:t>
      </w:r>
      <w:bookmarkEnd w:id="8"/>
    </w:p>
    <w:p w14:paraId="4770F230" w14:textId="77777777" w:rsidR="00363793" w:rsidRDefault="00363793" w:rsidP="00363793">
      <w:r>
        <w:t>Using the Power–Interest Matrix, board members, regulators, and large investors are in the category of high power/high interest that would demand constant communication at the executive level and monthly reports on compliance. Institutional investors are normally very powerful and sporadic in their interest, requiring a disclosure of performance periodically. There is high interest but less structural power among employees and customers, although studies show frontline resistance is a major derailment to technology adoption (Ivanov and Webster, 2020), developing their practical salience. The other stakeholders in the community are low power/low interest except when the environment comes under controversy.</w:t>
      </w:r>
    </w:p>
    <w:p w14:paraId="5307FC65" w14:textId="77777777" w:rsidR="00363793" w:rsidRDefault="00363793" w:rsidP="00363793">
      <w:r>
        <w:t>The regulators have coercive power and urgency in the form of pre-launch compliance phases as in the Stakeholder Salience Model</w:t>
      </w:r>
      <w:r w:rsidR="00082E2D">
        <w:t xml:space="preserve"> </w:t>
      </w:r>
      <w:r w:rsidR="00082E2D">
        <w:fldChar w:fldCharType="begin"/>
      </w:r>
      <w:r w:rsidR="00082E2D">
        <w:instrText xml:space="preserve"> ADDIN EN.CITE &lt;EndNote&gt;&lt;Cite&gt;&lt;Author&gt;Shafique&lt;/Author&gt;&lt;Year&gt;2022&lt;/Year&gt;&lt;RecNum&gt;6435&lt;/RecNum&gt;&lt;DisplayText&gt;(Shafique and Gabriel, 2022)&lt;/DisplayText&gt;&lt;record&gt;&lt;rec-number&gt;6435&lt;/rec-number&gt;&lt;foreign-keys&gt;&lt;key app="EN" db-id="af0evp9er5rsrueeefpxrr2ie0xp2zexvfz0" timestamp="1771113861"&gt;6435&lt;/key&gt;&lt;/foreign-keys&gt;&lt;ref-type name="Journal Article"&gt;17&lt;/ref-type&gt;&lt;contributors&gt;&lt;authors&gt;&lt;author&gt;Shafique, Kamran&lt;/author&gt;&lt;author&gt;Gabriel, Cle-Anne&lt;/author&gt;&lt;/authors&gt;&lt;/contributors&gt;&lt;titles&gt;&lt;title&gt;Vulnerable stakeholders’ engagement: Advancing stakeholder theory with new attribute and salience framework&lt;/title&gt;&lt;secondary-title&gt;Sustainability&lt;/secondary-title&gt;&lt;/titles&gt;&lt;periodical&gt;&lt;full-title&gt;Sustainability&lt;/full-title&gt;&lt;/periodical&gt;&lt;pages&gt;11765&lt;/pages&gt;&lt;volume&gt;14&lt;/volume&gt;&lt;number&gt;18&lt;/number&gt;&lt;dates&gt;&lt;year&gt;2022&lt;/year&gt;&lt;/dates&gt;&lt;isbn&gt;2071-1050&lt;/isbn&gt;&lt;urls&gt;&lt;/urls&gt;&lt;/record&gt;&lt;/Cite&gt;&lt;/EndNote&gt;</w:instrText>
      </w:r>
      <w:r w:rsidR="00082E2D">
        <w:fldChar w:fldCharType="separate"/>
      </w:r>
      <w:r w:rsidR="00082E2D">
        <w:rPr>
          <w:noProof/>
        </w:rPr>
        <w:t>(Shafique and Gabriel, 2022)</w:t>
      </w:r>
      <w:r w:rsidR="00082E2D">
        <w:fldChar w:fldCharType="end"/>
      </w:r>
      <w:r>
        <w:t xml:space="preserve"> and customers have normative legitimacy in the form of brand reputation dynamics. </w:t>
      </w:r>
      <w:r w:rsidR="007C28EB">
        <w:t>Categorization</w:t>
      </w:r>
      <w:r>
        <w:t xml:space="preserve"> thus determines the degree of engagement: high salience stakeholders need to be actively consulted and have custom communication channels but the peripheral groups need regular monitoring and open communication channels. The </w:t>
      </w:r>
      <w:r w:rsidR="007C28EB">
        <w:t>prioritization</w:t>
      </w:r>
      <w:r>
        <w:t xml:space="preserve"> of resources is completed through structured differentiation to match the strategic exposure to risks and the performance accountability.</w:t>
      </w:r>
    </w:p>
    <w:p w14:paraId="746A8A2D" w14:textId="77777777" w:rsidR="00363793" w:rsidRDefault="00363793" w:rsidP="00363793">
      <w:pPr>
        <w:pStyle w:val="Heading1"/>
      </w:pPr>
      <w:bookmarkStart w:id="9" w:name="_Toc222025059"/>
      <w:r>
        <w:t>Roles, Responsibilities, Benefits and Challenges</w:t>
      </w:r>
      <w:bookmarkEnd w:id="9"/>
    </w:p>
    <w:tbl>
      <w:tblPr>
        <w:tblStyle w:val="TableGrid"/>
        <w:tblW w:w="0" w:type="auto"/>
        <w:tblLook w:val="04A0" w:firstRow="1" w:lastRow="0" w:firstColumn="1" w:lastColumn="0" w:noHBand="0" w:noVBand="1"/>
      </w:tblPr>
      <w:tblGrid>
        <w:gridCol w:w="9350"/>
      </w:tblGrid>
      <w:tr w:rsidR="00363793" w14:paraId="63CB413F" w14:textId="77777777" w:rsidTr="00363793">
        <w:tc>
          <w:tcPr>
            <w:tcW w:w="9350" w:type="dxa"/>
            <w:shd w:val="clear" w:color="auto" w:fill="C5E0B3" w:themeFill="accent6" w:themeFillTint="66"/>
          </w:tcPr>
          <w:p w14:paraId="3643D83C" w14:textId="77777777" w:rsidR="00363793" w:rsidRPr="00363793" w:rsidRDefault="00363793" w:rsidP="00363793">
            <w:pPr>
              <w:pStyle w:val="ListParagraph"/>
              <w:numPr>
                <w:ilvl w:val="0"/>
                <w:numId w:val="49"/>
              </w:numPr>
              <w:rPr>
                <w:b/>
              </w:rPr>
            </w:pPr>
            <w:r w:rsidRPr="00363793">
              <w:rPr>
                <w:b/>
              </w:rPr>
              <w:t>Board of Directors</w:t>
            </w:r>
          </w:p>
        </w:tc>
      </w:tr>
      <w:tr w:rsidR="00363793" w14:paraId="2F0EFFD9" w14:textId="77777777" w:rsidTr="00363793">
        <w:tc>
          <w:tcPr>
            <w:tcW w:w="9350" w:type="dxa"/>
          </w:tcPr>
          <w:p w14:paraId="07930AB9" w14:textId="77777777" w:rsidR="00363793" w:rsidRDefault="00363793" w:rsidP="00363793">
            <w:r w:rsidRPr="00363793">
              <w:t xml:space="preserve">In the StaySmart+ program, the Board undertakes strategic governance, which approves the capital allocation to AI inclusion and infrastructure that is sustainability-enabled and preserves long-term shareholder value. Hospitality-wide investments in digital are often magnified in various ways, which would increase the level of query on the contribution of capital and the potential risks involved </w:t>
            </w:r>
            <w:r w:rsidR="00082E2D">
              <w:fldChar w:fldCharType="begin"/>
            </w:r>
            <w:r w:rsidR="00082E2D">
              <w:instrText xml:space="preserve"> ADDIN EN.CITE &lt;EndNote&gt;&lt;Cite&gt;&lt;Author&gt;Rubino&lt;/Author&gt;&lt;Year&gt;2025&lt;/Year&gt;&lt;RecNum&gt;6436&lt;/RecNum&gt;&lt;DisplayText&gt;(Rubino et al., 2025)&lt;/DisplayText&gt;&lt;record&gt;&lt;rec-number&gt;6436&lt;/rec-number&gt;&lt;foreign-keys&gt;&lt;key app="EN" db-id="af0evp9er5rsrueeefpxrr2ie0xp2zexvfz0" timestamp="1771113945"&gt;6436&lt;/key&gt;&lt;/foreign-keys&gt;&lt;ref-type name="Journal Article"&gt;17&lt;/ref-type&gt;&lt;contributors&gt;&lt;authors&gt;&lt;author&gt;Rubino, Gaetana&lt;/author&gt;&lt;author&gt;Gattuso, Domenico&lt;/author&gt;&lt;author&gt;Longo, Francesco&lt;/author&gt;&lt;/authors&gt;&lt;/contributors&gt;&lt;titles&gt;&lt;title&gt;Exploring Industry 4.0 Technologies in Tourism. A Literature Review&lt;/title&gt;&lt;secondary-title&gt;Procedia Computer Science&lt;/secondary-title&gt;&lt;/titles&gt;&lt;periodical&gt;&lt;full-title&gt;Procedia Computer Science&lt;/full-title&gt;&lt;/periodical&gt;&lt;pages&gt;3182-3195&lt;/pages&gt;&lt;volume&gt;253&lt;/volume&gt;&lt;dates&gt;&lt;year&gt;2025&lt;/year&gt;&lt;/dates&gt;&lt;isbn&gt;1877-0509&lt;/isbn&gt;&lt;urls&gt;&lt;/urls&gt;&lt;/record&gt;&lt;/Cite&gt;&lt;/EndNote&gt;</w:instrText>
            </w:r>
            <w:r w:rsidR="00082E2D">
              <w:fldChar w:fldCharType="separate"/>
            </w:r>
            <w:r w:rsidR="00082E2D">
              <w:rPr>
                <w:noProof/>
              </w:rPr>
              <w:t>(Rubino et al., 2025)</w:t>
            </w:r>
            <w:r w:rsidR="00082E2D">
              <w:fldChar w:fldCharType="end"/>
            </w:r>
            <w:r w:rsidRPr="00363793">
              <w:t>. The Board should be able to balance innovation ambition and financial discipline especially when AI usage presents reputational and cybersecurity weaknesses.</w:t>
            </w:r>
          </w:p>
        </w:tc>
      </w:tr>
    </w:tbl>
    <w:p w14:paraId="6D79FADA" w14:textId="77777777" w:rsidR="00363793" w:rsidRDefault="00363793" w:rsidP="00363793"/>
    <w:tbl>
      <w:tblPr>
        <w:tblStyle w:val="TableGrid"/>
        <w:tblW w:w="0" w:type="auto"/>
        <w:tblLook w:val="04A0" w:firstRow="1" w:lastRow="0" w:firstColumn="1" w:lastColumn="0" w:noHBand="0" w:noVBand="1"/>
      </w:tblPr>
      <w:tblGrid>
        <w:gridCol w:w="9350"/>
      </w:tblGrid>
      <w:tr w:rsidR="00363793" w14:paraId="462834F2" w14:textId="77777777" w:rsidTr="00363793">
        <w:tc>
          <w:tcPr>
            <w:tcW w:w="9350" w:type="dxa"/>
            <w:shd w:val="clear" w:color="auto" w:fill="FFE599" w:themeFill="accent4" w:themeFillTint="66"/>
          </w:tcPr>
          <w:p w14:paraId="7B9960EC" w14:textId="77777777" w:rsidR="00363793" w:rsidRPr="00363793" w:rsidRDefault="00363793" w:rsidP="00082E2D">
            <w:pPr>
              <w:pStyle w:val="ListParagraph"/>
              <w:numPr>
                <w:ilvl w:val="0"/>
                <w:numId w:val="49"/>
              </w:numPr>
              <w:rPr>
                <w:b/>
              </w:rPr>
            </w:pPr>
            <w:r w:rsidRPr="00363793">
              <w:rPr>
                <w:b/>
              </w:rPr>
              <w:t>Senior Management</w:t>
            </w:r>
          </w:p>
        </w:tc>
      </w:tr>
      <w:tr w:rsidR="00363793" w14:paraId="56389B4D" w14:textId="77777777" w:rsidTr="00082E2D">
        <w:tc>
          <w:tcPr>
            <w:tcW w:w="9350" w:type="dxa"/>
          </w:tcPr>
          <w:p w14:paraId="0F840175" w14:textId="77777777" w:rsidR="00363793" w:rsidRDefault="00363793" w:rsidP="00082E2D">
            <w:r w:rsidRPr="00363793">
              <w:t xml:space="preserve">Cross-functional </w:t>
            </w:r>
            <w:r w:rsidR="007C28EB" w:rsidRPr="00363793">
              <w:t>mobilization</w:t>
            </w:r>
            <w:r w:rsidRPr="00363793">
              <w:t xml:space="preserve"> of resources and alignment of the London headquarters with the international properties during the six months rollout are the functions of the Senior Management. Nevertheless, coordination inefficiencies are common to multinational hospitality </w:t>
            </w:r>
            <w:r w:rsidRPr="00363793">
              <w:lastRenderedPageBreak/>
              <w:t xml:space="preserve">operations in the event that the digital transformation meets service cultures diversity </w:t>
            </w:r>
            <w:r w:rsidR="00082E2D">
              <w:fldChar w:fldCharType="begin"/>
            </w:r>
            <w:r w:rsidR="00082E2D">
              <w:instrText xml:space="preserve"> ADDIN EN.CITE &lt;EndNote&gt;&lt;Cite&gt;&lt;Author&gt;Buhalis&lt;/Author&gt;&lt;Year&gt;2023&lt;/Year&gt;&lt;RecNum&gt;6437&lt;/RecNum&gt;&lt;DisplayText&gt;(Buhalis et al., 2023)&lt;/DisplayText&gt;&lt;record&gt;&lt;rec-number&gt;6437&lt;/rec-number&gt;&lt;foreign-keys&gt;&lt;key app="EN" db-id="af0evp9er5rsrueeefpxrr2ie0xp2zexvfz0" timestamp="1771113991"&gt;6437&lt;/key&gt;&lt;/foreign-keys&gt;&lt;ref-type name="Journal Article"&gt;17&lt;/ref-type&gt;&lt;contributors&gt;&lt;authors&gt;&lt;author&gt;Buhalis, Dimitrios&lt;/author&gt;&lt;author&gt;O’Connor, Peter&lt;/author&gt;&lt;author&gt;Leung, Rosanna&lt;/author&gt;&lt;/authors&gt;&lt;/contributors&gt;&lt;titles&gt;&lt;title&gt;Smart hospitality: from smart cities and smart tourism towards agile business ecosystems in networked destinations&lt;/title&gt;&lt;secondary-title&gt;International Journal of Contemporary Hospitality Management&lt;/secondary-title&gt;&lt;/titles&gt;&lt;periodical&gt;&lt;full-title&gt;International Journal of Contemporary Hospitality Management&lt;/full-title&gt;&lt;/periodical&gt;&lt;pages&gt;369-393&lt;/pages&gt;&lt;volume&gt;35&lt;/volume&gt;&lt;number&gt;1&lt;/number&gt;&lt;dates&gt;&lt;year&gt;2023&lt;/year&gt;&lt;/dates&gt;&lt;isbn&gt;0959-6119&lt;/isbn&gt;&lt;urls&gt;&lt;/urls&gt;&lt;/record&gt;&lt;/Cite&gt;&lt;/EndNote&gt;</w:instrText>
            </w:r>
            <w:r w:rsidR="00082E2D">
              <w:fldChar w:fldCharType="separate"/>
            </w:r>
            <w:r w:rsidR="00082E2D">
              <w:rPr>
                <w:noProof/>
              </w:rPr>
              <w:t>(Buhalis et al., 2023)</w:t>
            </w:r>
            <w:r w:rsidR="00082E2D">
              <w:fldChar w:fldCharType="end"/>
            </w:r>
            <w:r w:rsidRPr="00363793">
              <w:t>. Operational consistency in the context of the various regulatory environments makes strategic alignment difficult.</w:t>
            </w:r>
          </w:p>
        </w:tc>
      </w:tr>
    </w:tbl>
    <w:p w14:paraId="54AAC2D8" w14:textId="77777777" w:rsidR="00363793" w:rsidRDefault="00363793" w:rsidP="00363793"/>
    <w:tbl>
      <w:tblPr>
        <w:tblStyle w:val="TableGrid"/>
        <w:tblW w:w="0" w:type="auto"/>
        <w:tblLook w:val="04A0" w:firstRow="1" w:lastRow="0" w:firstColumn="1" w:lastColumn="0" w:noHBand="0" w:noVBand="1"/>
      </w:tblPr>
      <w:tblGrid>
        <w:gridCol w:w="9350"/>
      </w:tblGrid>
      <w:tr w:rsidR="00363793" w14:paraId="7DEB06C9" w14:textId="77777777" w:rsidTr="00363793">
        <w:tc>
          <w:tcPr>
            <w:tcW w:w="9350" w:type="dxa"/>
            <w:shd w:val="clear" w:color="auto" w:fill="F7CAAC" w:themeFill="accent2" w:themeFillTint="66"/>
          </w:tcPr>
          <w:p w14:paraId="3601CB8F" w14:textId="77777777" w:rsidR="00363793" w:rsidRPr="00363793" w:rsidRDefault="00363793" w:rsidP="00082E2D">
            <w:pPr>
              <w:pStyle w:val="ListParagraph"/>
              <w:numPr>
                <w:ilvl w:val="0"/>
                <w:numId w:val="49"/>
              </w:numPr>
              <w:rPr>
                <w:b/>
              </w:rPr>
            </w:pPr>
            <w:r w:rsidRPr="00363793">
              <w:rPr>
                <w:b/>
              </w:rPr>
              <w:t>IT and Digital Transformation Teams</w:t>
            </w:r>
          </w:p>
        </w:tc>
      </w:tr>
      <w:tr w:rsidR="00363793" w14:paraId="3A16037A" w14:textId="77777777" w:rsidTr="00082E2D">
        <w:tc>
          <w:tcPr>
            <w:tcW w:w="9350" w:type="dxa"/>
          </w:tcPr>
          <w:p w14:paraId="3C70450E" w14:textId="77777777" w:rsidR="00363793" w:rsidRDefault="00363793" w:rsidP="00082E2D">
            <w:r w:rsidRPr="00363793">
              <w:t xml:space="preserve">The AI concierge architecture is designed by the IT teams, room-preference systems are implemented to interact with the already existing property-management software, and cybersecurity measures are enforced. With the increasing cyberattacks on hospitality databases, the resilience of the system becomes a critical factor in ensuring that the guests maintain trust </w:t>
            </w:r>
            <w:r w:rsidR="00082E2D">
              <w:fldChar w:fldCharType="begin"/>
            </w:r>
            <w:r w:rsidR="00082E2D">
              <w:instrText xml:space="preserve"> ADDIN EN.CITE &lt;EndNote&gt;&lt;Cite&gt;&lt;Author&gt;Avramidis&lt;/Author&gt;&lt;Year&gt;2022&lt;/Year&gt;&lt;RecNum&gt;6438&lt;/RecNum&gt;&lt;DisplayText&gt;(Avramidis et al., 2022)&lt;/DisplayText&gt;&lt;record&gt;&lt;rec-number&gt;6438&lt;/rec-number&gt;&lt;foreign-keys&gt;&lt;key app="EN" db-id="af0evp9er5rsrueeefpxrr2ie0xp2zexvfz0" timestamp="1771114025"&gt;6438&lt;/key&gt;&lt;/foreign-keys&gt;&lt;ref-type name="Journal Article"&gt;17&lt;/ref-type&gt;&lt;contributors&gt;&lt;authors&gt;&lt;author&gt;Avramidis, Panagiotis&lt;/author&gt;&lt;author&gt;Serfes, Konstantinos&lt;/author&gt;&lt;author&gt;Vlachos, Pavlos A&lt;/author&gt;&lt;author&gt;Panagopoulos, Nikolaos G&lt;/author&gt;&lt;/authors&gt;&lt;/contributors&gt;&lt;titles&gt;&lt;title&gt;Customer Data Privacy, Competition and Firm Performance&lt;/title&gt;&lt;secondary-title&gt;Competition and Firm Performance (April 1, 2022)&lt;/secondary-title&gt;&lt;/titles&gt;&lt;periodical&gt;&lt;full-title&gt;Competition and Firm Performance (April 1, 2022)&lt;/full-title&gt;&lt;/periodical&gt;&lt;dates&gt;&lt;year&gt;2022&lt;/year&gt;&lt;/dates&gt;&lt;urls&gt;&lt;/urls&gt;&lt;/record&gt;&lt;/Cite&gt;&lt;/EndNote&gt;</w:instrText>
            </w:r>
            <w:r w:rsidR="00082E2D">
              <w:fldChar w:fldCharType="separate"/>
            </w:r>
            <w:r w:rsidR="00082E2D">
              <w:rPr>
                <w:noProof/>
              </w:rPr>
              <w:t>(Avramidis et al., 2022)</w:t>
            </w:r>
            <w:r w:rsidR="00082E2D">
              <w:fldChar w:fldCharType="end"/>
            </w:r>
            <w:r w:rsidRPr="00363793">
              <w:t>. Integration risk and operational dependency are enhanced by reliance on third party AI vendors.</w:t>
            </w:r>
          </w:p>
        </w:tc>
      </w:tr>
    </w:tbl>
    <w:p w14:paraId="79902D8B" w14:textId="77777777" w:rsidR="00363793" w:rsidRDefault="00363793" w:rsidP="00363793"/>
    <w:tbl>
      <w:tblPr>
        <w:tblStyle w:val="TableGrid"/>
        <w:tblW w:w="0" w:type="auto"/>
        <w:tblLook w:val="04A0" w:firstRow="1" w:lastRow="0" w:firstColumn="1" w:lastColumn="0" w:noHBand="0" w:noVBand="1"/>
      </w:tblPr>
      <w:tblGrid>
        <w:gridCol w:w="9350"/>
      </w:tblGrid>
      <w:tr w:rsidR="00363793" w14:paraId="70399616" w14:textId="77777777" w:rsidTr="00363793">
        <w:tc>
          <w:tcPr>
            <w:tcW w:w="9350" w:type="dxa"/>
            <w:shd w:val="clear" w:color="auto" w:fill="D9E2F3" w:themeFill="accent1" w:themeFillTint="33"/>
          </w:tcPr>
          <w:p w14:paraId="2B301F9D" w14:textId="77777777" w:rsidR="00363793" w:rsidRPr="00363793" w:rsidRDefault="00363793" w:rsidP="00082E2D">
            <w:pPr>
              <w:pStyle w:val="ListParagraph"/>
              <w:numPr>
                <w:ilvl w:val="0"/>
                <w:numId w:val="49"/>
              </w:numPr>
              <w:rPr>
                <w:b/>
              </w:rPr>
            </w:pPr>
            <w:r w:rsidRPr="00363793">
              <w:rPr>
                <w:b/>
              </w:rPr>
              <w:t>Frontline Employees and HR</w:t>
            </w:r>
          </w:p>
        </w:tc>
      </w:tr>
      <w:tr w:rsidR="00363793" w14:paraId="62967BDD" w14:textId="77777777" w:rsidTr="00082E2D">
        <w:tc>
          <w:tcPr>
            <w:tcW w:w="9350" w:type="dxa"/>
          </w:tcPr>
          <w:p w14:paraId="6C3FB1D7" w14:textId="77777777" w:rsidR="00363793" w:rsidRDefault="00363793" w:rsidP="00082E2D">
            <w:r w:rsidRPr="00363793">
              <w:t xml:space="preserve">The frontline employees made StaySmart+ work by operationalizing with AI-enhanced guest communication. There is evidence to suggest that automation anxiety among service employees has the power to diminish engagement and perception of authenticity of service </w:t>
            </w:r>
            <w:r w:rsidR="00082E2D">
              <w:fldChar w:fldCharType="begin"/>
            </w:r>
            <w:r w:rsidR="00082E2D">
              <w:instrText xml:space="preserve"> ADDIN EN.CITE &lt;EndNote&gt;&lt;Cite&gt;&lt;Author&gt;Webster&lt;/Author&gt;&lt;Year&gt;2023&lt;/Year&gt;&lt;RecNum&gt;6439&lt;/RecNum&gt;&lt;DisplayText&gt;(Webster and Ivanov, 2023)&lt;/DisplayText&gt;&lt;record&gt;&lt;rec-number&gt;6439&lt;/rec-number&gt;&lt;foreign-keys&gt;&lt;key app="EN" db-id="af0evp9er5rsrueeefpxrr2ie0xp2zexvfz0" timestamp="1771114053"&gt;6439&lt;/key&gt;&lt;/foreign-keys&gt;&lt;ref-type name="Book Section"&gt;5&lt;/ref-type&gt;&lt;contributors&gt;&lt;authors&gt;&lt;author&gt;Webster, Craig&lt;/author&gt;&lt;author&gt;Ivanov, Stanislav&lt;/author&gt;&lt;/authors&gt;&lt;/contributors&gt;&lt;titles&gt;&lt;title&gt;Robots, artificial intelligence and service automation in tourism and quality of life&lt;/title&gt;&lt;secondary-title&gt;Handbook of Tourism and Quality-of-Life Research II: Enhancing the Lives of Tourists, Residents of Host Communities and Service Providers&lt;/secondary-title&gt;&lt;/titles&gt;&lt;pages&gt;533-544&lt;/pages&gt;&lt;dates&gt;&lt;year&gt;2023&lt;/year&gt;&lt;/dates&gt;&lt;publisher&gt;Springer&lt;/publisher&gt;&lt;urls&gt;&lt;/urls&gt;&lt;/record&gt;&lt;/Cite&gt;&lt;/EndNote&gt;</w:instrText>
            </w:r>
            <w:r w:rsidR="00082E2D">
              <w:fldChar w:fldCharType="separate"/>
            </w:r>
            <w:r w:rsidR="00082E2D">
              <w:rPr>
                <w:noProof/>
              </w:rPr>
              <w:t>(Webster and Ivanov, 2023)</w:t>
            </w:r>
            <w:r w:rsidR="00082E2D">
              <w:fldChar w:fldCharType="end"/>
            </w:r>
            <w:r w:rsidRPr="00363793">
              <w:t>. HR departments should thus provide faster digital ability programmes, but condensed training plans threaten surface level assimilation instead of institutional ability.</w:t>
            </w:r>
          </w:p>
        </w:tc>
      </w:tr>
    </w:tbl>
    <w:p w14:paraId="421AC9BE" w14:textId="77777777" w:rsidR="00363793" w:rsidRDefault="00363793" w:rsidP="00363793"/>
    <w:tbl>
      <w:tblPr>
        <w:tblStyle w:val="TableGrid"/>
        <w:tblW w:w="0" w:type="auto"/>
        <w:tblLook w:val="04A0" w:firstRow="1" w:lastRow="0" w:firstColumn="1" w:lastColumn="0" w:noHBand="0" w:noVBand="1"/>
      </w:tblPr>
      <w:tblGrid>
        <w:gridCol w:w="9350"/>
      </w:tblGrid>
      <w:tr w:rsidR="00363793" w14:paraId="3E177E7C" w14:textId="77777777" w:rsidTr="00363793">
        <w:tc>
          <w:tcPr>
            <w:tcW w:w="9350" w:type="dxa"/>
            <w:shd w:val="clear" w:color="auto" w:fill="DBDBDB" w:themeFill="accent3" w:themeFillTint="66"/>
          </w:tcPr>
          <w:p w14:paraId="18BA4C8D" w14:textId="77777777" w:rsidR="00363793" w:rsidRPr="00363793" w:rsidRDefault="00363793" w:rsidP="00363793">
            <w:pPr>
              <w:pStyle w:val="ListParagraph"/>
              <w:numPr>
                <w:ilvl w:val="0"/>
                <w:numId w:val="49"/>
              </w:numPr>
              <w:rPr>
                <w:b/>
              </w:rPr>
            </w:pPr>
            <w:r w:rsidRPr="00363793">
              <w:rPr>
                <w:b/>
              </w:rPr>
              <w:t>Customers and Investors</w:t>
            </w:r>
          </w:p>
        </w:tc>
      </w:tr>
      <w:tr w:rsidR="00363793" w14:paraId="3B994C4D" w14:textId="77777777" w:rsidTr="00363793">
        <w:tc>
          <w:tcPr>
            <w:tcW w:w="9350" w:type="dxa"/>
          </w:tcPr>
          <w:p w14:paraId="265C3CE8" w14:textId="77777777" w:rsidR="00363793" w:rsidRDefault="00363793" w:rsidP="00363793">
            <w:r w:rsidRPr="00363793">
              <w:t xml:space="preserve">The utilisation rates of AI-driven services are determined by customers. Although </w:t>
            </w:r>
            <w:r w:rsidR="007C28EB" w:rsidRPr="00363793">
              <w:t>personalization</w:t>
            </w:r>
            <w:r w:rsidRPr="00363793">
              <w:t xml:space="preserve"> improves the perceived value, data-rich systems increase privacy issues and trust sensitivities. The investors are the ones offering financial support, but they can be interested in short-term performance indicators rather than in relational legitimacy.</w:t>
            </w:r>
          </w:p>
        </w:tc>
      </w:tr>
    </w:tbl>
    <w:p w14:paraId="0310EC69" w14:textId="77777777" w:rsidR="00363793" w:rsidRDefault="00363793" w:rsidP="00363793"/>
    <w:tbl>
      <w:tblPr>
        <w:tblStyle w:val="TableGrid"/>
        <w:tblW w:w="0" w:type="auto"/>
        <w:tblLook w:val="04A0" w:firstRow="1" w:lastRow="0" w:firstColumn="1" w:lastColumn="0" w:noHBand="0" w:noVBand="1"/>
      </w:tblPr>
      <w:tblGrid>
        <w:gridCol w:w="9350"/>
      </w:tblGrid>
      <w:tr w:rsidR="00363793" w14:paraId="25FCD582" w14:textId="77777777" w:rsidTr="001B5F7C">
        <w:tc>
          <w:tcPr>
            <w:tcW w:w="9350" w:type="dxa"/>
            <w:shd w:val="clear" w:color="auto" w:fill="FFC000"/>
          </w:tcPr>
          <w:p w14:paraId="3B4A21BB" w14:textId="77777777" w:rsidR="00363793" w:rsidRPr="001B5F7C" w:rsidRDefault="00363793" w:rsidP="001B5F7C">
            <w:pPr>
              <w:pStyle w:val="ListParagraph"/>
              <w:numPr>
                <w:ilvl w:val="0"/>
                <w:numId w:val="49"/>
              </w:numPr>
              <w:rPr>
                <w:b/>
              </w:rPr>
            </w:pPr>
            <w:r w:rsidRPr="001B5F7C">
              <w:rPr>
                <w:b/>
              </w:rPr>
              <w:t>Technology Vendors and regulators</w:t>
            </w:r>
          </w:p>
        </w:tc>
      </w:tr>
      <w:tr w:rsidR="00363793" w14:paraId="28DA6B3D" w14:textId="77777777" w:rsidTr="00363793">
        <w:tc>
          <w:tcPr>
            <w:tcW w:w="9350" w:type="dxa"/>
          </w:tcPr>
          <w:p w14:paraId="6F97AD26" w14:textId="77777777" w:rsidR="00363793" w:rsidRDefault="001B5F7C" w:rsidP="00363793">
            <w:r>
              <w:t>The regulators apply consistency in cross-jurisdictional compliance and especially under the GDPR frameworks on cross-border data flows. Vendors of technology bring with them the expertise of the algorithm but they pose systemic lock-in and asymmetry of knowledge.</w:t>
            </w:r>
          </w:p>
        </w:tc>
      </w:tr>
    </w:tbl>
    <w:p w14:paraId="5E50D44E" w14:textId="77777777" w:rsidR="00363793" w:rsidRDefault="00363793" w:rsidP="00363793"/>
    <w:p w14:paraId="5DEDA9AC" w14:textId="77777777" w:rsidR="00363793" w:rsidRDefault="00363793" w:rsidP="00363793">
      <w:pPr>
        <w:pStyle w:val="Heading2"/>
      </w:pPr>
      <w:bookmarkStart w:id="10" w:name="_Toc222025060"/>
      <w:r>
        <w:lastRenderedPageBreak/>
        <w:t>Strategic Implications and Relational Tensions</w:t>
      </w:r>
      <w:bookmarkEnd w:id="10"/>
    </w:p>
    <w:p w14:paraId="01931690" w14:textId="77777777" w:rsidR="00363793" w:rsidRDefault="00363793" w:rsidP="00363793">
      <w:r>
        <w:t>The goals of the economic efficiency can be in contradiction to the ethical considerations of the employment security and privacy of the data. Regulatory deliberation can go against operational urgency. The sustainable implementation of StaySmart+, thus, demand clear-cut governance frameworks, consultative communication, and trust-based engagement processes that can work reconciliation of economic, ethical, and operational interests in a technologically escalated hospitality environment.</w:t>
      </w:r>
    </w:p>
    <w:p w14:paraId="02D53515" w14:textId="77777777" w:rsidR="001B5F7C" w:rsidRDefault="001B5F7C" w:rsidP="001B5F7C">
      <w:pPr>
        <w:pStyle w:val="Heading1"/>
      </w:pPr>
      <w:bookmarkStart w:id="11" w:name="_Toc222025061"/>
      <w:r>
        <w:t>Engagement Frameworks and Application</w:t>
      </w:r>
      <w:bookmarkEnd w:id="11"/>
    </w:p>
    <w:p w14:paraId="486224E5" w14:textId="77777777" w:rsidR="001B5F7C" w:rsidRDefault="001B5F7C" w:rsidP="001B5F7C">
      <w:pPr>
        <w:pStyle w:val="Heading2"/>
      </w:pPr>
      <w:bookmarkStart w:id="12" w:name="_Toc222025062"/>
      <w:r>
        <w:t>Stakeholder Map</w:t>
      </w:r>
      <w:bookmarkEnd w:id="12"/>
    </w:p>
    <w:p w14:paraId="782E485B" w14:textId="77777777" w:rsidR="001B5F7C" w:rsidRDefault="001B5F7C" w:rsidP="001B5F7C">
      <w:r w:rsidRPr="001B5F7C">
        <w:t xml:space="preserve">The stakeholder map is a visual representation of actors within it based on their power, interest, and the frequency of communication that is necessary. In case of StaySmart+, regulators and the Board will be in high power/high interest quadrants that need unceasing executive-level reporting. Employees and customers are characterized by high interest and relatively low structural power, but the results of empirical research indicate that frontline resistance greatly derails the technology adoption process </w:t>
      </w:r>
      <w:r w:rsidR="00082E2D">
        <w:fldChar w:fldCharType="begin"/>
      </w:r>
      <w:r w:rsidR="00082E2D">
        <w:instrText xml:space="preserve"> ADDIN EN.CITE &lt;EndNote&gt;&lt;Cite&gt;&lt;Author&gt;Webster&lt;/Author&gt;&lt;Year&gt;2023&lt;/Year&gt;&lt;RecNum&gt;6439&lt;/RecNum&gt;&lt;DisplayText&gt;(Webster and Ivanov, 2023)&lt;/DisplayText&gt;&lt;record&gt;&lt;rec-number&gt;6439&lt;/rec-number&gt;&lt;foreign-keys&gt;&lt;key app="EN" db-id="af0evp9er5rsrueeefpxrr2ie0xp2zexvfz0" timestamp="1771114053"&gt;6439&lt;/key&gt;&lt;/foreign-keys&gt;&lt;ref-type name="Book Section"&gt;5&lt;/ref-type&gt;&lt;contributors&gt;&lt;authors&gt;&lt;author&gt;Webster, Craig&lt;/author&gt;&lt;author&gt;Ivanov, Stanislav&lt;/author&gt;&lt;/authors&gt;&lt;/contributors&gt;&lt;titles&gt;&lt;title&gt;Robots, artificial intelligence and service automation in tourism and quality of life&lt;/title&gt;&lt;secondary-title&gt;Handbook of Tourism and Quality-of-Life Research II: Enhancing the Lives of Tourists, Residents of Host Communities and Service Providers&lt;/secondary-title&gt;&lt;/titles&gt;&lt;pages&gt;533-544&lt;/pages&gt;&lt;dates&gt;&lt;year&gt;2023&lt;/year&gt;&lt;/dates&gt;&lt;publisher&gt;Springer&lt;/publisher&gt;&lt;urls&gt;&lt;/urls&gt;&lt;/record&gt;&lt;/Cite&gt;&lt;/EndNote&gt;</w:instrText>
      </w:r>
      <w:r w:rsidR="00082E2D">
        <w:fldChar w:fldCharType="separate"/>
      </w:r>
      <w:r w:rsidR="00082E2D">
        <w:rPr>
          <w:noProof/>
        </w:rPr>
        <w:t>(Webster and Ivanov, 2023)</w:t>
      </w:r>
      <w:r w:rsidR="00082E2D">
        <w:fldChar w:fldCharType="end"/>
      </w:r>
      <w:r w:rsidRPr="001B5F7C">
        <w:t xml:space="preserve">. Vendors have technical power, but intermittent interest that requires a milestone type of engagement. Mapping influence helps in </w:t>
      </w:r>
      <w:r w:rsidR="007C28EB" w:rsidRPr="001B5F7C">
        <w:t>prioritization</w:t>
      </w:r>
      <w:r w:rsidRPr="001B5F7C">
        <w:t xml:space="preserve"> and allocation of resources, which is in tandem with the stakeholder salience theory </w:t>
      </w:r>
      <w:r w:rsidR="00082E2D">
        <w:fldChar w:fldCharType="begin"/>
      </w:r>
      <w:r w:rsidR="00082E2D">
        <w:instrText xml:space="preserve"> ADDIN EN.CITE &lt;EndNote&gt;&lt;Cite&gt;&lt;Author&gt;Shafique&lt;/Author&gt;&lt;Year&gt;2022&lt;/Year&gt;&lt;RecNum&gt;6440&lt;/RecNum&gt;&lt;DisplayText&gt;(Shafique and Gabriel, 2022)&lt;/DisplayText&gt;&lt;record&gt;&lt;rec-number&gt;6440&lt;/rec-number&gt;&lt;foreign-keys&gt;&lt;key app="EN" db-id="af0evp9er5rsrueeefpxrr2ie0xp2zexvfz0" timestamp="1771114152"&gt;6440&lt;/key&gt;&lt;/foreign-keys&gt;&lt;ref-type name="Journal Article"&gt;17&lt;/ref-type&gt;&lt;contributors&gt;&lt;authors&gt;&lt;author&gt;Shafique, Kamran&lt;/author&gt;&lt;author&gt;Gabriel, Cle-Anne&lt;/author&gt;&lt;/authors&gt;&lt;/contributors&gt;&lt;titles&gt;&lt;title&gt;Vulnerable stakeholders’ engagement: Advancing stakeholder theory with new attribute and salience framework&lt;/title&gt;&lt;secondary-title&gt;Sustainability&lt;/secondary-title&gt;&lt;/titles&gt;&lt;periodical&gt;&lt;full-title&gt;Sustainability&lt;/full-title&gt;&lt;/periodical&gt;&lt;pages&gt;11765&lt;/pages&gt;&lt;volume&gt;14&lt;/volume&gt;&lt;number&gt;18&lt;/number&gt;&lt;dates&gt;&lt;year&gt;2022&lt;/year&gt;&lt;/dates&gt;&lt;isbn&gt;2071-1050&lt;/isbn&gt;&lt;urls&gt;&lt;/urls&gt;&lt;/record&gt;&lt;/Cite&gt;&lt;/EndNote&gt;</w:instrText>
      </w:r>
      <w:r w:rsidR="00082E2D">
        <w:fldChar w:fldCharType="separate"/>
      </w:r>
      <w:r w:rsidR="00082E2D">
        <w:rPr>
          <w:noProof/>
        </w:rPr>
        <w:t>(Shafique and Gabriel, 2022)</w:t>
      </w:r>
      <w:r w:rsidR="00082E2D">
        <w:fldChar w:fldCharType="end"/>
      </w:r>
      <w:r w:rsidRPr="001B5F7C">
        <w:t>.</w:t>
      </w:r>
    </w:p>
    <w:p w14:paraId="229AB083" w14:textId="77777777" w:rsidR="001B5F7C" w:rsidRDefault="001B5F7C" w:rsidP="001B5F7C">
      <w:pPr>
        <w:pStyle w:val="Heading2"/>
      </w:pPr>
      <w:bookmarkStart w:id="13" w:name="_Toc222025063"/>
      <w:r>
        <w:t>RACI Matrix</w:t>
      </w:r>
      <w:bookmarkEnd w:id="13"/>
    </w:p>
    <w:tbl>
      <w:tblPr>
        <w:tblStyle w:val="TableGrid"/>
        <w:tblW w:w="0" w:type="auto"/>
        <w:tblLook w:val="04A0" w:firstRow="1" w:lastRow="0" w:firstColumn="1" w:lastColumn="0" w:noHBand="0" w:noVBand="1"/>
      </w:tblPr>
      <w:tblGrid>
        <w:gridCol w:w="1890"/>
        <w:gridCol w:w="1885"/>
        <w:gridCol w:w="1926"/>
        <w:gridCol w:w="1794"/>
        <w:gridCol w:w="1855"/>
      </w:tblGrid>
      <w:tr w:rsidR="001B5F7C" w:rsidRPr="001B5F7C" w14:paraId="1A3CC48A" w14:textId="77777777" w:rsidTr="001B5F7C">
        <w:tc>
          <w:tcPr>
            <w:tcW w:w="0" w:type="auto"/>
            <w:vAlign w:val="center"/>
            <w:hideMark/>
          </w:tcPr>
          <w:p w14:paraId="2372692F" w14:textId="77777777" w:rsidR="001B5F7C" w:rsidRPr="001B5F7C" w:rsidRDefault="001B5F7C" w:rsidP="001B5F7C">
            <w:pPr>
              <w:spacing w:line="240" w:lineRule="auto"/>
              <w:jc w:val="center"/>
              <w:rPr>
                <w:rFonts w:eastAsia="Times New Roman" w:cs="Times New Roman"/>
                <w:b/>
                <w:bCs/>
                <w:szCs w:val="24"/>
              </w:rPr>
            </w:pPr>
            <w:r w:rsidRPr="001B5F7C">
              <w:rPr>
                <w:rFonts w:eastAsia="Times New Roman" w:cs="Times New Roman"/>
                <w:b/>
                <w:bCs/>
                <w:szCs w:val="24"/>
              </w:rPr>
              <w:t>Activity</w:t>
            </w:r>
          </w:p>
        </w:tc>
        <w:tc>
          <w:tcPr>
            <w:tcW w:w="0" w:type="auto"/>
            <w:vAlign w:val="center"/>
            <w:hideMark/>
          </w:tcPr>
          <w:p w14:paraId="7739F082" w14:textId="77777777" w:rsidR="001B5F7C" w:rsidRPr="001B5F7C" w:rsidRDefault="001B5F7C" w:rsidP="001B5F7C">
            <w:pPr>
              <w:spacing w:line="240" w:lineRule="auto"/>
              <w:jc w:val="center"/>
              <w:rPr>
                <w:rFonts w:eastAsia="Times New Roman" w:cs="Times New Roman"/>
                <w:b/>
                <w:bCs/>
                <w:szCs w:val="24"/>
              </w:rPr>
            </w:pPr>
            <w:r w:rsidRPr="001B5F7C">
              <w:rPr>
                <w:rFonts w:eastAsia="Times New Roman" w:cs="Times New Roman"/>
                <w:b/>
                <w:bCs/>
                <w:szCs w:val="24"/>
              </w:rPr>
              <w:t>Responsible</w:t>
            </w:r>
          </w:p>
        </w:tc>
        <w:tc>
          <w:tcPr>
            <w:tcW w:w="0" w:type="auto"/>
            <w:vAlign w:val="center"/>
            <w:hideMark/>
          </w:tcPr>
          <w:p w14:paraId="04CCB386" w14:textId="77777777" w:rsidR="001B5F7C" w:rsidRPr="001B5F7C" w:rsidRDefault="001B5F7C" w:rsidP="001B5F7C">
            <w:pPr>
              <w:spacing w:line="240" w:lineRule="auto"/>
              <w:jc w:val="center"/>
              <w:rPr>
                <w:rFonts w:eastAsia="Times New Roman" w:cs="Times New Roman"/>
                <w:b/>
                <w:bCs/>
                <w:szCs w:val="24"/>
              </w:rPr>
            </w:pPr>
            <w:r w:rsidRPr="001B5F7C">
              <w:rPr>
                <w:rFonts w:eastAsia="Times New Roman" w:cs="Times New Roman"/>
                <w:b/>
                <w:bCs/>
                <w:szCs w:val="24"/>
              </w:rPr>
              <w:t>Accountable</w:t>
            </w:r>
          </w:p>
        </w:tc>
        <w:tc>
          <w:tcPr>
            <w:tcW w:w="0" w:type="auto"/>
            <w:vAlign w:val="center"/>
            <w:hideMark/>
          </w:tcPr>
          <w:p w14:paraId="3C0FDEBE" w14:textId="77777777" w:rsidR="001B5F7C" w:rsidRPr="001B5F7C" w:rsidRDefault="001B5F7C" w:rsidP="001B5F7C">
            <w:pPr>
              <w:spacing w:line="240" w:lineRule="auto"/>
              <w:jc w:val="center"/>
              <w:rPr>
                <w:rFonts w:eastAsia="Times New Roman" w:cs="Times New Roman"/>
                <w:b/>
                <w:bCs/>
                <w:szCs w:val="24"/>
              </w:rPr>
            </w:pPr>
            <w:r w:rsidRPr="001B5F7C">
              <w:rPr>
                <w:rFonts w:eastAsia="Times New Roman" w:cs="Times New Roman"/>
                <w:b/>
                <w:bCs/>
                <w:szCs w:val="24"/>
              </w:rPr>
              <w:t>Consulted</w:t>
            </w:r>
          </w:p>
        </w:tc>
        <w:tc>
          <w:tcPr>
            <w:tcW w:w="0" w:type="auto"/>
            <w:vAlign w:val="center"/>
            <w:hideMark/>
          </w:tcPr>
          <w:p w14:paraId="47E0E84E" w14:textId="77777777" w:rsidR="001B5F7C" w:rsidRPr="001B5F7C" w:rsidRDefault="001B5F7C" w:rsidP="001B5F7C">
            <w:pPr>
              <w:spacing w:line="240" w:lineRule="auto"/>
              <w:jc w:val="center"/>
              <w:rPr>
                <w:rFonts w:eastAsia="Times New Roman" w:cs="Times New Roman"/>
                <w:b/>
                <w:bCs/>
                <w:szCs w:val="24"/>
              </w:rPr>
            </w:pPr>
            <w:r w:rsidRPr="001B5F7C">
              <w:rPr>
                <w:rFonts w:eastAsia="Times New Roman" w:cs="Times New Roman"/>
                <w:b/>
                <w:bCs/>
                <w:szCs w:val="24"/>
              </w:rPr>
              <w:t>Informed</w:t>
            </w:r>
          </w:p>
        </w:tc>
      </w:tr>
      <w:tr w:rsidR="001B5F7C" w:rsidRPr="001B5F7C" w14:paraId="33288288" w14:textId="77777777" w:rsidTr="001B5F7C">
        <w:tc>
          <w:tcPr>
            <w:tcW w:w="0" w:type="auto"/>
            <w:vAlign w:val="center"/>
            <w:hideMark/>
          </w:tcPr>
          <w:p w14:paraId="284CB18F"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AI Integration</w:t>
            </w:r>
          </w:p>
        </w:tc>
        <w:tc>
          <w:tcPr>
            <w:tcW w:w="0" w:type="auto"/>
            <w:vAlign w:val="center"/>
            <w:hideMark/>
          </w:tcPr>
          <w:p w14:paraId="2144831B"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IT Teams</w:t>
            </w:r>
          </w:p>
        </w:tc>
        <w:tc>
          <w:tcPr>
            <w:tcW w:w="0" w:type="auto"/>
            <w:vAlign w:val="center"/>
            <w:hideMark/>
          </w:tcPr>
          <w:p w14:paraId="5C667993"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Chief Digital Officer</w:t>
            </w:r>
          </w:p>
        </w:tc>
        <w:tc>
          <w:tcPr>
            <w:tcW w:w="0" w:type="auto"/>
            <w:vAlign w:val="center"/>
            <w:hideMark/>
          </w:tcPr>
          <w:p w14:paraId="6252E347"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Vendors, Operations</w:t>
            </w:r>
          </w:p>
        </w:tc>
        <w:tc>
          <w:tcPr>
            <w:tcW w:w="0" w:type="auto"/>
            <w:vAlign w:val="center"/>
            <w:hideMark/>
          </w:tcPr>
          <w:p w14:paraId="20E603B2"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Board</w:t>
            </w:r>
          </w:p>
        </w:tc>
      </w:tr>
      <w:tr w:rsidR="001B5F7C" w:rsidRPr="001B5F7C" w14:paraId="359A023D" w14:textId="77777777" w:rsidTr="001B5F7C">
        <w:tc>
          <w:tcPr>
            <w:tcW w:w="0" w:type="auto"/>
            <w:vAlign w:val="center"/>
            <w:hideMark/>
          </w:tcPr>
          <w:p w14:paraId="34245E18"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Staff Training</w:t>
            </w:r>
          </w:p>
        </w:tc>
        <w:tc>
          <w:tcPr>
            <w:tcW w:w="0" w:type="auto"/>
            <w:vAlign w:val="center"/>
            <w:hideMark/>
          </w:tcPr>
          <w:p w14:paraId="723A8B84"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HR Department</w:t>
            </w:r>
          </w:p>
        </w:tc>
        <w:tc>
          <w:tcPr>
            <w:tcW w:w="0" w:type="auto"/>
            <w:vAlign w:val="center"/>
            <w:hideMark/>
          </w:tcPr>
          <w:p w14:paraId="4B074E20"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Operations Director</w:t>
            </w:r>
          </w:p>
        </w:tc>
        <w:tc>
          <w:tcPr>
            <w:tcW w:w="0" w:type="auto"/>
            <w:vAlign w:val="center"/>
            <w:hideMark/>
          </w:tcPr>
          <w:p w14:paraId="724CEF2C"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Frontline Managers</w:t>
            </w:r>
          </w:p>
        </w:tc>
        <w:tc>
          <w:tcPr>
            <w:tcW w:w="0" w:type="auto"/>
            <w:vAlign w:val="center"/>
            <w:hideMark/>
          </w:tcPr>
          <w:p w14:paraId="0C806B1D"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Employees</w:t>
            </w:r>
          </w:p>
        </w:tc>
      </w:tr>
      <w:tr w:rsidR="001B5F7C" w:rsidRPr="001B5F7C" w14:paraId="7012B562" w14:textId="77777777" w:rsidTr="001B5F7C">
        <w:tc>
          <w:tcPr>
            <w:tcW w:w="0" w:type="auto"/>
            <w:vAlign w:val="center"/>
            <w:hideMark/>
          </w:tcPr>
          <w:p w14:paraId="7054BBAB"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Marketing Launch</w:t>
            </w:r>
          </w:p>
        </w:tc>
        <w:tc>
          <w:tcPr>
            <w:tcW w:w="0" w:type="auto"/>
            <w:vAlign w:val="center"/>
            <w:hideMark/>
          </w:tcPr>
          <w:p w14:paraId="7DB08355"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Marketing Team</w:t>
            </w:r>
          </w:p>
        </w:tc>
        <w:tc>
          <w:tcPr>
            <w:tcW w:w="0" w:type="auto"/>
            <w:vAlign w:val="center"/>
            <w:hideMark/>
          </w:tcPr>
          <w:p w14:paraId="77AB4997"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Commercial Director</w:t>
            </w:r>
          </w:p>
        </w:tc>
        <w:tc>
          <w:tcPr>
            <w:tcW w:w="0" w:type="auto"/>
            <w:vAlign w:val="center"/>
            <w:hideMark/>
          </w:tcPr>
          <w:p w14:paraId="01330D7C"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Project Manager</w:t>
            </w:r>
          </w:p>
        </w:tc>
        <w:tc>
          <w:tcPr>
            <w:tcW w:w="0" w:type="auto"/>
            <w:vAlign w:val="center"/>
            <w:hideMark/>
          </w:tcPr>
          <w:p w14:paraId="1E99099E"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Investors</w:t>
            </w:r>
          </w:p>
        </w:tc>
      </w:tr>
      <w:tr w:rsidR="001B5F7C" w:rsidRPr="001B5F7C" w14:paraId="5D934D8C" w14:textId="77777777" w:rsidTr="001B5F7C">
        <w:tc>
          <w:tcPr>
            <w:tcW w:w="0" w:type="auto"/>
            <w:vAlign w:val="center"/>
            <w:hideMark/>
          </w:tcPr>
          <w:p w14:paraId="18C564C8"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Compliance Auditing</w:t>
            </w:r>
          </w:p>
        </w:tc>
        <w:tc>
          <w:tcPr>
            <w:tcW w:w="0" w:type="auto"/>
            <w:vAlign w:val="center"/>
            <w:hideMark/>
          </w:tcPr>
          <w:p w14:paraId="67B8053A"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Legal &amp; Compliance</w:t>
            </w:r>
          </w:p>
        </w:tc>
        <w:tc>
          <w:tcPr>
            <w:tcW w:w="0" w:type="auto"/>
            <w:vAlign w:val="center"/>
            <w:hideMark/>
          </w:tcPr>
          <w:p w14:paraId="19AD613B"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CFO</w:t>
            </w:r>
          </w:p>
        </w:tc>
        <w:tc>
          <w:tcPr>
            <w:tcW w:w="0" w:type="auto"/>
            <w:vAlign w:val="center"/>
            <w:hideMark/>
          </w:tcPr>
          <w:p w14:paraId="2B77E223"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Regulators</w:t>
            </w:r>
          </w:p>
        </w:tc>
        <w:tc>
          <w:tcPr>
            <w:tcW w:w="0" w:type="auto"/>
            <w:vAlign w:val="center"/>
            <w:hideMark/>
          </w:tcPr>
          <w:p w14:paraId="312B1A0E" w14:textId="77777777" w:rsidR="001B5F7C" w:rsidRPr="001B5F7C" w:rsidRDefault="001B5F7C" w:rsidP="001B5F7C">
            <w:pPr>
              <w:spacing w:line="240" w:lineRule="auto"/>
              <w:jc w:val="center"/>
              <w:rPr>
                <w:rFonts w:eastAsia="Times New Roman" w:cs="Times New Roman"/>
                <w:szCs w:val="24"/>
              </w:rPr>
            </w:pPr>
            <w:r w:rsidRPr="001B5F7C">
              <w:rPr>
                <w:rFonts w:eastAsia="Times New Roman" w:cs="Times New Roman"/>
                <w:szCs w:val="24"/>
              </w:rPr>
              <w:t>Senior Management</w:t>
            </w:r>
          </w:p>
        </w:tc>
      </w:tr>
    </w:tbl>
    <w:p w14:paraId="7712D21E" w14:textId="77777777" w:rsidR="001B5F7C" w:rsidRDefault="001B5F7C" w:rsidP="001B5F7C"/>
    <w:p w14:paraId="2813B612" w14:textId="77777777" w:rsidR="001B5F7C" w:rsidRDefault="001B5F7C" w:rsidP="001B5F7C">
      <w:r w:rsidRPr="001B5F7C">
        <w:t xml:space="preserve">Role definition will decrease the ambiguity that is associated with better performance of projects involving cross-functional initiatives </w:t>
      </w:r>
      <w:r w:rsidR="00082E2D">
        <w:fldChar w:fldCharType="begin"/>
      </w:r>
      <w:r w:rsidR="00082E2D">
        <w:instrText xml:space="preserve"> ADDIN EN.CITE &lt;EndNote&gt;&lt;Cite&gt;&lt;Author&gt;Rubino&lt;/Author&gt;&lt;Year&gt;2025&lt;/Year&gt;&lt;RecNum&gt;6441&lt;/RecNum&gt;&lt;DisplayText&gt;(Rubino et al., 2025)&lt;/DisplayText&gt;&lt;record&gt;&lt;rec-number&gt;6441&lt;/rec-number&gt;&lt;foreign-keys&gt;&lt;key app="EN" db-id="af0evp9er5rsrueeefpxrr2ie0xp2zexvfz0" timestamp="1771114182"&gt;6441&lt;/key&gt;&lt;/foreign-keys&gt;&lt;ref-type name="Journal Article"&gt;17&lt;/ref-type&gt;&lt;contributors&gt;&lt;authors&gt;&lt;author&gt;Rubino, Gaetana&lt;/author&gt;&lt;author&gt;Gattuso, Domenico&lt;/author&gt;&lt;author&gt;Longo, Francesco&lt;/author&gt;&lt;/authors&gt;&lt;/contributors&gt;&lt;titles&gt;&lt;title&gt;Exploring Industry 4.0 Technologies in Tourism. A Literature Review&lt;/title&gt;&lt;secondary-title&gt;Procedia Computer Science&lt;/secondary-title&gt;&lt;/titles&gt;&lt;periodical&gt;&lt;full-title&gt;Procedia Computer Science&lt;/full-title&gt;&lt;/periodical&gt;&lt;pages&gt;3182-3195&lt;/pages&gt;&lt;volume&gt;253&lt;/volume&gt;&lt;dates&gt;&lt;year&gt;2025&lt;/year&gt;&lt;/dates&gt;&lt;isbn&gt;1877-0509&lt;/isbn&gt;&lt;urls&gt;&lt;/urls&gt;&lt;/record&gt;&lt;/Cite&gt;&lt;/EndNote&gt;</w:instrText>
      </w:r>
      <w:r w:rsidR="00082E2D">
        <w:fldChar w:fldCharType="separate"/>
      </w:r>
      <w:r w:rsidR="00082E2D">
        <w:rPr>
          <w:noProof/>
        </w:rPr>
        <w:t>(Rubino et al., 2025)</w:t>
      </w:r>
      <w:r w:rsidR="00082E2D">
        <w:fldChar w:fldCharType="end"/>
      </w:r>
      <w:r w:rsidRPr="001B5F7C">
        <w:t>.</w:t>
      </w:r>
    </w:p>
    <w:p w14:paraId="173C9D0B" w14:textId="77777777" w:rsidR="001B5F7C" w:rsidRDefault="001B5F7C" w:rsidP="001B5F7C">
      <w:pPr>
        <w:pStyle w:val="Heading2"/>
      </w:pPr>
      <w:bookmarkStart w:id="14" w:name="_Toc222025064"/>
      <w:r>
        <w:lastRenderedPageBreak/>
        <w:t>Communication Plan</w:t>
      </w:r>
      <w:bookmarkEnd w:id="14"/>
    </w:p>
    <w:p w14:paraId="0B6173EF" w14:textId="77777777" w:rsidR="001B5F7C" w:rsidRDefault="001B5F7C" w:rsidP="001B5F7C">
      <w:r>
        <w:t xml:space="preserve">To ensure governance, the executive briefings are held monthly; to organize technical and operational interdependencies, cross-functional meetings are conducted weekly; to address employee automation fears, they are briefed at employee town halls; to inform customers about the AI functioning and data protection, campaigns are held to clarify the features of artificial intelligence; to perform checks on cybersecurity, periodic visits to vendors are implemented. Formalization of communication improves trust especially in service settings that are data intensive </w:t>
      </w:r>
      <w:r w:rsidR="000F6F82">
        <w:fldChar w:fldCharType="begin"/>
      </w:r>
      <w:r w:rsidR="000F6F82">
        <w:instrText xml:space="preserve"> ADDIN EN.CITE &lt;EndNote&gt;&lt;Cite&gt;&lt;Author&gt;Avramidis&lt;/Author&gt;&lt;Year&gt;2022&lt;/Year&gt;&lt;RecNum&gt;6442&lt;/RecNum&gt;&lt;DisplayText&gt;(Avramidis et al., 2022)&lt;/DisplayText&gt;&lt;record&gt;&lt;rec-number&gt;6442&lt;/rec-number&gt;&lt;foreign-keys&gt;&lt;key app="EN" db-id="af0evp9er5rsrueeefpxrr2ie0xp2zexvfz0" timestamp="1771114235"&gt;6442&lt;/key&gt;&lt;/foreign-keys&gt;&lt;ref-type name="Journal Article"&gt;17&lt;/ref-type&gt;&lt;contributors&gt;&lt;authors&gt;&lt;author&gt;Avramidis, Panagiotis&lt;/author&gt;&lt;author&gt;Serfes, Konstantinos&lt;/author&gt;&lt;author&gt;Vlachos, Pavlos A&lt;/author&gt;&lt;author&gt;Panagopoulos, Nikolaos G&lt;/author&gt;&lt;/authors&gt;&lt;/contributors&gt;&lt;titles&gt;&lt;title&gt;Customer Data Privacy, Competition and Firm Performance&lt;/title&gt;&lt;secondary-title&gt;Competition and Firm Performance (April 1, 2022)&lt;/secondary-title&gt;&lt;/titles&gt;&lt;periodical&gt;&lt;full-title&gt;Competition and Firm Performance (April 1, 2022)&lt;/full-title&gt;&lt;/periodical&gt;&lt;dates&gt;&lt;year&gt;2022&lt;/year&gt;&lt;/dates&gt;&lt;urls&gt;&lt;/urls&gt;&lt;/record&gt;&lt;/Cite&gt;&lt;/EndNote&gt;</w:instrText>
      </w:r>
      <w:r w:rsidR="000F6F82">
        <w:fldChar w:fldCharType="separate"/>
      </w:r>
      <w:r w:rsidR="000F6F82">
        <w:rPr>
          <w:noProof/>
        </w:rPr>
        <w:t>(Avramidis et al., 2022)</w:t>
      </w:r>
      <w:r w:rsidR="000F6F82">
        <w:fldChar w:fldCharType="end"/>
      </w:r>
      <w:r>
        <w:t>.</w:t>
      </w:r>
    </w:p>
    <w:p w14:paraId="34A94F7F" w14:textId="77777777" w:rsidR="001B5F7C" w:rsidRDefault="001B5F7C" w:rsidP="001B5F7C">
      <w:pPr>
        <w:pStyle w:val="Heading2"/>
      </w:pPr>
      <w:bookmarkStart w:id="15" w:name="_Toc222025065"/>
      <w:r>
        <w:t>Engagement Plan</w:t>
      </w:r>
      <w:bookmarkEnd w:id="15"/>
    </w:p>
    <w:p w14:paraId="5E5B9367" w14:textId="77777777" w:rsidR="001B5F7C" w:rsidRDefault="001B5F7C" w:rsidP="001B5F7C">
      <w:r>
        <w:t>Participatory design legitimacy is created in pre-launch consultation workshops. Pilot testing on the selected properties creates the effect of the accumulation of learning prior to a global implementation. ESG transparency reporting enhances normative legitimacy by the sustainability stakeholders. Relational accountability is entrenched in continuous feedback loops.</w:t>
      </w:r>
    </w:p>
    <w:p w14:paraId="7A32AF34" w14:textId="77777777" w:rsidR="001B5F7C" w:rsidRDefault="001B5F7C" w:rsidP="001B5F7C">
      <w:r>
        <w:t xml:space="preserve">The choice of the framework is a reflection of the stakeholder theory and principles of relational governance described by </w:t>
      </w:r>
      <w:r w:rsidR="000F6F82">
        <w:fldChar w:fldCharType="begin"/>
      </w:r>
      <w:r w:rsidR="000F6F82">
        <w:instrText xml:space="preserve"> ADDIN EN.CITE &lt;EndNote&gt;&lt;Cite AuthorYear="1"&gt;&lt;Author&gt;Freeman&lt;/Author&gt;&lt;Year&gt;2010&lt;/Year&gt;&lt;RecNum&gt;556&lt;/RecNum&gt;&lt;DisplayText&gt;Freeman (2010)&lt;/DisplayText&gt;&lt;record&gt;&lt;rec-number&gt;556&lt;/rec-number&gt;&lt;foreign-keys&gt;&lt;key app="EN" db-id="af0evp9er5rsrueeefpxrr2ie0xp2zexvfz0" timestamp="1765609790"&gt;556&lt;/key&gt;&lt;/foreign-keys&gt;&lt;ref-type name="Book"&gt;6&lt;/ref-type&gt;&lt;contributors&gt;&lt;authors&gt;&lt;author&gt;Freeman, R Edward&lt;/author&gt;&lt;/authors&gt;&lt;/contributors&gt;&lt;titles&gt;&lt;title&gt;Strategic management: A stakeholder approach&lt;/title&gt;&lt;/titles&gt;&lt;dates&gt;&lt;year&gt;2010&lt;/year&gt;&lt;/dates&gt;&lt;publisher&gt;Cambridge university press&lt;/publisher&gt;&lt;isbn&gt;0521151740&lt;/isbn&gt;&lt;urls&gt;&lt;/urls&gt;&lt;/record&gt;&lt;/Cite&gt;&lt;/EndNote&gt;</w:instrText>
      </w:r>
      <w:r w:rsidR="000F6F82">
        <w:fldChar w:fldCharType="separate"/>
      </w:r>
      <w:r w:rsidR="000F6F82">
        <w:rPr>
          <w:noProof/>
        </w:rPr>
        <w:t>Freeman (2010)</w:t>
      </w:r>
      <w:r w:rsidR="000F6F82">
        <w:fldChar w:fldCharType="end"/>
      </w:r>
      <w:r>
        <w:t>, as value creation in technology-supported hospitality is influenced by organised, differentiated, and trust-based engagement processes and not just transactional information exchange.</w:t>
      </w:r>
    </w:p>
    <w:p w14:paraId="05786776" w14:textId="77777777" w:rsidR="001B5F7C" w:rsidRDefault="001B5F7C" w:rsidP="001B5F7C">
      <w:pPr>
        <w:pStyle w:val="Heading1"/>
      </w:pPr>
      <w:bookmarkStart w:id="16" w:name="_Toc222025066"/>
      <w:r>
        <w:t>Critical Stakeholder Engagement Process – The 4C’s Model</w:t>
      </w:r>
      <w:bookmarkEnd w:id="16"/>
    </w:p>
    <w:p w14:paraId="7725E039" w14:textId="77777777" w:rsidR="001B5F7C" w:rsidRDefault="001B5F7C" w:rsidP="001B5F7C">
      <w:pPr>
        <w:pStyle w:val="Heading2"/>
      </w:pPr>
      <w:bookmarkStart w:id="17" w:name="_Toc222025067"/>
      <w:r>
        <w:t>Communication</w:t>
      </w:r>
      <w:bookmarkEnd w:id="17"/>
    </w:p>
    <w:p w14:paraId="0317DA0E" w14:textId="77777777" w:rsidR="001B5F7C" w:rsidRDefault="001B5F7C" w:rsidP="001B5F7C">
      <w:r>
        <w:t xml:space="preserve">The key to the international implementation of StaySmart+ is effective communication, which will guarantee clear, culturally responsive communication in various markets. Studies have shown that the adoption of technology in the hospitality industry is enhanced where organisational communication </w:t>
      </w:r>
      <w:r w:rsidR="007C28EB">
        <w:t>minimizes</w:t>
      </w:r>
      <w:r>
        <w:t xml:space="preserve"> uncertainty and perceived benefits are made clear to the organisation. Open communication is especially important when it comes to the frontline issues concerning AI-enhanced automation and the possibility of job loss as the resistance of employees has a huge impact on the quality of offered services</w:t>
      </w:r>
      <w:r w:rsidR="000F6F82">
        <w:t xml:space="preserve"> </w:t>
      </w:r>
      <w:r w:rsidR="000F6F82">
        <w:fldChar w:fldCharType="begin"/>
      </w:r>
      <w:r w:rsidR="000F6F82">
        <w:instrText xml:space="preserve"> ADDIN EN.CITE &lt;EndNote&gt;&lt;Cite&gt;&lt;Author&gt;Purwanto&lt;/Author&gt;&lt;Year&gt;2023&lt;/Year&gt;&lt;RecNum&gt;6443&lt;/RecNum&gt;&lt;DisplayText&gt;(Purwanto et al., 2023)&lt;/DisplayText&gt;&lt;record&gt;&lt;rec-number&gt;6443&lt;/rec-number&gt;&lt;foreign-keys&gt;&lt;key app="EN" db-id="af0evp9er5rsrueeefpxrr2ie0xp2zexvfz0" timestamp="1771114305"&gt;6443&lt;/key&gt;&lt;/foreign-keys&gt;&lt;ref-type name="Journal Article"&gt;17&lt;/ref-type&gt;&lt;contributors&gt;&lt;authors&gt;&lt;author&gt;Purwanto, Andrik&lt;/author&gt;&lt;author&gt;Wafa, Ali&lt;/author&gt;&lt;author&gt;Sanjani, M Aqil Fahmi&lt;/author&gt;&lt;/authors&gt;&lt;/contributors&gt;&lt;titles&gt;&lt;title&gt;Interpersonal Communication Strategies in Building an Image of Contigency Perspective of Accommodation&lt;/title&gt;&lt;secondary-title&gt;Managere: Indonesian Journal of Educational Management&lt;/secondary-title&gt;&lt;/titles&gt;&lt;periodical&gt;&lt;full-title&gt;Managere: Indonesian Journal of Educational Management&lt;/full-title&gt;&lt;/periodical&gt;&lt;pages&gt;267-279&lt;/pages&gt;&lt;volume&gt;5&lt;/volume&gt;&lt;number&gt;3&lt;/number&gt;&lt;dates&gt;&lt;year&gt;2023&lt;/year&gt;&lt;/dates&gt;&lt;isbn&gt;2721-1045&lt;/isbn&gt;&lt;urls&gt;&lt;/urls&gt;&lt;/record&gt;&lt;/Cite&gt;&lt;/EndNote&gt;</w:instrText>
      </w:r>
      <w:r w:rsidR="000F6F82">
        <w:fldChar w:fldCharType="separate"/>
      </w:r>
      <w:r w:rsidR="000F6F82">
        <w:rPr>
          <w:noProof/>
        </w:rPr>
        <w:t>(Purwanto et al., 2023)</w:t>
      </w:r>
      <w:r w:rsidR="000F6F82">
        <w:fldChar w:fldCharType="end"/>
      </w:r>
      <w:r>
        <w:t>. Active communication of data privacy is also required. It has been proved, through the prism of empirical data that customer trust in digital services reduces significantly in a situation where the practices of data governance lack clarity. Thus, reputational risk is prevented by means of organized communication plans, such as multilingual messages and compliance briefings in accordance with the GDPR provisions, which increase the legitimacy.</w:t>
      </w:r>
    </w:p>
    <w:p w14:paraId="4514FB6A" w14:textId="77777777" w:rsidR="001B5F7C" w:rsidRDefault="001B5F7C" w:rsidP="001B5F7C">
      <w:pPr>
        <w:pStyle w:val="Heading2"/>
      </w:pPr>
      <w:bookmarkStart w:id="18" w:name="_Toc222025068"/>
      <w:r>
        <w:lastRenderedPageBreak/>
        <w:t>Collaboration</w:t>
      </w:r>
      <w:bookmarkEnd w:id="18"/>
    </w:p>
    <w:p w14:paraId="50FDF16B" w14:textId="77777777" w:rsidR="001B5F7C" w:rsidRDefault="001B5F7C" w:rsidP="001B5F7C">
      <w:r>
        <w:t xml:space="preserve">The process of collaboration is the creation of cross-functional teams that include IT, operations, and HR, and marketing to achieve system interoperability and experiential coherence. Research has affirmed that interdepartmental co-ordination can increase the performance of innovation in service industries </w:t>
      </w:r>
      <w:r w:rsidR="000F6F82">
        <w:fldChar w:fldCharType="begin"/>
      </w:r>
      <w:r w:rsidR="000F6F82">
        <w:instrText xml:space="preserve"> ADDIN EN.CITE &lt;EndNote&gt;&lt;Cite&gt;&lt;Author&gt;Thakur&lt;/Author&gt;&lt;Year&gt;2022&lt;/Year&gt;&lt;RecNum&gt;6444&lt;/RecNum&gt;&lt;DisplayText&gt;(Thakur, 2022)&lt;/DisplayText&gt;&lt;record&gt;&lt;rec-number&gt;6444&lt;/rec-number&gt;&lt;foreign-keys&gt;&lt;key app="EN" db-id="af0evp9er5rsrueeefpxrr2ie0xp2zexvfz0" timestamp="1771114353"&gt;6444&lt;/key&gt;&lt;/foreign-keys&gt;&lt;ref-type name="Book Section"&gt;5&lt;/ref-type&gt;&lt;contributors&gt;&lt;authors&gt;&lt;author&gt;Thakur, Anusha&lt;/author&gt;&lt;/authors&gt;&lt;/contributors&gt;&lt;titles&gt;&lt;title&gt;Technological innovations in the hospitality and tourism industry&lt;/title&gt;&lt;secondary-title&gt;Mobile computing and technology applications in tourism and hospitality&lt;/secondary-title&gt;&lt;/titles&gt;&lt;pages&gt;72-97&lt;/pages&gt;&lt;dates&gt;&lt;year&gt;2022&lt;/year&gt;&lt;/dates&gt;&lt;publisher&gt;IGI Global&lt;/publisher&gt;&lt;urls&gt;&lt;/urls&gt;&lt;/record&gt;&lt;/Cite&gt;&lt;/EndNote&gt;</w:instrText>
      </w:r>
      <w:r w:rsidR="000F6F82">
        <w:fldChar w:fldCharType="separate"/>
      </w:r>
      <w:r w:rsidR="000F6F82">
        <w:rPr>
          <w:noProof/>
        </w:rPr>
        <w:t>(Thakur, 2022)</w:t>
      </w:r>
      <w:r w:rsidR="000F6F82">
        <w:fldChar w:fldCharType="end"/>
      </w:r>
      <w:r>
        <w:t>. The relationships with vendors should be managed by means of explicit contractual liability and cybersecurity accountability frameworks and diminish their systemic dependability. Joint work with front line staff creates a sense of psychological ownership and a feeling of less anxiety about automation, which strengthens the principles of relational work described by the stakeholder theory. Workshops also come up with other operational ideas via collaborations, which optimize algorithm design and guest interface usability.</w:t>
      </w:r>
    </w:p>
    <w:p w14:paraId="39237388" w14:textId="77777777" w:rsidR="001B5F7C" w:rsidRDefault="001B5F7C" w:rsidP="001B5F7C">
      <w:pPr>
        <w:pStyle w:val="Heading2"/>
      </w:pPr>
      <w:bookmarkStart w:id="19" w:name="_Toc222025069"/>
      <w:r>
        <w:t>Consultation</w:t>
      </w:r>
      <w:bookmarkEnd w:id="19"/>
    </w:p>
    <w:p w14:paraId="20140432" w14:textId="77777777" w:rsidR="001B5F7C" w:rsidRDefault="001B5F7C" w:rsidP="001B5F7C">
      <w:r>
        <w:t xml:space="preserve">The </w:t>
      </w:r>
      <w:r w:rsidR="007C28EB">
        <w:t>operationalization</w:t>
      </w:r>
      <w:r>
        <w:t xml:space="preserve"> of inclusivity by consultative mechanisms involves organised surveys of the employees, including sentiment and training requirements before the deployment. The Customer beta tests in the chosen properties in London produce real-time expanse feedback which can be refined with experience until it becomes global. Early regulator pre-clearance conference minimizes uncertainty on complying especially on restrictions on cross-border data transfer. </w:t>
      </w:r>
      <w:r w:rsidR="000F6F82">
        <w:fldChar w:fldCharType="begin"/>
      </w:r>
      <w:r w:rsidR="000F6F82">
        <w:instrText xml:space="preserve"> ADDIN EN.CITE &lt;EndNote&gt;&lt;Cite AuthorYear="1"&gt;&lt;Author&gt;Mitchell&lt;/Author&gt;&lt;Year&gt;2022&lt;/Year&gt;&lt;RecNum&gt;2454&lt;/RecNum&gt;&lt;DisplayText&gt;Mitchell et al. (2022)&lt;/DisplayText&gt;&lt;record&gt;&lt;rec-number&gt;2454&lt;/rec-number&gt;&lt;foreign-keys&gt;&lt;key app="EN" db-id="af0evp9er5rsrueeefpxrr2ie0xp2zexvfz0" timestamp="1765609790"&gt;2454&lt;/key&gt;&lt;/foreign-keys&gt;&lt;ref-type name="Journal Article"&gt;17&lt;/ref-type&gt;&lt;contributors&gt;&lt;authors&gt;&lt;author&gt;Mitchell, J Robert&lt;/author&gt;&lt;author&gt;Mitchell, Ronald K&lt;/author&gt;&lt;author&gt;Hunt, Richard A&lt;/author&gt;&lt;author&gt;Townsend, David M&lt;/author&gt;&lt;author&gt;Lee, Jae H&lt;/author&gt;&lt;/authors&gt;&lt;/contributors&gt;&lt;titles&gt;&lt;title&gt;Stakeholder engagement, knowledge problems and ethical challenges&lt;/title&gt;&lt;secondary-title&gt;Journal of Business Ethics&lt;/secondary-title&gt;&lt;/titles&gt;&lt;periodical&gt;&lt;full-title&gt;Journal of Business Ethics&lt;/full-title&gt;&lt;/periodical&gt;&lt;pages&gt;75-94&lt;/pages&gt;&lt;volume&gt;175&lt;/volume&gt;&lt;number&gt;1&lt;/number&gt;&lt;dates&gt;&lt;year&gt;2022&lt;/year&gt;&lt;/dates&gt;&lt;isbn&gt;0167-4544&lt;/isbn&gt;&lt;urls&gt;&lt;/urls&gt;&lt;/record&gt;&lt;/Cite&gt;&lt;/EndNote&gt;</w:instrText>
      </w:r>
      <w:r w:rsidR="000F6F82">
        <w:fldChar w:fldCharType="separate"/>
      </w:r>
      <w:r w:rsidR="000F6F82">
        <w:rPr>
          <w:noProof/>
        </w:rPr>
        <w:t>Mitchell et al. (2022)</w:t>
      </w:r>
      <w:r w:rsidR="000F6F82">
        <w:fldChar w:fldCharType="end"/>
      </w:r>
      <w:r>
        <w:t xml:space="preserve"> underline that the salience of the stakeholders rises in case of the convergence of urgency and legitimacy; thus, proactive consultation is necessary to avoid the expensive implementation lag by regulators.</w:t>
      </w:r>
    </w:p>
    <w:p w14:paraId="3AF1B932" w14:textId="77777777" w:rsidR="001B5F7C" w:rsidRDefault="001B5F7C" w:rsidP="001B5F7C">
      <w:pPr>
        <w:pStyle w:val="Heading2"/>
      </w:pPr>
      <w:bookmarkStart w:id="20" w:name="_Toc222025070"/>
      <w:r>
        <w:t>Commitment</w:t>
      </w:r>
      <w:bookmarkEnd w:id="20"/>
    </w:p>
    <w:p w14:paraId="665A947E" w14:textId="77777777" w:rsidR="001B5F7C" w:rsidRDefault="001B5F7C" w:rsidP="001B5F7C">
      <w:r>
        <w:t>Engagement is consolidated by commitment with the help of incentive programs that are connected to AI adoption measures and sustainability performance goals. Training programmes that are based on certification support the digital competence and represent organisational investment in the workforce development. Leadership credence enhances normative commitment that supports organisational identity with the goals of innovation.</w:t>
      </w:r>
    </w:p>
    <w:p w14:paraId="3BFFA41A" w14:textId="77777777" w:rsidR="001B5F7C" w:rsidRDefault="001B5F7C" w:rsidP="001B5F7C">
      <w:pPr>
        <w:pStyle w:val="Heading2"/>
      </w:pPr>
      <w:bookmarkStart w:id="21" w:name="_Toc222025071"/>
      <w:r>
        <w:t>Managerial Accountability and Conflict Management</w:t>
      </w:r>
      <w:bookmarkEnd w:id="21"/>
    </w:p>
    <w:p w14:paraId="59475CB9" w14:textId="77777777" w:rsidR="001B5F7C" w:rsidRDefault="001B5F7C" w:rsidP="001B5F7C">
      <w:r>
        <w:t xml:space="preserve">Budget restrictions could cause conflict, where capital to develop AI is competing with more immediate profitability expectations: cultural mismatch between markets on the issue of automation acceptance; and regulatory slowness associated with data protection audits. Investor negotiation balances the time to innovation versus expectation of returns. Interdepartmental conflicts such as </w:t>
      </w:r>
      <w:r w:rsidR="007C28EB">
        <w:t>prioritization</w:t>
      </w:r>
      <w:r>
        <w:t xml:space="preserve"> of resources are solved through mediation. Emotional intelligence </w:t>
      </w:r>
      <w:r>
        <w:lastRenderedPageBreak/>
        <w:t xml:space="preserve">leadership promotes empathetic involvement which minimizes defensive resistance </w:t>
      </w:r>
      <w:r w:rsidR="000F6F82">
        <w:fldChar w:fldCharType="begin"/>
      </w:r>
      <w:r w:rsidR="000F6F82">
        <w:instrText xml:space="preserve"> ADDIN EN.CITE &lt;EndNote&gt;&lt;Cite&gt;&lt;Author&gt;George&lt;/Author&gt;&lt;Year&gt;2022&lt;/Year&gt;&lt;RecNum&gt;6445&lt;/RecNum&gt;&lt;DisplayText&gt;(George et al., 2022)&lt;/DisplayText&gt;&lt;record&gt;&lt;rec-number&gt;6445&lt;/rec-number&gt;&lt;foreign-keys&gt;&lt;key app="EN" db-id="af0evp9er5rsrueeefpxrr2ie0xp2zexvfz0" timestamp="1771114414"&gt;6445&lt;/key&gt;&lt;/foreign-keys&gt;&lt;ref-type name="Journal Article"&gt;17&lt;/ref-type&gt;&lt;contributors&gt;&lt;authors&gt;&lt;author&gt;George, Olusoji James&lt;/author&gt;&lt;author&gt;Okon, Samuel Essien&lt;/author&gt;&lt;author&gt;Akaighe, Godbless&lt;/author&gt;&lt;/authors&gt;&lt;/contributors&gt;&lt;titles&gt;&lt;title&gt;Emotional intelligence and work engagement: a serial mediation model&lt;/title&gt;&lt;secondary-title&gt;Journal of Organizational Effectiveness: People and Performance&lt;/secondary-title&gt;&lt;/titles&gt;&lt;periodical&gt;&lt;full-title&gt;Journal of Organizational Effectiveness: People and Performance&lt;/full-title&gt;&lt;/periodical&gt;&lt;pages&gt;193-211&lt;/pages&gt;&lt;volume&gt;9&lt;/volume&gt;&lt;number&gt;2&lt;/number&gt;&lt;dates&gt;&lt;year&gt;2022&lt;/year&gt;&lt;/dates&gt;&lt;isbn&gt;2051-6614&lt;/isbn&gt;&lt;urls&gt;&lt;/urls&gt;&lt;/record&gt;&lt;/Cite&gt;&lt;/EndNote&gt;</w:instrText>
      </w:r>
      <w:r w:rsidR="000F6F82">
        <w:fldChar w:fldCharType="separate"/>
      </w:r>
      <w:r w:rsidR="000F6F82">
        <w:rPr>
          <w:noProof/>
        </w:rPr>
        <w:t>(George et al., 2022)</w:t>
      </w:r>
      <w:r w:rsidR="000F6F82">
        <w:fldChar w:fldCharType="end"/>
      </w:r>
      <w:r>
        <w:t>. The pathways of escalation make sure that the unresolved conflicts are discussed on the level of the executives without the stagnation of the operations.</w:t>
      </w:r>
    </w:p>
    <w:p w14:paraId="21BD18E6" w14:textId="77777777" w:rsidR="001B5F7C" w:rsidRDefault="001B5F7C" w:rsidP="001B5F7C">
      <w:r>
        <w:t>The Project Manager has the responsibility to coordinate those mechanisms into an aligned governance system, to maintain uniformity in communication, to coordinate through collaboration, to gain legitimate consultation and to commit to a lasting commitment. Incorporating the 4C’s into the framework of stakeholder governance, StaySmart+ will be able to move past the level of technological implementation and pass to the level of strategically oriented global change.</w:t>
      </w:r>
    </w:p>
    <w:p w14:paraId="6E70F469" w14:textId="77777777" w:rsidR="001B5F7C" w:rsidRDefault="001B5F7C" w:rsidP="001B5F7C">
      <w:pPr>
        <w:pStyle w:val="Heading1"/>
      </w:pPr>
      <w:bookmarkStart w:id="22" w:name="_Toc222025072"/>
      <w:r>
        <w:t>Impact on Business Performance and Strategic Recommendations</w:t>
      </w:r>
      <w:bookmarkEnd w:id="22"/>
    </w:p>
    <w:p w14:paraId="7E5D5D92" w14:textId="77777777" w:rsidR="001B5F7C" w:rsidRDefault="001B5F7C" w:rsidP="001B5F7C">
      <w:pPr>
        <w:pStyle w:val="Heading2"/>
      </w:pPr>
      <w:bookmarkStart w:id="23" w:name="_Toc222025073"/>
      <w:r>
        <w:t>Impact Evaluation</w:t>
      </w:r>
      <w:bookmarkEnd w:id="23"/>
    </w:p>
    <w:p w14:paraId="5EDBACCA" w14:textId="77777777" w:rsidR="00D62C4D" w:rsidRDefault="00D62C4D" w:rsidP="00D62C4D">
      <w:r>
        <w:t xml:space="preserve">Organized stakeholder interaction in StaySmart+ has a direct impact on quantifiable performance results. </w:t>
      </w:r>
      <w:r w:rsidR="007C28EB">
        <w:t>Individualized</w:t>
      </w:r>
      <w:r>
        <w:t xml:space="preserve"> AI-trained services elevate perceived value and loyalty intentions in case the customers trust data governance practices </w:t>
      </w:r>
      <w:r w:rsidR="000F6F82">
        <w:fldChar w:fldCharType="begin"/>
      </w:r>
      <w:r w:rsidR="000F6F82">
        <w:instrText xml:space="preserve"> ADDIN EN.CITE &lt;EndNote&gt;&lt;Cite&gt;&lt;Author&gt;Avramidis&lt;/Author&gt;&lt;Year&gt;2022&lt;/Year&gt;&lt;RecNum&gt;6446&lt;/RecNum&gt;&lt;DisplayText&gt;(Avramidis et al., 2022)&lt;/DisplayText&gt;&lt;record&gt;&lt;rec-number&gt;6446&lt;/rec-number&gt;&lt;foreign-keys&gt;&lt;key app="EN" db-id="af0evp9er5rsrueeefpxrr2ie0xp2zexvfz0" timestamp="1771114449"&gt;6446&lt;/key&gt;&lt;/foreign-keys&gt;&lt;ref-type name="Journal Article"&gt;17&lt;/ref-type&gt;&lt;contributors&gt;&lt;authors&gt;&lt;author&gt;Avramidis, Panagiotis&lt;/author&gt;&lt;author&gt;Serfes, Konstantinos&lt;/author&gt;&lt;author&gt;Vlachos, Pavlos A&lt;/author&gt;&lt;author&gt;Panagopoulos, Nikolaos G&lt;/author&gt;&lt;/authors&gt;&lt;/contributors&gt;&lt;titles&gt;&lt;title&gt;Customer Data Privacy, Competition and Firm Performance&lt;/title&gt;&lt;secondary-title&gt;Competition and Firm Performance (April 1, 2022)&lt;/secondary-title&gt;&lt;/titles&gt;&lt;periodical&gt;&lt;full-title&gt;Competition and Firm Performance (April 1, 2022)&lt;/full-title&gt;&lt;/periodical&gt;&lt;dates&gt;&lt;year&gt;2022&lt;/year&gt;&lt;/dates&gt;&lt;urls&gt;&lt;/urls&gt;&lt;/record&gt;&lt;/Cite&gt;&lt;/EndNote&gt;</w:instrText>
      </w:r>
      <w:r w:rsidR="000F6F82">
        <w:fldChar w:fldCharType="separate"/>
      </w:r>
      <w:r w:rsidR="000F6F82">
        <w:rPr>
          <w:noProof/>
        </w:rPr>
        <w:t>(Avramidis et al., 2022)</w:t>
      </w:r>
      <w:r w:rsidR="000F6F82">
        <w:fldChar w:fldCharType="end"/>
      </w:r>
      <w:r>
        <w:t xml:space="preserve">. Predictive algorithms along with loyalty program enhancements boost the likelihood of repeat bookings and solidify the relational switching costs. Being a transparent sustainability reporter in conjunction with engagement in a stakeholder dialogue positively affects ESG rating, which empirical data correlates with higher capital market valuation and reduced cost of capital </w:t>
      </w:r>
      <w:r w:rsidR="000F6F82">
        <w:fldChar w:fldCharType="begin"/>
      </w:r>
      <w:r w:rsidR="000F6F82">
        <w:instrText xml:space="preserve"> ADDIN EN.CITE &lt;EndNote&gt;&lt;Cite&gt;&lt;Author&gt;de Souza Barbosa&lt;/Author&gt;&lt;Year&gt;2023&lt;/Year&gt;&lt;RecNum&gt;6447&lt;/RecNum&gt;&lt;DisplayText&gt;(de Souza Barbosa et al., 2023)&lt;/DisplayText&gt;&lt;record&gt;&lt;rec-number&gt;6447&lt;/rec-number&gt;&lt;foreign-keys&gt;&lt;key app="EN" db-id="af0evp9er5rsrueeefpxrr2ie0xp2zexvfz0" timestamp="1771114495"&gt;6447&lt;/key&gt;&lt;/foreign-keys&gt;&lt;ref-type name="Journal Article"&gt;17&lt;/ref-type&gt;&lt;contributors&gt;&lt;authors&gt;&lt;author&gt;de Souza Barbosa, Anrafel&lt;/author&gt;&lt;author&gt;da Silva, Maria Cristina Basilio Crispim&lt;/author&gt;&lt;author&gt;da Silva, Luiz Bueno&lt;/author&gt;&lt;author&gt;Morioka, Sandra Naomi&lt;/author&gt;&lt;author&gt;de Souza, Vinícius Fernandes&lt;/author&gt;&lt;/authors&gt;&lt;/contributors&gt;&lt;titles&gt;&lt;title&gt;Integration of Environmental, Social, and Governance (ESG) criteria: their impacts on corporate sustainability performance&lt;/title&gt;&lt;secondary-title&gt;Humanities and Social Sciences Communications&lt;/secondary-title&gt;&lt;/titles&gt;&lt;periodical&gt;&lt;full-title&gt;Humanities and Social Sciences Communications&lt;/full-title&gt;&lt;/periodical&gt;&lt;pages&gt;1-18&lt;/pages&gt;&lt;volume&gt;10&lt;/volume&gt;&lt;number&gt;1&lt;/number&gt;&lt;dates&gt;&lt;year&gt;2023&lt;/year&gt;&lt;/dates&gt;&lt;isbn&gt;2662-9992&lt;/isbn&gt;&lt;urls&gt;&lt;/urls&gt;&lt;/record&gt;&lt;/Cite&gt;&lt;/EndNote&gt;</w:instrText>
      </w:r>
      <w:r w:rsidR="000F6F82">
        <w:fldChar w:fldCharType="separate"/>
      </w:r>
      <w:r w:rsidR="000F6F82">
        <w:rPr>
          <w:noProof/>
        </w:rPr>
        <w:t>(de Souza Barbosa et al., 2023)</w:t>
      </w:r>
      <w:r w:rsidR="000F6F82">
        <w:fldChar w:fldCharType="end"/>
      </w:r>
      <w:r>
        <w:t>.</w:t>
      </w:r>
    </w:p>
    <w:p w14:paraId="2C8099E0" w14:textId="77777777" w:rsidR="00D62C4D" w:rsidRDefault="00D62C4D" w:rsidP="00D62C4D">
      <w:r>
        <w:t>The benefits of AI-</w:t>
      </w:r>
      <w:r w:rsidR="007C28EB">
        <w:t>optimized</w:t>
      </w:r>
      <w:r>
        <w:t xml:space="preserve"> energy systems and workflow automation to operational efficiency are gained. One of the studies has shown that smart hospitality technologies lessen the intensity of energy and enhance the responsiveness of services. Active involvement of regulators can diminish the factor of compliance risk and minimize exposure to GDPR fines that can go up to four percent of the global turnover. Effective communication and training investments reduce resistance to implementation, increases the productivity of employees and service quality </w:t>
      </w:r>
      <w:r w:rsidR="000F6F82">
        <w:fldChar w:fldCharType="begin"/>
      </w:r>
      <w:r w:rsidR="000F6F82">
        <w:instrText xml:space="preserve"> ADDIN EN.CITE &lt;EndNote&gt;&lt;Cite&gt;&lt;Author&gt;Webster&lt;/Author&gt;&lt;Year&gt;2023&lt;/Year&gt;&lt;RecNum&gt;6448&lt;/RecNum&gt;&lt;DisplayText&gt;(Webster and Ivanov, 2023)&lt;/DisplayText&gt;&lt;record&gt;&lt;rec-number&gt;6448&lt;/rec-number&gt;&lt;foreign-keys&gt;&lt;key app="EN" db-id="af0evp9er5rsrueeefpxrr2ie0xp2zexvfz0" timestamp="1771114537"&gt;6448&lt;/key&gt;&lt;/foreign-keys&gt;&lt;ref-type name="Book Section"&gt;5&lt;/ref-type&gt;&lt;contributors&gt;&lt;authors&gt;&lt;author&gt;Webster, Craig&lt;/author&gt;&lt;author&gt;Ivanov, Stanislav&lt;/author&gt;&lt;/authors&gt;&lt;/contributors&gt;&lt;titles&gt;&lt;title&gt;Robots, artificial intelligence and service automation in tourism and quality of life&lt;/title&gt;&lt;secondary-title&gt;Handbook of Tourism and Quality-of-Life Research II: Enhancing the Lives of Tourists, Residents of Host Communities and Service Providers&lt;/secondary-title&gt;&lt;/titles&gt;&lt;pages&gt;533-544&lt;/pages&gt;&lt;dates&gt;&lt;year&gt;2023&lt;/year&gt;&lt;/dates&gt;&lt;publisher&gt;Springer&lt;/publisher&gt;&lt;urls&gt;&lt;/urls&gt;&lt;/record&gt;&lt;/Cite&gt;&lt;/EndNote&gt;</w:instrText>
      </w:r>
      <w:r w:rsidR="000F6F82">
        <w:fldChar w:fldCharType="separate"/>
      </w:r>
      <w:r w:rsidR="000F6F82">
        <w:rPr>
          <w:noProof/>
        </w:rPr>
        <w:t>(Webster and Ivanov, 2023)</w:t>
      </w:r>
      <w:r w:rsidR="000F6F82">
        <w:fldChar w:fldCharType="end"/>
      </w:r>
      <w:r>
        <w:t>.</w:t>
      </w:r>
    </w:p>
    <w:p w14:paraId="5C9BEDB5" w14:textId="77777777" w:rsidR="001B5F7C" w:rsidRDefault="00D62C4D" w:rsidP="00D62C4D">
      <w:r>
        <w:t xml:space="preserve">On the other hand, the absence of good engagement creates material risks. Disengagement among employees compromises service authenticity especially in high contact hospitality environment. There is reputational harm that could crop up when AI is viewed as intrusive or obscure ethically, reducing the trust in the brand. Failure to comply puts organisations at risk of fines and media attention. The failure of technology, aggravated by poor collaboration between vendors, interferes </w:t>
      </w:r>
      <w:r>
        <w:lastRenderedPageBreak/>
        <w:t>with the operations and creates a lack of confidence in the clientele. These dangers show that the misalignment of stakeholders is not just a relationship issue but has a financial implication.</w:t>
      </w:r>
    </w:p>
    <w:p w14:paraId="64FB0F98" w14:textId="77777777" w:rsidR="00D62C4D" w:rsidRDefault="00D62C4D" w:rsidP="00D62C4D">
      <w:pPr>
        <w:pStyle w:val="Heading2"/>
      </w:pPr>
      <w:bookmarkStart w:id="24" w:name="_Toc222025074"/>
      <w:r>
        <w:t>Strategic Recommendations</w:t>
      </w:r>
      <w:bookmarkEnd w:id="24"/>
    </w:p>
    <w:p w14:paraId="0E922811" w14:textId="77777777" w:rsidR="00D62C4D" w:rsidRDefault="00D62C4D" w:rsidP="00D62C4D">
      <w:r>
        <w:t xml:space="preserve">The first one is to </w:t>
      </w:r>
      <w:r w:rsidR="007C28EB">
        <w:t>institutionalize</w:t>
      </w:r>
      <w:r>
        <w:t xml:space="preserve"> participatory governance by first establishing permanent stakeholder advisory committees with </w:t>
      </w:r>
      <w:r w:rsidR="007C28EB">
        <w:t>employees’</w:t>
      </w:r>
      <w:r>
        <w:t xml:space="preserve"> representatives, customer panels and ESG specialists. Second, retail algorithmic transparency and privacy guarantees by establishing an autonomous AI ethical review board, strengthening normative legitimacy. Third, introduce long-term programmes on digital capability that </w:t>
      </w:r>
      <w:r w:rsidR="007C28EB">
        <w:t>instill</w:t>
      </w:r>
      <w:r>
        <w:t xml:space="preserve"> AI literacy into the frontline career pathways thereby mitigating automation anxiety and enhancing service innovation capability.</w:t>
      </w:r>
    </w:p>
    <w:p w14:paraId="1817D298" w14:textId="77777777" w:rsidR="00D62C4D" w:rsidRDefault="00D62C4D" w:rsidP="00D62C4D">
      <w:r>
        <w:t xml:space="preserve">Fourth, include metrics of stakeholder engagement, i.e., training completion rates, level of customer AI utilisation, and regulatory compliance indicators into executive performance dashboards to hold the executives accountable. Fifth, hold stakeholder engagement audits every year evaluating effectiveness of communication and level of trust. Lastly, </w:t>
      </w:r>
      <w:r w:rsidR="007C28EB">
        <w:t>institutionalize</w:t>
      </w:r>
      <w:r>
        <w:t xml:space="preserve"> open ESG reporting in accordance to the known sustainability models to maintain investor confidence and societal legitimacy.</w:t>
      </w:r>
    </w:p>
    <w:p w14:paraId="64F6D075" w14:textId="77777777" w:rsidR="00D62C4D" w:rsidRDefault="00D62C4D" w:rsidP="00D62C4D">
      <w:r>
        <w:t>The integration of such mechanisms turns the stakeholder engagement into strategic infrastructure as opposed to a one-off consultation, which supports the competitive advantage and sustainable hospitality business on a global scale.</w:t>
      </w:r>
    </w:p>
    <w:p w14:paraId="6BA7FE08" w14:textId="77777777" w:rsidR="00D62C4D" w:rsidRDefault="00D62C4D" w:rsidP="00D62C4D">
      <w:pPr>
        <w:pStyle w:val="Heading1"/>
      </w:pPr>
      <w:bookmarkStart w:id="25" w:name="_Toc222025075"/>
      <w:r>
        <w:t>Conclusion</w:t>
      </w:r>
      <w:bookmarkEnd w:id="25"/>
    </w:p>
    <w:p w14:paraId="26C95778" w14:textId="77777777" w:rsidR="00D62C4D" w:rsidRDefault="00D62C4D" w:rsidP="00D62C4D">
      <w:r>
        <w:t>The stakeholder engagement is not an incidental part of StaySmart+, but it is the major mechanism in which strategic innovation is turned into tangible organisational value. It has been revealed in the analysis that systematic stakeholder identification combined with power-interest typology and differentiated engagement models can help Hilton to focus on high-salience actors, reduce regulatory risk, and align cross-functional performance with corporate ESG aims. Organized systems including stakeholder mapping, RACI assignment, consultative workshops and open lines of communication minimize the ambiguity of operations, minimize reputational risk, and raise investor confidence.</w:t>
      </w:r>
    </w:p>
    <w:p w14:paraId="152D52EA" w14:textId="77777777" w:rsidR="00D62C4D" w:rsidRDefault="00D62C4D" w:rsidP="00D62C4D">
      <w:r>
        <w:t xml:space="preserve">As illustrated in StaySmart+, it is not the technological progress alone that can ensure competitive advantage; instead, the AI-based hospitality innovation should be incorporated into the relational governance practices that help build trust, legitimacy, and accountability. Through the </w:t>
      </w:r>
      <w:r w:rsidR="007C28EB">
        <w:t>institutionalization</w:t>
      </w:r>
      <w:r>
        <w:t xml:space="preserve"> of participatory dialogue, ethical oversight, as well as performance-based </w:t>
      </w:r>
      <w:r>
        <w:lastRenderedPageBreak/>
        <w:t xml:space="preserve">engagement measures, the organisation can increase resiliency to economic instability, compliance risk, and cultural resistance. Sustainable stakeholder interaction thus enhances global competitiveness, as well as protecting ethical legitimacy in growing </w:t>
      </w:r>
      <w:r w:rsidR="007C28EB">
        <w:t>digitized</w:t>
      </w:r>
      <w:r>
        <w:t xml:space="preserve"> and socially questionable hospitality markets.</w:t>
      </w:r>
    </w:p>
    <w:p w14:paraId="06D296F4" w14:textId="77777777" w:rsidR="00464ADD" w:rsidRDefault="00464ADD" w:rsidP="00D62C4D"/>
    <w:p w14:paraId="57F5CE1B" w14:textId="77777777" w:rsidR="00464ADD" w:rsidRDefault="00464ADD" w:rsidP="00D62C4D"/>
    <w:p w14:paraId="0BF0B5E2" w14:textId="77777777" w:rsidR="00464ADD" w:rsidRDefault="00464ADD" w:rsidP="00D62C4D"/>
    <w:p w14:paraId="2C7E4AF0" w14:textId="77777777" w:rsidR="00464ADD" w:rsidRDefault="00464ADD" w:rsidP="00D62C4D"/>
    <w:p w14:paraId="040D96A2" w14:textId="77777777" w:rsidR="00464ADD" w:rsidRDefault="00464ADD" w:rsidP="00D62C4D"/>
    <w:p w14:paraId="1858763B" w14:textId="77777777" w:rsidR="00464ADD" w:rsidRDefault="00464ADD" w:rsidP="00D62C4D"/>
    <w:p w14:paraId="14BC83D0" w14:textId="77777777" w:rsidR="00464ADD" w:rsidRDefault="00464ADD" w:rsidP="00D62C4D"/>
    <w:p w14:paraId="1F1975E4" w14:textId="77777777" w:rsidR="00464ADD" w:rsidRDefault="00464ADD" w:rsidP="00D62C4D"/>
    <w:p w14:paraId="2ECC6F91" w14:textId="77777777" w:rsidR="00464ADD" w:rsidRDefault="00464ADD" w:rsidP="00D62C4D"/>
    <w:p w14:paraId="73E0C8F1" w14:textId="77777777" w:rsidR="00464ADD" w:rsidRDefault="00464ADD" w:rsidP="00D62C4D"/>
    <w:p w14:paraId="1189B965" w14:textId="77777777" w:rsidR="00464ADD" w:rsidRDefault="00464ADD" w:rsidP="00D62C4D"/>
    <w:p w14:paraId="6B9A041F" w14:textId="77777777" w:rsidR="00464ADD" w:rsidRDefault="00464ADD" w:rsidP="00D62C4D"/>
    <w:p w14:paraId="0E9D0E74" w14:textId="77777777" w:rsidR="00464ADD" w:rsidRDefault="00464ADD" w:rsidP="00D62C4D"/>
    <w:p w14:paraId="3A402EEA" w14:textId="77777777" w:rsidR="00464ADD" w:rsidRDefault="00464ADD" w:rsidP="00D62C4D"/>
    <w:p w14:paraId="4B549861" w14:textId="77777777" w:rsidR="00464ADD" w:rsidRDefault="00464ADD" w:rsidP="00D62C4D"/>
    <w:p w14:paraId="0766A51F" w14:textId="77777777" w:rsidR="00464ADD" w:rsidRDefault="00464ADD" w:rsidP="00D62C4D"/>
    <w:p w14:paraId="07D94E9D" w14:textId="77777777" w:rsidR="00464ADD" w:rsidRDefault="00464ADD" w:rsidP="00D62C4D"/>
    <w:p w14:paraId="36A980ED" w14:textId="77777777" w:rsidR="00464ADD" w:rsidRDefault="00464ADD" w:rsidP="00D62C4D"/>
    <w:p w14:paraId="1FC3DE2A" w14:textId="77777777" w:rsidR="00464ADD" w:rsidRDefault="00464ADD" w:rsidP="00D62C4D"/>
    <w:p w14:paraId="382EB179" w14:textId="77777777" w:rsidR="00464ADD" w:rsidRDefault="00464ADD" w:rsidP="00D62C4D"/>
    <w:p w14:paraId="725B3BFB" w14:textId="77777777" w:rsidR="00464ADD" w:rsidRDefault="00464ADD" w:rsidP="00D62C4D"/>
    <w:p w14:paraId="311901E6" w14:textId="77777777" w:rsidR="00464ADD" w:rsidRDefault="00464ADD" w:rsidP="00D62C4D"/>
    <w:p w14:paraId="276A95D2" w14:textId="77777777" w:rsidR="00464ADD" w:rsidRDefault="00464ADD" w:rsidP="00D62C4D"/>
    <w:p w14:paraId="3F0254C8" w14:textId="77777777" w:rsidR="00464ADD" w:rsidRDefault="00464ADD" w:rsidP="00D62C4D"/>
    <w:p w14:paraId="577B5F09" w14:textId="77777777" w:rsidR="00464ADD" w:rsidRDefault="00464ADD" w:rsidP="00D62C4D"/>
    <w:p w14:paraId="32F9C911" w14:textId="77777777" w:rsidR="00464ADD" w:rsidRDefault="00464ADD" w:rsidP="00D62C4D"/>
    <w:p w14:paraId="33A36120" w14:textId="77777777" w:rsidR="00464ADD" w:rsidRDefault="00464ADD" w:rsidP="00D62C4D"/>
    <w:p w14:paraId="1DD1DB33" w14:textId="77777777" w:rsidR="00A153FE" w:rsidRDefault="00464ADD" w:rsidP="00464ADD">
      <w:pPr>
        <w:pStyle w:val="Heading1"/>
      </w:pPr>
      <w:bookmarkStart w:id="26" w:name="_Toc222025076"/>
      <w:r>
        <w:lastRenderedPageBreak/>
        <w:t>References</w:t>
      </w:r>
      <w:bookmarkEnd w:id="26"/>
      <w:r>
        <w:t xml:space="preserve"> </w:t>
      </w:r>
    </w:p>
    <w:p w14:paraId="16D2ED73" w14:textId="77777777" w:rsidR="000F6F82" w:rsidRPr="000F6F82" w:rsidRDefault="00A153FE" w:rsidP="000F6F82">
      <w:pPr>
        <w:pStyle w:val="EndNoteBibliography"/>
        <w:spacing w:line="480" w:lineRule="auto"/>
        <w:ind w:left="720" w:hanging="720"/>
      </w:pPr>
      <w:r>
        <w:fldChar w:fldCharType="begin"/>
      </w:r>
      <w:r>
        <w:instrText xml:space="preserve"> ADDIN EN.REFLIST </w:instrText>
      </w:r>
      <w:r>
        <w:fldChar w:fldCharType="separate"/>
      </w:r>
      <w:r w:rsidR="000F6F82" w:rsidRPr="000F6F82">
        <w:t xml:space="preserve">Avramidis, P., Serfes, K., Vlachos, P. A. &amp; Panagopoulos, N. G., 2022. </w:t>
      </w:r>
      <w:r w:rsidR="000F6F82" w:rsidRPr="000F6F82">
        <w:rPr>
          <w:i/>
        </w:rPr>
        <w:t>Customer Data Privacy, Competition and Firm Performance. Competition and Firm Performance (April 1, 2022)</w:t>
      </w:r>
      <w:r w:rsidR="000F6F82" w:rsidRPr="000F6F82">
        <w:t>.</w:t>
      </w:r>
    </w:p>
    <w:p w14:paraId="34EC17EA" w14:textId="77777777" w:rsidR="000F6F82" w:rsidRPr="000F6F82" w:rsidRDefault="000F6F82" w:rsidP="000F6F82">
      <w:pPr>
        <w:pStyle w:val="EndNoteBibliography"/>
        <w:spacing w:line="480" w:lineRule="auto"/>
        <w:ind w:left="720" w:hanging="720"/>
      </w:pPr>
      <w:r w:rsidRPr="000F6F82">
        <w:t xml:space="preserve">Buhalis, D., Efthymiou, L., Uzunboylu, N. &amp; Thrassou, A., 2024. </w:t>
      </w:r>
      <w:r w:rsidRPr="000F6F82">
        <w:rPr>
          <w:i/>
        </w:rPr>
        <w:t>Charting the progress of technology adoption in tourism and hospitality in the era of industry 4.0. EuroMed Journal of Business,</w:t>
      </w:r>
      <w:r w:rsidRPr="000F6F82">
        <w:t xml:space="preserve"> 19</w:t>
      </w:r>
      <w:r w:rsidRPr="000F6F82">
        <w:rPr>
          <w:b/>
        </w:rPr>
        <w:t>,</w:t>
      </w:r>
      <w:r w:rsidRPr="000F6F82">
        <w:t xml:space="preserve"> 1-20.</w:t>
      </w:r>
    </w:p>
    <w:p w14:paraId="605E3C41" w14:textId="77777777" w:rsidR="000F6F82" w:rsidRPr="000F6F82" w:rsidRDefault="000F6F82" w:rsidP="000F6F82">
      <w:pPr>
        <w:pStyle w:val="EndNoteBibliography"/>
        <w:spacing w:line="480" w:lineRule="auto"/>
        <w:ind w:left="720" w:hanging="720"/>
      </w:pPr>
      <w:r w:rsidRPr="000F6F82">
        <w:t xml:space="preserve">Buhalis, D., O’Connor, P. &amp; Leung, R., 2023. </w:t>
      </w:r>
      <w:r w:rsidRPr="000F6F82">
        <w:rPr>
          <w:i/>
        </w:rPr>
        <w:t>Smart hospitality: from smart cities and smart tourism towards agile business ecosystems in networked destinations. International Journal of Contemporary Hospitality Management,</w:t>
      </w:r>
      <w:r w:rsidRPr="000F6F82">
        <w:t xml:space="preserve"> 35</w:t>
      </w:r>
      <w:r w:rsidRPr="000F6F82">
        <w:rPr>
          <w:b/>
        </w:rPr>
        <w:t>,</w:t>
      </w:r>
      <w:r w:rsidRPr="000F6F82">
        <w:t xml:space="preserve"> 369-393.</w:t>
      </w:r>
    </w:p>
    <w:p w14:paraId="1A3A780F" w14:textId="77777777" w:rsidR="000F6F82" w:rsidRPr="000F6F82" w:rsidRDefault="000F6F82" w:rsidP="000F6F82">
      <w:pPr>
        <w:pStyle w:val="EndNoteBibliography"/>
        <w:spacing w:line="480" w:lineRule="auto"/>
        <w:ind w:left="720" w:hanging="720"/>
      </w:pPr>
      <w:r w:rsidRPr="000F6F82">
        <w:t xml:space="preserve">de Souza Barbosa, A., da Silva, M. C. B. C., da Silva, L. B., Morioka, S. N. &amp; de Souza, V. F., 2023. </w:t>
      </w:r>
      <w:r w:rsidRPr="000F6F82">
        <w:rPr>
          <w:i/>
        </w:rPr>
        <w:t>Integration of Environmental, Social, and Governance (ESG) criteria: their impacts on corporate sustainability performance. Humanities and Social Sciences Communications,</w:t>
      </w:r>
      <w:r w:rsidRPr="000F6F82">
        <w:t xml:space="preserve"> 10</w:t>
      </w:r>
      <w:r w:rsidRPr="000F6F82">
        <w:rPr>
          <w:b/>
        </w:rPr>
        <w:t>,</w:t>
      </w:r>
      <w:r w:rsidRPr="000F6F82">
        <w:t xml:space="preserve"> 1-18.</w:t>
      </w:r>
    </w:p>
    <w:p w14:paraId="501CA73F" w14:textId="77777777" w:rsidR="000F6F82" w:rsidRPr="000F6F82" w:rsidRDefault="000F6F82" w:rsidP="000F6F82">
      <w:pPr>
        <w:pStyle w:val="EndNoteBibliography"/>
        <w:spacing w:line="480" w:lineRule="auto"/>
        <w:ind w:left="720" w:hanging="720"/>
      </w:pPr>
      <w:r w:rsidRPr="000F6F82">
        <w:t xml:space="preserve">Freeman, R. E. 2010. </w:t>
      </w:r>
      <w:r w:rsidRPr="000F6F82">
        <w:rPr>
          <w:i/>
        </w:rPr>
        <w:t>Strategic management: A stakeholder approach</w:t>
      </w:r>
      <w:r w:rsidRPr="000F6F82">
        <w:t>, Cambridge university press.</w:t>
      </w:r>
    </w:p>
    <w:p w14:paraId="764906E2" w14:textId="77777777" w:rsidR="000F6F82" w:rsidRPr="000F6F82" w:rsidRDefault="000F6F82" w:rsidP="000F6F82">
      <w:pPr>
        <w:pStyle w:val="EndNoteBibliography"/>
        <w:spacing w:line="480" w:lineRule="auto"/>
        <w:ind w:left="720" w:hanging="720"/>
      </w:pPr>
      <w:r w:rsidRPr="000F6F82">
        <w:t xml:space="preserve">George, O. J., Okon, S. E. &amp; Akaighe, G., 2022. </w:t>
      </w:r>
      <w:r w:rsidRPr="000F6F82">
        <w:rPr>
          <w:i/>
        </w:rPr>
        <w:t>Emotional intelligence and work engagement: a serial mediation model. Journal of Organizational Effectiveness: People and Performance,</w:t>
      </w:r>
      <w:r w:rsidRPr="000F6F82">
        <w:t xml:space="preserve"> 9</w:t>
      </w:r>
      <w:r w:rsidRPr="000F6F82">
        <w:rPr>
          <w:b/>
        </w:rPr>
        <w:t>,</w:t>
      </w:r>
      <w:r w:rsidRPr="000F6F82">
        <w:t xml:space="preserve"> 193-211.</w:t>
      </w:r>
    </w:p>
    <w:p w14:paraId="6A99F4A0" w14:textId="77777777" w:rsidR="000F6F82" w:rsidRPr="000F6F82" w:rsidRDefault="000F6F82" w:rsidP="000F6F82">
      <w:pPr>
        <w:pStyle w:val="EndNoteBibliography"/>
        <w:spacing w:line="480" w:lineRule="auto"/>
        <w:ind w:left="720" w:hanging="720"/>
      </w:pPr>
      <w:r w:rsidRPr="000F6F82">
        <w:t xml:space="preserve">Hilton. 2025. </w:t>
      </w:r>
      <w:r w:rsidRPr="000F6F82">
        <w:rPr>
          <w:i/>
        </w:rPr>
        <w:t xml:space="preserve">Annual Report. </w:t>
      </w:r>
      <w:r w:rsidRPr="000F6F82">
        <w:t xml:space="preserve">[Online]. Available: </w:t>
      </w:r>
      <w:hyperlink r:id="rId13" w:history="1">
        <w:r w:rsidRPr="000F6F82">
          <w:rPr>
            <w:rStyle w:val="Hyperlink"/>
          </w:rPr>
          <w:t>https://www.hilton.com/en/</w:t>
        </w:r>
      </w:hyperlink>
      <w:r w:rsidRPr="000F6F82">
        <w:t xml:space="preserve"> [Accessed 15 February 2026].</w:t>
      </w:r>
    </w:p>
    <w:p w14:paraId="2F4A86F3" w14:textId="77777777" w:rsidR="000F6F82" w:rsidRPr="000F6F82" w:rsidRDefault="000F6F82" w:rsidP="000F6F82">
      <w:pPr>
        <w:pStyle w:val="EndNoteBibliography"/>
        <w:spacing w:line="480" w:lineRule="auto"/>
        <w:ind w:left="720" w:hanging="720"/>
      </w:pPr>
      <w:r w:rsidRPr="000F6F82">
        <w:t xml:space="preserve">Hilton, R. W., Maher, M. &amp; Selto, F. H., 2003. </w:t>
      </w:r>
      <w:r w:rsidRPr="000F6F82">
        <w:rPr>
          <w:i/>
        </w:rPr>
        <w:t>Cost management: Strategies for business decisions. (No Title)</w:t>
      </w:r>
      <w:r w:rsidRPr="000F6F82">
        <w:t>.</w:t>
      </w:r>
    </w:p>
    <w:p w14:paraId="5927F689" w14:textId="77777777" w:rsidR="000F6F82" w:rsidRPr="000F6F82" w:rsidRDefault="000F6F82" w:rsidP="000F6F82">
      <w:pPr>
        <w:pStyle w:val="EndNoteBibliography"/>
        <w:spacing w:line="480" w:lineRule="auto"/>
        <w:ind w:left="720" w:hanging="720"/>
      </w:pPr>
      <w:r w:rsidRPr="000F6F82">
        <w:t xml:space="preserve">Mitchell, J. R., Mitchell, R. K., Hunt, R. A., Townsend, D. M. &amp; Lee, J. H., 2022. </w:t>
      </w:r>
      <w:r w:rsidRPr="000F6F82">
        <w:rPr>
          <w:i/>
        </w:rPr>
        <w:t>Stakeholder engagement, knowledge problems and ethical challenges. Journal of Business Ethics,</w:t>
      </w:r>
      <w:r w:rsidRPr="000F6F82">
        <w:t xml:space="preserve"> 175</w:t>
      </w:r>
      <w:r w:rsidRPr="000F6F82">
        <w:rPr>
          <w:b/>
        </w:rPr>
        <w:t>,</w:t>
      </w:r>
      <w:r w:rsidRPr="000F6F82">
        <w:t xml:space="preserve"> 75-94.</w:t>
      </w:r>
    </w:p>
    <w:p w14:paraId="6D29D2F0" w14:textId="77777777" w:rsidR="000F6F82" w:rsidRPr="000F6F82" w:rsidRDefault="000F6F82" w:rsidP="000F6F82">
      <w:pPr>
        <w:pStyle w:val="EndNoteBibliography"/>
        <w:spacing w:line="480" w:lineRule="auto"/>
        <w:ind w:left="720" w:hanging="720"/>
      </w:pPr>
      <w:r w:rsidRPr="000F6F82">
        <w:lastRenderedPageBreak/>
        <w:t xml:space="preserve">Purwanto, A., Wafa, A. &amp; Sanjani, M. A. F., 2023. </w:t>
      </w:r>
      <w:r w:rsidRPr="000F6F82">
        <w:rPr>
          <w:i/>
        </w:rPr>
        <w:t>Interpersonal Communication Strategies in Building an Image of Contigency Perspective of Accommodation. Managere: Indonesian Journal of Educational Management,</w:t>
      </w:r>
      <w:r w:rsidRPr="000F6F82">
        <w:t xml:space="preserve"> 5</w:t>
      </w:r>
      <w:r w:rsidRPr="000F6F82">
        <w:rPr>
          <w:b/>
        </w:rPr>
        <w:t>,</w:t>
      </w:r>
      <w:r w:rsidRPr="000F6F82">
        <w:t xml:space="preserve"> 267-279.</w:t>
      </w:r>
    </w:p>
    <w:p w14:paraId="788E33F9" w14:textId="77777777" w:rsidR="000F6F82" w:rsidRPr="000F6F82" w:rsidRDefault="000F6F82" w:rsidP="000F6F82">
      <w:pPr>
        <w:pStyle w:val="EndNoteBibliography"/>
        <w:spacing w:line="480" w:lineRule="auto"/>
        <w:ind w:left="720" w:hanging="720"/>
      </w:pPr>
      <w:r w:rsidRPr="000F6F82">
        <w:t xml:space="preserve">Rodríguez-García, R., Ferrero-Ferrero, I. &amp; Fernández-Izquierdo, M. Á., 2023. </w:t>
      </w:r>
      <w:r w:rsidRPr="000F6F82">
        <w:rPr>
          <w:i/>
        </w:rPr>
        <w:t>Analysis of integration of sustainability in sustainability certifications in the hotel industry. Frontiers in Sustainability,</w:t>
      </w:r>
      <w:r w:rsidRPr="000F6F82">
        <w:t xml:space="preserve"> 4</w:t>
      </w:r>
      <w:r w:rsidRPr="000F6F82">
        <w:rPr>
          <w:b/>
        </w:rPr>
        <w:t>,</w:t>
      </w:r>
      <w:r w:rsidRPr="000F6F82">
        <w:t xml:space="preserve"> 1116359.</w:t>
      </w:r>
    </w:p>
    <w:p w14:paraId="026CE227" w14:textId="77777777" w:rsidR="000F6F82" w:rsidRPr="000F6F82" w:rsidRDefault="000F6F82" w:rsidP="000F6F82">
      <w:pPr>
        <w:pStyle w:val="EndNoteBibliography"/>
        <w:spacing w:line="480" w:lineRule="auto"/>
        <w:ind w:left="720" w:hanging="720"/>
      </w:pPr>
      <w:r w:rsidRPr="000F6F82">
        <w:t xml:space="preserve">Rubino, G., Gattuso, D. &amp; Longo, F., 2025. </w:t>
      </w:r>
      <w:r w:rsidRPr="000F6F82">
        <w:rPr>
          <w:i/>
        </w:rPr>
        <w:t>Exploring Industry 4.0 Technologies in Tourism. A Literature Review. Procedia Computer Science,</w:t>
      </w:r>
      <w:r w:rsidRPr="000F6F82">
        <w:t xml:space="preserve"> 253</w:t>
      </w:r>
      <w:r w:rsidRPr="000F6F82">
        <w:rPr>
          <w:b/>
        </w:rPr>
        <w:t>,</w:t>
      </w:r>
      <w:r w:rsidRPr="000F6F82">
        <w:t xml:space="preserve"> 3182-3195.</w:t>
      </w:r>
    </w:p>
    <w:p w14:paraId="262CAE0A" w14:textId="77777777" w:rsidR="000F6F82" w:rsidRPr="000F6F82" w:rsidRDefault="000F6F82" w:rsidP="000F6F82">
      <w:pPr>
        <w:pStyle w:val="EndNoteBibliography"/>
        <w:spacing w:line="480" w:lineRule="auto"/>
        <w:ind w:left="720" w:hanging="720"/>
      </w:pPr>
      <w:r w:rsidRPr="000F6F82">
        <w:t xml:space="preserve">Shafique, K. &amp; Gabriel, C.-A., 2022. </w:t>
      </w:r>
      <w:r w:rsidRPr="000F6F82">
        <w:rPr>
          <w:i/>
        </w:rPr>
        <w:t>Vulnerable stakeholders’ engagement: Advancing stakeholder theory with new attribute and salience framework. Sustainability,</w:t>
      </w:r>
      <w:r w:rsidRPr="000F6F82">
        <w:t xml:space="preserve"> 14</w:t>
      </w:r>
      <w:r w:rsidRPr="000F6F82">
        <w:rPr>
          <w:b/>
        </w:rPr>
        <w:t>,</w:t>
      </w:r>
      <w:r w:rsidRPr="000F6F82">
        <w:t xml:space="preserve"> 11765.</w:t>
      </w:r>
    </w:p>
    <w:p w14:paraId="1B1D6E22" w14:textId="77777777" w:rsidR="000F6F82" w:rsidRPr="000F6F82" w:rsidRDefault="000F6F82" w:rsidP="000F6F82">
      <w:pPr>
        <w:pStyle w:val="EndNoteBibliography"/>
        <w:spacing w:line="480" w:lineRule="auto"/>
        <w:ind w:left="720" w:hanging="720"/>
      </w:pPr>
      <w:r w:rsidRPr="000F6F82">
        <w:t xml:space="preserve">Thakur, A. 2022. Technological innovations in the hospitality and tourism industry. </w:t>
      </w:r>
      <w:r w:rsidRPr="000F6F82">
        <w:rPr>
          <w:i/>
        </w:rPr>
        <w:t>Mobile computing and technology applications in tourism and hospitality.</w:t>
      </w:r>
      <w:r w:rsidRPr="000F6F82">
        <w:t xml:space="preserve"> IGI Global.</w:t>
      </w:r>
    </w:p>
    <w:p w14:paraId="5316D72E" w14:textId="77777777" w:rsidR="000F6F82" w:rsidRPr="000F6F82" w:rsidRDefault="000F6F82" w:rsidP="000F6F82">
      <w:pPr>
        <w:pStyle w:val="EndNoteBibliography"/>
        <w:spacing w:line="480" w:lineRule="auto"/>
        <w:ind w:left="720" w:hanging="720"/>
      </w:pPr>
      <w:r w:rsidRPr="000F6F82">
        <w:t xml:space="preserve">Webster, C. &amp; Ivanov, S. 2023. Robots, artificial intelligence and service automation in tourism and quality of life. </w:t>
      </w:r>
      <w:r w:rsidRPr="000F6F82">
        <w:rPr>
          <w:i/>
        </w:rPr>
        <w:t>Handbook of Tourism and Quality-of-Life Research II: Enhancing the Lives of Tourists, Residents of Host Communities and Service Providers.</w:t>
      </w:r>
      <w:r w:rsidRPr="000F6F82">
        <w:t xml:space="preserve"> Springer.</w:t>
      </w:r>
    </w:p>
    <w:p w14:paraId="2E49EED5" w14:textId="77777777" w:rsidR="00464ADD" w:rsidRPr="00464ADD" w:rsidRDefault="00A153FE" w:rsidP="000F6F82">
      <w:pPr>
        <w:spacing w:line="480" w:lineRule="auto"/>
      </w:pPr>
      <w:r>
        <w:fldChar w:fldCharType="end"/>
      </w:r>
    </w:p>
    <w:sectPr w:rsidR="00464ADD" w:rsidRPr="00464AD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DBA3B" w14:textId="77777777" w:rsidR="008A3AE9" w:rsidRDefault="008A3AE9" w:rsidP="00464ADD">
      <w:pPr>
        <w:spacing w:line="240" w:lineRule="auto"/>
      </w:pPr>
      <w:r>
        <w:separator/>
      </w:r>
    </w:p>
  </w:endnote>
  <w:endnote w:type="continuationSeparator" w:id="0">
    <w:p w14:paraId="65C85CB8" w14:textId="77777777" w:rsidR="008A3AE9" w:rsidRDefault="008A3AE9" w:rsidP="00464A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opperplate Gothic Bold">
    <w:panose1 w:val="020E07050202060204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4555637"/>
      <w:docPartObj>
        <w:docPartGallery w:val="Page Numbers (Bottom of Page)"/>
        <w:docPartUnique/>
      </w:docPartObj>
    </w:sdtPr>
    <w:sdtEndPr>
      <w:rPr>
        <w:noProof/>
      </w:rPr>
    </w:sdtEndPr>
    <w:sdtContent>
      <w:p w14:paraId="0E041683" w14:textId="77777777" w:rsidR="00082E2D" w:rsidRDefault="00082E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E0522A" w14:textId="77777777" w:rsidR="00082E2D" w:rsidRDefault="00082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8FDF0" w14:textId="77777777" w:rsidR="008A3AE9" w:rsidRDefault="008A3AE9" w:rsidP="00464ADD">
      <w:pPr>
        <w:spacing w:line="240" w:lineRule="auto"/>
      </w:pPr>
      <w:r>
        <w:separator/>
      </w:r>
    </w:p>
  </w:footnote>
  <w:footnote w:type="continuationSeparator" w:id="0">
    <w:p w14:paraId="194CD8F0" w14:textId="77777777" w:rsidR="008A3AE9" w:rsidRDefault="008A3AE9" w:rsidP="00464A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80EA0"/>
    <w:multiLevelType w:val="multilevel"/>
    <w:tmpl w:val="35DA7474"/>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74032F"/>
    <w:multiLevelType w:val="multilevel"/>
    <w:tmpl w:val="27983A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B165535"/>
    <w:multiLevelType w:val="multilevel"/>
    <w:tmpl w:val="233C06C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201339B8"/>
    <w:multiLevelType w:val="hybridMultilevel"/>
    <w:tmpl w:val="126E58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6E0F7D"/>
    <w:multiLevelType w:val="hybridMultilevel"/>
    <w:tmpl w:val="5D0288D6"/>
    <w:lvl w:ilvl="0" w:tplc="122C8BA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234BED"/>
    <w:multiLevelType w:val="multilevel"/>
    <w:tmpl w:val="BBD0CFE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355001E4"/>
    <w:multiLevelType w:val="multilevel"/>
    <w:tmpl w:val="4E22D84E"/>
    <w:lvl w:ilvl="0">
      <w:start w:val="1"/>
      <w:numFmt w:val="decimal"/>
      <w:lvlText w:val="%1."/>
      <w:lvlJc w:val="left"/>
      <w:pPr>
        <w:ind w:left="360" w:hanging="360"/>
      </w:pPr>
      <w:rPr>
        <w:color w:val="000000" w:themeColor="text1"/>
      </w:rPr>
    </w:lvl>
    <w:lvl w:ilvl="1">
      <w:start w:val="1"/>
      <w:numFmt w:val="decimal"/>
      <w:isLgl/>
      <w:lvlText w:val="%1.%2."/>
      <w:lvlJc w:val="left"/>
      <w:pPr>
        <w:ind w:left="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3B24072D"/>
    <w:multiLevelType w:val="multilevel"/>
    <w:tmpl w:val="97C2894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57A23355"/>
    <w:multiLevelType w:val="multilevel"/>
    <w:tmpl w:val="5FF2453A"/>
    <w:lvl w:ilvl="0">
      <w:start w:val="1"/>
      <w:numFmt w:val="decimal"/>
      <w:lvlText w:val="%1."/>
      <w:lvlJc w:val="left"/>
      <w:pPr>
        <w:tabs>
          <w:tab w:val="num" w:pos="0"/>
        </w:tabs>
        <w:ind w:left="360" w:hanging="360"/>
      </w:pPr>
    </w:lvl>
    <w:lvl w:ilvl="1">
      <w:start w:val="1"/>
      <w:numFmt w:val="decimal"/>
      <w:lvlText w:val="%1.%2."/>
      <w:lvlJc w:val="left"/>
      <w:pPr>
        <w:tabs>
          <w:tab w:val="num" w:pos="0"/>
        </w:tabs>
        <w:ind w:left="360" w:hanging="360"/>
      </w:pPr>
    </w:lvl>
    <w:lvl w:ilvl="2">
      <w:start w:val="1"/>
      <w:numFmt w:val="decimal"/>
      <w:lvlText w:val="%1.%2.%3."/>
      <w:lvlJc w:val="left"/>
      <w:pPr>
        <w:tabs>
          <w:tab w:val="num" w:pos="0"/>
        </w:tabs>
        <w:ind w:left="720" w:hanging="720"/>
      </w:pPr>
    </w:lvl>
    <w:lvl w:ilvl="3">
      <w:start w:val="1"/>
      <w:numFmt w:val="decimal"/>
      <w:lvlText w:val="%1.%2.%3.%4."/>
      <w:lvlJc w:val="left"/>
      <w:pPr>
        <w:tabs>
          <w:tab w:val="num" w:pos="0"/>
        </w:tabs>
        <w:ind w:left="720" w:hanging="720"/>
      </w:pPr>
    </w:lvl>
    <w:lvl w:ilvl="4">
      <w:start w:val="1"/>
      <w:numFmt w:val="decimal"/>
      <w:lvlText w:val="%1.%2.%3.%4.%5."/>
      <w:lvlJc w:val="left"/>
      <w:pPr>
        <w:tabs>
          <w:tab w:val="num" w:pos="0"/>
        </w:tabs>
        <w:ind w:left="1080" w:hanging="1080"/>
      </w:pPr>
    </w:lvl>
    <w:lvl w:ilvl="5">
      <w:start w:val="1"/>
      <w:numFmt w:val="decimal"/>
      <w:lvlText w:val="%1.%2.%3.%4.%5.%6."/>
      <w:lvlJc w:val="left"/>
      <w:pPr>
        <w:tabs>
          <w:tab w:val="num" w:pos="0"/>
        </w:tabs>
        <w:ind w:left="1080" w:hanging="1080"/>
      </w:pPr>
    </w:lvl>
    <w:lvl w:ilvl="6">
      <w:start w:val="1"/>
      <w:numFmt w:val="decimal"/>
      <w:lvlText w:val="%1.%2.%3.%4.%5.%6.%7."/>
      <w:lvlJc w:val="left"/>
      <w:pPr>
        <w:tabs>
          <w:tab w:val="num" w:pos="0"/>
        </w:tabs>
        <w:ind w:left="1440" w:hanging="1440"/>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800" w:hanging="1800"/>
      </w:pPr>
    </w:lvl>
  </w:abstractNum>
  <w:abstractNum w:abstractNumId="9" w15:restartNumberingAfterBreak="0">
    <w:nsid w:val="600C07F0"/>
    <w:multiLevelType w:val="multilevel"/>
    <w:tmpl w:val="5AB8D0B0"/>
    <w:lvl w:ilvl="0">
      <w:start w:val="1"/>
      <w:numFmt w:val="decimal"/>
      <w:pStyle w:val="Heading1"/>
      <w:lvlText w:val="%1."/>
      <w:lvlJc w:val="left"/>
      <w:pPr>
        <w:ind w:left="360" w:hanging="360"/>
      </w:pPr>
      <w:rPr>
        <w:sz w:val="28"/>
        <w:szCs w:val="32"/>
      </w:rPr>
    </w:lvl>
    <w:lvl w:ilvl="1">
      <w:start w:val="1"/>
      <w:numFmt w:val="decimal"/>
      <w:pStyle w:val="Heading2"/>
      <w:isLgl/>
      <w:lvlText w:val="%1.%2."/>
      <w:lvlJc w:val="left"/>
      <w:pPr>
        <w:ind w:left="720" w:hanging="720"/>
      </w:pPr>
      <w:rPr>
        <w:rFonts w:hint="default"/>
        <w:sz w:val="26"/>
        <w:szCs w:val="2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68572D58"/>
    <w:multiLevelType w:val="hybridMultilevel"/>
    <w:tmpl w:val="A4D29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524F6D"/>
    <w:multiLevelType w:val="multilevel"/>
    <w:tmpl w:val="8BD4D0F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7C215E14"/>
    <w:multiLevelType w:val="multilevel"/>
    <w:tmpl w:val="42A8AE8C"/>
    <w:lvl w:ilvl="0">
      <w:start w:val="1"/>
      <w:numFmt w:val="decimal"/>
      <w:lvlText w:val="%1."/>
      <w:lvlJc w:val="left"/>
      <w:pPr>
        <w:ind w:left="360" w:hanging="360"/>
      </w:pPr>
      <w:rPr>
        <w:sz w:val="28"/>
        <w:szCs w:val="28"/>
      </w:rPr>
    </w:lvl>
    <w:lvl w:ilvl="1">
      <w:start w:val="1"/>
      <w:numFmt w:val="decimal"/>
      <w:isLgl/>
      <w:lvlText w:val="%1.%2."/>
      <w:lvlJc w:val="left"/>
      <w:pPr>
        <w:ind w:left="360" w:hanging="36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DE765B2"/>
    <w:multiLevelType w:val="multilevel"/>
    <w:tmpl w:val="45149EB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pStyle w:val="Heading3"/>
      <w:isLgl/>
      <w:lvlText w:val="%1.%2.%3."/>
      <w:lvlJc w:val="left"/>
      <w:pPr>
        <w:ind w:left="81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33652025">
    <w:abstractNumId w:val="13"/>
  </w:num>
  <w:num w:numId="2" w16cid:durableId="1784500637">
    <w:abstractNumId w:val="11"/>
  </w:num>
  <w:num w:numId="3" w16cid:durableId="634024882">
    <w:abstractNumId w:val="13"/>
  </w:num>
  <w:num w:numId="4" w16cid:durableId="1570846528">
    <w:abstractNumId w:val="13"/>
  </w:num>
  <w:num w:numId="5" w16cid:durableId="766657436">
    <w:abstractNumId w:val="12"/>
  </w:num>
  <w:num w:numId="6" w16cid:durableId="617417641">
    <w:abstractNumId w:val="7"/>
  </w:num>
  <w:num w:numId="7" w16cid:durableId="2139253477">
    <w:abstractNumId w:val="0"/>
  </w:num>
  <w:num w:numId="8" w16cid:durableId="333414192">
    <w:abstractNumId w:val="0"/>
  </w:num>
  <w:num w:numId="9" w16cid:durableId="332953249">
    <w:abstractNumId w:val="6"/>
  </w:num>
  <w:num w:numId="10" w16cid:durableId="837816273">
    <w:abstractNumId w:val="6"/>
  </w:num>
  <w:num w:numId="11" w16cid:durableId="768769747">
    <w:abstractNumId w:val="6"/>
  </w:num>
  <w:num w:numId="12" w16cid:durableId="17855663">
    <w:abstractNumId w:val="6"/>
  </w:num>
  <w:num w:numId="13" w16cid:durableId="1771851796">
    <w:abstractNumId w:val="6"/>
  </w:num>
  <w:num w:numId="14" w16cid:durableId="241331983">
    <w:abstractNumId w:val="6"/>
  </w:num>
  <w:num w:numId="15" w16cid:durableId="1377461045">
    <w:abstractNumId w:val="6"/>
  </w:num>
  <w:num w:numId="16" w16cid:durableId="1295601038">
    <w:abstractNumId w:val="6"/>
  </w:num>
  <w:num w:numId="17" w16cid:durableId="1250770241">
    <w:abstractNumId w:val="12"/>
  </w:num>
  <w:num w:numId="18" w16cid:durableId="928588560">
    <w:abstractNumId w:val="12"/>
  </w:num>
  <w:num w:numId="19" w16cid:durableId="420414582">
    <w:abstractNumId w:val="6"/>
  </w:num>
  <w:num w:numId="20" w16cid:durableId="682711202">
    <w:abstractNumId w:val="6"/>
  </w:num>
  <w:num w:numId="21" w16cid:durableId="268514208">
    <w:abstractNumId w:val="6"/>
  </w:num>
  <w:num w:numId="22" w16cid:durableId="1393307317">
    <w:abstractNumId w:val="6"/>
  </w:num>
  <w:num w:numId="23" w16cid:durableId="1999922561">
    <w:abstractNumId w:val="6"/>
  </w:num>
  <w:num w:numId="24" w16cid:durableId="1352954863">
    <w:abstractNumId w:val="6"/>
  </w:num>
  <w:num w:numId="25" w16cid:durableId="515464383">
    <w:abstractNumId w:val="6"/>
  </w:num>
  <w:num w:numId="26" w16cid:durableId="1494754201">
    <w:abstractNumId w:val="12"/>
  </w:num>
  <w:num w:numId="27" w16cid:durableId="1491557901">
    <w:abstractNumId w:val="5"/>
  </w:num>
  <w:num w:numId="28" w16cid:durableId="841702979">
    <w:abstractNumId w:val="12"/>
  </w:num>
  <w:num w:numId="29" w16cid:durableId="1322732656">
    <w:abstractNumId w:val="12"/>
  </w:num>
  <w:num w:numId="30" w16cid:durableId="1453013112">
    <w:abstractNumId w:val="12"/>
  </w:num>
  <w:num w:numId="31" w16cid:durableId="1332173839">
    <w:abstractNumId w:val="4"/>
  </w:num>
  <w:num w:numId="32" w16cid:durableId="1461729336">
    <w:abstractNumId w:val="12"/>
  </w:num>
  <w:num w:numId="33" w16cid:durableId="441995611">
    <w:abstractNumId w:val="2"/>
  </w:num>
  <w:num w:numId="34" w16cid:durableId="1685282676">
    <w:abstractNumId w:val="12"/>
  </w:num>
  <w:num w:numId="35" w16cid:durableId="829911015">
    <w:abstractNumId w:val="12"/>
  </w:num>
  <w:num w:numId="36" w16cid:durableId="1619920131">
    <w:abstractNumId w:val="12"/>
  </w:num>
  <w:num w:numId="37" w16cid:durableId="1125387480">
    <w:abstractNumId w:val="1"/>
  </w:num>
  <w:num w:numId="38" w16cid:durableId="1956446439">
    <w:abstractNumId w:val="12"/>
  </w:num>
  <w:num w:numId="39" w16cid:durableId="912472152">
    <w:abstractNumId w:val="12"/>
  </w:num>
  <w:num w:numId="40" w16cid:durableId="1346906923">
    <w:abstractNumId w:val="12"/>
  </w:num>
  <w:num w:numId="41" w16cid:durableId="1670207263">
    <w:abstractNumId w:val="12"/>
  </w:num>
  <w:num w:numId="42" w16cid:durableId="1441339129">
    <w:abstractNumId w:val="8"/>
  </w:num>
  <w:num w:numId="43" w16cid:durableId="910771371">
    <w:abstractNumId w:val="8"/>
  </w:num>
  <w:num w:numId="44" w16cid:durableId="886144021">
    <w:abstractNumId w:val="12"/>
  </w:num>
  <w:num w:numId="45" w16cid:durableId="1645895080">
    <w:abstractNumId w:val="9"/>
  </w:num>
  <w:num w:numId="46" w16cid:durableId="593786946">
    <w:abstractNumId w:val="13"/>
  </w:num>
  <w:num w:numId="47" w16cid:durableId="1584411908">
    <w:abstractNumId w:val="13"/>
  </w:num>
  <w:num w:numId="48" w16cid:durableId="1989623978">
    <w:abstractNumId w:val="10"/>
  </w:num>
  <w:num w:numId="49" w16cid:durableId="6007948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f0evp9er5rsrueeefpxrr2ie0xp2zexvfz0&quot;&gt;My EndNote Library&lt;record-ids&gt;&lt;item&gt;338&lt;/item&gt;&lt;item&gt;556&lt;/item&gt;&lt;item&gt;2454&lt;/item&gt;&lt;item&gt;6425&lt;/item&gt;&lt;item&gt;6426&lt;/item&gt;&lt;item&gt;6427&lt;/item&gt;&lt;item&gt;6428&lt;/item&gt;&lt;item&gt;6429&lt;/item&gt;&lt;item&gt;6430&lt;/item&gt;&lt;item&gt;6431&lt;/item&gt;&lt;item&gt;6432&lt;/item&gt;&lt;item&gt;6433&lt;/item&gt;&lt;item&gt;6434&lt;/item&gt;&lt;item&gt;6435&lt;/item&gt;&lt;item&gt;6436&lt;/item&gt;&lt;item&gt;6437&lt;/item&gt;&lt;item&gt;6438&lt;/item&gt;&lt;item&gt;6439&lt;/item&gt;&lt;item&gt;6440&lt;/item&gt;&lt;item&gt;6441&lt;/item&gt;&lt;item&gt;6442&lt;/item&gt;&lt;item&gt;6443&lt;/item&gt;&lt;item&gt;6444&lt;/item&gt;&lt;item&gt;6445&lt;/item&gt;&lt;item&gt;6446&lt;/item&gt;&lt;item&gt;6447&lt;/item&gt;&lt;item&gt;6448&lt;/item&gt;&lt;/record-ids&gt;&lt;/item&gt;&lt;/Libraries&gt;"/>
  </w:docVars>
  <w:rsids>
    <w:rsidRoot w:val="0047155F"/>
    <w:rsid w:val="00036CE5"/>
    <w:rsid w:val="00082E2D"/>
    <w:rsid w:val="000A0007"/>
    <w:rsid w:val="000C728B"/>
    <w:rsid w:val="000F6F82"/>
    <w:rsid w:val="00104306"/>
    <w:rsid w:val="00141351"/>
    <w:rsid w:val="001B5F7C"/>
    <w:rsid w:val="001D1E2E"/>
    <w:rsid w:val="002E5D88"/>
    <w:rsid w:val="00306BC8"/>
    <w:rsid w:val="00314FCE"/>
    <w:rsid w:val="00363793"/>
    <w:rsid w:val="003947A7"/>
    <w:rsid w:val="00464ADD"/>
    <w:rsid w:val="0047155F"/>
    <w:rsid w:val="00474472"/>
    <w:rsid w:val="005221D3"/>
    <w:rsid w:val="005D10A9"/>
    <w:rsid w:val="005F3F01"/>
    <w:rsid w:val="0064212D"/>
    <w:rsid w:val="00666A8F"/>
    <w:rsid w:val="00686B96"/>
    <w:rsid w:val="006B479C"/>
    <w:rsid w:val="007211AB"/>
    <w:rsid w:val="00762055"/>
    <w:rsid w:val="0076230E"/>
    <w:rsid w:val="007C28EB"/>
    <w:rsid w:val="007E276A"/>
    <w:rsid w:val="008021C1"/>
    <w:rsid w:val="008A3AE9"/>
    <w:rsid w:val="009302B1"/>
    <w:rsid w:val="009856F8"/>
    <w:rsid w:val="009B4FDE"/>
    <w:rsid w:val="00A153FE"/>
    <w:rsid w:val="00AF666D"/>
    <w:rsid w:val="00B32EC9"/>
    <w:rsid w:val="00B51B1E"/>
    <w:rsid w:val="00BA57B3"/>
    <w:rsid w:val="00BC00D2"/>
    <w:rsid w:val="00D46C18"/>
    <w:rsid w:val="00D53353"/>
    <w:rsid w:val="00D62C4D"/>
    <w:rsid w:val="00D84EA9"/>
    <w:rsid w:val="00E02A59"/>
    <w:rsid w:val="00E529EF"/>
    <w:rsid w:val="00EE3B6B"/>
    <w:rsid w:val="00EE7808"/>
    <w:rsid w:val="00FB17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F9DE27"/>
  <w15:chartTrackingRefBased/>
  <w15:docId w15:val="{94B1A416-8136-4769-8528-32D49CAE7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C18"/>
    <w:pPr>
      <w:spacing w:after="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A57B3"/>
    <w:pPr>
      <w:keepNext/>
      <w:keepLines/>
      <w:numPr>
        <w:numId w:val="45"/>
      </w:numPr>
      <w:jc w:val="left"/>
      <w:outlineLvl w:val="0"/>
    </w:pPr>
    <w:rPr>
      <w:rFonts w:eastAsia="Aptos" w:cstheme="majorBidi"/>
      <w:b/>
      <w:color w:val="000000" w:themeColor="text1"/>
      <w:sz w:val="30"/>
      <w:szCs w:val="40"/>
    </w:rPr>
  </w:style>
  <w:style w:type="paragraph" w:styleId="Heading2">
    <w:name w:val="heading 2"/>
    <w:basedOn w:val="Normal"/>
    <w:next w:val="Normal"/>
    <w:link w:val="Heading2Char"/>
    <w:autoRedefine/>
    <w:uiPriority w:val="9"/>
    <w:unhideWhenUsed/>
    <w:qFormat/>
    <w:rsid w:val="0064212D"/>
    <w:pPr>
      <w:keepNext/>
      <w:keepLines/>
      <w:numPr>
        <w:ilvl w:val="1"/>
        <w:numId w:val="45"/>
      </w:numPr>
      <w:jc w:val="left"/>
      <w:outlineLvl w:val="1"/>
    </w:pPr>
    <w:rPr>
      <w:rFonts w:eastAsiaTheme="majorEastAsia" w:cstheme="majorBidi"/>
      <w:b/>
      <w:i/>
      <w:color w:val="000000" w:themeColor="text1"/>
      <w:sz w:val="27"/>
      <w:szCs w:val="32"/>
    </w:rPr>
  </w:style>
  <w:style w:type="paragraph" w:styleId="Heading3">
    <w:name w:val="heading 3"/>
    <w:basedOn w:val="Normal"/>
    <w:next w:val="Normal"/>
    <w:link w:val="Heading3Char"/>
    <w:autoRedefine/>
    <w:uiPriority w:val="9"/>
    <w:unhideWhenUsed/>
    <w:qFormat/>
    <w:rsid w:val="00666A8F"/>
    <w:pPr>
      <w:keepNext/>
      <w:keepLines/>
      <w:numPr>
        <w:ilvl w:val="2"/>
        <w:numId w:val="1"/>
      </w:numPr>
      <w:spacing w:line="240" w:lineRule="auto"/>
      <w:jc w:val="left"/>
      <w:outlineLvl w:val="2"/>
    </w:pPr>
    <w:rPr>
      <w:rFonts w:eastAsiaTheme="majorEastAsia" w:cstheme="majorBidi"/>
      <w:b/>
      <w:color w:val="000000" w:themeColor="text1"/>
      <w:sz w:val="26"/>
    </w:rPr>
  </w:style>
  <w:style w:type="paragraph" w:styleId="Heading4">
    <w:name w:val="heading 4"/>
    <w:basedOn w:val="Normal"/>
    <w:next w:val="Normal"/>
    <w:link w:val="Heading4Char"/>
    <w:autoRedefine/>
    <w:uiPriority w:val="9"/>
    <w:unhideWhenUsed/>
    <w:qFormat/>
    <w:rsid w:val="00036CE5"/>
    <w:pPr>
      <w:keepNext/>
      <w:keepLines/>
      <w:spacing w:line="259" w:lineRule="auto"/>
      <w:outlineLvl w:val="3"/>
    </w:pPr>
    <w:rPr>
      <w:rFonts w:eastAsia="Arial"/>
      <w:b/>
      <w:color w:val="000000" w:themeColor="text1"/>
      <w:sz w:val="28"/>
      <w:lang w:val="en-IN"/>
    </w:rPr>
  </w:style>
  <w:style w:type="paragraph" w:styleId="Heading5">
    <w:name w:val="heading 5"/>
    <w:basedOn w:val="Normal"/>
    <w:next w:val="Normal"/>
    <w:link w:val="Heading5Char"/>
    <w:autoRedefine/>
    <w:uiPriority w:val="9"/>
    <w:unhideWhenUsed/>
    <w:qFormat/>
    <w:rsid w:val="00BC00D2"/>
    <w:pPr>
      <w:keepNext/>
      <w:keepLines/>
      <w:jc w:val="left"/>
      <w:outlineLvl w:val="4"/>
    </w:pPr>
    <w:rPr>
      <w:rFonts w:eastAsiaTheme="majorEastAsia" w:cstheme="majorBidi"/>
      <w:b/>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472"/>
    <w:rPr>
      <w:rFonts w:ascii="Times New Roman" w:eastAsia="Aptos" w:hAnsi="Times New Roman" w:cstheme="majorBidi"/>
      <w:b/>
      <w:color w:val="000000" w:themeColor="text1"/>
      <w:kern w:val="2"/>
      <w:sz w:val="30"/>
      <w:szCs w:val="40"/>
      <w:lang w:val="en-GB"/>
      <w14:ligatures w14:val="standardContextual"/>
    </w:rPr>
  </w:style>
  <w:style w:type="character" w:customStyle="1" w:styleId="Heading2Char">
    <w:name w:val="Heading 2 Char"/>
    <w:basedOn w:val="DefaultParagraphFont"/>
    <w:link w:val="Heading2"/>
    <w:uiPriority w:val="9"/>
    <w:rsid w:val="0064212D"/>
    <w:rPr>
      <w:rFonts w:ascii="Times New Roman" w:eastAsiaTheme="majorEastAsia" w:hAnsi="Times New Roman" w:cstheme="majorBidi"/>
      <w:b/>
      <w:i/>
      <w:color w:val="000000" w:themeColor="text1"/>
      <w:sz w:val="27"/>
      <w:szCs w:val="32"/>
    </w:rPr>
  </w:style>
  <w:style w:type="character" w:customStyle="1" w:styleId="Heading3Char">
    <w:name w:val="Heading 3 Char"/>
    <w:basedOn w:val="DefaultParagraphFont"/>
    <w:link w:val="Heading3"/>
    <w:uiPriority w:val="9"/>
    <w:qFormat/>
    <w:rsid w:val="00666A8F"/>
    <w:rPr>
      <w:rFonts w:ascii="Times New Roman" w:eastAsiaTheme="majorEastAsia" w:hAnsi="Times New Roman" w:cstheme="majorBidi"/>
      <w:b/>
      <w:color w:val="000000" w:themeColor="text1"/>
      <w:sz w:val="26"/>
      <w:szCs w:val="24"/>
    </w:rPr>
  </w:style>
  <w:style w:type="character" w:customStyle="1" w:styleId="Heading4Char">
    <w:name w:val="Heading 4 Char"/>
    <w:basedOn w:val="DefaultParagraphFont"/>
    <w:link w:val="Heading4"/>
    <w:uiPriority w:val="9"/>
    <w:rsid w:val="00036CE5"/>
    <w:rPr>
      <w:rFonts w:ascii="Times New Roman" w:eastAsia="Arial" w:hAnsi="Times New Roman"/>
      <w:b/>
      <w:color w:val="000000" w:themeColor="text1"/>
      <w:kern w:val="2"/>
      <w:sz w:val="28"/>
      <w:szCs w:val="24"/>
      <w:lang w:val="en-IN"/>
      <w14:ligatures w14:val="standardContextual"/>
    </w:rPr>
  </w:style>
  <w:style w:type="character" w:customStyle="1" w:styleId="Heading5Char">
    <w:name w:val="Heading 5 Char"/>
    <w:basedOn w:val="DefaultParagraphFont"/>
    <w:link w:val="Heading5"/>
    <w:uiPriority w:val="9"/>
    <w:rsid w:val="00BC00D2"/>
    <w:rPr>
      <w:rFonts w:ascii="Times New Roman" w:eastAsiaTheme="majorEastAsia" w:hAnsi="Times New Roman" w:cstheme="majorBidi"/>
      <w:b/>
      <w:i/>
      <w:color w:val="000000" w:themeColor="text1"/>
      <w:kern w:val="2"/>
      <w:sz w:val="24"/>
      <w:szCs w:val="24"/>
      <w:lang w:val="en-GB"/>
      <w14:ligatures w14:val="standardContextual"/>
    </w:rPr>
  </w:style>
  <w:style w:type="paragraph" w:styleId="TOC1">
    <w:name w:val="toc 1"/>
    <w:basedOn w:val="Normal"/>
    <w:next w:val="Normal"/>
    <w:autoRedefine/>
    <w:uiPriority w:val="39"/>
    <w:unhideWhenUsed/>
    <w:rsid w:val="00EE3B6B"/>
  </w:style>
  <w:style w:type="character" w:styleId="Strong">
    <w:name w:val="Strong"/>
    <w:basedOn w:val="DefaultParagraphFont"/>
    <w:uiPriority w:val="22"/>
    <w:qFormat/>
    <w:rsid w:val="0047155F"/>
    <w:rPr>
      <w:b/>
      <w:bCs/>
    </w:rPr>
  </w:style>
  <w:style w:type="table" w:styleId="TableGridLight">
    <w:name w:val="Grid Table Light"/>
    <w:basedOn w:val="TableNormal"/>
    <w:uiPriority w:val="40"/>
    <w:rsid w:val="0047155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306BC8"/>
    <w:pPr>
      <w:ind w:left="720"/>
      <w:contextualSpacing/>
    </w:pPr>
  </w:style>
  <w:style w:type="table" w:styleId="TableGrid">
    <w:name w:val="Table Grid"/>
    <w:basedOn w:val="TableNormal"/>
    <w:uiPriority w:val="39"/>
    <w:rsid w:val="00306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306B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3637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D62C4D"/>
    <w:pPr>
      <w:numPr>
        <w:numId w:val="0"/>
      </w:numPr>
      <w:spacing w:before="240" w:line="259" w:lineRule="auto"/>
      <w:outlineLvl w:val="9"/>
    </w:pPr>
    <w:rPr>
      <w:rFonts w:asciiTheme="majorHAnsi" w:eastAsiaTheme="majorEastAsia" w:hAnsiTheme="majorHAnsi"/>
      <w:b w:val="0"/>
      <w:color w:val="2F5496" w:themeColor="accent1" w:themeShade="BF"/>
      <w:sz w:val="32"/>
      <w:szCs w:val="32"/>
    </w:rPr>
  </w:style>
  <w:style w:type="paragraph" w:styleId="TOC2">
    <w:name w:val="toc 2"/>
    <w:basedOn w:val="Normal"/>
    <w:next w:val="Normal"/>
    <w:autoRedefine/>
    <w:uiPriority w:val="39"/>
    <w:unhideWhenUsed/>
    <w:rsid w:val="00D62C4D"/>
    <w:pPr>
      <w:spacing w:after="100"/>
      <w:ind w:left="240"/>
    </w:pPr>
  </w:style>
  <w:style w:type="character" w:styleId="Hyperlink">
    <w:name w:val="Hyperlink"/>
    <w:basedOn w:val="DefaultParagraphFont"/>
    <w:uiPriority w:val="99"/>
    <w:unhideWhenUsed/>
    <w:rsid w:val="00D62C4D"/>
    <w:rPr>
      <w:color w:val="0563C1" w:themeColor="hyperlink"/>
      <w:u w:val="single"/>
    </w:rPr>
  </w:style>
  <w:style w:type="paragraph" w:styleId="NormalWeb">
    <w:name w:val="Normal (Web)"/>
    <w:basedOn w:val="Normal"/>
    <w:uiPriority w:val="99"/>
    <w:semiHidden/>
    <w:unhideWhenUsed/>
    <w:rsid w:val="00D62C4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464ADD"/>
    <w:pPr>
      <w:tabs>
        <w:tab w:val="center" w:pos="4680"/>
        <w:tab w:val="right" w:pos="9360"/>
      </w:tabs>
      <w:spacing w:line="240" w:lineRule="auto"/>
    </w:pPr>
  </w:style>
  <w:style w:type="character" w:customStyle="1" w:styleId="HeaderChar">
    <w:name w:val="Header Char"/>
    <w:basedOn w:val="DefaultParagraphFont"/>
    <w:link w:val="Header"/>
    <w:uiPriority w:val="99"/>
    <w:rsid w:val="00464ADD"/>
    <w:rPr>
      <w:rFonts w:ascii="Times New Roman" w:hAnsi="Times New Roman"/>
      <w:sz w:val="24"/>
    </w:rPr>
  </w:style>
  <w:style w:type="paragraph" w:styleId="Footer">
    <w:name w:val="footer"/>
    <w:basedOn w:val="Normal"/>
    <w:link w:val="FooterChar"/>
    <w:uiPriority w:val="99"/>
    <w:unhideWhenUsed/>
    <w:rsid w:val="00464ADD"/>
    <w:pPr>
      <w:tabs>
        <w:tab w:val="center" w:pos="4680"/>
        <w:tab w:val="right" w:pos="9360"/>
      </w:tabs>
      <w:spacing w:line="240" w:lineRule="auto"/>
    </w:pPr>
  </w:style>
  <w:style w:type="character" w:customStyle="1" w:styleId="FooterChar">
    <w:name w:val="Footer Char"/>
    <w:basedOn w:val="DefaultParagraphFont"/>
    <w:link w:val="Footer"/>
    <w:uiPriority w:val="99"/>
    <w:rsid w:val="00464ADD"/>
    <w:rPr>
      <w:rFonts w:ascii="Times New Roman" w:hAnsi="Times New Roman"/>
      <w:sz w:val="24"/>
    </w:rPr>
  </w:style>
  <w:style w:type="paragraph" w:customStyle="1" w:styleId="EndNoteBibliographyTitle">
    <w:name w:val="EndNote Bibliography Title"/>
    <w:basedOn w:val="Normal"/>
    <w:link w:val="EndNoteBibliographyTitleChar"/>
    <w:rsid w:val="00A153FE"/>
    <w:pPr>
      <w:jc w:val="center"/>
    </w:pPr>
    <w:rPr>
      <w:rFonts w:cs="Times New Roman"/>
      <w:noProof/>
    </w:rPr>
  </w:style>
  <w:style w:type="character" w:customStyle="1" w:styleId="EndNoteBibliographyTitleChar">
    <w:name w:val="EndNote Bibliography Title Char"/>
    <w:basedOn w:val="DefaultParagraphFont"/>
    <w:link w:val="EndNoteBibliographyTitle"/>
    <w:rsid w:val="00A153FE"/>
    <w:rPr>
      <w:rFonts w:ascii="Times New Roman" w:hAnsi="Times New Roman" w:cs="Times New Roman"/>
      <w:noProof/>
      <w:sz w:val="24"/>
    </w:rPr>
  </w:style>
  <w:style w:type="paragraph" w:customStyle="1" w:styleId="EndNoteBibliography">
    <w:name w:val="EndNote Bibliography"/>
    <w:basedOn w:val="Normal"/>
    <w:link w:val="EndNoteBibliographyChar"/>
    <w:rsid w:val="00A153FE"/>
    <w:pPr>
      <w:spacing w:line="240" w:lineRule="auto"/>
    </w:pPr>
    <w:rPr>
      <w:rFonts w:cs="Times New Roman"/>
      <w:noProof/>
    </w:rPr>
  </w:style>
  <w:style w:type="character" w:customStyle="1" w:styleId="EndNoteBibliographyChar">
    <w:name w:val="EndNote Bibliography Char"/>
    <w:basedOn w:val="DefaultParagraphFont"/>
    <w:link w:val="EndNoteBibliography"/>
    <w:rsid w:val="00A153FE"/>
    <w:rPr>
      <w:rFonts w:ascii="Times New Roman" w:hAnsi="Times New Roman" w:cs="Times New Roman"/>
      <w:noProof/>
      <w:sz w:val="24"/>
    </w:rPr>
  </w:style>
  <w:style w:type="character" w:styleId="UnresolvedMention">
    <w:name w:val="Unresolved Mention"/>
    <w:basedOn w:val="DefaultParagraphFont"/>
    <w:uiPriority w:val="99"/>
    <w:semiHidden/>
    <w:unhideWhenUsed/>
    <w:rsid w:val="00A153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3250398">
      <w:bodyDiv w:val="1"/>
      <w:marLeft w:val="0"/>
      <w:marRight w:val="0"/>
      <w:marTop w:val="0"/>
      <w:marBottom w:val="0"/>
      <w:divBdr>
        <w:top w:val="none" w:sz="0" w:space="0" w:color="auto"/>
        <w:left w:val="none" w:sz="0" w:space="0" w:color="auto"/>
        <w:bottom w:val="none" w:sz="0" w:space="0" w:color="auto"/>
        <w:right w:val="none" w:sz="0" w:space="0" w:color="auto"/>
      </w:divBdr>
    </w:div>
    <w:div w:id="862939711">
      <w:bodyDiv w:val="1"/>
      <w:marLeft w:val="0"/>
      <w:marRight w:val="0"/>
      <w:marTop w:val="0"/>
      <w:marBottom w:val="0"/>
      <w:divBdr>
        <w:top w:val="none" w:sz="0" w:space="0" w:color="auto"/>
        <w:left w:val="none" w:sz="0" w:space="0" w:color="auto"/>
        <w:bottom w:val="none" w:sz="0" w:space="0" w:color="auto"/>
        <w:right w:val="none" w:sz="0" w:space="0" w:color="auto"/>
      </w:divBdr>
    </w:div>
    <w:div w:id="932055318">
      <w:bodyDiv w:val="1"/>
      <w:marLeft w:val="0"/>
      <w:marRight w:val="0"/>
      <w:marTop w:val="0"/>
      <w:marBottom w:val="0"/>
      <w:divBdr>
        <w:top w:val="none" w:sz="0" w:space="0" w:color="auto"/>
        <w:left w:val="none" w:sz="0" w:space="0" w:color="auto"/>
        <w:bottom w:val="none" w:sz="0" w:space="0" w:color="auto"/>
        <w:right w:val="none" w:sz="0" w:space="0" w:color="auto"/>
      </w:divBdr>
    </w:div>
    <w:div w:id="1091125575">
      <w:bodyDiv w:val="1"/>
      <w:marLeft w:val="0"/>
      <w:marRight w:val="0"/>
      <w:marTop w:val="0"/>
      <w:marBottom w:val="0"/>
      <w:divBdr>
        <w:top w:val="none" w:sz="0" w:space="0" w:color="auto"/>
        <w:left w:val="none" w:sz="0" w:space="0" w:color="auto"/>
        <w:bottom w:val="none" w:sz="0" w:space="0" w:color="auto"/>
        <w:right w:val="none" w:sz="0" w:space="0" w:color="auto"/>
      </w:divBdr>
    </w:div>
    <w:div w:id="1732921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hilton.com/en/"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83941E-38B3-4B02-AC0B-C5EC85DC44B9}" type="doc">
      <dgm:prSet loTypeId="urn:microsoft.com/office/officeart/2005/8/layout/rings+Icon" loCatId="officeonline" qsTypeId="urn:microsoft.com/office/officeart/2005/8/quickstyle/simple1" qsCatId="simple" csTypeId="urn:microsoft.com/office/officeart/2005/8/colors/colorful1" csCatId="colorful" phldr="1"/>
      <dgm:spPr/>
      <dgm:t>
        <a:bodyPr/>
        <a:lstStyle/>
        <a:p>
          <a:endParaRPr lang="en-US"/>
        </a:p>
      </dgm:t>
    </dgm:pt>
    <dgm:pt modelId="{853F4157-3C8B-4331-AEDE-5D96831445FE}">
      <dgm:prSet phldrT="[Text]" custT="1"/>
      <dgm:spPr/>
      <dgm:t>
        <a:bodyPr/>
        <a:lstStyle/>
        <a:p>
          <a:r>
            <a:rPr lang="en-US" sz="900" b="1">
              <a:latin typeface="Times New Roman" panose="02020603050405020304" pitchFamily="18" charset="0"/>
              <a:cs typeface="Times New Roman" panose="02020603050405020304" pitchFamily="18" charset="0"/>
            </a:rPr>
            <a:t>Political: </a:t>
          </a:r>
        </a:p>
        <a:p>
          <a:r>
            <a:rPr lang="en-US" sz="900">
              <a:latin typeface="Times New Roman" panose="02020603050405020304" pitchFamily="18" charset="0"/>
              <a:cs typeface="Times New Roman" panose="02020603050405020304" pitchFamily="18" charset="0"/>
            </a:rPr>
            <a:t>The AI governance regimes are divergent, and it needs active regulatory consultation.</a:t>
          </a:r>
        </a:p>
      </dgm:t>
    </dgm:pt>
    <dgm:pt modelId="{77B27AB7-6FCB-416C-903B-73A872F66B30}" type="parTrans" cxnId="{AE7278F5-6F34-4015-B6E0-AC128611A597}">
      <dgm:prSet/>
      <dgm:spPr/>
      <dgm:t>
        <a:bodyPr/>
        <a:lstStyle/>
        <a:p>
          <a:endParaRPr lang="en-US" sz="2800">
            <a:latin typeface="Times New Roman" panose="02020603050405020304" pitchFamily="18" charset="0"/>
            <a:cs typeface="Times New Roman" panose="02020603050405020304" pitchFamily="18" charset="0"/>
          </a:endParaRPr>
        </a:p>
      </dgm:t>
    </dgm:pt>
    <dgm:pt modelId="{F3038103-7243-4FAF-9814-157B59027802}" type="sibTrans" cxnId="{AE7278F5-6F34-4015-B6E0-AC128611A597}">
      <dgm:prSet/>
      <dgm:spPr/>
      <dgm:t>
        <a:bodyPr/>
        <a:lstStyle/>
        <a:p>
          <a:endParaRPr lang="en-US" sz="2800">
            <a:latin typeface="Times New Roman" panose="02020603050405020304" pitchFamily="18" charset="0"/>
            <a:cs typeface="Times New Roman" panose="02020603050405020304" pitchFamily="18" charset="0"/>
          </a:endParaRPr>
        </a:p>
      </dgm:t>
    </dgm:pt>
    <dgm:pt modelId="{EC13BEE0-29F3-4EFA-A63D-05205B1C6D77}">
      <dgm:prSet phldrT="[Text]" custT="1"/>
      <dgm:spPr/>
      <dgm:t>
        <a:bodyPr/>
        <a:lstStyle/>
        <a:p>
          <a:r>
            <a:rPr lang="en-US" sz="900" b="1">
              <a:latin typeface="Times New Roman" panose="02020603050405020304" pitchFamily="18" charset="0"/>
              <a:cs typeface="Times New Roman" panose="02020603050405020304" pitchFamily="18" charset="0"/>
            </a:rPr>
            <a:t>Economic: </a:t>
          </a:r>
          <a:r>
            <a:rPr lang="en-US" sz="900">
              <a:latin typeface="Times New Roman" panose="02020603050405020304" pitchFamily="18" charset="0"/>
              <a:cs typeface="Times New Roman" panose="02020603050405020304" pitchFamily="18" charset="0"/>
            </a:rPr>
            <a:t>Inflation and volatile global travel demand impact on the forecast of return-on-investment.</a:t>
          </a:r>
        </a:p>
      </dgm:t>
    </dgm:pt>
    <dgm:pt modelId="{648A02EE-C211-4110-88EA-BDF887F31097}" type="parTrans" cxnId="{D6C8940E-02CC-4E41-87B7-8748B0E1D405}">
      <dgm:prSet/>
      <dgm:spPr/>
      <dgm:t>
        <a:bodyPr/>
        <a:lstStyle/>
        <a:p>
          <a:endParaRPr lang="en-US" sz="2800">
            <a:latin typeface="Times New Roman" panose="02020603050405020304" pitchFamily="18" charset="0"/>
            <a:cs typeface="Times New Roman" panose="02020603050405020304" pitchFamily="18" charset="0"/>
          </a:endParaRPr>
        </a:p>
      </dgm:t>
    </dgm:pt>
    <dgm:pt modelId="{5A06C07D-9A74-4398-A8B6-6EF8C5834AF1}" type="sibTrans" cxnId="{D6C8940E-02CC-4E41-87B7-8748B0E1D405}">
      <dgm:prSet/>
      <dgm:spPr/>
      <dgm:t>
        <a:bodyPr/>
        <a:lstStyle/>
        <a:p>
          <a:endParaRPr lang="en-US" sz="2800">
            <a:latin typeface="Times New Roman" panose="02020603050405020304" pitchFamily="18" charset="0"/>
            <a:cs typeface="Times New Roman" panose="02020603050405020304" pitchFamily="18" charset="0"/>
          </a:endParaRPr>
        </a:p>
      </dgm:t>
    </dgm:pt>
    <dgm:pt modelId="{3D7E298A-1522-4968-90E2-31C502367051}">
      <dgm:prSet phldrT="[Text]" custT="1"/>
      <dgm:spPr/>
      <dgm:t>
        <a:bodyPr/>
        <a:lstStyle/>
        <a:p>
          <a:r>
            <a:rPr lang="en-US" sz="900" b="1">
              <a:latin typeface="Times New Roman" panose="02020603050405020304" pitchFamily="18" charset="0"/>
              <a:cs typeface="Times New Roman" panose="02020603050405020304" pitchFamily="18" charset="0"/>
            </a:rPr>
            <a:t>Social: </a:t>
          </a:r>
          <a:r>
            <a:rPr lang="en-US" sz="900">
              <a:latin typeface="Times New Roman" panose="02020603050405020304" pitchFamily="18" charset="0"/>
              <a:cs typeface="Times New Roman" panose="02020603050405020304" pitchFamily="18" charset="0"/>
            </a:rPr>
            <a:t>There is a cross-cultural difference in the level of consumer trust towards AI-mediated hospitality.</a:t>
          </a:r>
        </a:p>
      </dgm:t>
    </dgm:pt>
    <dgm:pt modelId="{9801BA4F-5D9E-4DDF-82BC-E11758E8BB53}" type="parTrans" cxnId="{B31833E7-8C20-47F9-9CB7-B83B0BDD63C1}">
      <dgm:prSet/>
      <dgm:spPr/>
      <dgm:t>
        <a:bodyPr/>
        <a:lstStyle/>
        <a:p>
          <a:endParaRPr lang="en-US" sz="2800">
            <a:latin typeface="Times New Roman" panose="02020603050405020304" pitchFamily="18" charset="0"/>
            <a:cs typeface="Times New Roman" panose="02020603050405020304" pitchFamily="18" charset="0"/>
          </a:endParaRPr>
        </a:p>
      </dgm:t>
    </dgm:pt>
    <dgm:pt modelId="{EB498478-E444-4205-BFE9-5DFA626AF281}" type="sibTrans" cxnId="{B31833E7-8C20-47F9-9CB7-B83B0BDD63C1}">
      <dgm:prSet/>
      <dgm:spPr/>
      <dgm:t>
        <a:bodyPr/>
        <a:lstStyle/>
        <a:p>
          <a:endParaRPr lang="en-US" sz="2800">
            <a:latin typeface="Times New Roman" panose="02020603050405020304" pitchFamily="18" charset="0"/>
            <a:cs typeface="Times New Roman" panose="02020603050405020304" pitchFamily="18" charset="0"/>
          </a:endParaRPr>
        </a:p>
      </dgm:t>
    </dgm:pt>
    <dgm:pt modelId="{621FE531-CE39-4141-A6FF-256BEF34ACC1}">
      <dgm:prSet custT="1"/>
      <dgm:spPr/>
      <dgm:t>
        <a:bodyPr/>
        <a:lstStyle/>
        <a:p>
          <a:r>
            <a:rPr lang="en-US" sz="900" b="1">
              <a:latin typeface="Times New Roman" panose="02020603050405020304" pitchFamily="18" charset="0"/>
              <a:cs typeface="Times New Roman" panose="02020603050405020304" pitchFamily="18" charset="0"/>
            </a:rPr>
            <a:t>Technological</a:t>
          </a:r>
          <a:r>
            <a:rPr lang="en-US" sz="900">
              <a:latin typeface="Times New Roman" panose="02020603050405020304" pitchFamily="18" charset="0"/>
              <a:cs typeface="Times New Roman" panose="02020603050405020304" pitchFamily="18" charset="0"/>
            </a:rPr>
            <a:t>: The quick AI development requires ongoing cooperative efforts with vendors.</a:t>
          </a:r>
        </a:p>
      </dgm:t>
    </dgm:pt>
    <dgm:pt modelId="{38D460F4-60A3-4C31-976C-322E9CCB43BE}" type="parTrans" cxnId="{272A5897-49F2-40C9-A806-478AAA2C9B76}">
      <dgm:prSet/>
      <dgm:spPr/>
      <dgm:t>
        <a:bodyPr/>
        <a:lstStyle/>
        <a:p>
          <a:endParaRPr lang="en-US" sz="2800">
            <a:latin typeface="Times New Roman" panose="02020603050405020304" pitchFamily="18" charset="0"/>
            <a:cs typeface="Times New Roman" panose="02020603050405020304" pitchFamily="18" charset="0"/>
          </a:endParaRPr>
        </a:p>
      </dgm:t>
    </dgm:pt>
    <dgm:pt modelId="{3E0107AA-1918-4F81-859B-00D796AE56DC}" type="sibTrans" cxnId="{272A5897-49F2-40C9-A806-478AAA2C9B76}">
      <dgm:prSet/>
      <dgm:spPr/>
      <dgm:t>
        <a:bodyPr/>
        <a:lstStyle/>
        <a:p>
          <a:endParaRPr lang="en-US" sz="2800">
            <a:latin typeface="Times New Roman" panose="02020603050405020304" pitchFamily="18" charset="0"/>
            <a:cs typeface="Times New Roman" panose="02020603050405020304" pitchFamily="18" charset="0"/>
          </a:endParaRPr>
        </a:p>
      </dgm:t>
    </dgm:pt>
    <dgm:pt modelId="{B347EB12-95CA-4627-9B40-4048F00F6DDE}">
      <dgm:prSet custT="1"/>
      <dgm:spPr/>
      <dgm:t>
        <a:bodyPr/>
        <a:lstStyle/>
        <a:p>
          <a:r>
            <a:rPr lang="en-US" sz="900" b="1">
              <a:latin typeface="Times New Roman" panose="02020603050405020304" pitchFamily="18" charset="0"/>
              <a:cs typeface="Times New Roman" panose="02020603050405020304" pitchFamily="18" charset="0"/>
            </a:rPr>
            <a:t>Legal: </a:t>
          </a:r>
          <a:r>
            <a:rPr lang="en-US" sz="900">
              <a:latin typeface="Times New Roman" panose="02020603050405020304" pitchFamily="18" charset="0"/>
              <a:cs typeface="Times New Roman" panose="02020603050405020304" pitchFamily="18" charset="0"/>
            </a:rPr>
            <a:t>GDPR and labour regulations limit the area of automation.</a:t>
          </a:r>
        </a:p>
      </dgm:t>
    </dgm:pt>
    <dgm:pt modelId="{DF5150C0-9EEB-4D82-A66E-877AA7B7543D}" type="parTrans" cxnId="{79B70CE7-B14E-4772-9A97-97FED058EA19}">
      <dgm:prSet/>
      <dgm:spPr/>
      <dgm:t>
        <a:bodyPr/>
        <a:lstStyle/>
        <a:p>
          <a:endParaRPr lang="en-US" sz="2800">
            <a:latin typeface="Times New Roman" panose="02020603050405020304" pitchFamily="18" charset="0"/>
            <a:cs typeface="Times New Roman" panose="02020603050405020304" pitchFamily="18" charset="0"/>
          </a:endParaRPr>
        </a:p>
      </dgm:t>
    </dgm:pt>
    <dgm:pt modelId="{AE08AE0D-3119-467E-A2E6-6D11562DD6F7}" type="sibTrans" cxnId="{79B70CE7-B14E-4772-9A97-97FED058EA19}">
      <dgm:prSet/>
      <dgm:spPr/>
      <dgm:t>
        <a:bodyPr/>
        <a:lstStyle/>
        <a:p>
          <a:endParaRPr lang="en-US" sz="2800">
            <a:latin typeface="Times New Roman" panose="02020603050405020304" pitchFamily="18" charset="0"/>
            <a:cs typeface="Times New Roman" panose="02020603050405020304" pitchFamily="18" charset="0"/>
          </a:endParaRPr>
        </a:p>
      </dgm:t>
    </dgm:pt>
    <dgm:pt modelId="{B52867F9-3127-405C-8942-96D4FEAFAD40}">
      <dgm:prSet custT="1"/>
      <dgm:spPr/>
      <dgm:t>
        <a:bodyPr/>
        <a:lstStyle/>
        <a:p>
          <a:r>
            <a:rPr lang="en-US" sz="900" b="1">
              <a:latin typeface="Times New Roman" panose="02020603050405020304" pitchFamily="18" charset="0"/>
              <a:cs typeface="Times New Roman" panose="02020603050405020304" pitchFamily="18" charset="0"/>
            </a:rPr>
            <a:t>Environmental: </a:t>
          </a:r>
          <a:r>
            <a:rPr lang="en-US" sz="900">
              <a:latin typeface="Times New Roman" panose="02020603050405020304" pitchFamily="18" charset="0"/>
              <a:cs typeface="Times New Roman" panose="02020603050405020304" pitchFamily="18" charset="0"/>
            </a:rPr>
            <a:t>Carbon cutting obligations increase ESG scrutinies.</a:t>
          </a:r>
        </a:p>
      </dgm:t>
    </dgm:pt>
    <dgm:pt modelId="{E4019E1D-F8C1-4C86-B3DE-9CC797A9A20D}" type="parTrans" cxnId="{F758F44F-7EE0-44B4-ADE4-2A3AEB991FA7}">
      <dgm:prSet/>
      <dgm:spPr/>
      <dgm:t>
        <a:bodyPr/>
        <a:lstStyle/>
        <a:p>
          <a:endParaRPr lang="en-US" sz="2800">
            <a:latin typeface="Times New Roman" panose="02020603050405020304" pitchFamily="18" charset="0"/>
            <a:cs typeface="Times New Roman" panose="02020603050405020304" pitchFamily="18" charset="0"/>
          </a:endParaRPr>
        </a:p>
      </dgm:t>
    </dgm:pt>
    <dgm:pt modelId="{C1A001A2-3DFA-4661-B0CB-103D500C08B9}" type="sibTrans" cxnId="{F758F44F-7EE0-44B4-ADE4-2A3AEB991FA7}">
      <dgm:prSet/>
      <dgm:spPr/>
      <dgm:t>
        <a:bodyPr/>
        <a:lstStyle/>
        <a:p>
          <a:endParaRPr lang="en-US" sz="2800">
            <a:latin typeface="Times New Roman" panose="02020603050405020304" pitchFamily="18" charset="0"/>
            <a:cs typeface="Times New Roman" panose="02020603050405020304" pitchFamily="18" charset="0"/>
          </a:endParaRPr>
        </a:p>
      </dgm:t>
    </dgm:pt>
    <dgm:pt modelId="{113EA5C5-436E-46E4-8AA0-3CB7F776D19A}" type="pres">
      <dgm:prSet presAssocID="{DF83941E-38B3-4B02-AC0B-C5EC85DC44B9}" presName="Name0" presStyleCnt="0">
        <dgm:presLayoutVars>
          <dgm:chMax val="7"/>
          <dgm:dir/>
          <dgm:resizeHandles val="exact"/>
        </dgm:presLayoutVars>
      </dgm:prSet>
      <dgm:spPr/>
    </dgm:pt>
    <dgm:pt modelId="{3C11272D-E52F-4E7B-94BF-4DF53EC17D5D}" type="pres">
      <dgm:prSet presAssocID="{DF83941E-38B3-4B02-AC0B-C5EC85DC44B9}" presName="ellipse1" presStyleLbl="vennNode1" presStyleIdx="0" presStyleCnt="6">
        <dgm:presLayoutVars>
          <dgm:bulletEnabled val="1"/>
        </dgm:presLayoutVars>
      </dgm:prSet>
      <dgm:spPr/>
    </dgm:pt>
    <dgm:pt modelId="{F94636CD-AC3C-4F2E-880F-BDE701C7F97E}" type="pres">
      <dgm:prSet presAssocID="{DF83941E-38B3-4B02-AC0B-C5EC85DC44B9}" presName="ellipse2" presStyleLbl="vennNode1" presStyleIdx="1" presStyleCnt="6">
        <dgm:presLayoutVars>
          <dgm:bulletEnabled val="1"/>
        </dgm:presLayoutVars>
      </dgm:prSet>
      <dgm:spPr/>
    </dgm:pt>
    <dgm:pt modelId="{A817D759-730B-4034-85BE-1C710036B83B}" type="pres">
      <dgm:prSet presAssocID="{DF83941E-38B3-4B02-AC0B-C5EC85DC44B9}" presName="ellipse3" presStyleLbl="vennNode1" presStyleIdx="2" presStyleCnt="6">
        <dgm:presLayoutVars>
          <dgm:bulletEnabled val="1"/>
        </dgm:presLayoutVars>
      </dgm:prSet>
      <dgm:spPr/>
    </dgm:pt>
    <dgm:pt modelId="{38CD58D6-1FAD-4CE9-B90B-EC542CD526D2}" type="pres">
      <dgm:prSet presAssocID="{DF83941E-38B3-4B02-AC0B-C5EC85DC44B9}" presName="ellipse4" presStyleLbl="vennNode1" presStyleIdx="3" presStyleCnt="6">
        <dgm:presLayoutVars>
          <dgm:bulletEnabled val="1"/>
        </dgm:presLayoutVars>
      </dgm:prSet>
      <dgm:spPr/>
    </dgm:pt>
    <dgm:pt modelId="{C2237E1C-0713-408A-9B0C-2559117E030E}" type="pres">
      <dgm:prSet presAssocID="{DF83941E-38B3-4B02-AC0B-C5EC85DC44B9}" presName="ellipse5" presStyleLbl="vennNode1" presStyleIdx="4" presStyleCnt="6">
        <dgm:presLayoutVars>
          <dgm:bulletEnabled val="1"/>
        </dgm:presLayoutVars>
      </dgm:prSet>
      <dgm:spPr/>
    </dgm:pt>
    <dgm:pt modelId="{7B87D0CA-19E0-4F85-A0A3-F83DF916DFA7}" type="pres">
      <dgm:prSet presAssocID="{DF83941E-38B3-4B02-AC0B-C5EC85DC44B9}" presName="ellipse6" presStyleLbl="vennNode1" presStyleIdx="5" presStyleCnt="6">
        <dgm:presLayoutVars>
          <dgm:bulletEnabled val="1"/>
        </dgm:presLayoutVars>
      </dgm:prSet>
      <dgm:spPr/>
    </dgm:pt>
  </dgm:ptLst>
  <dgm:cxnLst>
    <dgm:cxn modelId="{D22E9E08-1B08-4512-B20B-85AFF16E4C44}" type="presOf" srcId="{B347EB12-95CA-4627-9B40-4048F00F6DDE}" destId="{C2237E1C-0713-408A-9B0C-2559117E030E}" srcOrd="0" destOrd="0" presId="urn:microsoft.com/office/officeart/2005/8/layout/rings+Icon"/>
    <dgm:cxn modelId="{D6C8940E-02CC-4E41-87B7-8748B0E1D405}" srcId="{DF83941E-38B3-4B02-AC0B-C5EC85DC44B9}" destId="{EC13BEE0-29F3-4EFA-A63D-05205B1C6D77}" srcOrd="1" destOrd="0" parTransId="{648A02EE-C211-4110-88EA-BDF887F31097}" sibTransId="{5A06C07D-9A74-4398-A8B6-6EF8C5834AF1}"/>
    <dgm:cxn modelId="{595EF321-A874-4B38-B428-B72EA12DBC59}" type="presOf" srcId="{DF83941E-38B3-4B02-AC0B-C5EC85DC44B9}" destId="{113EA5C5-436E-46E4-8AA0-3CB7F776D19A}" srcOrd="0" destOrd="0" presId="urn:microsoft.com/office/officeart/2005/8/layout/rings+Icon"/>
    <dgm:cxn modelId="{62644B33-FF68-4BAB-A98B-DE6E5388A0D0}" type="presOf" srcId="{3D7E298A-1522-4968-90E2-31C502367051}" destId="{A817D759-730B-4034-85BE-1C710036B83B}" srcOrd="0" destOrd="0" presId="urn:microsoft.com/office/officeart/2005/8/layout/rings+Icon"/>
    <dgm:cxn modelId="{C8FB3440-D166-4C2E-A8F4-1CBD325D79A1}" type="presOf" srcId="{853F4157-3C8B-4331-AEDE-5D96831445FE}" destId="{3C11272D-E52F-4E7B-94BF-4DF53EC17D5D}" srcOrd="0" destOrd="0" presId="urn:microsoft.com/office/officeart/2005/8/layout/rings+Icon"/>
    <dgm:cxn modelId="{F758F44F-7EE0-44B4-ADE4-2A3AEB991FA7}" srcId="{DF83941E-38B3-4B02-AC0B-C5EC85DC44B9}" destId="{B52867F9-3127-405C-8942-96D4FEAFAD40}" srcOrd="5" destOrd="0" parTransId="{E4019E1D-F8C1-4C86-B3DE-9CC797A9A20D}" sibTransId="{C1A001A2-3DFA-4661-B0CB-103D500C08B9}"/>
    <dgm:cxn modelId="{00E09E73-2EDD-4861-A2B4-51F46C23C8D0}" type="presOf" srcId="{621FE531-CE39-4141-A6FF-256BEF34ACC1}" destId="{38CD58D6-1FAD-4CE9-B90B-EC542CD526D2}" srcOrd="0" destOrd="0" presId="urn:microsoft.com/office/officeart/2005/8/layout/rings+Icon"/>
    <dgm:cxn modelId="{A5140078-71A3-4CE4-B5B2-71301C9EDD2B}" type="presOf" srcId="{EC13BEE0-29F3-4EFA-A63D-05205B1C6D77}" destId="{F94636CD-AC3C-4F2E-880F-BDE701C7F97E}" srcOrd="0" destOrd="0" presId="urn:microsoft.com/office/officeart/2005/8/layout/rings+Icon"/>
    <dgm:cxn modelId="{272A5897-49F2-40C9-A806-478AAA2C9B76}" srcId="{DF83941E-38B3-4B02-AC0B-C5EC85DC44B9}" destId="{621FE531-CE39-4141-A6FF-256BEF34ACC1}" srcOrd="3" destOrd="0" parTransId="{38D460F4-60A3-4C31-976C-322E9CCB43BE}" sibTransId="{3E0107AA-1918-4F81-859B-00D796AE56DC}"/>
    <dgm:cxn modelId="{301FB7B0-DFA9-488B-8D7E-DA4ADC26EF50}" type="presOf" srcId="{B52867F9-3127-405C-8942-96D4FEAFAD40}" destId="{7B87D0CA-19E0-4F85-A0A3-F83DF916DFA7}" srcOrd="0" destOrd="0" presId="urn:microsoft.com/office/officeart/2005/8/layout/rings+Icon"/>
    <dgm:cxn modelId="{79B70CE7-B14E-4772-9A97-97FED058EA19}" srcId="{DF83941E-38B3-4B02-AC0B-C5EC85DC44B9}" destId="{B347EB12-95CA-4627-9B40-4048F00F6DDE}" srcOrd="4" destOrd="0" parTransId="{DF5150C0-9EEB-4D82-A66E-877AA7B7543D}" sibTransId="{AE08AE0D-3119-467E-A2E6-6D11562DD6F7}"/>
    <dgm:cxn modelId="{B31833E7-8C20-47F9-9CB7-B83B0BDD63C1}" srcId="{DF83941E-38B3-4B02-AC0B-C5EC85DC44B9}" destId="{3D7E298A-1522-4968-90E2-31C502367051}" srcOrd="2" destOrd="0" parTransId="{9801BA4F-5D9E-4DDF-82BC-E11758E8BB53}" sibTransId="{EB498478-E444-4205-BFE9-5DFA626AF281}"/>
    <dgm:cxn modelId="{AE7278F5-6F34-4015-B6E0-AC128611A597}" srcId="{DF83941E-38B3-4B02-AC0B-C5EC85DC44B9}" destId="{853F4157-3C8B-4331-AEDE-5D96831445FE}" srcOrd="0" destOrd="0" parTransId="{77B27AB7-6FCB-416C-903B-73A872F66B30}" sibTransId="{F3038103-7243-4FAF-9814-157B59027802}"/>
    <dgm:cxn modelId="{38828251-EEEF-4F4E-AF8A-B44E37A0871A}" type="presParOf" srcId="{113EA5C5-436E-46E4-8AA0-3CB7F776D19A}" destId="{3C11272D-E52F-4E7B-94BF-4DF53EC17D5D}" srcOrd="0" destOrd="0" presId="urn:microsoft.com/office/officeart/2005/8/layout/rings+Icon"/>
    <dgm:cxn modelId="{C76DB4D8-98C7-4409-80DA-49D95648A271}" type="presParOf" srcId="{113EA5C5-436E-46E4-8AA0-3CB7F776D19A}" destId="{F94636CD-AC3C-4F2E-880F-BDE701C7F97E}" srcOrd="1" destOrd="0" presId="urn:microsoft.com/office/officeart/2005/8/layout/rings+Icon"/>
    <dgm:cxn modelId="{AE2C3012-E67B-4294-8113-456F46F26B9E}" type="presParOf" srcId="{113EA5C5-436E-46E4-8AA0-3CB7F776D19A}" destId="{A817D759-730B-4034-85BE-1C710036B83B}" srcOrd="2" destOrd="0" presId="urn:microsoft.com/office/officeart/2005/8/layout/rings+Icon"/>
    <dgm:cxn modelId="{21D61007-521F-4ECF-9752-2E6755B52D0D}" type="presParOf" srcId="{113EA5C5-436E-46E4-8AA0-3CB7F776D19A}" destId="{38CD58D6-1FAD-4CE9-B90B-EC542CD526D2}" srcOrd="3" destOrd="0" presId="urn:microsoft.com/office/officeart/2005/8/layout/rings+Icon"/>
    <dgm:cxn modelId="{FE4B40CE-273E-4080-8418-AB73540BD585}" type="presParOf" srcId="{113EA5C5-436E-46E4-8AA0-3CB7F776D19A}" destId="{C2237E1C-0713-408A-9B0C-2559117E030E}" srcOrd="4" destOrd="0" presId="urn:microsoft.com/office/officeart/2005/8/layout/rings+Icon"/>
    <dgm:cxn modelId="{18B3D838-C8A6-4D9F-B32D-353C83B1105F}" type="presParOf" srcId="{113EA5C5-436E-46E4-8AA0-3CB7F776D19A}" destId="{7B87D0CA-19E0-4F85-A0A3-F83DF916DFA7}" srcOrd="5" destOrd="0" presId="urn:microsoft.com/office/officeart/2005/8/layout/rings+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11272D-E52F-4E7B-94BF-4DF53EC17D5D}">
      <dsp:nvSpPr>
        <dsp:cNvPr id="0" name=""/>
        <dsp:cNvSpPr/>
      </dsp:nvSpPr>
      <dsp:spPr>
        <a:xfrm>
          <a:off x="205278" y="0"/>
          <a:ext cx="1780031" cy="1780121"/>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Political: </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The AI governance regimes are divergent, and it needs active regulatory consultation.</a:t>
          </a:r>
        </a:p>
      </dsp:txBody>
      <dsp:txXfrm>
        <a:off x="465958" y="260693"/>
        <a:ext cx="1258671" cy="1258735"/>
      </dsp:txXfrm>
    </dsp:sp>
    <dsp:sp modelId="{F94636CD-AC3C-4F2E-880F-BDE701C7F97E}">
      <dsp:nvSpPr>
        <dsp:cNvPr id="0" name=""/>
        <dsp:cNvSpPr/>
      </dsp:nvSpPr>
      <dsp:spPr>
        <a:xfrm>
          <a:off x="1129870" y="1147228"/>
          <a:ext cx="1780031" cy="1780121"/>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Economic: </a:t>
          </a:r>
          <a:r>
            <a:rPr lang="en-US" sz="900" kern="1200">
              <a:latin typeface="Times New Roman" panose="02020603050405020304" pitchFamily="18" charset="0"/>
              <a:cs typeface="Times New Roman" panose="02020603050405020304" pitchFamily="18" charset="0"/>
            </a:rPr>
            <a:t>Inflation and volatile global travel demand impact on the forecast of return-on-investment.</a:t>
          </a:r>
        </a:p>
      </dsp:txBody>
      <dsp:txXfrm>
        <a:off x="1390550" y="1407921"/>
        <a:ext cx="1258671" cy="1258735"/>
      </dsp:txXfrm>
    </dsp:sp>
    <dsp:sp modelId="{A817D759-730B-4034-85BE-1C710036B83B}">
      <dsp:nvSpPr>
        <dsp:cNvPr id="0" name=""/>
        <dsp:cNvSpPr/>
      </dsp:nvSpPr>
      <dsp:spPr>
        <a:xfrm>
          <a:off x="2054462" y="0"/>
          <a:ext cx="1780031" cy="1780121"/>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Social: </a:t>
          </a:r>
          <a:r>
            <a:rPr lang="en-US" sz="900" kern="1200">
              <a:latin typeface="Times New Roman" panose="02020603050405020304" pitchFamily="18" charset="0"/>
              <a:cs typeface="Times New Roman" panose="02020603050405020304" pitchFamily="18" charset="0"/>
            </a:rPr>
            <a:t>There is a cross-cultural difference in the level of consumer trust towards AI-mediated hospitality.</a:t>
          </a:r>
        </a:p>
      </dsp:txBody>
      <dsp:txXfrm>
        <a:off x="2315142" y="260693"/>
        <a:ext cx="1258671" cy="1258735"/>
      </dsp:txXfrm>
    </dsp:sp>
    <dsp:sp modelId="{38CD58D6-1FAD-4CE9-B90B-EC542CD526D2}">
      <dsp:nvSpPr>
        <dsp:cNvPr id="0" name=""/>
        <dsp:cNvSpPr/>
      </dsp:nvSpPr>
      <dsp:spPr>
        <a:xfrm>
          <a:off x="2979055" y="1147228"/>
          <a:ext cx="1780031" cy="1780121"/>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Technological</a:t>
          </a:r>
          <a:r>
            <a:rPr lang="en-US" sz="900" kern="1200">
              <a:latin typeface="Times New Roman" panose="02020603050405020304" pitchFamily="18" charset="0"/>
              <a:cs typeface="Times New Roman" panose="02020603050405020304" pitchFamily="18" charset="0"/>
            </a:rPr>
            <a:t>: The quick AI development requires ongoing cooperative efforts with vendors.</a:t>
          </a:r>
        </a:p>
      </dsp:txBody>
      <dsp:txXfrm>
        <a:off x="3239735" y="1407921"/>
        <a:ext cx="1258671" cy="1258735"/>
      </dsp:txXfrm>
    </dsp:sp>
    <dsp:sp modelId="{C2237E1C-0713-408A-9B0C-2559117E030E}">
      <dsp:nvSpPr>
        <dsp:cNvPr id="0" name=""/>
        <dsp:cNvSpPr/>
      </dsp:nvSpPr>
      <dsp:spPr>
        <a:xfrm>
          <a:off x="3903647" y="0"/>
          <a:ext cx="1780031" cy="1780121"/>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Legal: </a:t>
          </a:r>
          <a:r>
            <a:rPr lang="en-US" sz="900" kern="1200">
              <a:latin typeface="Times New Roman" panose="02020603050405020304" pitchFamily="18" charset="0"/>
              <a:cs typeface="Times New Roman" panose="02020603050405020304" pitchFamily="18" charset="0"/>
            </a:rPr>
            <a:t>GDPR and labour regulations limit the area of automation.</a:t>
          </a:r>
        </a:p>
      </dsp:txBody>
      <dsp:txXfrm>
        <a:off x="4164327" y="260693"/>
        <a:ext cx="1258671" cy="1258735"/>
      </dsp:txXfrm>
    </dsp:sp>
    <dsp:sp modelId="{7B87D0CA-19E0-4F85-A0A3-F83DF916DFA7}">
      <dsp:nvSpPr>
        <dsp:cNvPr id="0" name=""/>
        <dsp:cNvSpPr/>
      </dsp:nvSpPr>
      <dsp:spPr>
        <a:xfrm>
          <a:off x="4828239" y="1147228"/>
          <a:ext cx="1780031" cy="1780121"/>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Environmental: </a:t>
          </a:r>
          <a:r>
            <a:rPr lang="en-US" sz="900" kern="1200">
              <a:latin typeface="Times New Roman" panose="02020603050405020304" pitchFamily="18" charset="0"/>
              <a:cs typeface="Times New Roman" panose="02020603050405020304" pitchFamily="18" charset="0"/>
            </a:rPr>
            <a:t>Carbon cutting obligations increase ESG scrutinies.</a:t>
          </a:r>
        </a:p>
      </dsp:txBody>
      <dsp:txXfrm>
        <a:off x="5088919" y="1407921"/>
        <a:ext cx="1258671" cy="1258735"/>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3245C-C659-4255-847B-2817FC813A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16</Pages>
  <Words>8203</Words>
  <Characters>46762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Office</dc:creator>
  <cp:keywords/>
  <dc:description/>
  <cp:lastModifiedBy>Iosif Chiriac (2419583)</cp:lastModifiedBy>
  <cp:revision>6</cp:revision>
  <dcterms:created xsi:type="dcterms:W3CDTF">2026-02-14T22:43:00Z</dcterms:created>
  <dcterms:modified xsi:type="dcterms:W3CDTF">2026-03-11T11:21:00Z</dcterms:modified>
</cp:coreProperties>
</file>