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298A8" w14:textId="02694872" w:rsidR="008D35E6" w:rsidRDefault="00585555" w:rsidP="008D35E6">
      <w:pPr>
        <w:pStyle w:val="Header"/>
        <w:jc w:val="center"/>
        <w:rPr>
          <w:b/>
          <w:bCs/>
          <w:sz w:val="48"/>
          <w:szCs w:val="34"/>
        </w:rPr>
      </w:pPr>
      <w:r>
        <w:rPr>
          <w:b/>
          <w:bCs/>
          <w:sz w:val="48"/>
          <w:szCs w:val="34"/>
        </w:rPr>
        <w:t xml:space="preserve">Name of </w:t>
      </w:r>
      <w:r w:rsidR="00650150">
        <w:rPr>
          <w:b/>
          <w:bCs/>
          <w:sz w:val="48"/>
          <w:szCs w:val="34"/>
        </w:rPr>
        <w:t xml:space="preserve">Student: Diana Sharbanova               </w:t>
      </w:r>
      <w:r w:rsidR="005955FA">
        <w:rPr>
          <w:b/>
          <w:bCs/>
          <w:sz w:val="48"/>
          <w:szCs w:val="34"/>
        </w:rPr>
        <w:t>Student ID :</w:t>
      </w:r>
      <w:r w:rsidR="00650150">
        <w:rPr>
          <w:b/>
          <w:bCs/>
          <w:sz w:val="48"/>
          <w:szCs w:val="34"/>
        </w:rPr>
        <w:t xml:space="preserve"> </w:t>
      </w:r>
      <w:r w:rsidR="00B820B1">
        <w:rPr>
          <w:b/>
          <w:bCs/>
          <w:sz w:val="48"/>
          <w:szCs w:val="34"/>
        </w:rPr>
        <w:t>2131741</w:t>
      </w:r>
      <w:r w:rsidR="00650150">
        <w:rPr>
          <w:b/>
          <w:bCs/>
          <w:sz w:val="48"/>
          <w:szCs w:val="34"/>
        </w:rPr>
        <w:t xml:space="preserve">  </w:t>
      </w:r>
    </w:p>
    <w:p w14:paraId="2C272ED6" w14:textId="57451AE2" w:rsidR="008D35E6" w:rsidRDefault="00B820B1" w:rsidP="00B820B1">
      <w:pPr>
        <w:pStyle w:val="Header"/>
        <w:tabs>
          <w:tab w:val="left" w:pos="2153"/>
        </w:tabs>
        <w:rPr>
          <w:b/>
          <w:bCs/>
          <w:sz w:val="48"/>
          <w:szCs w:val="34"/>
        </w:rPr>
      </w:pPr>
      <w:r>
        <w:rPr>
          <w:b/>
          <w:bCs/>
          <w:sz w:val="48"/>
          <w:szCs w:val="34"/>
        </w:rPr>
        <w:tab/>
        <w:t>Lecturer</w:t>
      </w:r>
      <w:r w:rsidR="00EA6CB2">
        <w:rPr>
          <w:b/>
          <w:bCs/>
          <w:sz w:val="48"/>
          <w:szCs w:val="34"/>
        </w:rPr>
        <w:t xml:space="preserve"> Name: </w:t>
      </w:r>
      <w:r w:rsidR="00182130">
        <w:rPr>
          <w:b/>
          <w:bCs/>
          <w:sz w:val="48"/>
          <w:szCs w:val="34"/>
        </w:rPr>
        <w:t>Xavier Matieni</w:t>
      </w:r>
    </w:p>
    <w:p w14:paraId="763C9E5B" w14:textId="5D99D733" w:rsidR="008D35E6" w:rsidRDefault="00182130" w:rsidP="00182130">
      <w:pPr>
        <w:pStyle w:val="Header"/>
        <w:tabs>
          <w:tab w:val="left" w:pos="2238"/>
        </w:tabs>
        <w:rPr>
          <w:b/>
          <w:bCs/>
          <w:sz w:val="48"/>
          <w:szCs w:val="34"/>
        </w:rPr>
      </w:pPr>
      <w:r>
        <w:rPr>
          <w:b/>
          <w:bCs/>
          <w:sz w:val="48"/>
          <w:szCs w:val="34"/>
        </w:rPr>
        <w:tab/>
        <w:t>Module code :</w:t>
      </w:r>
      <w:r w:rsidR="00F15920">
        <w:rPr>
          <w:b/>
          <w:bCs/>
          <w:sz w:val="48"/>
          <w:szCs w:val="34"/>
        </w:rPr>
        <w:t xml:space="preserve"> LCBB5000</w:t>
      </w:r>
    </w:p>
    <w:p w14:paraId="0E94085D" w14:textId="77777777" w:rsidR="008D35E6" w:rsidRDefault="008D35E6" w:rsidP="008D35E6">
      <w:pPr>
        <w:pStyle w:val="Header"/>
        <w:jc w:val="center"/>
        <w:rPr>
          <w:b/>
          <w:bCs/>
          <w:sz w:val="48"/>
          <w:szCs w:val="34"/>
        </w:rPr>
      </w:pPr>
    </w:p>
    <w:p w14:paraId="6011A2A3" w14:textId="77777777" w:rsidR="008D35E6" w:rsidRDefault="008D35E6" w:rsidP="008D35E6">
      <w:pPr>
        <w:pStyle w:val="Header"/>
        <w:jc w:val="center"/>
        <w:rPr>
          <w:b/>
          <w:bCs/>
          <w:sz w:val="48"/>
          <w:szCs w:val="34"/>
        </w:rPr>
      </w:pPr>
    </w:p>
    <w:p w14:paraId="1F9932AA" w14:textId="77777777" w:rsidR="008D35E6" w:rsidRDefault="008D35E6" w:rsidP="008D35E6">
      <w:pPr>
        <w:pStyle w:val="Header"/>
        <w:jc w:val="center"/>
        <w:rPr>
          <w:b/>
          <w:bCs/>
          <w:sz w:val="48"/>
          <w:szCs w:val="34"/>
        </w:rPr>
      </w:pPr>
    </w:p>
    <w:p w14:paraId="5339695E" w14:textId="77777777" w:rsidR="008D35E6" w:rsidRDefault="008D35E6" w:rsidP="008D35E6">
      <w:pPr>
        <w:pStyle w:val="Header"/>
        <w:jc w:val="center"/>
        <w:rPr>
          <w:b/>
          <w:bCs/>
          <w:sz w:val="48"/>
          <w:szCs w:val="34"/>
        </w:rPr>
      </w:pPr>
    </w:p>
    <w:p w14:paraId="5C8C0B2C" w14:textId="77777777" w:rsidR="008D35E6" w:rsidRDefault="00000000" w:rsidP="008D35E6">
      <w:pPr>
        <w:pStyle w:val="Header"/>
        <w:jc w:val="center"/>
        <w:rPr>
          <w:b/>
          <w:bCs/>
          <w:sz w:val="48"/>
          <w:szCs w:val="34"/>
        </w:rPr>
      </w:pPr>
      <w:r w:rsidRPr="008D35E6">
        <w:rPr>
          <w:b/>
          <w:bCs/>
          <w:sz w:val="48"/>
          <w:szCs w:val="34"/>
        </w:rPr>
        <w:t>Data Handling and Business Intelligence</w:t>
      </w:r>
    </w:p>
    <w:p w14:paraId="03957087" w14:textId="77777777" w:rsidR="008D35E6" w:rsidRDefault="00000000">
      <w:pPr>
        <w:spacing w:line="259" w:lineRule="auto"/>
        <w:jc w:val="left"/>
        <w:rPr>
          <w:b/>
          <w:bCs/>
          <w:sz w:val="48"/>
          <w:szCs w:val="34"/>
        </w:rPr>
      </w:pPr>
      <w:r>
        <w:rPr>
          <w:b/>
          <w:bCs/>
          <w:sz w:val="48"/>
          <w:szCs w:val="34"/>
        </w:rPr>
        <w:br w:type="page"/>
      </w:r>
    </w:p>
    <w:p w14:paraId="170AA0D8" w14:textId="77777777" w:rsidR="008D35E6" w:rsidRDefault="00000000" w:rsidP="008D35E6">
      <w:pPr>
        <w:pStyle w:val="Heading1"/>
      </w:pPr>
      <w:r>
        <w:lastRenderedPageBreak/>
        <w:t>Introduction</w:t>
      </w:r>
    </w:p>
    <w:p w14:paraId="0DC941FC" w14:textId="358FCCFB" w:rsidR="007A166F" w:rsidRDefault="00000000" w:rsidP="008D35E6">
      <w:pPr>
        <w:rPr>
          <w:lang w:bidi="th-TH"/>
        </w:rPr>
      </w:pPr>
      <w:r w:rsidRPr="008D35E6">
        <w:rPr>
          <w:lang w:bidi="th-TH"/>
        </w:rPr>
        <w:t>Data handling and business intelligence are based on the methodical collecting, processing, and analysis of data, which is the essential cornerstone of effective decision-making. Data handling is the painstaking preparation, preservation, and guarantee of data accuracy and availability. Meanwhile, business intelligence gives organisations a competitive edge by using sophisticated analytics and reporting tools to convert unstructured data into insights that can be put to use. Business intelligence enables data-driven plans by utilising advanced algorithms and visualisations, which help organisations recognise patterns, trends, and possibilities for effective implementation.</w:t>
      </w:r>
      <w:r>
        <w:rPr>
          <w:lang w:bidi="th-TH"/>
        </w:rPr>
        <w:t xml:space="preserve"> </w:t>
      </w:r>
      <w:r w:rsidR="001B211D" w:rsidRPr="001B211D">
        <w:rPr>
          <w:lang w:bidi="th-TH"/>
        </w:rPr>
        <w:t xml:space="preserve">The purpose of this post is to shed light on how to properly understand data by using Excel functions sparingly. </w:t>
      </w:r>
      <w:r w:rsidR="002C00BF">
        <w:rPr>
          <w:lang w:bidi="th-TH"/>
        </w:rPr>
        <w:t>Other than this, the report</w:t>
      </w:r>
      <w:r w:rsidR="001B211D" w:rsidRPr="001B211D">
        <w:rPr>
          <w:lang w:bidi="th-TH"/>
        </w:rPr>
        <w:t xml:space="preserve"> will examine the idea of SPSS and examine both its advantages and disadvantages. In addition, the essay will discuss and clarify the fields of data exploration and text mining. To improve understanding, extensive coverage of computations and visual illustrations will be included throughout the speech. Overall, the essay will function as a thorough manual that will navigate through the complexities of data processing and business intelligence. It will demonstrate the useful application of programs like Excel and SPSS as well as techniques like text processing and data mining.</w:t>
      </w:r>
      <w:r w:rsidR="00D43AB3">
        <w:rPr>
          <w:lang w:bidi="th-TH"/>
        </w:rPr>
        <w:t xml:space="preserve"> </w:t>
      </w:r>
    </w:p>
    <w:p w14:paraId="7CF506E8" w14:textId="77777777" w:rsidR="007A166F" w:rsidRDefault="00000000">
      <w:pPr>
        <w:spacing w:line="259" w:lineRule="auto"/>
        <w:jc w:val="left"/>
        <w:rPr>
          <w:lang w:bidi="th-TH"/>
        </w:rPr>
      </w:pPr>
      <w:r>
        <w:rPr>
          <w:lang w:bidi="th-TH"/>
        </w:rPr>
        <w:br w:type="page"/>
      </w:r>
    </w:p>
    <w:p w14:paraId="5F16F27B" w14:textId="77777777" w:rsidR="008D35E6" w:rsidRDefault="00000000" w:rsidP="00F10795">
      <w:pPr>
        <w:pStyle w:val="Heading1"/>
      </w:pPr>
      <w:r>
        <w:lastRenderedPageBreak/>
        <w:t>Discussion</w:t>
      </w:r>
    </w:p>
    <w:p w14:paraId="0E6150CC" w14:textId="77777777" w:rsidR="00593C34" w:rsidRDefault="00000000" w:rsidP="00593C34">
      <w:pPr>
        <w:rPr>
          <w:b/>
          <w:bCs/>
          <w:i/>
          <w:iCs/>
          <w:lang w:bidi="th-TH"/>
        </w:rPr>
      </w:pPr>
      <w:r>
        <w:rPr>
          <w:b/>
          <w:bCs/>
          <w:i/>
          <w:iCs/>
          <w:lang w:bidi="th-TH"/>
        </w:rPr>
        <w:t>Part A</w:t>
      </w:r>
    </w:p>
    <w:p w14:paraId="46655C1B" w14:textId="77777777" w:rsidR="00F10795" w:rsidRDefault="00000000" w:rsidP="00593C34">
      <w:pPr>
        <w:jc w:val="center"/>
        <w:rPr>
          <w:lang w:bidi="th-TH"/>
        </w:rPr>
      </w:pPr>
      <w:r>
        <w:rPr>
          <w:noProof/>
        </w:rPr>
        <w:drawing>
          <wp:inline distT="0" distB="0" distL="0" distR="0" wp14:anchorId="71771BF1" wp14:editId="4FAB13A8">
            <wp:extent cx="4572000" cy="2743200"/>
            <wp:effectExtent l="0" t="0" r="0" b="0"/>
            <wp:docPr id="1220028641" name="Chart 1">
              <a:extLst xmlns:a="http://schemas.openxmlformats.org/drawingml/2006/main">
                <a:ext uri="{FF2B5EF4-FFF2-40B4-BE49-F238E27FC236}">
                  <a16:creationId xmlns:a16="http://schemas.microsoft.com/office/drawing/2014/main" id="{A6CA48D1-6830-2F32-53EE-042428370E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98B41EA" w14:textId="77777777" w:rsidR="00593C34" w:rsidRDefault="00000000" w:rsidP="00593C34">
      <w:pPr>
        <w:jc w:val="center"/>
      </w:pPr>
      <w:r>
        <w:t>Figure: Column graph</w:t>
      </w:r>
    </w:p>
    <w:p w14:paraId="2E6C7A23" w14:textId="77777777" w:rsidR="00593C34" w:rsidRDefault="00000000" w:rsidP="00593C34">
      <w:pPr>
        <w:jc w:val="center"/>
      </w:pPr>
      <w:r>
        <w:t>Source: Self-created</w:t>
      </w:r>
    </w:p>
    <w:p w14:paraId="1296592C" w14:textId="77777777" w:rsidR="00E01D52" w:rsidRPr="00E01D52" w:rsidRDefault="00000000" w:rsidP="00740984">
      <w:pPr>
        <w:rPr>
          <w:b/>
          <w:bCs/>
          <w:i/>
          <w:iCs/>
          <w:lang w:bidi="th-TH"/>
        </w:rPr>
      </w:pPr>
      <w:r>
        <w:rPr>
          <w:b/>
          <w:bCs/>
          <w:i/>
          <w:iCs/>
          <w:lang w:bidi="th-TH"/>
        </w:rPr>
        <w:t xml:space="preserve">Interpretations </w:t>
      </w:r>
    </w:p>
    <w:p w14:paraId="2CE7B943" w14:textId="77777777" w:rsidR="00740984" w:rsidRDefault="00000000" w:rsidP="00740984">
      <w:pPr>
        <w:rPr>
          <w:lang w:bidi="th-TH"/>
        </w:rPr>
      </w:pPr>
      <w:r w:rsidRPr="00975207">
        <w:rPr>
          <w:lang w:bidi="th-TH"/>
        </w:rPr>
        <w:t>The dataset sheds light on hotel rates for the years 2017, 2019, 2020, and 2021, giving readers an idea of how much lodging varied over this time. Bothell (2023) noted that there was a great deal of volatility in the prices in 2017. Values like 159.75 and 200.75 in the dataset imply very high pricing, while instances of 0 and 6 in the dataset may reflect either unrecorded or exceptionally low rates.</w:t>
      </w:r>
      <w:r>
        <w:rPr>
          <w:lang w:bidi="th-TH"/>
        </w:rPr>
        <w:t xml:space="preserve"> </w:t>
      </w:r>
      <w:r w:rsidRPr="00975207">
        <w:rPr>
          <w:lang w:bidi="th-TH"/>
        </w:rPr>
        <w:t>As we go into 2019, the data continues to show price changes, but they are more pronounced. Prominent numbers like as 155, 168.3, and 186.22 demonstrate a variety of pricing patterns. Inconsistent results, like 0, on the other hand, point to possible gaps in the data's capture. 2019 offers a mixed bag of high and low prices, raising the possibility that certain occasions or times of year have an impact on hotel rates.</w:t>
      </w:r>
      <w:r>
        <w:rPr>
          <w:lang w:bidi="th-TH"/>
        </w:rPr>
        <w:t xml:space="preserve"> </w:t>
      </w:r>
      <w:r w:rsidR="00EF1428">
        <w:rPr>
          <w:lang w:bidi="th-TH"/>
        </w:rPr>
        <w:t xml:space="preserve">The temporal analysis highlights how hotel price is </w:t>
      </w:r>
      <w:r w:rsidR="00EF1428">
        <w:rPr>
          <w:lang w:bidi="th-TH"/>
        </w:rPr>
        <w:lastRenderedPageBreak/>
        <w:t>dynamic, with observable trends developing over time. The information offers implications for industry stakeholders and researchers looking to understand the underlying dynamics of pricing changes. It is a useful tool for understanding the complex interplay of elements determining hotel expenses.</w:t>
      </w:r>
      <w:r w:rsidR="00CA7569">
        <w:rPr>
          <w:lang w:bidi="th-TH"/>
        </w:rPr>
        <w:t xml:space="preserve"> </w:t>
      </w:r>
      <w:r w:rsidR="0066589B" w:rsidRPr="0066589B">
        <w:rPr>
          <w:lang w:bidi="th-TH"/>
        </w:rPr>
        <w:t>Values of 1 and 0 indicate a clear decrease in hotel prices in 2020, a year defined by the global COVID-19 pandemic and the significant disruptions faced by the tourism and hospitality industries. The data clearly shows that the pandemic-induced decline in demand resulted in a widespread decrease in hotel rates. Notable anomalies like 215.6, which may not have been impacted by the industry downturn, further complicate this pattern. With numbers like 224.67 and 205 in 2021, there seems to be a price rebound, indicating that demand has increased and travel restrictions have loosened, leading to a revival in the hotel industry.</w:t>
      </w:r>
      <w:r w:rsidR="006A19BC">
        <w:rPr>
          <w:lang w:bidi="th-TH"/>
        </w:rPr>
        <w:t xml:space="preserve"> </w:t>
      </w:r>
      <w:r>
        <w:rPr>
          <w:lang w:bidi="th-TH"/>
        </w:rPr>
        <w:t>The recurrence of values like 0 and 6, however, highlights the need to carefully examine outliers for possible data anomalies and highlights the complex nature of the hotel industry</w:t>
      </w:r>
      <w:r w:rsidR="007F003E">
        <w:rPr>
          <w:lang w:bidi="th-TH"/>
        </w:rPr>
        <w:t>’</w:t>
      </w:r>
      <w:r>
        <w:rPr>
          <w:lang w:bidi="th-TH"/>
        </w:rPr>
        <w:t>s post-pandemic recovery (Bothell, 2023).</w:t>
      </w:r>
    </w:p>
    <w:p w14:paraId="50BB15BB" w14:textId="77777777" w:rsidR="00037925" w:rsidRDefault="00000000" w:rsidP="00037925">
      <w:pPr>
        <w:jc w:val="center"/>
        <w:rPr>
          <w:lang w:bidi="th-TH"/>
        </w:rPr>
      </w:pPr>
      <w:r>
        <w:rPr>
          <w:noProof/>
        </w:rPr>
        <w:drawing>
          <wp:inline distT="0" distB="0" distL="0" distR="0" wp14:anchorId="0177D1EF" wp14:editId="711DE6E6">
            <wp:extent cx="4572000" cy="2743200"/>
            <wp:effectExtent l="0" t="0" r="0" b="0"/>
            <wp:docPr id="320944211" name="Chart 1">
              <a:extLst xmlns:a="http://schemas.openxmlformats.org/drawingml/2006/main">
                <a:ext uri="{FF2B5EF4-FFF2-40B4-BE49-F238E27FC236}">
                  <a16:creationId xmlns:a16="http://schemas.microsoft.com/office/drawing/2014/main" id="{38BBDF9A-1F53-8CA4-F335-E97E7EB211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43D9155" w14:textId="77777777" w:rsidR="00037925" w:rsidRDefault="00000000" w:rsidP="00037925">
      <w:pPr>
        <w:jc w:val="center"/>
        <w:rPr>
          <w:lang w:bidi="th-TH"/>
        </w:rPr>
      </w:pPr>
      <w:r>
        <w:rPr>
          <w:lang w:bidi="th-TH"/>
        </w:rPr>
        <w:t>Figure: Showing the line graph</w:t>
      </w:r>
    </w:p>
    <w:p w14:paraId="38FD4105" w14:textId="77777777" w:rsidR="004D4A7F" w:rsidRDefault="00000000" w:rsidP="00EC43A8">
      <w:pPr>
        <w:jc w:val="center"/>
        <w:rPr>
          <w:lang w:bidi="th-TH"/>
        </w:rPr>
      </w:pPr>
      <w:r>
        <w:rPr>
          <w:lang w:bidi="th-TH"/>
        </w:rPr>
        <w:t xml:space="preserve">Source: Self-created </w:t>
      </w:r>
    </w:p>
    <w:p w14:paraId="66B4402B" w14:textId="77777777" w:rsidR="00E0758B" w:rsidRPr="00E0758B" w:rsidRDefault="00000000" w:rsidP="00A20884">
      <w:pPr>
        <w:rPr>
          <w:b/>
          <w:bCs/>
          <w:i/>
          <w:iCs/>
          <w:lang w:bidi="th-TH"/>
        </w:rPr>
      </w:pPr>
      <w:r>
        <w:rPr>
          <w:b/>
          <w:bCs/>
          <w:i/>
          <w:iCs/>
          <w:lang w:bidi="th-TH"/>
        </w:rPr>
        <w:lastRenderedPageBreak/>
        <w:t xml:space="preserve">Interpretations </w:t>
      </w:r>
    </w:p>
    <w:p w14:paraId="2C0EAC48" w14:textId="77777777" w:rsidR="00A20884" w:rsidRDefault="00000000" w:rsidP="00A20884">
      <w:pPr>
        <w:rPr>
          <w:lang w:bidi="th-TH"/>
        </w:rPr>
      </w:pPr>
      <w:r w:rsidRPr="001443F7">
        <w:rPr>
          <w:lang w:bidi="th-TH"/>
        </w:rPr>
        <w:t xml:space="preserve">The dataset that is being made available includes numbers that represent the years 2019, 2020, and 2021. Every row assigns a number value to a particular year, suggesting a variety of metrics or measures included in the collection (Bowler-Hill and Hernandez, 2023). With a range of numbers from zero to more than 200, the information may contain multiple metrics, like amounts, percentages, or scores, each of which represents a distinct feature. The data for 2019 shows a wide range from </w:t>
      </w:r>
      <w:r w:rsidR="007D3B2D">
        <w:rPr>
          <w:lang w:bidi="th-TH"/>
        </w:rPr>
        <w:t>0</w:t>
      </w:r>
      <w:r w:rsidRPr="001443F7">
        <w:rPr>
          <w:lang w:bidi="th-TH"/>
        </w:rPr>
        <w:t xml:space="preserve"> to 228.33, illustrating the variety of measurements during that year.</w:t>
      </w:r>
      <w:r w:rsidR="005D0080" w:rsidRPr="005D0080">
        <w:t xml:space="preserve"> </w:t>
      </w:r>
      <w:r w:rsidR="005D0080" w:rsidRPr="005D0080">
        <w:rPr>
          <w:lang w:bidi="th-TH"/>
        </w:rPr>
        <w:t>Recurring entries in the dataset are noteworthy since they may indicate flaws in the dataset or numerous observations of the same statistic. This emphasises how crucial it is to carefully examine the data before evaluating it because duplicates could distort the results. Generally, in order to extract significant insights and guarantee the correctness of any further studies or conclusions generated from the dataset, it becomes imperative to understand the nature of these numerical values (Bowler-Hill and Hernandez, 2023).</w:t>
      </w:r>
      <w:r w:rsidR="007D3B2D">
        <w:rPr>
          <w:lang w:bidi="th-TH"/>
        </w:rPr>
        <w:t xml:space="preserve"> </w:t>
      </w:r>
      <w:r w:rsidR="007D6BDF" w:rsidRPr="007D6BDF">
        <w:rPr>
          <w:lang w:bidi="th-TH"/>
        </w:rPr>
        <w:t xml:space="preserve">Although there are a lot of </w:t>
      </w:r>
      <w:r w:rsidR="009369C3">
        <w:rPr>
          <w:lang w:bidi="th-TH"/>
        </w:rPr>
        <w:t>0</w:t>
      </w:r>
      <w:r w:rsidR="007D6BDF" w:rsidRPr="007D6BDF">
        <w:rPr>
          <w:lang w:bidi="th-TH"/>
        </w:rPr>
        <w:t>s, the maximum value of 228.33 may suggest some data are deleted or not given.</w:t>
      </w:r>
      <w:r w:rsidR="009369C3">
        <w:rPr>
          <w:lang w:bidi="th-TH"/>
        </w:rPr>
        <w:t xml:space="preserve"> T</w:t>
      </w:r>
      <w:r w:rsidR="007D6BDF" w:rsidRPr="007D6BDF">
        <w:rPr>
          <w:lang w:bidi="th-TH"/>
        </w:rPr>
        <w:t xml:space="preserve">he 2020 data offers new indicators that range from </w:t>
      </w:r>
      <w:r w:rsidR="009369C3">
        <w:rPr>
          <w:lang w:bidi="th-TH"/>
        </w:rPr>
        <w:t>0</w:t>
      </w:r>
      <w:r w:rsidR="007D6BDF" w:rsidRPr="007D6BDF">
        <w:rPr>
          <w:lang w:bidi="th-TH"/>
        </w:rPr>
        <w:t xml:space="preserve"> to 215.6. Similar to 2019, there are incidents of </w:t>
      </w:r>
      <w:r w:rsidR="009369C3">
        <w:rPr>
          <w:lang w:bidi="th-TH"/>
        </w:rPr>
        <w:t>0</w:t>
      </w:r>
      <w:r w:rsidR="007D6BDF" w:rsidRPr="007D6BDF">
        <w:rPr>
          <w:lang w:bidi="th-TH"/>
        </w:rPr>
        <w:t xml:space="preserve"> and duplicate entries, indicating potential gaps in the dataset. 2020 seems to feature a larger range of metrics and a more varied range of values than 2019. The 2021 data keeps up the downward trajectory of different metrics, with figures ranging from </w:t>
      </w:r>
      <w:r w:rsidR="009369C3">
        <w:rPr>
          <w:lang w:bidi="th-TH"/>
        </w:rPr>
        <w:t>0</w:t>
      </w:r>
      <w:r w:rsidR="007D6BDF" w:rsidRPr="007D6BDF">
        <w:rPr>
          <w:lang w:bidi="th-TH"/>
        </w:rPr>
        <w:t xml:space="preserve"> to 205. Additionally, this year has 0 incidents and repeated entries. </w:t>
      </w:r>
      <w:r w:rsidR="00FE2FF6">
        <w:rPr>
          <w:lang w:bidi="th-TH"/>
        </w:rPr>
        <w:t xml:space="preserve"> </w:t>
      </w:r>
      <w:r w:rsidR="00C42B8F">
        <w:rPr>
          <w:lang w:bidi="th-TH"/>
        </w:rPr>
        <w:t>However, there are</w:t>
      </w:r>
      <w:r w:rsidR="0090453A" w:rsidRPr="0090453A">
        <w:rPr>
          <w:lang w:bidi="th-TH"/>
        </w:rPr>
        <w:t xml:space="preserve"> some measures, like 0 and 75, that appear annually for all three, suggesting the possibility of a shared number or signal.</w:t>
      </w:r>
      <w:r w:rsidR="009369C3">
        <w:rPr>
          <w:lang w:bidi="th-TH"/>
        </w:rPr>
        <w:t xml:space="preserve"> </w:t>
      </w:r>
    </w:p>
    <w:p w14:paraId="49F406E5" w14:textId="77777777" w:rsidR="00743715" w:rsidRDefault="00000000" w:rsidP="00EC43A8">
      <w:pPr>
        <w:jc w:val="center"/>
        <w:rPr>
          <w:lang w:bidi="th-TH"/>
        </w:rPr>
      </w:pPr>
      <w:r>
        <w:rPr>
          <w:noProof/>
        </w:rPr>
        <w:lastRenderedPageBreak/>
        <w:drawing>
          <wp:inline distT="0" distB="0" distL="0" distR="0" wp14:anchorId="6CBD6828" wp14:editId="233001B7">
            <wp:extent cx="4572000" cy="2743200"/>
            <wp:effectExtent l="0" t="0" r="0" b="0"/>
            <wp:docPr id="1027165582" name="Chart 1">
              <a:extLst xmlns:a="http://schemas.openxmlformats.org/drawingml/2006/main">
                <a:ext uri="{FF2B5EF4-FFF2-40B4-BE49-F238E27FC236}">
                  <a16:creationId xmlns:a16="http://schemas.microsoft.com/office/drawing/2014/main" id="{90CEF91B-B18B-D6EB-C23E-ADEAD9E9E7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1B956A2" w14:textId="77777777" w:rsidR="00EC43A8" w:rsidRDefault="00000000" w:rsidP="00EC43A8">
      <w:pPr>
        <w:jc w:val="center"/>
        <w:rPr>
          <w:lang w:bidi="th-TH"/>
        </w:rPr>
      </w:pPr>
      <w:r>
        <w:rPr>
          <w:lang w:bidi="th-TH"/>
        </w:rPr>
        <w:t>Figure: Showing the line graph</w:t>
      </w:r>
    </w:p>
    <w:p w14:paraId="2E3D5DB8" w14:textId="77777777" w:rsidR="00EC43A8" w:rsidRDefault="00000000" w:rsidP="00EC43A8">
      <w:pPr>
        <w:jc w:val="center"/>
        <w:rPr>
          <w:lang w:bidi="th-TH"/>
        </w:rPr>
      </w:pPr>
      <w:r>
        <w:rPr>
          <w:lang w:bidi="th-TH"/>
        </w:rPr>
        <w:t xml:space="preserve">Source: Self-created </w:t>
      </w:r>
    </w:p>
    <w:p w14:paraId="03411FA8" w14:textId="77777777" w:rsidR="00C679F6" w:rsidRDefault="00000000" w:rsidP="00EC43A8">
      <w:pPr>
        <w:rPr>
          <w:b/>
          <w:bCs/>
          <w:i/>
          <w:iCs/>
          <w:lang w:bidi="th-TH"/>
        </w:rPr>
      </w:pPr>
      <w:r>
        <w:rPr>
          <w:b/>
          <w:bCs/>
          <w:i/>
          <w:iCs/>
          <w:lang w:bidi="th-TH"/>
        </w:rPr>
        <w:t>Interpretations</w:t>
      </w:r>
    </w:p>
    <w:p w14:paraId="74683244" w14:textId="77777777" w:rsidR="001718E6" w:rsidRDefault="00000000" w:rsidP="001A0CFB">
      <w:r w:rsidRPr="005E537E">
        <w:rPr>
          <w:lang w:bidi="th-TH"/>
        </w:rPr>
        <w:t>The pivot table, a crucial tool in spreadsheet applications like Microsoft Excel, is essential for processing data effectively. Users</w:t>
      </w:r>
      <w:r>
        <w:rPr>
          <w:lang w:bidi="th-TH"/>
        </w:rPr>
        <w:t>’</w:t>
      </w:r>
      <w:r w:rsidRPr="005E537E">
        <w:rPr>
          <w:lang w:bidi="th-TH"/>
        </w:rPr>
        <w:t xml:space="preserve"> ability to quickly extract insightful information is improved by its power to condense, analyse, and present big datasets in an organised manner (Gallahar, 2023). Users may quickly identify patterns and trends because of pivot tables</w:t>
      </w:r>
      <w:r>
        <w:rPr>
          <w:lang w:bidi="th-TH"/>
        </w:rPr>
        <w:t>’</w:t>
      </w:r>
      <w:r w:rsidRPr="005E537E">
        <w:rPr>
          <w:lang w:bidi="th-TH"/>
        </w:rPr>
        <w:t xml:space="preserve"> dynamic and interactive character, which also allows them to rearrange and classify data depending on a variety of criteria, including counts, percentages, averages, sums, and counts.</w:t>
      </w:r>
      <w:r w:rsidR="00EC43A8" w:rsidRPr="005E537E">
        <w:t xml:space="preserve"> </w:t>
      </w:r>
      <w:r w:rsidR="00ED3E14" w:rsidRPr="00ED3E14">
        <w:t>Pivot tables are effective tools for dynamic analysis because of their drag-and-drop feature, which also helps create intelligent reports that are essential for making decisions. They are essential in decomposing intricate datasets into smaller, more digestible chunks. The offered dataset provides insight into hotel occupancy patterns throughout the chosen years by expressing the arrival distribution over several years as percentages.</w:t>
      </w:r>
      <w:r w:rsidR="003969AB">
        <w:t xml:space="preserve"> </w:t>
      </w:r>
      <w:r w:rsidR="00581299">
        <w:t xml:space="preserve">Analysing the percentages provides information about the influx and outflow of </w:t>
      </w:r>
      <w:r w:rsidR="00581299">
        <w:lastRenderedPageBreak/>
        <w:t>people. Arrivals made up 15.29% of the total in 2017, indicating a possibly moderate intake of tourists (Gallahar, 2023). Simultaneously, the hotel rate dataset that was previously examined showed notable variance devoid of any clear pattern, suggesting a variety of pricing causes or possible seasonality.</w:t>
      </w:r>
      <w:r w:rsidR="0065598A">
        <w:t xml:space="preserve"> </w:t>
      </w:r>
      <w:r w:rsidR="003E1D5C">
        <w:t>In 2018, there was an incredible increase in arrivals, making up an incredible 83.09% of the total. This significant growth begs interesting questions regarding what factors</w:t>
      </w:r>
      <w:r w:rsidR="004B4500">
        <w:t xml:space="preserve"> </w:t>
      </w:r>
      <w:r w:rsidR="003E1D5C">
        <w:t>such as increased travel, business activity, or events</w:t>
      </w:r>
      <w:r w:rsidR="004B4500">
        <w:t xml:space="preserve"> </w:t>
      </w:r>
      <w:r w:rsidR="003E1D5C">
        <w:t>are driving this demand. Therefore, it makes sense to look into how hotel rates changed in response to this increase.</w:t>
      </w:r>
      <w:r w:rsidR="00522751" w:rsidRPr="00522751">
        <w:t xml:space="preserve"> The comparison of arrival percentages and hotel rate fluctuations provides opportunities to investigate the relationship between price dynamics and demand, providing insightful information about the complex hospitality sector (Gallahar, 2023).</w:t>
      </w:r>
      <w:r w:rsidR="00087409">
        <w:t xml:space="preserve"> </w:t>
      </w:r>
      <w:r w:rsidR="00341F1D" w:rsidRPr="00341F1D">
        <w:t xml:space="preserve">The economic theory of supply and demand predicts that hotel prices would generally rise when supply cannot meet demand. The following years, 2019, 2020, and 2021, have substantially smaller percentages of total arrivals, ranging from 0.50% to 0.58%. These low percentages can be the result of the COVID-19 pandemic and other outside factors that are affecting travel behaviour. In 2020, when the pandemic negatively impacted travel globally, hotel prices, as reported in the previous dataset, experienced a significant decrease (Hertens </w:t>
      </w:r>
      <w:r w:rsidR="00341F1D" w:rsidRPr="00087409">
        <w:rPr>
          <w:i/>
          <w:iCs/>
        </w:rPr>
        <w:t>et al</w:t>
      </w:r>
      <w:r w:rsidR="00341F1D" w:rsidRPr="00341F1D">
        <w:t>., 2023). The year</w:t>
      </w:r>
      <w:r w:rsidR="00087409">
        <w:t>’</w:t>
      </w:r>
      <w:r w:rsidR="00341F1D" w:rsidRPr="00341F1D">
        <w:t>s low arrival rate fits the overall pattern of decreased travel throughout the pandemic</w:t>
      </w:r>
      <w:r w:rsidR="004E46C4">
        <w:t>.</w:t>
      </w:r>
      <w:r w:rsidR="0032041F">
        <w:t xml:space="preserve"> </w:t>
      </w:r>
      <w:r w:rsidR="006427BE" w:rsidRPr="006427BE">
        <w:t xml:space="preserve">Even though there was a slight increase from 2020, the arrivals percentage in 2021 remained quite small at 0.54%. The costs of hotels may have increased as a result of the gradual recovery, but percentages alone cannot provide a whole picture of pricing behaviour. The arrival % statistics illustrate notable variations in demand over time. The year 2018 saw a significant increase in arrivals, which likely helped hotel prices. However, fewer visitors in the subsequent years might have led to more stable or even dropping price trends, especially during the economic crisis brought on by the pandemic in 2020 (Hertens </w:t>
      </w:r>
      <w:r w:rsidR="006427BE" w:rsidRPr="00087409">
        <w:rPr>
          <w:i/>
          <w:iCs/>
        </w:rPr>
        <w:t>et al</w:t>
      </w:r>
      <w:r w:rsidR="006427BE" w:rsidRPr="006427BE">
        <w:t xml:space="preserve">., 2023). </w:t>
      </w:r>
      <w:r w:rsidR="0032041F">
        <w:t xml:space="preserve"> </w:t>
      </w:r>
      <w:r w:rsidR="00FC4C61" w:rsidRPr="00FC4C61">
        <w:t xml:space="preserve">By looking at both travel numbers </w:t>
      </w:r>
      <w:r w:rsidR="00FC4C61" w:rsidRPr="00FC4C61">
        <w:lastRenderedPageBreak/>
        <w:t>and hotel rates, one can gain a comprehensive understanding of the complex connection that exists between desire and supply in the restaurant and hotel industry over the selected years.</w:t>
      </w:r>
      <w:r w:rsidR="00075854">
        <w:t xml:space="preserve"> </w:t>
      </w:r>
    </w:p>
    <w:p w14:paraId="5C5D4A6C" w14:textId="77777777" w:rsidR="001718E6" w:rsidRDefault="00000000">
      <w:pPr>
        <w:spacing w:line="259" w:lineRule="auto"/>
        <w:jc w:val="left"/>
      </w:pPr>
      <w:r>
        <w:br w:type="page"/>
      </w:r>
    </w:p>
    <w:p w14:paraId="01FCFB69" w14:textId="77777777" w:rsidR="001718E6" w:rsidRDefault="00000000" w:rsidP="001718E6">
      <w:pPr>
        <w:rPr>
          <w:b/>
          <w:bCs/>
          <w:i/>
          <w:iCs/>
        </w:rPr>
      </w:pPr>
      <w:r>
        <w:rPr>
          <w:b/>
          <w:bCs/>
          <w:i/>
          <w:iCs/>
        </w:rPr>
        <w:lastRenderedPageBreak/>
        <w:t>Part B</w:t>
      </w:r>
    </w:p>
    <w:p w14:paraId="6145AD61" w14:textId="77777777" w:rsidR="001718E6" w:rsidRDefault="00000000" w:rsidP="001718E6">
      <w:pPr>
        <w:rPr>
          <w:i/>
          <w:iCs/>
          <w:u w:val="single"/>
        </w:rPr>
      </w:pPr>
      <w:r w:rsidRPr="001718E6">
        <w:rPr>
          <w:i/>
          <w:iCs/>
          <w:u w:val="single"/>
        </w:rPr>
        <w:t>Using interpretation, the number of male and female pupils at the school</w:t>
      </w:r>
    </w:p>
    <w:p w14:paraId="491951F5" w14:textId="77777777" w:rsidR="001718E6" w:rsidRDefault="00000000" w:rsidP="001718E6">
      <w:r>
        <w:t>Formula for identifying the male =COUNTIF(B:B,"Male")</w:t>
      </w:r>
    </w:p>
    <w:p w14:paraId="6B6A0E2D" w14:textId="77777777" w:rsidR="001718E6" w:rsidRDefault="00000000" w:rsidP="001718E6">
      <w:r>
        <w:t>Formula for identifying the female = =COUNTIF(B:B,"female")</w:t>
      </w:r>
    </w:p>
    <w:p w14:paraId="5EAEBCF2" w14:textId="77777777" w:rsidR="001718E6" w:rsidRDefault="00000000" w:rsidP="001718E6">
      <w:r w:rsidRPr="00EE2CD2">
        <w:t>There are 1077 occurrences of males and 1056 instances of women among the 2133 entries that have been submitted, indicating a fairly balanced gender distribution. Iannone and Thoma (2023) draw attention to this result, which implies that the dataset most likely consists of a random sample of individuals. The dataset is made more difficult by the almost equal distribution of men and women, which may have implications for sociology, marketing, and demographics, among other disciplines. In these fields, analysing gender distributions becomes essential for providing insights into biases and trends as well as for guiding decision-making processes that take gender into account.</w:t>
      </w:r>
      <w:r w:rsidR="00A97AE0">
        <w:t xml:space="preserve"> </w:t>
      </w:r>
      <w:r w:rsidR="00F40BB8" w:rsidRPr="00F40BB8">
        <w:t>Understanding the subtleties of the dataset</w:t>
      </w:r>
      <w:r w:rsidR="004A6710">
        <w:t>’</w:t>
      </w:r>
      <w:r w:rsidR="00F40BB8" w:rsidRPr="00F40BB8">
        <w:t>s gender representation serves as a useful lens through which to extract significant patterns and consequences that cut across several disciplines.</w:t>
      </w:r>
    </w:p>
    <w:p w14:paraId="70937FA1" w14:textId="77777777" w:rsidR="00B94E6D" w:rsidRPr="009C6D6F" w:rsidRDefault="00000000" w:rsidP="001718E6">
      <w:pPr>
        <w:rPr>
          <w:i/>
          <w:iCs/>
        </w:rPr>
      </w:pPr>
      <w:r w:rsidRPr="009C6D6F">
        <w:rPr>
          <w:i/>
          <w:iCs/>
        </w:rPr>
        <w:t>Calculating the number of pupils who are eligible for free or reduced lunch and those who are not</w:t>
      </w:r>
    </w:p>
    <w:p w14:paraId="65943D05" w14:textId="77777777" w:rsidR="00D06A12" w:rsidRDefault="00000000" w:rsidP="00D06A12">
      <w:r>
        <w:t>Formula for identifying the qualify = =COUNTIF(D:D,"Qualifies for reduced/free lunch")</w:t>
      </w:r>
    </w:p>
    <w:p w14:paraId="02F5DAA3" w14:textId="77777777" w:rsidR="00D06A12" w:rsidRDefault="00000000" w:rsidP="00D06A12">
      <w:r>
        <w:t>Formula for identifying the does not qualify= =COUNTIF(D:D,"does not qualify")</w:t>
      </w:r>
    </w:p>
    <w:p w14:paraId="2CD14F52" w14:textId="77777777" w:rsidR="00EE1FBA" w:rsidRDefault="00000000" w:rsidP="00EE1FBA">
      <w:r w:rsidRPr="001F22F5">
        <w:t>A thorough examination of the data shows that, out of the total number of children enrolled at ANKYI school, 918 are qualified for reduced or free meals, whereas 1215 are not (Iannone and Thoma, 2023). This distinction highlights a socioeconomic factor that is important to the school community. A sizeable portion of the student body may be facing financial difficulties, as evidenced by the 918 pupils who qualify for free or reduced lunches.</w:t>
      </w:r>
      <w:r>
        <w:t xml:space="preserve"> </w:t>
      </w:r>
      <w:r w:rsidR="00402B26">
        <w:t xml:space="preserve">This data turns into an </w:t>
      </w:r>
      <w:r w:rsidR="00402B26">
        <w:lastRenderedPageBreak/>
        <w:t>invaluable tool for the school, providing a picture of the financial situation of its pupils. Acknowledging the financial limitations encountered by these pupils, the educational institution can execute focused interventions and provide assistance. This could entail offering more resources, making sure that nourishing meals are available, and creating a welcoming learning atmosphere for individuals who are eligible.</w:t>
      </w:r>
      <w:r w:rsidRPr="00EE1FBA">
        <w:t xml:space="preserve"> </w:t>
      </w:r>
      <w:r>
        <w:t>On the other hand, the 1215 children in the school who are not qualified for free or reduced lunches are a comparatively affluent group (Iannone and Thoma, 2023). Due to this demographic diversity, resource allocation and educational programme adaptation must take a more sophisticated approach. Comprehending the economic heterogeneity of the student body enables the university to implement inclusive initiatives and attend to the unique needs of different student populations.</w:t>
      </w:r>
      <w:r w:rsidR="001A787D">
        <w:t xml:space="preserve"> </w:t>
      </w:r>
      <w:r w:rsidR="005A03D5" w:rsidRPr="005A03D5">
        <w:t>Excel</w:t>
      </w:r>
      <w:r w:rsidR="004C13D7">
        <w:t>’</w:t>
      </w:r>
      <w:r w:rsidR="005A03D5" w:rsidRPr="005A03D5">
        <w:t xml:space="preserve">s Countif function was a very useful tool for this research. Countif is a </w:t>
      </w:r>
      <w:r w:rsidR="00A21758" w:rsidRPr="005A03D5">
        <w:t>well-regarded</w:t>
      </w:r>
      <w:r w:rsidR="005A03D5" w:rsidRPr="005A03D5">
        <w:t xml:space="preserve"> tool for accurately and efficiently counting cells according to preset criteria. It is especially useful for handling large datasets. Its capacity to precisely count the number of kids who qualify for free or reduced lunches, as well as those who do not, simplifies the process of deriving important conclusions. Consequently, this makes it easier for administrators and teachers to quickly spot patterns and trends in the data (Jelen, 2023).</w:t>
      </w:r>
      <w:r w:rsidR="00A21758">
        <w:t xml:space="preserve"> </w:t>
      </w:r>
    </w:p>
    <w:p w14:paraId="74DCC7CB" w14:textId="77777777" w:rsidR="005F79A3" w:rsidRDefault="00000000" w:rsidP="00111412">
      <w:pPr>
        <w:rPr>
          <w:i/>
          <w:iCs/>
        </w:rPr>
      </w:pPr>
      <w:r w:rsidRPr="005F79A3">
        <w:rPr>
          <w:i/>
          <w:iCs/>
        </w:rPr>
        <w:t>Finding the average and median number of kids who are eligible for reduced or free lunches and those who are not</w:t>
      </w:r>
    </w:p>
    <w:p w14:paraId="54E9A0C5" w14:textId="77777777" w:rsidR="00111412" w:rsidRDefault="00000000" w:rsidP="00111412">
      <w:r>
        <w:t>Formula used for calculating mean = =AVERAGE(E3:E4)</w:t>
      </w:r>
    </w:p>
    <w:p w14:paraId="21C9804F" w14:textId="77777777" w:rsidR="00111412" w:rsidRDefault="00000000" w:rsidP="00111412">
      <w:r>
        <w:t>Formula used for calculating median = =MEDIAN(E3:E4)</w:t>
      </w:r>
    </w:p>
    <w:p w14:paraId="4A4C08E7" w14:textId="77777777" w:rsidR="00AE6CAB" w:rsidRDefault="00000000" w:rsidP="00AE6CAB">
      <w:r w:rsidRPr="00C0473C">
        <w:t>According to Jelen</w:t>
      </w:r>
      <w:r w:rsidR="00D75383">
        <w:t>’</w:t>
      </w:r>
      <w:r w:rsidRPr="00C0473C">
        <w:t xml:space="preserve">s (2023) statistical analysis of the student body at ANKYI, the mean and median estimations for the number of students who qualify for free or reduced lunch stand at 1066.5. Important details regarding the distribution and major patterns within the school </w:t>
      </w:r>
      <w:r w:rsidRPr="00C0473C">
        <w:lastRenderedPageBreak/>
        <w:t>community are revealed by this statistical insight.</w:t>
      </w:r>
      <w:r w:rsidR="00D75383">
        <w:t xml:space="preserve"> </w:t>
      </w:r>
      <w:r w:rsidR="006A5C78" w:rsidRPr="006A5C78">
        <w:t>The number 1066.5 is the mean, or average, that is obtained by deducting the total number of values from the sum of all values. According to this mean, there are, on average, 1066.5 kids in each category</w:t>
      </w:r>
      <w:r w:rsidR="00460E8D">
        <w:t xml:space="preserve"> </w:t>
      </w:r>
      <w:r w:rsidR="006A5C78" w:rsidRPr="006A5C78">
        <w:t>those who are not eligible for free or reduced lunch and those who are</w:t>
      </w:r>
      <w:r w:rsidR="00460E8D">
        <w:t xml:space="preserve">. </w:t>
      </w:r>
      <w:r w:rsidR="006A5C78" w:rsidRPr="006A5C78">
        <w:t>Although extreme values have an impact on the mean, it serves as a focal point for the distribution, emphasising the general equilibrium among students.</w:t>
      </w:r>
      <w:r w:rsidR="00460E8D">
        <w:t xml:space="preserve"> </w:t>
      </w:r>
      <w:r w:rsidR="002669EA" w:rsidRPr="002669EA">
        <w:t>Conversely, 1066.5 is also found to be the median, which is the middle number in a dataset sorted from least to biggest. It is implied by this median score that the distribution of students above and below this cutoff is equal. The median provides a more reliable representation of the centre trend since it is resistant to extreme values. A slightly symmetric distribution is suggested by the equality of the mean and median values for the two groups, which shows a balanced distribution of students in each category.</w:t>
      </w:r>
      <w:r w:rsidR="00FB6513">
        <w:t xml:space="preserve"> </w:t>
      </w:r>
      <w:r>
        <w:t xml:space="preserve">A fair and equal distribution between pupils able to receive lunch subsidies and those students who are not is highlighted by the commonality of the median and mean at 1066.5 (Joo </w:t>
      </w:r>
      <w:r w:rsidRPr="0090662D">
        <w:rPr>
          <w:i/>
          <w:iCs/>
        </w:rPr>
        <w:t>et al</w:t>
      </w:r>
      <w:r>
        <w:t>., 2023). This equilibrium suggests that pupils in both categories are fairly represented, illustrating the complex demographic makeup of the student body. Comprehending these key patterns facilitates the assessment of the pupils</w:t>
      </w:r>
      <w:r w:rsidR="00564147">
        <w:t>’</w:t>
      </w:r>
      <w:r>
        <w:t xml:space="preserve"> overall socioeconomic situation, implying that a significant fraction, on average, are eligible for free or reduced-cost lunches, while the rest are not. Reflecting the fair distribution seen in the mean as well as the median, this comprehensive statistical analysis gives the educational institution</w:t>
      </w:r>
      <w:r w:rsidR="004617C8">
        <w:t>’</w:t>
      </w:r>
      <w:r>
        <w:t>s admin helpful findings that allow them to successfully adapt programmes and funding.</w:t>
      </w:r>
    </w:p>
    <w:p w14:paraId="61FE5437" w14:textId="77777777" w:rsidR="00B304E3" w:rsidRDefault="00000000" w:rsidP="00B304E3">
      <w:r w:rsidRPr="00F00DA4">
        <w:t xml:space="preserve">Employing data mining and techniques for text mining is commonly recognised as an essential element of contemporary corporate strategy, given its capacity to provide insightful information, streamline decision-making processes, and enhance overall operational efficacy across various industries (Joo </w:t>
      </w:r>
      <w:r w:rsidRPr="00621F8F">
        <w:rPr>
          <w:i/>
          <w:iCs/>
        </w:rPr>
        <w:t>et al</w:t>
      </w:r>
      <w:r w:rsidRPr="00F00DA4">
        <w:t xml:space="preserve">., 2023). Association rule mining is one of the five components of data mining. </w:t>
      </w:r>
      <w:r w:rsidRPr="00F00DA4">
        <w:lastRenderedPageBreak/>
        <w:t xml:space="preserve">In the retail sector, rule mining for associations can be used to identify patterns in customer purchasing behaviour. In order to increase sales, businesses might strategically place identical items in-store or online by determining what products customers most frequently spend together. </w:t>
      </w:r>
      <w:r w:rsidR="00DC17A8" w:rsidRPr="00DC17A8">
        <w:t>Credit scoring is the next step. Credit scoring categorization algorithms use historical data to predict a borrower</w:t>
      </w:r>
      <w:r w:rsidR="001150EA">
        <w:t>’</w:t>
      </w:r>
      <w:r w:rsidR="00DC17A8" w:rsidRPr="00DC17A8">
        <w:t xml:space="preserve">s likelihood of defaulting on a loan. These specific lenders aid in risk assessments and educated lending decisions (Joo </w:t>
      </w:r>
      <w:r w:rsidR="00DC17A8" w:rsidRPr="001150EA">
        <w:rPr>
          <w:i/>
          <w:iCs/>
        </w:rPr>
        <w:t>et al</w:t>
      </w:r>
      <w:r w:rsidR="00DC17A8" w:rsidRPr="00DC17A8">
        <w:t xml:space="preserve">., 2023). Social networking sites use a technique called clustering to put users in groups according to common interests or routines. Platforms that target certain user groups with recommendations, advertisements, or customised content can boost user engagement. Manufacturers can predict equipment failure based on a number of variables, such as usage, temperature, and pressure, by using regression analysis. Businesses may minimise downtime and prevent important breakdowns by planning maintenance in advance. </w:t>
      </w:r>
      <w:r w:rsidR="002674A1" w:rsidRPr="002674A1">
        <w:t>Cybersecurity anomaly detection algorithms are capable of identifying unusual network traffic patterns that may indicate a cyberattack. This technique helps organisations swiftly identify and handle security threats.</w:t>
      </w:r>
    </w:p>
    <w:p w14:paraId="74F1BB10" w14:textId="77777777" w:rsidR="00570A85" w:rsidRDefault="00000000" w:rsidP="00570A85">
      <w:r w:rsidRPr="00F60F2A">
        <w:t xml:space="preserve">As stated by Sena and Ariyachandra (2023), text mining is one of the five main components that make up the entire business environment. These components are further discussed in the next section. Social media corporations utilise sentiment analysis as a technique to find out what people think about products, brands, and events. Companies can use this information to gauge public opinion and modify their marketing strategies accordingly. In healthcare, NER is used to extract and categorise data from medical records, such as patient names, conditions, and treatment plans. This improves data arrangement and accessibility. </w:t>
      </w:r>
      <w:r w:rsidR="007551B9" w:rsidRPr="007551B9">
        <w:t xml:space="preserve">News organisations employ a technique called topic modelling to automatically categorise news articles into groups such as politics, sports, and finance. This facilitates effective content organisation and retrieval. Customer support teams use </w:t>
      </w:r>
      <w:r w:rsidR="007551B9" w:rsidRPr="007551B9">
        <w:lastRenderedPageBreak/>
        <w:t xml:space="preserve">text categorising to mechanically categorise and schedule help requests by considering what kind of client questions. This improves customer satisfaction and speeds up reaction times. retrieval techniques are used by search engines to deliver relevant search results by accounting for factors such as user behaviour, resource following, and term quality. Customers will receive the most pertinent information quickly </w:t>
      </w:r>
      <w:r w:rsidR="00C65C77">
        <w:t>due</w:t>
      </w:r>
      <w:r w:rsidR="007551B9" w:rsidRPr="007551B9">
        <w:t xml:space="preserve"> to this promise.</w:t>
      </w:r>
      <w:r w:rsidR="0067421E">
        <w:t xml:space="preserve"> </w:t>
      </w:r>
    </w:p>
    <w:tbl>
      <w:tblPr>
        <w:tblStyle w:val="TableGrid"/>
        <w:tblW w:w="0" w:type="auto"/>
        <w:tblLook w:val="04A0" w:firstRow="1" w:lastRow="0" w:firstColumn="1" w:lastColumn="0" w:noHBand="0" w:noVBand="1"/>
      </w:tblPr>
      <w:tblGrid>
        <w:gridCol w:w="4675"/>
        <w:gridCol w:w="4675"/>
      </w:tblGrid>
      <w:tr w:rsidR="00BE1E6B" w14:paraId="03F26B3E" w14:textId="77777777" w:rsidTr="00C65C77">
        <w:tc>
          <w:tcPr>
            <w:tcW w:w="9350" w:type="dxa"/>
            <w:gridSpan w:val="2"/>
            <w:tcBorders>
              <w:top w:val="single" w:sz="4" w:space="0" w:color="auto"/>
              <w:left w:val="single" w:sz="4" w:space="0" w:color="auto"/>
              <w:bottom w:val="single" w:sz="4" w:space="0" w:color="auto"/>
              <w:right w:val="single" w:sz="4" w:space="0" w:color="auto"/>
            </w:tcBorders>
            <w:hideMark/>
          </w:tcPr>
          <w:p w14:paraId="78A24307" w14:textId="77777777" w:rsidR="00C65C77" w:rsidRDefault="00000000">
            <w:pPr>
              <w:jc w:val="center"/>
              <w:rPr>
                <w:b/>
                <w:bCs/>
                <w:i/>
                <w:iCs/>
                <w:lang w:val="en-US" w:bidi="th-TH"/>
              </w:rPr>
            </w:pPr>
            <w:r>
              <w:rPr>
                <w:b/>
                <w:bCs/>
                <w:i/>
                <w:iCs/>
                <w:lang w:val="en-US" w:bidi="th-TH"/>
              </w:rPr>
              <w:t>SPSS</w:t>
            </w:r>
          </w:p>
        </w:tc>
      </w:tr>
      <w:tr w:rsidR="00BE1E6B" w14:paraId="2A592480" w14:textId="77777777" w:rsidTr="00C65C77">
        <w:tc>
          <w:tcPr>
            <w:tcW w:w="4675" w:type="dxa"/>
            <w:tcBorders>
              <w:top w:val="single" w:sz="4" w:space="0" w:color="auto"/>
              <w:left w:val="single" w:sz="4" w:space="0" w:color="auto"/>
              <w:bottom w:val="single" w:sz="4" w:space="0" w:color="auto"/>
              <w:right w:val="single" w:sz="4" w:space="0" w:color="auto"/>
            </w:tcBorders>
            <w:hideMark/>
          </w:tcPr>
          <w:p w14:paraId="0608DB34" w14:textId="77777777" w:rsidR="00C65C77" w:rsidRDefault="00000000">
            <w:pPr>
              <w:jc w:val="center"/>
              <w:rPr>
                <w:i/>
                <w:iCs/>
                <w:lang w:val="en-US" w:bidi="th-TH"/>
              </w:rPr>
            </w:pPr>
            <w:r>
              <w:rPr>
                <w:i/>
                <w:iCs/>
                <w:lang w:val="en-US" w:bidi="th-TH"/>
              </w:rPr>
              <w:t>Advantages</w:t>
            </w:r>
          </w:p>
        </w:tc>
        <w:tc>
          <w:tcPr>
            <w:tcW w:w="4675" w:type="dxa"/>
            <w:tcBorders>
              <w:top w:val="single" w:sz="4" w:space="0" w:color="auto"/>
              <w:left w:val="single" w:sz="4" w:space="0" w:color="auto"/>
              <w:bottom w:val="single" w:sz="4" w:space="0" w:color="auto"/>
              <w:right w:val="single" w:sz="4" w:space="0" w:color="auto"/>
            </w:tcBorders>
            <w:hideMark/>
          </w:tcPr>
          <w:p w14:paraId="1CCE1DC7" w14:textId="77777777" w:rsidR="00C65C77" w:rsidRDefault="00000000">
            <w:pPr>
              <w:jc w:val="center"/>
              <w:rPr>
                <w:i/>
                <w:iCs/>
                <w:lang w:val="en-US" w:bidi="th-TH"/>
              </w:rPr>
            </w:pPr>
            <w:r>
              <w:rPr>
                <w:i/>
                <w:iCs/>
                <w:lang w:val="en-US" w:bidi="th-TH"/>
              </w:rPr>
              <w:t>Disadvantages</w:t>
            </w:r>
          </w:p>
        </w:tc>
      </w:tr>
      <w:tr w:rsidR="00BE1E6B" w14:paraId="40603647" w14:textId="77777777" w:rsidTr="00C65C77">
        <w:tc>
          <w:tcPr>
            <w:tcW w:w="4675" w:type="dxa"/>
            <w:tcBorders>
              <w:top w:val="single" w:sz="4" w:space="0" w:color="auto"/>
              <w:left w:val="single" w:sz="4" w:space="0" w:color="auto"/>
              <w:bottom w:val="single" w:sz="4" w:space="0" w:color="auto"/>
              <w:right w:val="single" w:sz="4" w:space="0" w:color="auto"/>
            </w:tcBorders>
            <w:hideMark/>
          </w:tcPr>
          <w:p w14:paraId="38DA07BC" w14:textId="77777777" w:rsidR="00445858" w:rsidRDefault="00000000" w:rsidP="002003E5">
            <w:pPr>
              <w:rPr>
                <w:lang w:val="en-US" w:bidi="th-TH"/>
              </w:rPr>
            </w:pPr>
            <w:r>
              <w:rPr>
                <w:lang w:val="en-US" w:bidi="th-TH"/>
              </w:rPr>
              <w:t>1.</w:t>
            </w:r>
            <w:r w:rsidR="00C65C77">
              <w:rPr>
                <w:lang w:val="en-US" w:bidi="th-TH"/>
              </w:rPr>
              <w:t xml:space="preserve"> </w:t>
            </w:r>
            <w:r w:rsidR="0003633B" w:rsidRPr="0003633B">
              <w:rPr>
                <w:lang w:val="en-US" w:bidi="th-TH"/>
              </w:rPr>
              <w:t xml:space="preserve">Strong analysis and information representation options are included in SPSS (Sylvia </w:t>
            </w:r>
            <w:r w:rsidR="0003633B" w:rsidRPr="00956C18">
              <w:rPr>
                <w:i/>
                <w:iCs/>
                <w:lang w:val="en-US" w:bidi="th-TH"/>
              </w:rPr>
              <w:t>et al</w:t>
            </w:r>
            <w:r w:rsidR="0003633B" w:rsidRPr="0003633B">
              <w:rPr>
                <w:lang w:val="en-US" w:bidi="th-TH"/>
              </w:rPr>
              <w:t>., 2023). Researchers may quickly and efficiently create charts, graphs, and tables of data with the software. This function is useful when reporting findings to parties. For instance, SPSS might create visually appealing graphs that reflect the patterns and tastes of customers in an empirical research project.</w:t>
            </w:r>
          </w:p>
          <w:p w14:paraId="1F678AD8" w14:textId="77777777" w:rsidR="00C65C77" w:rsidRDefault="00000000" w:rsidP="002003E5">
            <w:pPr>
              <w:rPr>
                <w:shd w:val="clear" w:color="auto" w:fill="FFFFFF"/>
                <w:lang w:val="en-US" w:bidi="th-TH"/>
              </w:rPr>
            </w:pPr>
            <w:r>
              <w:rPr>
                <w:lang w:val="en-US" w:bidi="th-TH"/>
              </w:rPr>
              <w:t xml:space="preserve">2. </w:t>
            </w:r>
            <w:r w:rsidR="00B876EE" w:rsidRPr="00B876EE">
              <w:rPr>
                <w:lang w:val="en-US" w:bidi="th-TH"/>
              </w:rPr>
              <w:t xml:space="preserve">With its ability to handle, process, and clean up large amounts of data, SPSS is a great tool for data management. Researchers can easily recode variables, choose scenarios, and compute new variables. In </w:t>
            </w:r>
            <w:r w:rsidR="00AE52D7" w:rsidRPr="00B876EE">
              <w:rPr>
                <w:lang w:val="en-US" w:bidi="th-TH"/>
              </w:rPr>
              <w:t>longitudinal research</w:t>
            </w:r>
            <w:r w:rsidR="00B876EE" w:rsidRPr="00B876EE">
              <w:rPr>
                <w:lang w:val="en-US" w:bidi="th-TH"/>
              </w:rPr>
              <w:t xml:space="preserve"> monitoring academic achievement, </w:t>
            </w:r>
            <w:r w:rsidR="00B876EE" w:rsidRPr="00B876EE">
              <w:rPr>
                <w:lang w:val="en-US" w:bidi="th-TH"/>
              </w:rPr>
              <w:lastRenderedPageBreak/>
              <w:t xml:space="preserve">SPSS can manage and modify data efficiently to assess trends over time (Sylvia </w:t>
            </w:r>
            <w:r w:rsidR="00B876EE" w:rsidRPr="00F269BA">
              <w:rPr>
                <w:i/>
                <w:iCs/>
                <w:lang w:val="en-US" w:bidi="th-TH"/>
              </w:rPr>
              <w:t>et al</w:t>
            </w:r>
            <w:r w:rsidR="00B876EE" w:rsidRPr="00B876EE">
              <w:rPr>
                <w:lang w:val="en-US" w:bidi="th-TH"/>
              </w:rPr>
              <w:t>., 2023).</w:t>
            </w:r>
          </w:p>
        </w:tc>
        <w:tc>
          <w:tcPr>
            <w:tcW w:w="4675" w:type="dxa"/>
            <w:tcBorders>
              <w:top w:val="single" w:sz="4" w:space="0" w:color="auto"/>
              <w:left w:val="single" w:sz="4" w:space="0" w:color="auto"/>
              <w:bottom w:val="single" w:sz="4" w:space="0" w:color="auto"/>
              <w:right w:val="single" w:sz="4" w:space="0" w:color="auto"/>
            </w:tcBorders>
          </w:tcPr>
          <w:p w14:paraId="62464840" w14:textId="77777777" w:rsidR="00C65C77" w:rsidRDefault="00000000">
            <w:pPr>
              <w:rPr>
                <w:lang w:val="en-US" w:bidi="th-TH"/>
              </w:rPr>
            </w:pPr>
            <w:r>
              <w:rPr>
                <w:lang w:val="en-US" w:bidi="th-TH"/>
              </w:rPr>
              <w:lastRenderedPageBreak/>
              <w:t xml:space="preserve">1. </w:t>
            </w:r>
            <w:r w:rsidR="000710B9" w:rsidRPr="000710B9">
              <w:rPr>
                <w:lang w:val="en-US" w:bidi="th-TH"/>
              </w:rPr>
              <w:t>The learning curve for SPSS can be difficult, especially for individuals who are not accustomed to using statistical software (Sena and Ariyachandra, 2023). For novices, navigating through the numerous options and comprehending the syntax required for a particular analysis may be challenging. There may be difficulties with this learning curve, particularly for those who are not very experienced in statistics.</w:t>
            </w:r>
          </w:p>
          <w:p w14:paraId="3D4E998A" w14:textId="77777777" w:rsidR="00C65C77" w:rsidRPr="00F269BA" w:rsidRDefault="00000000">
            <w:pPr>
              <w:rPr>
                <w:lang w:val="en-US" w:bidi="th-TH"/>
              </w:rPr>
            </w:pPr>
            <w:r>
              <w:rPr>
                <w:lang w:val="en-US" w:bidi="th-TH"/>
              </w:rPr>
              <w:t xml:space="preserve">2. </w:t>
            </w:r>
            <w:r w:rsidR="002B0943" w:rsidRPr="002B0943">
              <w:rPr>
                <w:lang w:val="en-US" w:bidi="th-TH"/>
              </w:rPr>
              <w:t>Since SPSS is a commercial program, licencing it can be costly, especially for small firms or lone researchers on a tight budget. This price feature may prevent those who cannot afford the licensing fees from using the programme.</w:t>
            </w:r>
          </w:p>
          <w:p w14:paraId="0B651841" w14:textId="77777777" w:rsidR="00C65C77" w:rsidRDefault="00C65C77">
            <w:pPr>
              <w:rPr>
                <w:lang w:val="en-US" w:bidi="th-TH"/>
              </w:rPr>
            </w:pPr>
          </w:p>
        </w:tc>
      </w:tr>
    </w:tbl>
    <w:p w14:paraId="460F1244" w14:textId="77777777" w:rsidR="00C65C77" w:rsidRDefault="00C65C77" w:rsidP="00C65C77">
      <w:pPr>
        <w:rPr>
          <w:lang w:val="en-US"/>
        </w:rPr>
      </w:pPr>
    </w:p>
    <w:tbl>
      <w:tblPr>
        <w:tblStyle w:val="TableGrid"/>
        <w:tblW w:w="0" w:type="auto"/>
        <w:tblLook w:val="04A0" w:firstRow="1" w:lastRow="0" w:firstColumn="1" w:lastColumn="0" w:noHBand="0" w:noVBand="1"/>
      </w:tblPr>
      <w:tblGrid>
        <w:gridCol w:w="4675"/>
        <w:gridCol w:w="4675"/>
      </w:tblGrid>
      <w:tr w:rsidR="00BE1E6B" w14:paraId="6E9424BC" w14:textId="77777777" w:rsidTr="00C65C77">
        <w:tc>
          <w:tcPr>
            <w:tcW w:w="9350" w:type="dxa"/>
            <w:gridSpan w:val="2"/>
            <w:tcBorders>
              <w:top w:val="single" w:sz="4" w:space="0" w:color="auto"/>
              <w:left w:val="single" w:sz="4" w:space="0" w:color="auto"/>
              <w:bottom w:val="single" w:sz="4" w:space="0" w:color="auto"/>
              <w:right w:val="single" w:sz="4" w:space="0" w:color="auto"/>
            </w:tcBorders>
            <w:hideMark/>
          </w:tcPr>
          <w:p w14:paraId="4B3C97B0" w14:textId="77777777" w:rsidR="00C65C77" w:rsidRDefault="00000000">
            <w:pPr>
              <w:jc w:val="center"/>
              <w:rPr>
                <w:b/>
                <w:bCs/>
                <w:i/>
                <w:iCs/>
                <w:lang w:val="en-US" w:bidi="th-TH"/>
              </w:rPr>
            </w:pPr>
            <w:r>
              <w:rPr>
                <w:b/>
                <w:bCs/>
                <w:i/>
                <w:iCs/>
                <w:lang w:val="en-US" w:bidi="th-TH"/>
              </w:rPr>
              <w:t>Excel</w:t>
            </w:r>
          </w:p>
        </w:tc>
      </w:tr>
      <w:tr w:rsidR="00BE1E6B" w14:paraId="61D3B68C" w14:textId="77777777" w:rsidTr="00C65C77">
        <w:tc>
          <w:tcPr>
            <w:tcW w:w="4675" w:type="dxa"/>
            <w:tcBorders>
              <w:top w:val="single" w:sz="4" w:space="0" w:color="auto"/>
              <w:left w:val="single" w:sz="4" w:space="0" w:color="auto"/>
              <w:bottom w:val="single" w:sz="4" w:space="0" w:color="auto"/>
              <w:right w:val="single" w:sz="4" w:space="0" w:color="auto"/>
            </w:tcBorders>
            <w:hideMark/>
          </w:tcPr>
          <w:p w14:paraId="44522C6B" w14:textId="77777777" w:rsidR="00C65C77" w:rsidRDefault="00000000">
            <w:pPr>
              <w:jc w:val="center"/>
              <w:rPr>
                <w:i/>
                <w:iCs/>
                <w:lang w:val="en-US" w:bidi="th-TH"/>
              </w:rPr>
            </w:pPr>
            <w:r>
              <w:rPr>
                <w:i/>
                <w:iCs/>
                <w:lang w:val="en-US" w:bidi="th-TH"/>
              </w:rPr>
              <w:t>Advantages</w:t>
            </w:r>
          </w:p>
        </w:tc>
        <w:tc>
          <w:tcPr>
            <w:tcW w:w="4675" w:type="dxa"/>
            <w:tcBorders>
              <w:top w:val="single" w:sz="4" w:space="0" w:color="auto"/>
              <w:left w:val="single" w:sz="4" w:space="0" w:color="auto"/>
              <w:bottom w:val="single" w:sz="4" w:space="0" w:color="auto"/>
              <w:right w:val="single" w:sz="4" w:space="0" w:color="auto"/>
            </w:tcBorders>
            <w:hideMark/>
          </w:tcPr>
          <w:p w14:paraId="1F7EE2E9" w14:textId="77777777" w:rsidR="00C65C77" w:rsidRDefault="00000000">
            <w:pPr>
              <w:jc w:val="center"/>
              <w:rPr>
                <w:i/>
                <w:iCs/>
                <w:lang w:val="en-US" w:bidi="th-TH"/>
              </w:rPr>
            </w:pPr>
            <w:r>
              <w:rPr>
                <w:i/>
                <w:iCs/>
                <w:lang w:val="en-US" w:bidi="th-TH"/>
              </w:rPr>
              <w:t>Disadvantages</w:t>
            </w:r>
          </w:p>
        </w:tc>
      </w:tr>
      <w:tr w:rsidR="00BE1E6B" w14:paraId="02807009" w14:textId="77777777" w:rsidTr="00C65C77">
        <w:tc>
          <w:tcPr>
            <w:tcW w:w="4675" w:type="dxa"/>
            <w:tcBorders>
              <w:top w:val="single" w:sz="4" w:space="0" w:color="auto"/>
              <w:left w:val="single" w:sz="4" w:space="0" w:color="auto"/>
              <w:bottom w:val="single" w:sz="4" w:space="0" w:color="auto"/>
              <w:right w:val="single" w:sz="4" w:space="0" w:color="auto"/>
            </w:tcBorders>
          </w:tcPr>
          <w:p w14:paraId="120EF1A7" w14:textId="77777777" w:rsidR="00C65C77" w:rsidRDefault="00000000">
            <w:pPr>
              <w:rPr>
                <w:lang w:val="en-US" w:bidi="th-TH"/>
              </w:rPr>
            </w:pPr>
            <w:r>
              <w:rPr>
                <w:lang w:val="en-US" w:bidi="th-TH"/>
              </w:rPr>
              <w:t>1.</w:t>
            </w:r>
            <w:r>
              <w:rPr>
                <w:lang w:bidi="th-TH"/>
              </w:rPr>
              <w:t xml:space="preserve"> </w:t>
            </w:r>
            <w:r>
              <w:rPr>
                <w:lang w:val="en-US" w:bidi="th-TH"/>
              </w:rPr>
              <w:t>Excel is generally accessible and well-known to most users. Since it is pre-installed on the majority of computers, both individuals and organisations can simply access it. This ubiquity makes data entry and manipulation simple and fast.</w:t>
            </w:r>
          </w:p>
          <w:p w14:paraId="62595082" w14:textId="77777777" w:rsidR="00C65C77" w:rsidRDefault="00000000">
            <w:pPr>
              <w:rPr>
                <w:lang w:bidi="th-TH"/>
              </w:rPr>
            </w:pPr>
            <w:r>
              <w:rPr>
                <w:lang w:val="en-US" w:bidi="th-TH"/>
              </w:rPr>
              <w:t>2.</w:t>
            </w:r>
            <w:r>
              <w:rPr>
                <w:lang w:bidi="th-TH"/>
              </w:rPr>
              <w:t xml:space="preserve"> </w:t>
            </w:r>
            <w:r>
              <w:rPr>
                <w:lang w:val="en-US" w:bidi="th-TH"/>
              </w:rPr>
              <w:t xml:space="preserve">Beyond statistical analysis, Excel is a flexible tool. It can be used for many different things, including basic data analysis, project management, and budgeting. Financial modelling in a company setting can be done with Excel, enabling users to produce dynamic financial forecasts </w:t>
            </w:r>
            <w:r>
              <w:rPr>
                <w:shd w:val="clear" w:color="auto" w:fill="FFFFFF"/>
                <w:lang w:bidi="th-TH"/>
              </w:rPr>
              <w:t>(Ashtiani and Raahmei, 2023)</w:t>
            </w:r>
            <w:r>
              <w:rPr>
                <w:lang w:val="en-US" w:bidi="th-TH"/>
              </w:rPr>
              <w:t>.</w:t>
            </w:r>
          </w:p>
          <w:p w14:paraId="177277F3" w14:textId="77777777" w:rsidR="00C65C77" w:rsidRDefault="00C65C77" w:rsidP="0061122E">
            <w:pPr>
              <w:rPr>
                <w:lang w:val="en-US" w:bidi="th-TH"/>
              </w:rPr>
            </w:pPr>
          </w:p>
        </w:tc>
        <w:tc>
          <w:tcPr>
            <w:tcW w:w="4675" w:type="dxa"/>
            <w:tcBorders>
              <w:top w:val="single" w:sz="4" w:space="0" w:color="auto"/>
              <w:left w:val="single" w:sz="4" w:space="0" w:color="auto"/>
              <w:bottom w:val="single" w:sz="4" w:space="0" w:color="auto"/>
              <w:right w:val="single" w:sz="4" w:space="0" w:color="auto"/>
            </w:tcBorders>
            <w:hideMark/>
          </w:tcPr>
          <w:p w14:paraId="1D706E43" w14:textId="77777777" w:rsidR="00C65C77" w:rsidRDefault="00000000">
            <w:pPr>
              <w:rPr>
                <w:lang w:bidi="th-TH"/>
              </w:rPr>
            </w:pPr>
            <w:r>
              <w:rPr>
                <w:lang w:val="en-US" w:bidi="th-TH"/>
              </w:rPr>
              <w:t xml:space="preserve">1. </w:t>
            </w:r>
            <w:r w:rsidR="004841F8" w:rsidRPr="004841F8">
              <w:rPr>
                <w:lang w:val="en-US" w:bidi="th-TH"/>
              </w:rPr>
              <w:t>Even though Excel has basic statistical procedures, it lacks the sophisticated statistical analysis features of professional software like SPSS (Ashtiani and Raahmei, 2023). Complex research in Excel, including multilevel linear modelling and the modelling of structural equations, could be challenging or impossible to complete.</w:t>
            </w:r>
          </w:p>
          <w:p w14:paraId="7D42B0AA" w14:textId="77777777" w:rsidR="00C65C77" w:rsidRDefault="00000000">
            <w:pPr>
              <w:rPr>
                <w:lang w:bidi="th-TH"/>
              </w:rPr>
            </w:pPr>
            <w:r>
              <w:rPr>
                <w:lang w:val="en-US" w:bidi="th-TH"/>
              </w:rPr>
              <w:t xml:space="preserve">2. </w:t>
            </w:r>
            <w:r w:rsidR="005F698D" w:rsidRPr="005F698D">
              <w:rPr>
                <w:lang w:val="en-US" w:bidi="th-TH"/>
              </w:rPr>
              <w:t xml:space="preserve">Excel worksheets can make it challenging to replicate experiments precisely, which is essential to the scientific method. </w:t>
            </w:r>
            <w:r w:rsidR="00D40C12">
              <w:rPr>
                <w:lang w:val="en-US" w:bidi="th-TH"/>
              </w:rPr>
              <w:t>It is</w:t>
            </w:r>
            <w:r w:rsidR="005F698D" w:rsidRPr="005F698D">
              <w:rPr>
                <w:lang w:val="en-US" w:bidi="th-TH"/>
              </w:rPr>
              <w:t xml:space="preserve"> critical to make sure analyses are reproducible by others, particularly when conducting joint research or disseminating findings (Ashtiani and Raahmei, 2023). Replication may be more challenging with Excel due to its opaque data conversion and algorithmic design.</w:t>
            </w:r>
          </w:p>
        </w:tc>
      </w:tr>
    </w:tbl>
    <w:p w14:paraId="1456A991" w14:textId="77777777" w:rsidR="00AA5397" w:rsidRPr="00C65C77" w:rsidRDefault="00AA5397" w:rsidP="00570A85">
      <w:pPr>
        <w:rPr>
          <w:lang w:val="en-US"/>
        </w:rPr>
      </w:pPr>
    </w:p>
    <w:p w14:paraId="5BB3DE2B" w14:textId="0FC262C5" w:rsidR="001B7E13" w:rsidRDefault="00000000" w:rsidP="001B7E13">
      <w:pPr>
        <w:pStyle w:val="Heading1"/>
      </w:pPr>
      <w:r>
        <w:lastRenderedPageBreak/>
        <w:t>Conclusion</w:t>
      </w:r>
      <w:r w:rsidR="00EA5DCD">
        <w:t xml:space="preserve"> </w:t>
      </w:r>
    </w:p>
    <w:p w14:paraId="1E5EF4D6" w14:textId="77777777" w:rsidR="002674A1" w:rsidRPr="00570A85" w:rsidRDefault="00000000" w:rsidP="00B304E3">
      <w:pPr>
        <w:rPr>
          <w:shd w:val="clear" w:color="auto" w:fill="FFFFFF"/>
        </w:rPr>
      </w:pPr>
      <w:r w:rsidRPr="000D1D4B">
        <w:rPr>
          <w:shd w:val="clear" w:color="auto" w:fill="FFFFFF"/>
        </w:rPr>
        <w:t>Through sophisticated algorithms and visualisations, business intelligence enables organisations to identify patterns, trends, and opportunities, promoting data-driven plans for successful execution. This essay has explained how to use Excel functions correctly to extract particular meanings from data. It has also investigated the fields of data mining and text mining and examined the idea of SPSS, describing its advantages and disadvantages. In the essay, each calculation and graphical depiction has been carefully covered. Business intelligence facilitates strategic decision-making by enabling a thorough comprehension of data through the use of sophisticated algorithms and visualisations.</w:t>
      </w:r>
      <w:r w:rsidR="00194543">
        <w:rPr>
          <w:shd w:val="clear" w:color="auto" w:fill="FFFFFF"/>
        </w:rPr>
        <w:t xml:space="preserve"> </w:t>
      </w:r>
      <w:r w:rsidR="004D7054" w:rsidRPr="004D7054">
        <w:rPr>
          <w:shd w:val="clear" w:color="auto" w:fill="FFFFFF"/>
        </w:rPr>
        <w:t>The article functions as a thorough manual, guiding readers through the complexities of data handling and business intelligence. It also provides insights into data mining and text mining and demonstrates the useful application of programs like Excel and SPSS.</w:t>
      </w:r>
      <w:r w:rsidR="0077019B">
        <w:rPr>
          <w:shd w:val="clear" w:color="auto" w:fill="FFFFFF"/>
        </w:rPr>
        <w:t xml:space="preserve"> </w:t>
      </w:r>
      <w:r w:rsidR="000A0B1C">
        <w:rPr>
          <w:shd w:val="clear" w:color="auto" w:fill="FFFFFF"/>
        </w:rPr>
        <w:t xml:space="preserve"> </w:t>
      </w:r>
    </w:p>
    <w:p w14:paraId="3BE367B8" w14:textId="77777777" w:rsidR="0090662D" w:rsidRPr="00B304E3" w:rsidRDefault="0090662D" w:rsidP="00AE6CAB">
      <w:pPr>
        <w:rPr>
          <w:lang w:val="en-US"/>
        </w:rPr>
      </w:pPr>
    </w:p>
    <w:p w14:paraId="1E0EDD9B" w14:textId="77777777" w:rsidR="00AE6CAB" w:rsidRDefault="00AE6CAB" w:rsidP="00AE6CAB"/>
    <w:p w14:paraId="3B583C08" w14:textId="77777777" w:rsidR="00AE6CAB" w:rsidRDefault="00AE6CAB" w:rsidP="00AE6CAB"/>
    <w:p w14:paraId="4303C5A4" w14:textId="77777777" w:rsidR="00AE6CAB" w:rsidRDefault="00AE6CAB" w:rsidP="00AE6CAB"/>
    <w:p w14:paraId="02C1EA0A" w14:textId="77777777" w:rsidR="00AE6CAB" w:rsidRDefault="00AE6CAB" w:rsidP="00AE6CAB"/>
    <w:p w14:paraId="643C43B8" w14:textId="77777777" w:rsidR="00AE6CAB" w:rsidRDefault="00AE6CAB" w:rsidP="00AE6CAB"/>
    <w:p w14:paraId="76FECBA0" w14:textId="77777777" w:rsidR="00111412" w:rsidRDefault="00111412" w:rsidP="00EE1FBA"/>
    <w:p w14:paraId="27D6AB8B" w14:textId="77777777" w:rsidR="00CF6672" w:rsidRDefault="00CF6672" w:rsidP="00EE1FBA"/>
    <w:p w14:paraId="717FB50E" w14:textId="77777777" w:rsidR="00EE1FBA" w:rsidRDefault="00EE1FBA" w:rsidP="00EE1FBA"/>
    <w:p w14:paraId="4B51D7D1" w14:textId="77777777" w:rsidR="00F65850" w:rsidRDefault="00000000" w:rsidP="00F65850">
      <w:pPr>
        <w:pStyle w:val="Heading1"/>
      </w:pPr>
      <w:r>
        <w:lastRenderedPageBreak/>
        <w:t xml:space="preserve">References </w:t>
      </w:r>
    </w:p>
    <w:p w14:paraId="1DD13EFA" w14:textId="77777777" w:rsidR="00F65850" w:rsidRDefault="00000000" w:rsidP="00F65850">
      <w:pPr>
        <w:rPr>
          <w:shd w:val="clear" w:color="auto" w:fill="FFFFFF"/>
        </w:rPr>
      </w:pPr>
      <w:r>
        <w:rPr>
          <w:shd w:val="clear" w:color="auto" w:fill="FFFFFF"/>
        </w:rPr>
        <w:t>Ashtiani, M.N. and Raahmei, B., (2023). News-based intelligent prediction of financial markets using text mining and machine learning: A systematic literature review. </w:t>
      </w:r>
      <w:r>
        <w:rPr>
          <w:i/>
          <w:iCs/>
          <w:shd w:val="clear" w:color="auto" w:fill="FFFFFF"/>
        </w:rPr>
        <w:t>Expert Systems with Applications</w:t>
      </w:r>
      <w:r>
        <w:rPr>
          <w:shd w:val="clear" w:color="auto" w:fill="FFFFFF"/>
        </w:rPr>
        <w:t>, p.119509.</w:t>
      </w:r>
    </w:p>
    <w:p w14:paraId="7F69AC52" w14:textId="77777777" w:rsidR="00F65850" w:rsidRDefault="00000000" w:rsidP="00F65850">
      <w:pPr>
        <w:rPr>
          <w:shd w:val="clear" w:color="auto" w:fill="FFFFFF"/>
        </w:rPr>
      </w:pPr>
      <w:r>
        <w:rPr>
          <w:shd w:val="clear" w:color="auto" w:fill="FFFFFF"/>
        </w:rPr>
        <w:t>Bothell, L.J., (2023). Summary Tables. </w:t>
      </w:r>
      <w:r>
        <w:rPr>
          <w:i/>
          <w:iCs/>
          <w:shd w:val="clear" w:color="auto" w:fill="FFFFFF"/>
        </w:rPr>
        <w:t>MS Excel Bootcamp</w:t>
      </w:r>
      <w:r>
        <w:rPr>
          <w:shd w:val="clear" w:color="auto" w:fill="FFFFFF"/>
        </w:rPr>
        <w:t>.</w:t>
      </w:r>
    </w:p>
    <w:p w14:paraId="1404CC23" w14:textId="77777777" w:rsidR="00F65850" w:rsidRDefault="00000000" w:rsidP="00F65850">
      <w:pPr>
        <w:rPr>
          <w:lang w:bidi="th-TH"/>
        </w:rPr>
      </w:pPr>
      <w:r>
        <w:rPr>
          <w:shd w:val="clear" w:color="auto" w:fill="FFFFFF"/>
        </w:rPr>
        <w:t>Bowler-Hill, S. and Hernandez, G.E., (2023). 24/7 Library: Using OpenRefineand Excel to Visualize Large Data Sets.</w:t>
      </w:r>
    </w:p>
    <w:p w14:paraId="1718286B" w14:textId="77777777" w:rsidR="00F65850" w:rsidRDefault="00000000" w:rsidP="00F65850">
      <w:pPr>
        <w:rPr>
          <w:shd w:val="clear" w:color="auto" w:fill="FFFFFF"/>
        </w:rPr>
      </w:pPr>
      <w:r>
        <w:rPr>
          <w:shd w:val="clear" w:color="auto" w:fill="FFFFFF"/>
        </w:rPr>
        <w:t>Gallahar, T., (2023). Business Information: Excel Dashboard.</w:t>
      </w:r>
    </w:p>
    <w:p w14:paraId="14D35236" w14:textId="77777777" w:rsidR="00F65850" w:rsidRDefault="00000000" w:rsidP="00F65850">
      <w:pPr>
        <w:rPr>
          <w:shd w:val="clear" w:color="auto" w:fill="FFFFFF"/>
        </w:rPr>
      </w:pPr>
      <w:r>
        <w:rPr>
          <w:shd w:val="clear" w:color="auto" w:fill="FFFFFF"/>
        </w:rPr>
        <w:t>Hertens, L., Van Cauwenbergh, C., Van den Broeck, F., Sambaer, J., Van Haute, M., Hertens, P., De Baere, E., Accou, G., Nerinckx, F. and Leroy, B.P., 2023. Results of Belgian patients with RPE65-related inherited retinal dystrophy 6 months after treatment with voretigene neparvovec. </w:t>
      </w:r>
      <w:r>
        <w:rPr>
          <w:i/>
          <w:iCs/>
          <w:shd w:val="clear" w:color="auto" w:fill="FFFFFF"/>
        </w:rPr>
        <w:t>Investigative Ophthalmology &amp; Visual Science</w:t>
      </w:r>
      <w:r>
        <w:rPr>
          <w:shd w:val="clear" w:color="auto" w:fill="FFFFFF"/>
        </w:rPr>
        <w:t>, </w:t>
      </w:r>
      <w:r>
        <w:rPr>
          <w:i/>
          <w:iCs/>
          <w:shd w:val="clear" w:color="auto" w:fill="FFFFFF"/>
        </w:rPr>
        <w:t>64</w:t>
      </w:r>
      <w:r>
        <w:rPr>
          <w:shd w:val="clear" w:color="auto" w:fill="FFFFFF"/>
        </w:rPr>
        <w:t>(8), pp.762-762.</w:t>
      </w:r>
    </w:p>
    <w:p w14:paraId="0A05A415" w14:textId="77777777" w:rsidR="00F65850" w:rsidRDefault="00000000" w:rsidP="00F65850">
      <w:pPr>
        <w:rPr>
          <w:shd w:val="clear" w:color="auto" w:fill="FFFFFF"/>
        </w:rPr>
      </w:pPr>
      <w:r>
        <w:rPr>
          <w:shd w:val="clear" w:color="auto" w:fill="FFFFFF"/>
        </w:rPr>
        <w:t>Iannone, P. and Thoma, A., (2023). Interactive theorem provers for university mathematics: an exploratory study of students’ perceptions. </w:t>
      </w:r>
      <w:r>
        <w:rPr>
          <w:i/>
          <w:iCs/>
          <w:shd w:val="clear" w:color="auto" w:fill="FFFFFF"/>
        </w:rPr>
        <w:t>International Journal of Mathematical Education in Science and Technology</w:t>
      </w:r>
      <w:r>
        <w:rPr>
          <w:shd w:val="clear" w:color="auto" w:fill="FFFFFF"/>
        </w:rPr>
        <w:t>, pp.1-23.</w:t>
      </w:r>
    </w:p>
    <w:p w14:paraId="15747187" w14:textId="77777777" w:rsidR="00F65850" w:rsidRDefault="00000000" w:rsidP="00F65850">
      <w:pPr>
        <w:rPr>
          <w:shd w:val="clear" w:color="auto" w:fill="FFFFFF"/>
        </w:rPr>
      </w:pPr>
      <w:r>
        <w:rPr>
          <w:shd w:val="clear" w:color="auto" w:fill="FFFFFF"/>
        </w:rPr>
        <w:t>Jelen, B., (2023). MAX MINUS MIN IN A PIVOT TABLE. </w:t>
      </w:r>
      <w:r>
        <w:rPr>
          <w:i/>
          <w:iCs/>
          <w:shd w:val="clear" w:color="auto" w:fill="FFFFFF"/>
        </w:rPr>
        <w:t>Strategic Finance</w:t>
      </w:r>
      <w:r>
        <w:rPr>
          <w:shd w:val="clear" w:color="auto" w:fill="FFFFFF"/>
        </w:rPr>
        <w:t>, </w:t>
      </w:r>
      <w:r>
        <w:rPr>
          <w:i/>
          <w:iCs/>
          <w:shd w:val="clear" w:color="auto" w:fill="FFFFFF"/>
        </w:rPr>
        <w:t>104</w:t>
      </w:r>
      <w:r>
        <w:rPr>
          <w:shd w:val="clear" w:color="auto" w:fill="FFFFFF"/>
        </w:rPr>
        <w:t>(8), pp.54-55.</w:t>
      </w:r>
    </w:p>
    <w:p w14:paraId="2F340EDA" w14:textId="77777777" w:rsidR="00F65850" w:rsidRDefault="00000000" w:rsidP="00F65850">
      <w:pPr>
        <w:rPr>
          <w:shd w:val="clear" w:color="auto" w:fill="FFFFFF"/>
        </w:rPr>
      </w:pPr>
      <w:r>
        <w:rPr>
          <w:shd w:val="clear" w:color="auto" w:fill="FFFFFF"/>
        </w:rPr>
        <w:t>Joo, S.R., Kim, J.C. and Kim, S.J., (2023). Establishment of Data Mining-Based Public Education Administrative Work Automation System and Student Activity Analysis. </w:t>
      </w:r>
      <w:r>
        <w:rPr>
          <w:i/>
          <w:iCs/>
          <w:shd w:val="clear" w:color="auto" w:fill="FFFFFF"/>
        </w:rPr>
        <w:t>Journal of Autonomous Intelligence</w:t>
      </w:r>
      <w:r>
        <w:rPr>
          <w:shd w:val="clear" w:color="auto" w:fill="FFFFFF"/>
        </w:rPr>
        <w:t>, </w:t>
      </w:r>
      <w:r>
        <w:rPr>
          <w:i/>
          <w:iCs/>
          <w:shd w:val="clear" w:color="auto" w:fill="FFFFFF"/>
        </w:rPr>
        <w:t>6</w:t>
      </w:r>
      <w:r>
        <w:rPr>
          <w:shd w:val="clear" w:color="auto" w:fill="FFFFFF"/>
        </w:rPr>
        <w:t>(3).</w:t>
      </w:r>
    </w:p>
    <w:p w14:paraId="7B2A8D9E" w14:textId="77777777" w:rsidR="00F65850" w:rsidRDefault="00000000" w:rsidP="00F65850">
      <w:pPr>
        <w:rPr>
          <w:shd w:val="clear" w:color="auto" w:fill="FFFFFF"/>
        </w:rPr>
      </w:pPr>
      <w:r>
        <w:rPr>
          <w:shd w:val="clear" w:color="auto" w:fill="FFFFFF"/>
        </w:rPr>
        <w:t>Sena, M.P. and Ariyachandra, T., (2023). An Examination of Tableau as a Supplement to Excel to Enhance Data Literacy Skills. </w:t>
      </w:r>
      <w:r>
        <w:rPr>
          <w:i/>
          <w:iCs/>
          <w:shd w:val="clear" w:color="auto" w:fill="FFFFFF"/>
        </w:rPr>
        <w:t>Information Systems Education Journal</w:t>
      </w:r>
      <w:r>
        <w:rPr>
          <w:shd w:val="clear" w:color="auto" w:fill="FFFFFF"/>
        </w:rPr>
        <w:t>, </w:t>
      </w:r>
      <w:r>
        <w:rPr>
          <w:i/>
          <w:iCs/>
          <w:shd w:val="clear" w:color="auto" w:fill="FFFFFF"/>
        </w:rPr>
        <w:t>21</w:t>
      </w:r>
      <w:r>
        <w:rPr>
          <w:shd w:val="clear" w:color="auto" w:fill="FFFFFF"/>
        </w:rPr>
        <w:t>(4).</w:t>
      </w:r>
    </w:p>
    <w:p w14:paraId="2A87F118" w14:textId="5B5DA1BA" w:rsidR="00F65850" w:rsidRDefault="00000000" w:rsidP="00F65850">
      <w:pPr>
        <w:rPr>
          <w:shd w:val="clear" w:color="auto" w:fill="FFFFFF"/>
        </w:rPr>
      </w:pPr>
      <w:r>
        <w:rPr>
          <w:shd w:val="clear" w:color="auto" w:fill="FFFFFF"/>
        </w:rPr>
        <w:lastRenderedPageBreak/>
        <w:t>Sylvia, M.L. and Terhaar, M.F. eds., (2023). </w:t>
      </w:r>
      <w:r>
        <w:rPr>
          <w:i/>
          <w:iCs/>
          <w:shd w:val="clear" w:color="auto" w:fill="FFFFFF"/>
        </w:rPr>
        <w:t>Clinical analytics and data management for the DNP</w:t>
      </w:r>
      <w:r>
        <w:rPr>
          <w:shd w:val="clear" w:color="auto" w:fill="FFFFFF"/>
        </w:rPr>
        <w:t>. Springer Publishing Company.</w:t>
      </w:r>
      <w:r w:rsidR="005D5FCB">
        <w:rPr>
          <w:shd w:val="clear" w:color="auto" w:fill="FFFFFF"/>
        </w:rPr>
        <w:t xml:space="preserve"> </w:t>
      </w:r>
    </w:p>
    <w:p w14:paraId="3C38E196" w14:textId="77777777" w:rsidR="00402B26" w:rsidRDefault="00402B26" w:rsidP="00402B26"/>
    <w:p w14:paraId="6D331659" w14:textId="77777777" w:rsidR="00402B26" w:rsidRDefault="00402B26" w:rsidP="00402B26"/>
    <w:p w14:paraId="5BED52E2" w14:textId="77777777" w:rsidR="00A93F01" w:rsidRDefault="00A93F01" w:rsidP="00D06A12"/>
    <w:p w14:paraId="3A91A05D" w14:textId="77777777" w:rsidR="006C56EF" w:rsidRDefault="006C56EF" w:rsidP="00D06A12"/>
    <w:p w14:paraId="7FC1D7B6" w14:textId="77777777" w:rsidR="001A0CFB" w:rsidRPr="00087409" w:rsidRDefault="001A0CFB" w:rsidP="001A0CFB"/>
    <w:p w14:paraId="4A7D6FB5" w14:textId="77777777" w:rsidR="00EC43A8" w:rsidRDefault="00EC43A8" w:rsidP="00EC43A8">
      <w:pPr>
        <w:rPr>
          <w:lang w:bidi="th-TH"/>
        </w:rPr>
      </w:pPr>
    </w:p>
    <w:p w14:paraId="49333FB4" w14:textId="77777777" w:rsidR="00EC43A8" w:rsidRDefault="00EC43A8" w:rsidP="00EC43A8">
      <w:pPr>
        <w:rPr>
          <w:lang w:bidi="th-TH"/>
        </w:rPr>
      </w:pPr>
    </w:p>
    <w:p w14:paraId="4E1FCB22" w14:textId="77777777" w:rsidR="00EC43A8" w:rsidRPr="00FE2FF6" w:rsidRDefault="00EC43A8" w:rsidP="00EC43A8">
      <w:pPr>
        <w:jc w:val="center"/>
        <w:rPr>
          <w:lang w:bidi="th-TH"/>
        </w:rPr>
      </w:pPr>
    </w:p>
    <w:p w14:paraId="34C0C306" w14:textId="77777777" w:rsidR="00037925" w:rsidRDefault="00037925" w:rsidP="00037925">
      <w:pPr>
        <w:rPr>
          <w:lang w:bidi="th-TH"/>
        </w:rPr>
      </w:pPr>
    </w:p>
    <w:p w14:paraId="620697B1" w14:textId="77777777" w:rsidR="00740984" w:rsidRDefault="00740984" w:rsidP="00740984">
      <w:pPr>
        <w:rPr>
          <w:lang w:bidi="th-TH"/>
        </w:rPr>
      </w:pPr>
    </w:p>
    <w:p w14:paraId="31F64B53" w14:textId="77777777" w:rsidR="00740984" w:rsidRDefault="00740984" w:rsidP="00740984">
      <w:pPr>
        <w:rPr>
          <w:lang w:bidi="th-TH"/>
        </w:rPr>
      </w:pPr>
    </w:p>
    <w:p w14:paraId="50B489D1" w14:textId="77777777" w:rsidR="00740984" w:rsidRDefault="00740984" w:rsidP="00740984">
      <w:pPr>
        <w:rPr>
          <w:lang w:bidi="th-TH"/>
        </w:rPr>
      </w:pPr>
    </w:p>
    <w:p w14:paraId="3917E886" w14:textId="77777777" w:rsidR="00740984" w:rsidRDefault="00740984" w:rsidP="00740984">
      <w:pPr>
        <w:rPr>
          <w:lang w:bidi="th-TH"/>
        </w:rPr>
      </w:pPr>
    </w:p>
    <w:p w14:paraId="65402F19" w14:textId="77777777" w:rsidR="00740984" w:rsidRDefault="00740984" w:rsidP="00740984">
      <w:pPr>
        <w:rPr>
          <w:lang w:bidi="th-TH"/>
        </w:rPr>
      </w:pPr>
    </w:p>
    <w:p w14:paraId="6A5BCACA" w14:textId="77777777" w:rsidR="009E411F" w:rsidRPr="00CA7569" w:rsidRDefault="009E411F" w:rsidP="009E411F">
      <w:pPr>
        <w:rPr>
          <w:lang w:bidi="th-TH"/>
        </w:rPr>
      </w:pPr>
    </w:p>
    <w:p w14:paraId="5E7F991F" w14:textId="77777777" w:rsidR="009E411F" w:rsidRDefault="009E411F" w:rsidP="009E411F"/>
    <w:p w14:paraId="6022301F" w14:textId="77777777" w:rsidR="00593C34" w:rsidRPr="00F10795" w:rsidRDefault="00593C34" w:rsidP="00593C34">
      <w:pPr>
        <w:rPr>
          <w:lang w:bidi="th-TH"/>
        </w:rPr>
      </w:pPr>
    </w:p>
    <w:sectPr w:rsidR="00593C34" w:rsidRPr="00F10795" w:rsidSect="008D35E6">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F6F60" w14:textId="77777777" w:rsidR="000D0FA8" w:rsidRDefault="000D0FA8">
      <w:pPr>
        <w:spacing w:after="0" w:line="240" w:lineRule="auto"/>
      </w:pPr>
      <w:r>
        <w:separator/>
      </w:r>
    </w:p>
  </w:endnote>
  <w:endnote w:type="continuationSeparator" w:id="0">
    <w:p w14:paraId="1E07A04A" w14:textId="77777777" w:rsidR="000D0FA8" w:rsidRDefault="000D0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0318816"/>
      <w:docPartObj>
        <w:docPartGallery w:val="Page Numbers (Bottom of Page)"/>
        <w:docPartUnique/>
      </w:docPartObj>
    </w:sdtPr>
    <w:sdtContent>
      <w:sdt>
        <w:sdtPr>
          <w:id w:val="-1769616900"/>
          <w:docPartObj>
            <w:docPartGallery w:val="Page Numbers (Top of Page)"/>
            <w:docPartUnique/>
          </w:docPartObj>
        </w:sdtPr>
        <w:sdtContent>
          <w:p w14:paraId="63F6158D" w14:textId="77777777" w:rsidR="008D35E6"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2A5BB74" w14:textId="77777777" w:rsidR="008D35E6" w:rsidRDefault="008D3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CA58C" w14:textId="77777777" w:rsidR="000D0FA8" w:rsidRDefault="000D0FA8">
      <w:pPr>
        <w:spacing w:after="0" w:line="240" w:lineRule="auto"/>
      </w:pPr>
      <w:r>
        <w:separator/>
      </w:r>
    </w:p>
  </w:footnote>
  <w:footnote w:type="continuationSeparator" w:id="0">
    <w:p w14:paraId="5C0C2322" w14:textId="77777777" w:rsidR="000D0FA8" w:rsidRDefault="000D0F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78C69" w14:textId="1465EE42" w:rsidR="008D35E6" w:rsidRDefault="00000000">
    <w:pPr>
      <w:pStyle w:val="Header"/>
      <w:tabs>
        <w:tab w:val="clear" w:pos="4680"/>
        <w:tab w:val="clear" w:pos="9360"/>
      </w:tabs>
      <w:jc w:val="right"/>
      <w:rPr>
        <w:color w:val="7F7F7F" w:themeColor="text1" w:themeTint="80"/>
      </w:rPr>
    </w:pPr>
    <w:r w:rsidRPr="008D35E6">
      <w:t>Data Handling and Business Intelligence</w:t>
    </w:r>
  </w:p>
  <w:p w14:paraId="23A244E1" w14:textId="77777777" w:rsidR="008D35E6" w:rsidRPr="008D35E6" w:rsidRDefault="008D35E6" w:rsidP="008D35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5E6"/>
    <w:rsid w:val="00011906"/>
    <w:rsid w:val="0003633B"/>
    <w:rsid w:val="00037925"/>
    <w:rsid w:val="0004342C"/>
    <w:rsid w:val="000710B9"/>
    <w:rsid w:val="00075854"/>
    <w:rsid w:val="00087409"/>
    <w:rsid w:val="0009220B"/>
    <w:rsid w:val="000965CA"/>
    <w:rsid w:val="000A0B1C"/>
    <w:rsid w:val="000C25D7"/>
    <w:rsid w:val="000D0FA8"/>
    <w:rsid w:val="000D1D4B"/>
    <w:rsid w:val="00111412"/>
    <w:rsid w:val="001150EA"/>
    <w:rsid w:val="00144093"/>
    <w:rsid w:val="001443F7"/>
    <w:rsid w:val="001549D1"/>
    <w:rsid w:val="001648D3"/>
    <w:rsid w:val="001718E6"/>
    <w:rsid w:val="00182130"/>
    <w:rsid w:val="00182DC6"/>
    <w:rsid w:val="00194543"/>
    <w:rsid w:val="00197A7A"/>
    <w:rsid w:val="001A0CFB"/>
    <w:rsid w:val="001A787D"/>
    <w:rsid w:val="001B211D"/>
    <w:rsid w:val="001B7E13"/>
    <w:rsid w:val="001E753C"/>
    <w:rsid w:val="001F22F5"/>
    <w:rsid w:val="001F2926"/>
    <w:rsid w:val="002003E5"/>
    <w:rsid w:val="002467AB"/>
    <w:rsid w:val="002669EA"/>
    <w:rsid w:val="002674A1"/>
    <w:rsid w:val="002B0118"/>
    <w:rsid w:val="002B0943"/>
    <w:rsid w:val="002C00BF"/>
    <w:rsid w:val="002D0D71"/>
    <w:rsid w:val="0032041F"/>
    <w:rsid w:val="00323658"/>
    <w:rsid w:val="00341F1D"/>
    <w:rsid w:val="00350DE6"/>
    <w:rsid w:val="0037211A"/>
    <w:rsid w:val="003969AB"/>
    <w:rsid w:val="003D65B1"/>
    <w:rsid w:val="003E1D5C"/>
    <w:rsid w:val="003E2B3A"/>
    <w:rsid w:val="00402B26"/>
    <w:rsid w:val="00415543"/>
    <w:rsid w:val="004272DE"/>
    <w:rsid w:val="00435793"/>
    <w:rsid w:val="00445858"/>
    <w:rsid w:val="00454534"/>
    <w:rsid w:val="00460E8D"/>
    <w:rsid w:val="004617C8"/>
    <w:rsid w:val="004841F8"/>
    <w:rsid w:val="004A6710"/>
    <w:rsid w:val="004B4500"/>
    <w:rsid w:val="004C13D7"/>
    <w:rsid w:val="004C6EF1"/>
    <w:rsid w:val="004D4A7F"/>
    <w:rsid w:val="004D7054"/>
    <w:rsid w:val="004E1895"/>
    <w:rsid w:val="004E46C4"/>
    <w:rsid w:val="004E4F19"/>
    <w:rsid w:val="00500030"/>
    <w:rsid w:val="00522751"/>
    <w:rsid w:val="00526555"/>
    <w:rsid w:val="00564147"/>
    <w:rsid w:val="005649E3"/>
    <w:rsid w:val="00570A85"/>
    <w:rsid w:val="00581299"/>
    <w:rsid w:val="00585555"/>
    <w:rsid w:val="00593C34"/>
    <w:rsid w:val="005955FA"/>
    <w:rsid w:val="005A03D5"/>
    <w:rsid w:val="005D0080"/>
    <w:rsid w:val="005D5FCB"/>
    <w:rsid w:val="005E3BC4"/>
    <w:rsid w:val="005E537E"/>
    <w:rsid w:val="005F698D"/>
    <w:rsid w:val="005F79A3"/>
    <w:rsid w:val="006017E1"/>
    <w:rsid w:val="0061122E"/>
    <w:rsid w:val="00613A71"/>
    <w:rsid w:val="00621F8F"/>
    <w:rsid w:val="006427BE"/>
    <w:rsid w:val="00650150"/>
    <w:rsid w:val="0065598A"/>
    <w:rsid w:val="0066589B"/>
    <w:rsid w:val="0067421E"/>
    <w:rsid w:val="006824DC"/>
    <w:rsid w:val="006A19BC"/>
    <w:rsid w:val="006A5C78"/>
    <w:rsid w:val="006C56EF"/>
    <w:rsid w:val="006F0668"/>
    <w:rsid w:val="00740984"/>
    <w:rsid w:val="00743715"/>
    <w:rsid w:val="007530BE"/>
    <w:rsid w:val="007551B9"/>
    <w:rsid w:val="0077019B"/>
    <w:rsid w:val="0079477D"/>
    <w:rsid w:val="007A166F"/>
    <w:rsid w:val="007D3B2D"/>
    <w:rsid w:val="007D6BDF"/>
    <w:rsid w:val="007E4914"/>
    <w:rsid w:val="007F003E"/>
    <w:rsid w:val="0081690A"/>
    <w:rsid w:val="00835D3C"/>
    <w:rsid w:val="00846ECA"/>
    <w:rsid w:val="008850A9"/>
    <w:rsid w:val="00894D71"/>
    <w:rsid w:val="008D35E6"/>
    <w:rsid w:val="00902B10"/>
    <w:rsid w:val="0090453A"/>
    <w:rsid w:val="0090662D"/>
    <w:rsid w:val="00913295"/>
    <w:rsid w:val="00925B71"/>
    <w:rsid w:val="009369C3"/>
    <w:rsid w:val="00956C18"/>
    <w:rsid w:val="0097256F"/>
    <w:rsid w:val="00975207"/>
    <w:rsid w:val="00996E3D"/>
    <w:rsid w:val="009A7ED9"/>
    <w:rsid w:val="009C4B3D"/>
    <w:rsid w:val="009C6D6F"/>
    <w:rsid w:val="009E411F"/>
    <w:rsid w:val="00A17999"/>
    <w:rsid w:val="00A20884"/>
    <w:rsid w:val="00A21758"/>
    <w:rsid w:val="00A4280A"/>
    <w:rsid w:val="00A63C6A"/>
    <w:rsid w:val="00A93F01"/>
    <w:rsid w:val="00A97AE0"/>
    <w:rsid w:val="00AA5397"/>
    <w:rsid w:val="00AE3661"/>
    <w:rsid w:val="00AE52D7"/>
    <w:rsid w:val="00AE6CAB"/>
    <w:rsid w:val="00B260EA"/>
    <w:rsid w:val="00B304E3"/>
    <w:rsid w:val="00B634A1"/>
    <w:rsid w:val="00B820B1"/>
    <w:rsid w:val="00B876EE"/>
    <w:rsid w:val="00B94E6D"/>
    <w:rsid w:val="00BE1E6B"/>
    <w:rsid w:val="00C0473C"/>
    <w:rsid w:val="00C04782"/>
    <w:rsid w:val="00C230CE"/>
    <w:rsid w:val="00C41C58"/>
    <w:rsid w:val="00C42B8F"/>
    <w:rsid w:val="00C65C77"/>
    <w:rsid w:val="00C679F6"/>
    <w:rsid w:val="00CA7569"/>
    <w:rsid w:val="00CC5E72"/>
    <w:rsid w:val="00CF6672"/>
    <w:rsid w:val="00D06A12"/>
    <w:rsid w:val="00D40C12"/>
    <w:rsid w:val="00D43AB3"/>
    <w:rsid w:val="00D655B1"/>
    <w:rsid w:val="00D75383"/>
    <w:rsid w:val="00D93AB8"/>
    <w:rsid w:val="00DC17A8"/>
    <w:rsid w:val="00E01D52"/>
    <w:rsid w:val="00E0758B"/>
    <w:rsid w:val="00E45214"/>
    <w:rsid w:val="00E74760"/>
    <w:rsid w:val="00E80D26"/>
    <w:rsid w:val="00E84C1F"/>
    <w:rsid w:val="00EA5DCD"/>
    <w:rsid w:val="00EA6CB2"/>
    <w:rsid w:val="00EC43A8"/>
    <w:rsid w:val="00ED3E14"/>
    <w:rsid w:val="00EE1FBA"/>
    <w:rsid w:val="00EE2CD2"/>
    <w:rsid w:val="00EF1428"/>
    <w:rsid w:val="00F00DA4"/>
    <w:rsid w:val="00F10795"/>
    <w:rsid w:val="00F14ABE"/>
    <w:rsid w:val="00F15920"/>
    <w:rsid w:val="00F174BE"/>
    <w:rsid w:val="00F269BA"/>
    <w:rsid w:val="00F26F38"/>
    <w:rsid w:val="00F40BB8"/>
    <w:rsid w:val="00F60F2A"/>
    <w:rsid w:val="00F65850"/>
    <w:rsid w:val="00FA639F"/>
    <w:rsid w:val="00FB498B"/>
    <w:rsid w:val="00FB6513"/>
    <w:rsid w:val="00FC4C61"/>
    <w:rsid w:val="00FC6A92"/>
    <w:rsid w:val="00FE2FF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A114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3A8"/>
    <w:pPr>
      <w:spacing w:line="480" w:lineRule="auto"/>
      <w:jc w:val="both"/>
    </w:pPr>
    <w:rPr>
      <w:rFonts w:ascii="Times New Roman" w:hAnsi="Times New Roman"/>
      <w:color w:val="000000" w:themeColor="text1"/>
      <w:sz w:val="24"/>
      <w:szCs w:val="22"/>
      <w:lang w:val="en-IN" w:bidi="ar-SA"/>
    </w:rPr>
  </w:style>
  <w:style w:type="paragraph" w:styleId="Heading1">
    <w:name w:val="heading 1"/>
    <w:basedOn w:val="Normal"/>
    <w:next w:val="Normal"/>
    <w:link w:val="Heading1Char"/>
    <w:uiPriority w:val="9"/>
    <w:qFormat/>
    <w:rsid w:val="00526555"/>
    <w:pPr>
      <w:keepNext/>
      <w:keepLines/>
      <w:spacing w:before="480" w:after="0"/>
      <w:outlineLvl w:val="0"/>
    </w:pPr>
    <w:rPr>
      <w:rFonts w:eastAsiaTheme="majorEastAsia" w:cstheme="majorBidi"/>
      <w:b/>
      <w:bCs/>
      <w:sz w:val="28"/>
      <w:szCs w:val="25"/>
      <w:lang w:bidi="th-TH"/>
    </w:rPr>
  </w:style>
  <w:style w:type="paragraph" w:styleId="Heading2">
    <w:name w:val="heading 2"/>
    <w:basedOn w:val="Normal"/>
    <w:next w:val="Normal"/>
    <w:link w:val="Heading2Char"/>
    <w:uiPriority w:val="9"/>
    <w:unhideWhenUsed/>
    <w:qFormat/>
    <w:rsid w:val="004E1895"/>
    <w:pPr>
      <w:keepNext/>
      <w:keepLines/>
      <w:spacing w:before="40" w:after="0"/>
      <w:outlineLvl w:val="1"/>
    </w:pPr>
    <w:rPr>
      <w:rFonts w:eastAsiaTheme="majorEastAsia" w:cstheme="majorBidi"/>
      <w:b/>
      <w:sz w:val="26"/>
      <w:szCs w:val="23"/>
      <w:lang w:bidi="th-TH"/>
    </w:rPr>
  </w:style>
  <w:style w:type="paragraph" w:styleId="Heading3">
    <w:name w:val="heading 3"/>
    <w:basedOn w:val="Normal"/>
    <w:next w:val="Normal"/>
    <w:link w:val="Heading3Char"/>
    <w:uiPriority w:val="9"/>
    <w:unhideWhenUsed/>
    <w:qFormat/>
    <w:rsid w:val="00011906"/>
    <w:pPr>
      <w:keepNext/>
      <w:keepLines/>
      <w:spacing w:before="40" w:after="0"/>
      <w:outlineLvl w:val="2"/>
    </w:pPr>
    <w:rPr>
      <w:rFonts w:eastAsiaTheme="majorEastAsia" w:cstheme="majorBidi"/>
      <w:i/>
      <w:sz w:val="22"/>
      <w:szCs w:val="24"/>
      <w:u w:val="single"/>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555"/>
    <w:rPr>
      <w:rFonts w:ascii="Times New Roman" w:eastAsiaTheme="majorEastAsia" w:hAnsi="Times New Roman" w:cstheme="majorBidi"/>
      <w:b/>
      <w:bCs/>
      <w:color w:val="000000" w:themeColor="text1"/>
      <w:sz w:val="28"/>
      <w:szCs w:val="25"/>
    </w:rPr>
  </w:style>
  <w:style w:type="character" w:customStyle="1" w:styleId="Heading2Char">
    <w:name w:val="Heading 2 Char"/>
    <w:basedOn w:val="DefaultParagraphFont"/>
    <w:link w:val="Heading2"/>
    <w:uiPriority w:val="9"/>
    <w:rsid w:val="004E1895"/>
    <w:rPr>
      <w:rFonts w:ascii="Times New Roman" w:eastAsiaTheme="majorEastAsia" w:hAnsi="Times New Roman" w:cstheme="majorBidi"/>
      <w:b/>
      <w:color w:val="000000" w:themeColor="text1"/>
      <w:sz w:val="26"/>
      <w:szCs w:val="23"/>
    </w:rPr>
  </w:style>
  <w:style w:type="character" w:customStyle="1" w:styleId="Heading3Char">
    <w:name w:val="Heading 3 Char"/>
    <w:basedOn w:val="DefaultParagraphFont"/>
    <w:link w:val="Heading3"/>
    <w:uiPriority w:val="9"/>
    <w:rsid w:val="00011906"/>
    <w:rPr>
      <w:rFonts w:ascii="Times New Roman" w:eastAsiaTheme="majorEastAsia" w:hAnsi="Times New Roman" w:cstheme="majorBidi"/>
      <w:i/>
      <w:color w:val="000000" w:themeColor="text1"/>
      <w:kern w:val="0"/>
      <w:szCs w:val="24"/>
      <w:u w:val="single"/>
      <w14:ligatures w14:val="none"/>
    </w:rPr>
  </w:style>
  <w:style w:type="paragraph" w:styleId="Header">
    <w:name w:val="header"/>
    <w:basedOn w:val="Normal"/>
    <w:link w:val="HeaderChar"/>
    <w:uiPriority w:val="99"/>
    <w:unhideWhenUsed/>
    <w:rsid w:val="008D35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35E6"/>
    <w:rPr>
      <w:rFonts w:ascii="Times New Roman" w:hAnsi="Times New Roman"/>
      <w:color w:val="000000" w:themeColor="text1"/>
      <w:sz w:val="24"/>
      <w:szCs w:val="22"/>
      <w:lang w:val="en-IN" w:bidi="ar-SA"/>
    </w:rPr>
  </w:style>
  <w:style w:type="paragraph" w:styleId="Footer">
    <w:name w:val="footer"/>
    <w:basedOn w:val="Normal"/>
    <w:link w:val="FooterChar"/>
    <w:uiPriority w:val="99"/>
    <w:unhideWhenUsed/>
    <w:rsid w:val="008D35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35E6"/>
    <w:rPr>
      <w:rFonts w:ascii="Times New Roman" w:hAnsi="Times New Roman"/>
      <w:color w:val="000000" w:themeColor="text1"/>
      <w:sz w:val="24"/>
      <w:szCs w:val="22"/>
      <w:lang w:val="en-IN" w:bidi="ar-SA"/>
    </w:rPr>
  </w:style>
  <w:style w:type="table" w:styleId="TableGrid">
    <w:name w:val="Table Grid"/>
    <w:basedOn w:val="TableNormal"/>
    <w:uiPriority w:val="39"/>
    <w:rsid w:val="00C65C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webSettings" Target="webSetting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x1234\Downloads\Hotel%20Reservation%20-%20For%20A2%20Task%201.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x1234\Downloads\Hotel%20Reservation%20-%20For%20A2%20Task%201.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x1234\Downloads\Hotel%20Reservation%20-%20For%20A2%20Task%201.xls"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percentStacked"/>
        <c:varyColors val="0"/>
        <c:ser>
          <c:idx val="0"/>
          <c:order val="0"/>
          <c:tx>
            <c:strRef>
              <c:f>Sheet3!$E$3</c:f>
              <c:strCache>
                <c:ptCount val="1"/>
                <c:pt idx="0">
                  <c:v>Average price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Sheet3!$D$4:$D$8</c:f>
              <c:numCache>
                <c:formatCode>General</c:formatCode>
                <c:ptCount val="5"/>
                <c:pt idx="0">
                  <c:v>2017</c:v>
                </c:pt>
                <c:pt idx="1">
                  <c:v>2018</c:v>
                </c:pt>
                <c:pt idx="2">
                  <c:v>2019</c:v>
                </c:pt>
                <c:pt idx="3">
                  <c:v>2020</c:v>
                </c:pt>
                <c:pt idx="4">
                  <c:v>2021</c:v>
                </c:pt>
              </c:numCache>
            </c:numRef>
          </c:cat>
          <c:val>
            <c:numRef>
              <c:f>Sheet3!$E$4:$E$8</c:f>
              <c:numCache>
                <c:formatCode>General</c:formatCode>
                <c:ptCount val="5"/>
                <c:pt idx="0">
                  <c:v>549304.1</c:v>
                </c:pt>
                <c:pt idx="1">
                  <c:v>1666329.8</c:v>
                </c:pt>
                <c:pt idx="2">
                  <c:v>18015.29</c:v>
                </c:pt>
                <c:pt idx="3">
                  <c:v>20857.3</c:v>
                </c:pt>
                <c:pt idx="4">
                  <c:v>19436.8</c:v>
                </c:pt>
              </c:numCache>
            </c:numRef>
          </c:val>
          <c:extLst>
            <c:ext xmlns:c16="http://schemas.microsoft.com/office/drawing/2014/chart" uri="{C3380CC4-5D6E-409C-BE32-E72D297353CC}">
              <c16:uniqueId val="{00000000-D1B4-453A-8364-B937172A8C0C}"/>
            </c:ext>
          </c:extLst>
        </c:ser>
        <c:dLbls>
          <c:dLblPos val="ctr"/>
          <c:showLegendKey val="0"/>
          <c:showVal val="1"/>
          <c:showCatName val="0"/>
          <c:showSerName val="0"/>
          <c:showPercent val="0"/>
          <c:showBubbleSize val="0"/>
        </c:dLbls>
        <c:gapWidth val="150"/>
        <c:overlap val="100"/>
        <c:axId val="1244558575"/>
        <c:axId val="1172140367"/>
      </c:barChart>
      <c:catAx>
        <c:axId val="1244558575"/>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ARRIVAL YEARS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72140367"/>
        <c:crosses val="autoZero"/>
        <c:auto val="1"/>
        <c:lblAlgn val="ctr"/>
        <c:lblOffset val="100"/>
        <c:noMultiLvlLbl val="0"/>
      </c:catAx>
      <c:valAx>
        <c:axId val="1172140367"/>
        <c:scaling>
          <c:orientation val="minMax"/>
        </c:scaling>
        <c:delete val="0"/>
        <c:axPos val="l"/>
        <c:majorGridlines>
          <c:spPr>
            <a:ln w="9525">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AVERAGE PRICE RANGE</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44558575"/>
        <c:crosses val="autoZero"/>
        <c:crossBetween val="between"/>
      </c:valAx>
      <c:spPr>
        <a:noFill/>
        <a:ln>
          <a:noFill/>
        </a:ln>
        <a:effectLst/>
      </c:spPr>
    </c:plotArea>
    <c:plotVisOnly val="1"/>
    <c:dispBlanksAs val="gap"/>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Sheet3!$E$3</c:f>
              <c:strCache>
                <c:ptCount val="1"/>
                <c:pt idx="0">
                  <c:v>Average price</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Sheet3!$D$4:$D$8</c:f>
              <c:numCache>
                <c:formatCode>General</c:formatCode>
                <c:ptCount val="5"/>
                <c:pt idx="0">
                  <c:v>2017</c:v>
                </c:pt>
                <c:pt idx="1">
                  <c:v>2018</c:v>
                </c:pt>
                <c:pt idx="2">
                  <c:v>2019</c:v>
                </c:pt>
                <c:pt idx="3">
                  <c:v>2020</c:v>
                </c:pt>
                <c:pt idx="4">
                  <c:v>2021</c:v>
                </c:pt>
              </c:numCache>
            </c:numRef>
          </c:cat>
          <c:val>
            <c:numRef>
              <c:f>Sheet3!$E$4:$E$8</c:f>
              <c:numCache>
                <c:formatCode>General</c:formatCode>
                <c:ptCount val="5"/>
                <c:pt idx="0">
                  <c:v>549304.1</c:v>
                </c:pt>
                <c:pt idx="1">
                  <c:v>1666329.8</c:v>
                </c:pt>
                <c:pt idx="2">
                  <c:v>18015.29</c:v>
                </c:pt>
                <c:pt idx="3">
                  <c:v>20857.3</c:v>
                </c:pt>
                <c:pt idx="4">
                  <c:v>19436.8</c:v>
                </c:pt>
              </c:numCache>
            </c:numRef>
          </c:val>
          <c:smooth val="0"/>
          <c:extLst>
            <c:ext xmlns:c16="http://schemas.microsoft.com/office/drawing/2014/chart" uri="{C3380CC4-5D6E-409C-BE32-E72D297353CC}">
              <c16:uniqueId val="{00000000-D0F8-4BE8-8659-FA0F7B69C5E5}"/>
            </c:ext>
          </c:extLst>
        </c:ser>
        <c:dLbls>
          <c:dLblPos val="t"/>
          <c:showLegendKey val="0"/>
          <c:showVal val="1"/>
          <c:showCatName val="0"/>
          <c:showSerName val="0"/>
          <c:showPercent val="0"/>
          <c:showBubbleSize val="0"/>
        </c:dLbls>
        <c:smooth val="0"/>
        <c:axId val="1244554255"/>
        <c:axId val="1246041775"/>
      </c:lineChart>
      <c:catAx>
        <c:axId val="1244554255"/>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ARRIVAL YEAR</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46041775"/>
        <c:crosses val="autoZero"/>
        <c:auto val="1"/>
        <c:lblAlgn val="ctr"/>
        <c:lblOffset val="100"/>
        <c:noMultiLvlLbl val="0"/>
      </c:catAx>
      <c:valAx>
        <c:axId val="1246041775"/>
        <c:scaling>
          <c:orientation val="minMax"/>
        </c:scaling>
        <c:delete val="0"/>
        <c:axPos val="l"/>
        <c:majorGridlines>
          <c:spPr>
            <a:ln w="9525">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AVERAGE PRICE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44554255"/>
        <c:crosses val="autoZero"/>
        <c:crossBetween val="between"/>
      </c:valAx>
      <c:spPr>
        <a:noFill/>
        <a:ln>
          <a:noFill/>
        </a:ln>
        <a:effectLst/>
      </c:spPr>
    </c:plotArea>
    <c:plotVisOnly val="1"/>
    <c:dispBlanksAs val="gap"/>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 - For A2 Task 1.xls]Sheet2!PivotTable3</c:name>
    <c:fmtId val="-1"/>
  </c:pivotSource>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ivotFmts>
      <c:pivotFmt>
        <c:idx val="0"/>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5400">
            <a:solidFill>
              <a:schemeClr val="lt1"/>
            </a:solidFill>
          </a:ln>
          <a:effectLst/>
          <a:sp3d contourW="25400">
            <a:contourClr>
              <a:schemeClr val="lt1"/>
            </a:contourClr>
          </a:sp3d>
        </c:spPr>
      </c:pivotFmt>
      <c:pivotFmt>
        <c:idx val="3"/>
        <c:spPr>
          <a:solidFill>
            <a:schemeClr val="accent1"/>
          </a:solidFill>
          <a:ln w="25400">
            <a:solidFill>
              <a:schemeClr val="lt1"/>
            </a:solidFill>
          </a:ln>
          <a:effectLst/>
          <a:sp3d contourW="25400">
            <a:contourClr>
              <a:schemeClr val="lt1"/>
            </a:contourClr>
          </a:sp3d>
        </c:spPr>
      </c:pivotFmt>
      <c:pivotFmt>
        <c:idx val="4"/>
        <c:spPr>
          <a:solidFill>
            <a:schemeClr val="accent1"/>
          </a:solidFill>
          <a:ln w="25400">
            <a:solidFill>
              <a:schemeClr val="lt1"/>
            </a:solidFill>
          </a:ln>
          <a:effectLst/>
          <a:sp3d contourW="25400">
            <a:contourClr>
              <a:schemeClr val="lt1"/>
            </a:contourClr>
          </a:sp3d>
        </c:spPr>
      </c:pivotFmt>
      <c:pivotFmt>
        <c:idx val="5"/>
        <c:spPr>
          <a:solidFill>
            <a:schemeClr val="accent1"/>
          </a:solidFill>
          <a:ln w="25400">
            <a:solidFill>
              <a:schemeClr val="lt1"/>
            </a:solidFill>
          </a:ln>
          <a:effectLst/>
          <a:sp3d contourW="25400">
            <a:contourClr>
              <a:schemeClr val="lt1"/>
            </a:contourClr>
          </a:sp3d>
        </c:spPr>
      </c:pivotFmt>
      <c:pivotFmt>
        <c:idx val="6"/>
        <c:spPr>
          <a:solidFill>
            <a:schemeClr val="accent1"/>
          </a:solidFill>
          <a:ln w="25400">
            <a:solidFill>
              <a:schemeClr val="lt1"/>
            </a:solidFill>
          </a:ln>
          <a:effectLst/>
          <a:sp3d contourW="25400">
            <a:contourClr>
              <a:schemeClr val="lt1"/>
            </a:contourClr>
          </a:sp3d>
        </c:spPr>
      </c:pivotFmt>
      <c:pivotFmt>
        <c:idx val="7"/>
        <c:spPr>
          <a:solidFill>
            <a:schemeClr val="accent1"/>
          </a:solidFill>
          <a:ln w="25400">
            <a:solidFill>
              <a:schemeClr val="lt1"/>
            </a:solidFill>
          </a:ln>
          <a:effectLst/>
          <a:sp3d contourW="25400">
            <a:contourClr>
              <a:schemeClr val="lt1"/>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w="25400">
            <a:solidFill>
              <a:schemeClr val="lt1"/>
            </a:solidFill>
          </a:ln>
          <a:effectLst/>
          <a:sp3d contourW="25400">
            <a:contourClr>
              <a:schemeClr val="lt1"/>
            </a:contourClr>
          </a:sp3d>
        </c:spPr>
      </c:pivotFmt>
      <c:pivotFmt>
        <c:idx val="9"/>
        <c:spPr>
          <a:solidFill>
            <a:schemeClr val="accent1"/>
          </a:solidFill>
          <a:ln w="25400">
            <a:solidFill>
              <a:schemeClr val="lt1"/>
            </a:solidFill>
          </a:ln>
          <a:effectLst/>
          <a:sp3d contourW="25400">
            <a:contourClr>
              <a:schemeClr val="lt1"/>
            </a:contourClr>
          </a:sp3d>
        </c:spPr>
      </c:pivotFmt>
      <c:pivotFmt>
        <c:idx val="10"/>
        <c:spPr>
          <a:solidFill>
            <a:schemeClr val="accent1"/>
          </a:solidFill>
          <a:ln w="25400">
            <a:solidFill>
              <a:schemeClr val="lt1"/>
            </a:solidFill>
          </a:ln>
          <a:effectLst/>
          <a:sp3d contourW="25400">
            <a:contourClr>
              <a:schemeClr val="lt1"/>
            </a:contourClr>
          </a:sp3d>
        </c:spPr>
      </c:pivotFmt>
      <c:pivotFmt>
        <c:idx val="11"/>
        <c:spPr>
          <a:solidFill>
            <a:schemeClr val="accent1"/>
          </a:solidFill>
          <a:ln w="25400">
            <a:solidFill>
              <a:schemeClr val="lt1"/>
            </a:solidFill>
          </a:ln>
          <a:effectLst/>
          <a:sp3d contourW="25400">
            <a:contourClr>
              <a:schemeClr val="lt1"/>
            </a:contourClr>
          </a:sp3d>
        </c:spPr>
      </c:pivotFmt>
      <c:pivotFmt>
        <c:idx val="12"/>
        <c:spPr>
          <a:solidFill>
            <a:schemeClr val="accent1"/>
          </a:solidFill>
          <a:ln w="25400">
            <a:solidFill>
              <a:schemeClr val="lt1"/>
            </a:solidFill>
          </a:ln>
          <a:effectLst/>
          <a:sp3d contourW="25400">
            <a:contourClr>
              <a:schemeClr val="lt1"/>
            </a:contourClr>
          </a:sp3d>
        </c:spPr>
      </c:pivotFmt>
    </c:pivotFmts>
    <c:view3D>
      <c:rotX val="3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Sheet2!$M$1:$M$2</c:f>
              <c:strCache>
                <c:ptCount val="1"/>
                <c:pt idx="0">
                  <c:v>Total</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4B8C-4725-8BF1-90750334264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4B8C-4725-8BF1-90750334264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4B8C-4725-8BF1-90750334264D}"/>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4B8C-4725-8BF1-90750334264D}"/>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4B8C-4725-8BF1-90750334264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Sheet2!$L$3:$L$8</c:f>
              <c:strCache>
                <c:ptCount val="5"/>
                <c:pt idx="0">
                  <c:v>2017</c:v>
                </c:pt>
                <c:pt idx="1">
                  <c:v>2018</c:v>
                </c:pt>
                <c:pt idx="2">
                  <c:v>2019</c:v>
                </c:pt>
                <c:pt idx="3">
                  <c:v>2020</c:v>
                </c:pt>
                <c:pt idx="4">
                  <c:v>2021</c:v>
                </c:pt>
              </c:strCache>
            </c:strRef>
          </c:cat>
          <c:val>
            <c:numRef>
              <c:f>Sheet2!$M$3:$M$8</c:f>
              <c:numCache>
                <c:formatCode>0.00%</c:formatCode>
                <c:ptCount val="5"/>
                <c:pt idx="0">
                  <c:v>0.15291004299329161</c:v>
                </c:pt>
                <c:pt idx="1">
                  <c:v>0.83085834473675368</c:v>
                </c:pt>
                <c:pt idx="2">
                  <c:v>5.014924735292108E-3</c:v>
                </c:pt>
                <c:pt idx="3">
                  <c:v>5.8060563932863735E-3</c:v>
                </c:pt>
                <c:pt idx="4">
                  <c:v>5.4106311413763316E-3</c:v>
                </c:pt>
              </c:numCache>
            </c:numRef>
          </c:val>
          <c:extLst>
            <c:ext xmlns:c16="http://schemas.microsoft.com/office/drawing/2014/chart" uri="{C3380CC4-5D6E-409C-BE32-E72D297353CC}">
              <c16:uniqueId val="{0000000A-4B8C-4725-8BF1-90750334264D}"/>
            </c:ext>
          </c:extLst>
        </c:ser>
        <c:dLbls>
          <c:showLegendKey val="0"/>
          <c:showVal val="0"/>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a:solidFill>
          <a:schemeClr val="lt1">
            <a:lumMod val="95000"/>
            <a:alpha val="10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a:solidFill>
          <a:schemeClr val="lt1">
            <a:lumMod val="95000"/>
            <a:alpha val="54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3429</Words>
  <Characters>19546</Characters>
  <Application>Microsoft Office Word</Application>
  <DocSecurity>0</DocSecurity>
  <Lines>162</Lines>
  <Paragraphs>45</Paragraphs>
  <ScaleCrop>false</ScaleCrop>
  <Company/>
  <LinksUpToDate>false</LinksUpToDate>
  <CharactersWithSpaces>22930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2023-11-29T09:52:00Z</dcterms:created>
  <dcterms:modified xsi:type="dcterms:W3CDTF">2023-12-17T15:03:00Z</dcterms:modified>
</cp:coreProperties>
</file>