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FBB4F" w14:textId="77777777" w:rsidR="00957059" w:rsidRDefault="0083510E">
      <w:pPr>
        <w:spacing w:after="60" w:line="259" w:lineRule="auto"/>
        <w:ind w:left="-1" w:right="5012" w:firstLine="0"/>
        <w:jc w:val="center"/>
      </w:pPr>
      <w:r>
        <w:rPr>
          <w:noProof/>
        </w:rPr>
        <w:drawing>
          <wp:inline distT="0" distB="0" distL="0" distR="0" wp14:anchorId="3D103FAA" wp14:editId="33673972">
            <wp:extent cx="2513965" cy="979805"/>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
                    <a:stretch>
                      <a:fillRect/>
                    </a:stretch>
                  </pic:blipFill>
                  <pic:spPr>
                    <a:xfrm>
                      <a:off x="0" y="0"/>
                      <a:ext cx="2513965" cy="979805"/>
                    </a:xfrm>
                    <a:prstGeom prst="rect">
                      <a:avLst/>
                    </a:prstGeom>
                  </pic:spPr>
                </pic:pic>
              </a:graphicData>
            </a:graphic>
          </wp:inline>
        </w:drawing>
      </w:r>
      <w:r>
        <w:t xml:space="preserve"> </w:t>
      </w:r>
    </w:p>
    <w:p w14:paraId="48418A09" w14:textId="77777777" w:rsidR="00957059" w:rsidRDefault="0083510E">
      <w:pPr>
        <w:spacing w:after="115" w:line="259" w:lineRule="auto"/>
        <w:ind w:left="0" w:right="0" w:firstLine="0"/>
        <w:jc w:val="left"/>
      </w:pPr>
      <w:r>
        <w:t xml:space="preserve"> </w:t>
      </w:r>
    </w:p>
    <w:p w14:paraId="155947ED" w14:textId="77777777" w:rsidR="00957059" w:rsidRDefault="0083510E">
      <w:pPr>
        <w:spacing w:after="115" w:line="259" w:lineRule="auto"/>
        <w:ind w:left="0" w:right="0" w:firstLine="0"/>
        <w:jc w:val="left"/>
      </w:pPr>
      <w:r>
        <w:t xml:space="preserve"> </w:t>
      </w:r>
    </w:p>
    <w:p w14:paraId="1D28FB9C" w14:textId="77777777" w:rsidR="00957059" w:rsidRDefault="0083510E">
      <w:pPr>
        <w:spacing w:after="115" w:line="259" w:lineRule="auto"/>
        <w:ind w:left="50" w:right="0" w:firstLine="0"/>
        <w:jc w:val="center"/>
      </w:pPr>
      <w:r>
        <w:t xml:space="preserve"> </w:t>
      </w:r>
    </w:p>
    <w:p w14:paraId="48493F1A" w14:textId="77777777" w:rsidR="00957059" w:rsidRDefault="0083510E">
      <w:pPr>
        <w:spacing w:after="110" w:line="259" w:lineRule="auto"/>
        <w:ind w:left="50" w:right="0" w:firstLine="0"/>
        <w:jc w:val="center"/>
      </w:pPr>
      <w:r>
        <w:t xml:space="preserve"> </w:t>
      </w:r>
    </w:p>
    <w:p w14:paraId="3D06A176" w14:textId="77777777" w:rsidR="00957059" w:rsidRDefault="0083510E">
      <w:pPr>
        <w:spacing w:after="528" w:line="259" w:lineRule="auto"/>
        <w:ind w:left="50" w:right="0" w:firstLine="0"/>
        <w:jc w:val="center"/>
      </w:pPr>
      <w:r>
        <w:t xml:space="preserve"> </w:t>
      </w:r>
    </w:p>
    <w:p w14:paraId="426CFD9D" w14:textId="77777777" w:rsidR="00957059" w:rsidRDefault="0083510E">
      <w:pPr>
        <w:spacing w:after="265" w:line="259" w:lineRule="auto"/>
        <w:ind w:left="19" w:right="0"/>
        <w:jc w:val="center"/>
      </w:pPr>
      <w:r>
        <w:rPr>
          <w:b/>
          <w:sz w:val="56"/>
        </w:rPr>
        <w:t xml:space="preserve">BMIH5007 </w:t>
      </w:r>
    </w:p>
    <w:p w14:paraId="6A4A5064" w14:textId="77777777" w:rsidR="00957059" w:rsidRDefault="0083510E">
      <w:pPr>
        <w:spacing w:after="0" w:line="400" w:lineRule="auto"/>
        <w:ind w:left="19" w:right="9"/>
        <w:jc w:val="center"/>
      </w:pPr>
      <w:r>
        <w:rPr>
          <w:b/>
          <w:sz w:val="56"/>
        </w:rPr>
        <w:t xml:space="preserve">Financial Management for the Hotel Industry </w:t>
      </w:r>
    </w:p>
    <w:p w14:paraId="3FFAFCCC" w14:textId="77777777" w:rsidR="00957059" w:rsidRDefault="0083510E">
      <w:pPr>
        <w:spacing w:after="225" w:line="259" w:lineRule="auto"/>
        <w:ind w:left="50" w:right="0" w:firstLine="0"/>
        <w:jc w:val="center"/>
      </w:pPr>
      <w:r>
        <w:t xml:space="preserve"> </w:t>
      </w:r>
    </w:p>
    <w:p w14:paraId="1AC0EA3D" w14:textId="44DC94F2" w:rsidR="00957059" w:rsidRPr="00DF7185" w:rsidRDefault="0083510E" w:rsidP="00732CDB">
      <w:pPr>
        <w:spacing w:after="170" w:line="259" w:lineRule="auto"/>
        <w:ind w:right="10"/>
      </w:pPr>
      <w:r w:rsidRPr="00DF7185">
        <w:rPr>
          <w:b/>
          <w:sz w:val="36"/>
        </w:rPr>
        <w:t xml:space="preserve">Student Name: </w:t>
      </w:r>
      <w:r w:rsidR="00DF7185" w:rsidRPr="00DF7185">
        <w:rPr>
          <w:b/>
          <w:sz w:val="36"/>
        </w:rPr>
        <w:t xml:space="preserve">Viorica </w:t>
      </w:r>
      <w:proofErr w:type="spellStart"/>
      <w:r w:rsidR="00DF7185" w:rsidRPr="00DF7185">
        <w:rPr>
          <w:b/>
          <w:sz w:val="36"/>
        </w:rPr>
        <w:t>Co</w:t>
      </w:r>
      <w:r w:rsidR="00DF7185">
        <w:rPr>
          <w:b/>
          <w:sz w:val="36"/>
        </w:rPr>
        <w:t>rneia</w:t>
      </w:r>
      <w:proofErr w:type="spellEnd"/>
      <w:r w:rsidR="00DF7185">
        <w:rPr>
          <w:b/>
          <w:sz w:val="36"/>
        </w:rPr>
        <w:t xml:space="preserve"> L</w:t>
      </w:r>
      <w:r w:rsidR="0067408E">
        <w:rPr>
          <w:b/>
          <w:sz w:val="36"/>
        </w:rPr>
        <w:t>acatas</w:t>
      </w:r>
    </w:p>
    <w:p w14:paraId="75E6EE9D" w14:textId="32472975" w:rsidR="00957059" w:rsidRPr="00DF7185" w:rsidRDefault="0083510E" w:rsidP="00732CDB">
      <w:pPr>
        <w:spacing w:after="170" w:line="259" w:lineRule="auto"/>
        <w:ind w:right="10"/>
      </w:pPr>
      <w:r w:rsidRPr="00DF7185">
        <w:rPr>
          <w:b/>
          <w:sz w:val="36"/>
        </w:rPr>
        <w:t xml:space="preserve">Student ID: </w:t>
      </w:r>
      <w:r w:rsidR="0067408E">
        <w:rPr>
          <w:b/>
          <w:sz w:val="36"/>
        </w:rPr>
        <w:t>2117500</w:t>
      </w:r>
    </w:p>
    <w:p w14:paraId="375CEFAD" w14:textId="1DF606C5" w:rsidR="00957059" w:rsidRDefault="0083510E" w:rsidP="00732CDB">
      <w:pPr>
        <w:spacing w:after="170" w:line="259" w:lineRule="auto"/>
        <w:ind w:right="10"/>
      </w:pPr>
      <w:r>
        <w:rPr>
          <w:b/>
          <w:sz w:val="36"/>
        </w:rPr>
        <w:t xml:space="preserve">Tutor Name: </w:t>
      </w:r>
      <w:r w:rsidR="0067408E">
        <w:rPr>
          <w:b/>
          <w:sz w:val="36"/>
        </w:rPr>
        <w:t>Tristian</w:t>
      </w:r>
      <w:r w:rsidR="009B2F47">
        <w:rPr>
          <w:b/>
          <w:sz w:val="36"/>
        </w:rPr>
        <w:t xml:space="preserve"> </w:t>
      </w:r>
      <w:proofErr w:type="spellStart"/>
      <w:r w:rsidR="009B2F47">
        <w:rPr>
          <w:b/>
          <w:sz w:val="36"/>
        </w:rPr>
        <w:t>Wa</w:t>
      </w:r>
      <w:r w:rsidR="00732CDB">
        <w:rPr>
          <w:b/>
          <w:sz w:val="36"/>
        </w:rPr>
        <w:t>wkins</w:t>
      </w:r>
      <w:proofErr w:type="spellEnd"/>
      <w:r w:rsidR="00732CDB">
        <w:rPr>
          <w:b/>
          <w:sz w:val="36"/>
        </w:rPr>
        <w:t>.</w:t>
      </w:r>
    </w:p>
    <w:p w14:paraId="03639665" w14:textId="3461AE9C" w:rsidR="00957059" w:rsidRPr="00EB0A85" w:rsidRDefault="00957059" w:rsidP="0065762D">
      <w:pPr>
        <w:spacing w:after="170" w:line="360" w:lineRule="auto"/>
        <w:ind w:right="10"/>
        <w:jc w:val="left"/>
      </w:pPr>
    </w:p>
    <w:p w14:paraId="1E8D4C4D" w14:textId="77777777" w:rsidR="00957059" w:rsidRDefault="0083510E">
      <w:pPr>
        <w:spacing w:after="170" w:line="259" w:lineRule="auto"/>
        <w:ind w:left="80" w:right="0" w:firstLine="0"/>
        <w:jc w:val="center"/>
      </w:pPr>
      <w:r>
        <w:rPr>
          <w:b/>
          <w:sz w:val="36"/>
        </w:rPr>
        <w:t xml:space="preserve"> </w:t>
      </w:r>
    </w:p>
    <w:p w14:paraId="2DB4F4E0" w14:textId="77777777" w:rsidR="00957059" w:rsidRDefault="0083510E">
      <w:pPr>
        <w:spacing w:after="175" w:line="259" w:lineRule="auto"/>
        <w:ind w:left="80" w:right="0" w:firstLine="0"/>
        <w:jc w:val="center"/>
      </w:pPr>
      <w:r>
        <w:rPr>
          <w:b/>
          <w:sz w:val="36"/>
        </w:rPr>
        <w:t xml:space="preserve"> </w:t>
      </w:r>
    </w:p>
    <w:p w14:paraId="1222F31E" w14:textId="77777777" w:rsidR="00957059" w:rsidRDefault="0083510E">
      <w:pPr>
        <w:spacing w:after="170" w:line="259" w:lineRule="auto"/>
        <w:ind w:left="80" w:right="0" w:firstLine="0"/>
        <w:jc w:val="center"/>
      </w:pPr>
      <w:r>
        <w:rPr>
          <w:b/>
          <w:sz w:val="36"/>
        </w:rPr>
        <w:t xml:space="preserve"> </w:t>
      </w:r>
    </w:p>
    <w:p w14:paraId="61D59326" w14:textId="77777777" w:rsidR="00957059" w:rsidRDefault="0083510E">
      <w:pPr>
        <w:spacing w:after="170" w:line="259" w:lineRule="auto"/>
        <w:ind w:left="80" w:right="0" w:firstLine="0"/>
        <w:jc w:val="center"/>
      </w:pPr>
      <w:r>
        <w:rPr>
          <w:b/>
          <w:sz w:val="36"/>
        </w:rPr>
        <w:t xml:space="preserve"> </w:t>
      </w:r>
    </w:p>
    <w:p w14:paraId="597AFD0F" w14:textId="77777777" w:rsidR="00957059" w:rsidRDefault="0083510E">
      <w:pPr>
        <w:spacing w:after="170" w:line="259" w:lineRule="auto"/>
        <w:ind w:left="80" w:right="0" w:firstLine="0"/>
        <w:jc w:val="center"/>
      </w:pPr>
      <w:r>
        <w:rPr>
          <w:b/>
          <w:sz w:val="36"/>
        </w:rPr>
        <w:t xml:space="preserve"> </w:t>
      </w:r>
    </w:p>
    <w:p w14:paraId="5E4B03A3" w14:textId="77777777" w:rsidR="00957059" w:rsidRDefault="0083510E">
      <w:pPr>
        <w:spacing w:after="170" w:line="259" w:lineRule="auto"/>
        <w:ind w:left="80" w:right="0" w:firstLine="0"/>
        <w:jc w:val="center"/>
      </w:pPr>
      <w:r>
        <w:rPr>
          <w:b/>
          <w:sz w:val="36"/>
        </w:rPr>
        <w:t xml:space="preserve"> </w:t>
      </w:r>
    </w:p>
    <w:p w14:paraId="7ED76039" w14:textId="77777777" w:rsidR="00957059" w:rsidRDefault="0083510E">
      <w:pPr>
        <w:spacing w:after="0" w:line="259" w:lineRule="auto"/>
        <w:ind w:left="80" w:right="0" w:firstLine="0"/>
        <w:jc w:val="center"/>
      </w:pPr>
      <w:r>
        <w:rPr>
          <w:b/>
          <w:sz w:val="36"/>
        </w:rPr>
        <w:t xml:space="preserve"> </w:t>
      </w:r>
    </w:p>
    <w:p w14:paraId="27936D02" w14:textId="77777777" w:rsidR="00957059" w:rsidRPr="00B01997" w:rsidRDefault="0083510E" w:rsidP="00B01997">
      <w:pPr>
        <w:pStyle w:val="Heading2"/>
        <w:spacing w:line="360" w:lineRule="auto"/>
        <w:ind w:left="-5" w:right="0"/>
        <w:rPr>
          <w:sz w:val="24"/>
        </w:rPr>
      </w:pPr>
      <w:r w:rsidRPr="00B01997">
        <w:rPr>
          <w:sz w:val="24"/>
        </w:rPr>
        <w:lastRenderedPageBreak/>
        <w:t xml:space="preserve">Executive Summary </w:t>
      </w:r>
    </w:p>
    <w:p w14:paraId="5DC9BAC5" w14:textId="06384C8F" w:rsidR="00957059" w:rsidRPr="00B01997" w:rsidRDefault="0083510E" w:rsidP="00B01997">
      <w:pPr>
        <w:spacing w:after="112" w:line="360" w:lineRule="auto"/>
        <w:ind w:left="-5" w:right="0"/>
        <w:jc w:val="left"/>
      </w:pPr>
      <w:r w:rsidRPr="00B01997">
        <w:t>The City Hotel is an ageing institution that suffered a very serious revenue decline, very low occupancy, and lost customer satisfaction in the last three consecutive years. The financial pressures that it has faced are how serious in terms of falls by 56% between 2021 and 2023, creating operational losses due to high fixed costs and incorrect and inadequate cost-cutting measures. The key challenges would be an epidemic, stiff costs, and increased operating costs with the incorporation of macroeconomic factors. A turnaround plan will help stabilise financial issues and ensure customer delight through serving local as well as business clients; also, a revamp of events as well as digital marketing. Control of cost shall be exercised by proper management of staff and efficiency in the energy consumption, fine-tuning of customer experience. Debt restructuring and monetising of non-core assets may ensure stability in the long-term period. The strategy recommended should be based on a maximisation of revenues and increased cost efficiency in bringing back The City Hotel to profitability and restoring it to its former glory. If this fails, the next course of action should be the sale or merging of the business operation.</w:t>
      </w:r>
    </w:p>
    <w:p w14:paraId="1F0EF7A0" w14:textId="77777777" w:rsidR="00957059" w:rsidRPr="00B01997" w:rsidRDefault="0083510E" w:rsidP="009B35BE">
      <w:pPr>
        <w:spacing w:after="60" w:line="360" w:lineRule="auto"/>
        <w:ind w:left="80" w:right="0" w:firstLine="0"/>
        <w:jc w:val="left"/>
      </w:pPr>
      <w:r w:rsidRPr="00B01997">
        <w:t xml:space="preserve"> </w:t>
      </w:r>
    </w:p>
    <w:p w14:paraId="1C3E89B9" w14:textId="77777777" w:rsidR="00957059" w:rsidRDefault="0083510E">
      <w:pPr>
        <w:spacing w:after="115" w:line="259" w:lineRule="auto"/>
        <w:ind w:left="0" w:right="0" w:firstLine="0"/>
        <w:jc w:val="left"/>
      </w:pPr>
      <w:r>
        <w:t xml:space="preserve"> </w:t>
      </w:r>
    </w:p>
    <w:p w14:paraId="26363475" w14:textId="77777777" w:rsidR="00957059" w:rsidRDefault="0083510E">
      <w:pPr>
        <w:spacing w:after="115" w:line="259" w:lineRule="auto"/>
        <w:ind w:left="0" w:right="0" w:firstLine="0"/>
        <w:jc w:val="left"/>
      </w:pPr>
      <w:r>
        <w:t xml:space="preserve"> </w:t>
      </w:r>
    </w:p>
    <w:p w14:paraId="08873377" w14:textId="77777777" w:rsidR="00957059" w:rsidRDefault="0083510E">
      <w:pPr>
        <w:spacing w:after="115" w:line="259" w:lineRule="auto"/>
        <w:ind w:left="0" w:right="0" w:firstLine="0"/>
        <w:jc w:val="left"/>
      </w:pPr>
      <w:r>
        <w:t xml:space="preserve"> </w:t>
      </w:r>
    </w:p>
    <w:p w14:paraId="45CE103B" w14:textId="77777777" w:rsidR="00957059" w:rsidRDefault="0083510E">
      <w:pPr>
        <w:spacing w:after="115" w:line="259" w:lineRule="auto"/>
        <w:ind w:left="0" w:right="0" w:firstLine="0"/>
        <w:jc w:val="left"/>
      </w:pPr>
      <w:r>
        <w:t xml:space="preserve"> </w:t>
      </w:r>
    </w:p>
    <w:p w14:paraId="0D518386" w14:textId="77777777" w:rsidR="00957059" w:rsidRDefault="0083510E">
      <w:pPr>
        <w:spacing w:after="110" w:line="259" w:lineRule="auto"/>
        <w:ind w:left="0" w:right="0" w:firstLine="0"/>
        <w:jc w:val="left"/>
      </w:pPr>
      <w:r>
        <w:t xml:space="preserve"> </w:t>
      </w:r>
    </w:p>
    <w:p w14:paraId="0B2F683A" w14:textId="77777777" w:rsidR="00957059" w:rsidRDefault="0083510E">
      <w:pPr>
        <w:spacing w:after="115" w:line="259" w:lineRule="auto"/>
        <w:ind w:left="0" w:right="0" w:firstLine="0"/>
        <w:jc w:val="left"/>
      </w:pPr>
      <w:r>
        <w:t xml:space="preserve"> </w:t>
      </w:r>
    </w:p>
    <w:p w14:paraId="34BE238E" w14:textId="77777777" w:rsidR="00957059" w:rsidRDefault="0083510E">
      <w:pPr>
        <w:spacing w:after="115" w:line="259" w:lineRule="auto"/>
        <w:ind w:left="0" w:right="0" w:firstLine="0"/>
        <w:jc w:val="left"/>
      </w:pPr>
      <w:r>
        <w:t xml:space="preserve"> </w:t>
      </w:r>
    </w:p>
    <w:p w14:paraId="7D66D80C" w14:textId="77777777" w:rsidR="00957059" w:rsidRDefault="0083510E">
      <w:pPr>
        <w:spacing w:after="114" w:line="259" w:lineRule="auto"/>
        <w:ind w:left="0" w:right="0" w:firstLine="0"/>
        <w:jc w:val="left"/>
      </w:pPr>
      <w:r>
        <w:t xml:space="preserve"> </w:t>
      </w:r>
    </w:p>
    <w:p w14:paraId="6D7B3FEA" w14:textId="77777777" w:rsidR="00957059" w:rsidRDefault="0083510E">
      <w:pPr>
        <w:spacing w:after="115" w:line="259" w:lineRule="auto"/>
        <w:ind w:left="0" w:right="0" w:firstLine="0"/>
        <w:jc w:val="left"/>
      </w:pPr>
      <w:r>
        <w:t xml:space="preserve"> </w:t>
      </w:r>
    </w:p>
    <w:p w14:paraId="2C4FE214" w14:textId="77777777" w:rsidR="00957059" w:rsidRDefault="0083510E">
      <w:pPr>
        <w:spacing w:after="110" w:line="259" w:lineRule="auto"/>
        <w:ind w:left="0" w:right="0" w:firstLine="0"/>
        <w:jc w:val="left"/>
      </w:pPr>
      <w:r>
        <w:t xml:space="preserve"> </w:t>
      </w:r>
    </w:p>
    <w:p w14:paraId="0FA0ECAA" w14:textId="77777777" w:rsidR="00957059" w:rsidRDefault="0083510E">
      <w:pPr>
        <w:spacing w:after="115" w:line="259" w:lineRule="auto"/>
        <w:ind w:left="0" w:right="0" w:firstLine="0"/>
        <w:jc w:val="left"/>
      </w:pPr>
      <w:r>
        <w:t xml:space="preserve"> </w:t>
      </w:r>
    </w:p>
    <w:p w14:paraId="2BA3EF9B" w14:textId="77777777" w:rsidR="00957059" w:rsidRDefault="0083510E">
      <w:pPr>
        <w:spacing w:after="115" w:line="259" w:lineRule="auto"/>
        <w:ind w:left="0" w:right="0" w:firstLine="0"/>
        <w:jc w:val="left"/>
      </w:pPr>
      <w:r>
        <w:t xml:space="preserve"> </w:t>
      </w:r>
    </w:p>
    <w:p w14:paraId="4B2BC97A" w14:textId="77777777" w:rsidR="00957059" w:rsidRDefault="0083510E">
      <w:pPr>
        <w:spacing w:after="0" w:line="259" w:lineRule="auto"/>
        <w:ind w:left="0" w:right="0" w:firstLine="0"/>
        <w:jc w:val="left"/>
      </w:pPr>
      <w:r>
        <w:t xml:space="preserve"> </w:t>
      </w:r>
    </w:p>
    <w:sdt>
      <w:sdtPr>
        <w:rPr>
          <w:b w:val="0"/>
          <w:sz w:val="24"/>
        </w:rPr>
        <w:id w:val="-1212333035"/>
        <w:docPartObj>
          <w:docPartGallery w:val="Table of Contents"/>
        </w:docPartObj>
      </w:sdtPr>
      <w:sdtEndPr/>
      <w:sdtContent>
        <w:p w14:paraId="59F50F18" w14:textId="77777777" w:rsidR="007E2A89" w:rsidRDefault="007E2A89">
          <w:pPr>
            <w:pStyle w:val="Heading2"/>
            <w:spacing w:after="165"/>
            <w:ind w:left="-5" w:right="0"/>
            <w:rPr>
              <w:b w:val="0"/>
              <w:sz w:val="24"/>
            </w:rPr>
          </w:pPr>
        </w:p>
        <w:p w14:paraId="22CACADC" w14:textId="77777777" w:rsidR="007E2A89" w:rsidRDefault="007E2A89">
          <w:pPr>
            <w:pStyle w:val="Heading2"/>
            <w:spacing w:after="165"/>
            <w:ind w:left="-5" w:right="0"/>
            <w:rPr>
              <w:b w:val="0"/>
              <w:sz w:val="24"/>
            </w:rPr>
          </w:pPr>
        </w:p>
        <w:p w14:paraId="69DD21B0" w14:textId="2950FB70" w:rsidR="00957059" w:rsidRDefault="0083510E">
          <w:pPr>
            <w:pStyle w:val="Heading2"/>
            <w:spacing w:after="165"/>
            <w:ind w:left="-5" w:right="0"/>
          </w:pPr>
          <w:r>
            <w:t xml:space="preserve">Table of Contents </w:t>
          </w:r>
        </w:p>
        <w:p w14:paraId="08D561D6" w14:textId="0AB37F3E" w:rsidR="007E2A89" w:rsidRDefault="0083510E">
          <w:pPr>
            <w:pStyle w:val="TOC1"/>
            <w:tabs>
              <w:tab w:val="right" w:leader="dot" w:pos="9024"/>
            </w:tabs>
            <w:rPr>
              <w:rFonts w:asciiTheme="minorHAnsi" w:eastAsiaTheme="minorEastAsia" w:hAnsiTheme="minorHAnsi" w:cstheme="minorBidi"/>
              <w:noProof/>
              <w:color w:val="auto"/>
            </w:rPr>
          </w:pPr>
          <w:r>
            <w:fldChar w:fldCharType="begin"/>
          </w:r>
          <w:r>
            <w:instrText xml:space="preserve"> TOC \o "1-1" \h \z \u </w:instrText>
          </w:r>
          <w:r>
            <w:fldChar w:fldCharType="separate"/>
          </w:r>
          <w:hyperlink w:anchor="_Toc182432787" w:history="1">
            <w:r w:rsidR="007E2A89" w:rsidRPr="00503956">
              <w:rPr>
                <w:rStyle w:val="Hyperlink"/>
                <w:noProof/>
              </w:rPr>
              <w:t>Introduction</w:t>
            </w:r>
            <w:r w:rsidR="007E2A89">
              <w:rPr>
                <w:noProof/>
                <w:webHidden/>
              </w:rPr>
              <w:tab/>
            </w:r>
            <w:r w:rsidR="007E2A89">
              <w:rPr>
                <w:noProof/>
                <w:webHidden/>
              </w:rPr>
              <w:fldChar w:fldCharType="begin"/>
            </w:r>
            <w:r w:rsidR="007E2A89">
              <w:rPr>
                <w:noProof/>
                <w:webHidden/>
              </w:rPr>
              <w:instrText xml:space="preserve"> PAGEREF _Toc182432787 \h </w:instrText>
            </w:r>
            <w:r w:rsidR="007E2A89">
              <w:rPr>
                <w:noProof/>
                <w:webHidden/>
              </w:rPr>
            </w:r>
            <w:r w:rsidR="007E2A89">
              <w:rPr>
                <w:noProof/>
                <w:webHidden/>
              </w:rPr>
              <w:fldChar w:fldCharType="separate"/>
            </w:r>
            <w:r w:rsidR="007E2A89">
              <w:rPr>
                <w:noProof/>
                <w:webHidden/>
              </w:rPr>
              <w:t>4</w:t>
            </w:r>
            <w:r w:rsidR="007E2A89">
              <w:rPr>
                <w:noProof/>
                <w:webHidden/>
              </w:rPr>
              <w:fldChar w:fldCharType="end"/>
            </w:r>
          </w:hyperlink>
        </w:p>
        <w:p w14:paraId="7D16FD7E" w14:textId="4AAE27DD" w:rsidR="007E2A89" w:rsidRDefault="007E2A89">
          <w:pPr>
            <w:pStyle w:val="TOC1"/>
            <w:tabs>
              <w:tab w:val="right" w:leader="dot" w:pos="9024"/>
            </w:tabs>
            <w:rPr>
              <w:rFonts w:asciiTheme="minorHAnsi" w:eastAsiaTheme="minorEastAsia" w:hAnsiTheme="minorHAnsi" w:cstheme="minorBidi"/>
              <w:noProof/>
              <w:color w:val="auto"/>
            </w:rPr>
          </w:pPr>
          <w:hyperlink w:anchor="_Toc182432788" w:history="1">
            <w:r w:rsidRPr="00503956">
              <w:rPr>
                <w:rStyle w:val="Hyperlink"/>
                <w:noProof/>
              </w:rPr>
              <w:t>Analysis of Financial Performance (2021-2023)</w:t>
            </w:r>
            <w:r>
              <w:rPr>
                <w:noProof/>
                <w:webHidden/>
              </w:rPr>
              <w:tab/>
            </w:r>
            <w:r>
              <w:rPr>
                <w:noProof/>
                <w:webHidden/>
              </w:rPr>
              <w:fldChar w:fldCharType="begin"/>
            </w:r>
            <w:r>
              <w:rPr>
                <w:noProof/>
                <w:webHidden/>
              </w:rPr>
              <w:instrText xml:space="preserve"> PAGEREF _Toc182432788 \h </w:instrText>
            </w:r>
            <w:r>
              <w:rPr>
                <w:noProof/>
                <w:webHidden/>
              </w:rPr>
            </w:r>
            <w:r>
              <w:rPr>
                <w:noProof/>
                <w:webHidden/>
              </w:rPr>
              <w:fldChar w:fldCharType="separate"/>
            </w:r>
            <w:r>
              <w:rPr>
                <w:noProof/>
                <w:webHidden/>
              </w:rPr>
              <w:t>4</w:t>
            </w:r>
            <w:r>
              <w:rPr>
                <w:noProof/>
                <w:webHidden/>
              </w:rPr>
              <w:fldChar w:fldCharType="end"/>
            </w:r>
          </w:hyperlink>
        </w:p>
        <w:p w14:paraId="7607D829" w14:textId="5A1155E2" w:rsidR="007E2A89" w:rsidRDefault="007E2A89">
          <w:pPr>
            <w:pStyle w:val="TOC1"/>
            <w:tabs>
              <w:tab w:val="right" w:leader="dot" w:pos="9024"/>
            </w:tabs>
            <w:rPr>
              <w:rFonts w:asciiTheme="minorHAnsi" w:eastAsiaTheme="minorEastAsia" w:hAnsiTheme="minorHAnsi" w:cstheme="minorBidi"/>
              <w:noProof/>
              <w:color w:val="auto"/>
            </w:rPr>
          </w:pPr>
          <w:hyperlink w:anchor="_Toc182432789" w:history="1">
            <w:r w:rsidRPr="00503956">
              <w:rPr>
                <w:rStyle w:val="Hyperlink"/>
                <w:noProof/>
              </w:rPr>
              <w:t>Key Reasons Behind the Decline in Profitability</w:t>
            </w:r>
            <w:r>
              <w:rPr>
                <w:noProof/>
                <w:webHidden/>
              </w:rPr>
              <w:tab/>
            </w:r>
            <w:r>
              <w:rPr>
                <w:noProof/>
                <w:webHidden/>
              </w:rPr>
              <w:fldChar w:fldCharType="begin"/>
            </w:r>
            <w:r>
              <w:rPr>
                <w:noProof/>
                <w:webHidden/>
              </w:rPr>
              <w:instrText xml:space="preserve"> PAGEREF _Toc182432789 \h </w:instrText>
            </w:r>
            <w:r>
              <w:rPr>
                <w:noProof/>
                <w:webHidden/>
              </w:rPr>
            </w:r>
            <w:r>
              <w:rPr>
                <w:noProof/>
                <w:webHidden/>
              </w:rPr>
              <w:fldChar w:fldCharType="separate"/>
            </w:r>
            <w:r>
              <w:rPr>
                <w:noProof/>
                <w:webHidden/>
              </w:rPr>
              <w:t>5</w:t>
            </w:r>
            <w:r>
              <w:rPr>
                <w:noProof/>
                <w:webHidden/>
              </w:rPr>
              <w:fldChar w:fldCharType="end"/>
            </w:r>
          </w:hyperlink>
        </w:p>
        <w:p w14:paraId="25FC93CF" w14:textId="3FA4CA6D" w:rsidR="007E2A89" w:rsidRDefault="007E2A89">
          <w:pPr>
            <w:pStyle w:val="TOC1"/>
            <w:tabs>
              <w:tab w:val="right" w:leader="dot" w:pos="9024"/>
            </w:tabs>
            <w:rPr>
              <w:rFonts w:asciiTheme="minorHAnsi" w:eastAsiaTheme="minorEastAsia" w:hAnsiTheme="minorHAnsi" w:cstheme="minorBidi"/>
              <w:noProof/>
              <w:color w:val="auto"/>
            </w:rPr>
          </w:pPr>
          <w:hyperlink w:anchor="_Toc182432790" w:history="1">
            <w:r w:rsidRPr="00503956">
              <w:rPr>
                <w:rStyle w:val="Hyperlink"/>
                <w:noProof/>
              </w:rPr>
              <w:t>Turnaround Strategy for The City Hotel</w:t>
            </w:r>
            <w:r>
              <w:rPr>
                <w:noProof/>
                <w:webHidden/>
              </w:rPr>
              <w:tab/>
            </w:r>
            <w:r>
              <w:rPr>
                <w:noProof/>
                <w:webHidden/>
              </w:rPr>
              <w:fldChar w:fldCharType="begin"/>
            </w:r>
            <w:r>
              <w:rPr>
                <w:noProof/>
                <w:webHidden/>
              </w:rPr>
              <w:instrText xml:space="preserve"> PAGEREF _Toc182432790 \h </w:instrText>
            </w:r>
            <w:r>
              <w:rPr>
                <w:noProof/>
                <w:webHidden/>
              </w:rPr>
            </w:r>
            <w:r>
              <w:rPr>
                <w:noProof/>
                <w:webHidden/>
              </w:rPr>
              <w:fldChar w:fldCharType="separate"/>
            </w:r>
            <w:r>
              <w:rPr>
                <w:noProof/>
                <w:webHidden/>
              </w:rPr>
              <w:t>7</w:t>
            </w:r>
            <w:r>
              <w:rPr>
                <w:noProof/>
                <w:webHidden/>
              </w:rPr>
              <w:fldChar w:fldCharType="end"/>
            </w:r>
          </w:hyperlink>
        </w:p>
        <w:p w14:paraId="65BF29DD" w14:textId="579E7969" w:rsidR="007E2A89" w:rsidRDefault="007E2A89">
          <w:pPr>
            <w:pStyle w:val="TOC1"/>
            <w:tabs>
              <w:tab w:val="right" w:leader="dot" w:pos="9024"/>
            </w:tabs>
            <w:rPr>
              <w:rFonts w:asciiTheme="minorHAnsi" w:eastAsiaTheme="minorEastAsia" w:hAnsiTheme="minorHAnsi" w:cstheme="minorBidi"/>
              <w:noProof/>
              <w:color w:val="auto"/>
            </w:rPr>
          </w:pPr>
          <w:hyperlink w:anchor="_Toc182432791" w:history="1">
            <w:r w:rsidRPr="00503956">
              <w:rPr>
                <w:rStyle w:val="Hyperlink"/>
                <w:noProof/>
              </w:rPr>
              <w:t>Conclusion</w:t>
            </w:r>
            <w:r>
              <w:rPr>
                <w:noProof/>
                <w:webHidden/>
              </w:rPr>
              <w:tab/>
            </w:r>
            <w:r>
              <w:rPr>
                <w:noProof/>
                <w:webHidden/>
              </w:rPr>
              <w:fldChar w:fldCharType="begin"/>
            </w:r>
            <w:r>
              <w:rPr>
                <w:noProof/>
                <w:webHidden/>
              </w:rPr>
              <w:instrText xml:space="preserve"> PAGEREF _Toc182432791 \h </w:instrText>
            </w:r>
            <w:r>
              <w:rPr>
                <w:noProof/>
                <w:webHidden/>
              </w:rPr>
            </w:r>
            <w:r>
              <w:rPr>
                <w:noProof/>
                <w:webHidden/>
              </w:rPr>
              <w:fldChar w:fldCharType="separate"/>
            </w:r>
            <w:r>
              <w:rPr>
                <w:noProof/>
                <w:webHidden/>
              </w:rPr>
              <w:t>10</w:t>
            </w:r>
            <w:r>
              <w:rPr>
                <w:noProof/>
                <w:webHidden/>
              </w:rPr>
              <w:fldChar w:fldCharType="end"/>
            </w:r>
          </w:hyperlink>
        </w:p>
        <w:p w14:paraId="1DA51FCB" w14:textId="71B5EFEE" w:rsidR="00957059" w:rsidRDefault="0083510E">
          <w:r>
            <w:fldChar w:fldCharType="end"/>
          </w:r>
        </w:p>
      </w:sdtContent>
    </w:sdt>
    <w:p w14:paraId="62C16F08" w14:textId="77777777" w:rsidR="00957059" w:rsidRDefault="0083510E">
      <w:pPr>
        <w:spacing w:after="114" w:line="259" w:lineRule="auto"/>
        <w:ind w:left="0" w:right="0" w:firstLine="0"/>
        <w:jc w:val="left"/>
      </w:pPr>
      <w:r>
        <w:t xml:space="preserve"> </w:t>
      </w:r>
    </w:p>
    <w:p w14:paraId="31CD8044" w14:textId="77777777" w:rsidR="00957059" w:rsidRDefault="0083510E">
      <w:pPr>
        <w:spacing w:after="115" w:line="259" w:lineRule="auto"/>
        <w:ind w:left="0" w:right="0" w:firstLine="0"/>
        <w:jc w:val="left"/>
      </w:pPr>
      <w:r>
        <w:t xml:space="preserve"> </w:t>
      </w:r>
    </w:p>
    <w:p w14:paraId="33BE7BEF" w14:textId="5B72EB91" w:rsidR="00957059" w:rsidRDefault="00957059" w:rsidP="009C5095">
      <w:pPr>
        <w:spacing w:after="115" w:line="360" w:lineRule="auto"/>
        <w:ind w:left="0" w:right="0" w:firstLine="0"/>
        <w:jc w:val="left"/>
      </w:pPr>
    </w:p>
    <w:p w14:paraId="2DA54163" w14:textId="77777777" w:rsidR="00957059" w:rsidRDefault="0083510E">
      <w:pPr>
        <w:spacing w:after="110" w:line="259" w:lineRule="auto"/>
        <w:ind w:left="0" w:right="0" w:firstLine="0"/>
        <w:jc w:val="left"/>
      </w:pPr>
      <w:r>
        <w:t xml:space="preserve"> </w:t>
      </w:r>
    </w:p>
    <w:p w14:paraId="37CA4A55" w14:textId="77777777" w:rsidR="00957059" w:rsidRDefault="0083510E">
      <w:pPr>
        <w:spacing w:after="115" w:line="259" w:lineRule="auto"/>
        <w:ind w:left="0" w:right="0" w:firstLine="0"/>
        <w:jc w:val="left"/>
      </w:pPr>
      <w:r>
        <w:t xml:space="preserve"> </w:t>
      </w:r>
    </w:p>
    <w:p w14:paraId="669270C6" w14:textId="77777777" w:rsidR="00957059" w:rsidRDefault="0083510E">
      <w:pPr>
        <w:spacing w:after="115" w:line="259" w:lineRule="auto"/>
        <w:ind w:left="0" w:right="0" w:firstLine="0"/>
        <w:jc w:val="left"/>
      </w:pPr>
      <w:r>
        <w:t xml:space="preserve"> </w:t>
      </w:r>
    </w:p>
    <w:p w14:paraId="1AFD4A3A" w14:textId="77777777" w:rsidR="00957059" w:rsidRDefault="0083510E">
      <w:pPr>
        <w:spacing w:after="115" w:line="259" w:lineRule="auto"/>
        <w:ind w:left="0" w:right="0" w:firstLine="0"/>
        <w:jc w:val="left"/>
      </w:pPr>
      <w:r>
        <w:t xml:space="preserve"> </w:t>
      </w:r>
    </w:p>
    <w:p w14:paraId="021554F0" w14:textId="77777777" w:rsidR="00957059" w:rsidRDefault="0083510E">
      <w:pPr>
        <w:spacing w:after="115" w:line="259" w:lineRule="auto"/>
        <w:ind w:left="0" w:right="0" w:firstLine="0"/>
        <w:jc w:val="left"/>
      </w:pPr>
      <w:r>
        <w:t xml:space="preserve"> </w:t>
      </w:r>
    </w:p>
    <w:p w14:paraId="076821B4" w14:textId="77777777" w:rsidR="00957059" w:rsidRDefault="0083510E">
      <w:pPr>
        <w:spacing w:after="110" w:line="259" w:lineRule="auto"/>
        <w:ind w:left="0" w:right="0" w:firstLine="0"/>
        <w:jc w:val="left"/>
      </w:pPr>
      <w:r>
        <w:t xml:space="preserve"> </w:t>
      </w:r>
    </w:p>
    <w:p w14:paraId="40E1B7CE" w14:textId="77777777" w:rsidR="00957059" w:rsidRDefault="0083510E">
      <w:pPr>
        <w:spacing w:after="115" w:line="259" w:lineRule="auto"/>
        <w:ind w:left="0" w:right="0" w:firstLine="0"/>
        <w:jc w:val="left"/>
      </w:pPr>
      <w:r>
        <w:t xml:space="preserve"> </w:t>
      </w:r>
    </w:p>
    <w:p w14:paraId="2E553A43" w14:textId="77777777" w:rsidR="00957059" w:rsidRDefault="0083510E">
      <w:pPr>
        <w:spacing w:after="115" w:line="259" w:lineRule="auto"/>
        <w:ind w:left="0" w:right="0" w:firstLine="0"/>
        <w:jc w:val="left"/>
      </w:pPr>
      <w:r>
        <w:t xml:space="preserve"> </w:t>
      </w:r>
    </w:p>
    <w:p w14:paraId="16A8DE21" w14:textId="77777777" w:rsidR="00957059" w:rsidRDefault="0083510E">
      <w:pPr>
        <w:spacing w:after="115" w:line="259" w:lineRule="auto"/>
        <w:ind w:left="0" w:right="0" w:firstLine="0"/>
        <w:jc w:val="left"/>
      </w:pPr>
      <w:r>
        <w:t xml:space="preserve"> </w:t>
      </w:r>
    </w:p>
    <w:p w14:paraId="675E5DE5" w14:textId="77777777" w:rsidR="00957059" w:rsidRDefault="0083510E">
      <w:pPr>
        <w:spacing w:after="115" w:line="259" w:lineRule="auto"/>
        <w:ind w:left="0" w:right="0" w:firstLine="0"/>
        <w:jc w:val="left"/>
      </w:pPr>
      <w:r>
        <w:t xml:space="preserve"> </w:t>
      </w:r>
    </w:p>
    <w:p w14:paraId="2A450617" w14:textId="77777777" w:rsidR="00957059" w:rsidRDefault="0083510E">
      <w:pPr>
        <w:spacing w:after="110" w:line="259" w:lineRule="auto"/>
        <w:ind w:left="0" w:right="0" w:firstLine="0"/>
        <w:jc w:val="left"/>
      </w:pPr>
      <w:r>
        <w:t xml:space="preserve"> </w:t>
      </w:r>
    </w:p>
    <w:p w14:paraId="35076969" w14:textId="77777777" w:rsidR="00957059" w:rsidRDefault="0083510E">
      <w:pPr>
        <w:spacing w:after="115" w:line="259" w:lineRule="auto"/>
        <w:ind w:left="0" w:right="0" w:firstLine="0"/>
        <w:jc w:val="left"/>
      </w:pPr>
      <w:r>
        <w:t xml:space="preserve"> </w:t>
      </w:r>
    </w:p>
    <w:p w14:paraId="7863BECD" w14:textId="77777777" w:rsidR="00957059" w:rsidRDefault="0083510E">
      <w:pPr>
        <w:spacing w:after="115" w:line="259" w:lineRule="auto"/>
        <w:ind w:left="0" w:right="0" w:firstLine="0"/>
        <w:jc w:val="left"/>
      </w:pPr>
      <w:r>
        <w:t xml:space="preserve"> </w:t>
      </w:r>
    </w:p>
    <w:p w14:paraId="259BC0A0" w14:textId="77777777" w:rsidR="00957059" w:rsidRDefault="0083510E">
      <w:pPr>
        <w:spacing w:after="115" w:line="259" w:lineRule="auto"/>
        <w:ind w:left="0" w:right="0" w:firstLine="0"/>
        <w:jc w:val="left"/>
      </w:pPr>
      <w:r>
        <w:t xml:space="preserve"> </w:t>
      </w:r>
    </w:p>
    <w:p w14:paraId="6339813B" w14:textId="77777777" w:rsidR="00957059" w:rsidRDefault="0083510E">
      <w:pPr>
        <w:spacing w:after="115" w:line="259" w:lineRule="auto"/>
        <w:ind w:left="0" w:right="0" w:firstLine="0"/>
        <w:jc w:val="left"/>
      </w:pPr>
      <w:r>
        <w:t xml:space="preserve"> </w:t>
      </w:r>
    </w:p>
    <w:p w14:paraId="301F9CBC" w14:textId="77777777" w:rsidR="00957059" w:rsidRDefault="0083510E">
      <w:pPr>
        <w:spacing w:after="110" w:line="259" w:lineRule="auto"/>
        <w:ind w:left="0" w:right="0" w:firstLine="0"/>
        <w:jc w:val="left"/>
      </w:pPr>
      <w:r>
        <w:t xml:space="preserve"> </w:t>
      </w:r>
    </w:p>
    <w:p w14:paraId="47CCAC24" w14:textId="77777777" w:rsidR="00957059" w:rsidRDefault="0083510E">
      <w:pPr>
        <w:spacing w:after="115" w:line="259" w:lineRule="auto"/>
        <w:ind w:left="0" w:right="0" w:firstLine="0"/>
        <w:jc w:val="left"/>
      </w:pPr>
      <w:r>
        <w:t xml:space="preserve"> </w:t>
      </w:r>
    </w:p>
    <w:p w14:paraId="11F4C4BC" w14:textId="77777777" w:rsidR="00957059" w:rsidRDefault="0083510E">
      <w:pPr>
        <w:spacing w:after="115" w:line="259" w:lineRule="auto"/>
        <w:ind w:left="0" w:right="0" w:firstLine="0"/>
        <w:jc w:val="left"/>
      </w:pPr>
      <w:r>
        <w:t xml:space="preserve"> </w:t>
      </w:r>
    </w:p>
    <w:p w14:paraId="762C2A19" w14:textId="77777777" w:rsidR="00957059" w:rsidRDefault="0083510E">
      <w:pPr>
        <w:spacing w:after="115" w:line="259" w:lineRule="auto"/>
        <w:ind w:left="0" w:right="0" w:firstLine="0"/>
        <w:jc w:val="left"/>
      </w:pPr>
      <w:r>
        <w:t xml:space="preserve"> </w:t>
      </w:r>
    </w:p>
    <w:p w14:paraId="1757FE11" w14:textId="77777777" w:rsidR="00957059" w:rsidRDefault="0083510E">
      <w:pPr>
        <w:spacing w:after="115" w:line="259" w:lineRule="auto"/>
        <w:ind w:left="0" w:right="0" w:firstLine="0"/>
        <w:jc w:val="left"/>
      </w:pPr>
      <w:r>
        <w:lastRenderedPageBreak/>
        <w:t xml:space="preserve"> </w:t>
      </w:r>
    </w:p>
    <w:p w14:paraId="25BA84C1" w14:textId="77777777" w:rsidR="00957059" w:rsidRDefault="0083510E">
      <w:pPr>
        <w:spacing w:after="110" w:line="259" w:lineRule="auto"/>
        <w:ind w:left="0" w:right="0" w:firstLine="0"/>
        <w:jc w:val="left"/>
      </w:pPr>
      <w:r>
        <w:t xml:space="preserve"> </w:t>
      </w:r>
    </w:p>
    <w:p w14:paraId="7F83AAE3" w14:textId="77777777" w:rsidR="00957059" w:rsidRDefault="0083510E">
      <w:pPr>
        <w:spacing w:after="115" w:line="259" w:lineRule="auto"/>
        <w:ind w:left="0" w:right="0" w:firstLine="0"/>
        <w:jc w:val="left"/>
      </w:pPr>
      <w:r>
        <w:t xml:space="preserve"> </w:t>
      </w:r>
    </w:p>
    <w:p w14:paraId="793FD14E" w14:textId="77777777" w:rsidR="00957059" w:rsidRDefault="0083510E">
      <w:pPr>
        <w:spacing w:after="0" w:line="259" w:lineRule="auto"/>
        <w:ind w:left="0" w:right="0" w:firstLine="0"/>
        <w:jc w:val="left"/>
      </w:pPr>
      <w:r>
        <w:t xml:space="preserve"> </w:t>
      </w:r>
    </w:p>
    <w:p w14:paraId="204D8D81" w14:textId="77777777" w:rsidR="00957059" w:rsidRDefault="0083510E">
      <w:pPr>
        <w:pStyle w:val="Heading1"/>
        <w:ind w:left="-5" w:right="0"/>
      </w:pPr>
      <w:bookmarkStart w:id="0" w:name="_Toc182432787"/>
      <w:r>
        <w:t>Introduction</w:t>
      </w:r>
      <w:bookmarkEnd w:id="0"/>
      <w:r>
        <w:t xml:space="preserve"> </w:t>
      </w:r>
    </w:p>
    <w:p w14:paraId="5A3A648E" w14:textId="77777777" w:rsidR="00957059" w:rsidRDefault="0083510E" w:rsidP="009B35BE">
      <w:pPr>
        <w:spacing w:after="464" w:line="360" w:lineRule="auto"/>
        <w:ind w:left="-6" w:right="0" w:hanging="11"/>
        <w:jc w:val="left"/>
      </w:pPr>
      <w:r>
        <w:t xml:space="preserve">This case study demonstrates for many years, this city hotel had been an institution, providing restaurant, bar, and event facilities to urban clients. Recently, however, it's been a dive in terms of revenue, occupancy rate, and customer satisfaction. The survival of the hotel would be at risk. Based on the current financial situation, and its stressful nature, the owner now seeks professional advice about whether there is a possibility to turn the business around or if some alternative feasible financial outcome needs to be accepted. This report assesses the financial performance of the City Hotel for the last three years, mainly focusing on the reasons why profitability has decreased in the company and provides a full-fledged strategy to re-captivate its financial health and reputation. </w:t>
      </w:r>
    </w:p>
    <w:p w14:paraId="0D307B7F" w14:textId="77777777" w:rsidR="00957059" w:rsidRDefault="0083510E" w:rsidP="009B35BE">
      <w:pPr>
        <w:pStyle w:val="Heading1"/>
        <w:spacing w:line="360" w:lineRule="auto"/>
        <w:ind w:left="-5" w:right="0"/>
      </w:pPr>
      <w:bookmarkStart w:id="1" w:name="_Toc182432788"/>
      <w:r>
        <w:t>Analysis of Financial Performance (2021-2023)</w:t>
      </w:r>
      <w:bookmarkEnd w:id="1"/>
      <w:r>
        <w:t xml:space="preserve"> </w:t>
      </w:r>
    </w:p>
    <w:p w14:paraId="17FE7DCC" w14:textId="77777777" w:rsidR="00957059" w:rsidRDefault="0083510E" w:rsidP="009B35BE">
      <w:pPr>
        <w:spacing w:line="360" w:lineRule="auto"/>
        <w:ind w:left="-5" w:right="0"/>
        <w:jc w:val="left"/>
      </w:pPr>
      <w:r>
        <w:t xml:space="preserve">For the evaluation of the financial performance of The City Hotel for the last three years, the most important indicators of performance are revenue, expenses, profitability, liquidity, and solvency. </w:t>
      </w:r>
    </w:p>
    <w:p w14:paraId="192CB99A" w14:textId="77777777" w:rsidR="00957059" w:rsidRDefault="0083510E" w:rsidP="009B35BE">
      <w:pPr>
        <w:spacing w:after="112" w:line="360" w:lineRule="auto"/>
        <w:ind w:left="-5" w:right="0"/>
        <w:jc w:val="left"/>
      </w:pPr>
      <w:r>
        <w:rPr>
          <w:b/>
        </w:rPr>
        <w:t xml:space="preserve">Revenue: </w:t>
      </w:r>
    </w:p>
    <w:p w14:paraId="63D90F27" w14:textId="2D676A33" w:rsidR="00957059" w:rsidRDefault="0083510E" w:rsidP="009B35BE">
      <w:pPr>
        <w:spacing w:line="360" w:lineRule="auto"/>
        <w:ind w:left="-5" w:right="0"/>
        <w:jc w:val="left"/>
      </w:pPr>
      <w:r>
        <w:t xml:space="preserve">The revenue of the hotel declined sharply and was reduced from £5.25 million in 2021 to £2.32 million in 2023, resulting in a reduction of 56%. This greatly declining revenue indicates significant reductions in business volume, probably due to reduced occupancy rates, fewer bookings for events and, as if not enough, the pressure from the external market-external shocks, which may include various economic downturns or changes in consumer preferences. Some of these events might be real-life events, which worsen the position of hotels regarding their revenue, such as the COVID-19 pandemic affecting the globe. </w:t>
      </w:r>
    </w:p>
    <w:p w14:paraId="19272C94" w14:textId="77777777" w:rsidR="00957059" w:rsidRDefault="0083510E" w:rsidP="009B35BE">
      <w:pPr>
        <w:spacing w:after="112" w:line="360" w:lineRule="auto"/>
        <w:ind w:left="-5" w:right="0"/>
        <w:jc w:val="left"/>
      </w:pPr>
      <w:r>
        <w:rPr>
          <w:b/>
        </w:rPr>
        <w:t xml:space="preserve">Expenses: </w:t>
      </w:r>
    </w:p>
    <w:p w14:paraId="66149E36" w14:textId="77777777" w:rsidR="001F1A37" w:rsidRDefault="0083510E" w:rsidP="009B35BE">
      <w:pPr>
        <w:spacing w:line="360" w:lineRule="auto"/>
        <w:ind w:left="-5" w:right="0"/>
        <w:jc w:val="left"/>
      </w:pPr>
      <w:r>
        <w:t xml:space="preserve">The hotel was trying to cut down on overall expenses in line with the reduction of revenues, although the expense cuts were not balanced. Employee cost, the single biggest area of expense is overtaken by expenditure on external expenses and fixed charges, which did not </w:t>
      </w:r>
      <w:r>
        <w:lastRenderedPageBreak/>
        <w:t xml:space="preserve">fall significantly as well (Hayes, Hayes, and Hayes, 2021). The employee cost declined from £1.72 million in 2021 to £1.23 million in 2023 representing just a slight decline compared to the scale of the revenue fall. Like external costs, external expenses declined from £1.89 million in 2021 to £1.07 million in 2023. The fixed cost burden burdening this hotel, such as depreciation, rent, and taxes, has been huge and endured for a long time and contributes towards the total loss of the hotel. </w:t>
      </w:r>
    </w:p>
    <w:p w14:paraId="0EE5E257" w14:textId="5EC5D1F5" w:rsidR="00957059" w:rsidRDefault="0083510E" w:rsidP="009B35BE">
      <w:pPr>
        <w:spacing w:line="360" w:lineRule="auto"/>
        <w:ind w:left="-5" w:right="0"/>
        <w:jc w:val="left"/>
      </w:pPr>
      <w:r>
        <w:rPr>
          <w:b/>
        </w:rPr>
        <w:t xml:space="preserve">Profitability </w:t>
      </w:r>
    </w:p>
    <w:p w14:paraId="2428DC67" w14:textId="77777777" w:rsidR="00957059" w:rsidRDefault="0083510E" w:rsidP="009B35BE">
      <w:pPr>
        <w:spacing w:line="360" w:lineRule="auto"/>
        <w:ind w:left="-5" w:right="0"/>
        <w:jc w:val="left"/>
      </w:pPr>
      <w:r>
        <w:t xml:space="preserve">Whereas in years 2021 and 2022, The City Hotel was still profitable, whereas in 2023, the hotel suffered a massive operating loss amounting to £1.22 million. The profitability reversal mainly occurred through the severe decrease in revenue along with fixed costs that could not be reduced to the extent needed. This resulted in expanding the gap between costs and income and led the company to suffer net losses for the first time in three years.  </w:t>
      </w:r>
    </w:p>
    <w:p w14:paraId="4E9C291E" w14:textId="77777777" w:rsidR="00957059" w:rsidRDefault="0083510E" w:rsidP="009B35BE">
      <w:pPr>
        <w:spacing w:after="112" w:line="360" w:lineRule="auto"/>
        <w:ind w:left="-5" w:right="0"/>
        <w:jc w:val="left"/>
      </w:pPr>
      <w:r>
        <w:rPr>
          <w:b/>
        </w:rPr>
        <w:t xml:space="preserve">Liquidity: </w:t>
      </w:r>
    </w:p>
    <w:p w14:paraId="57E24B99" w14:textId="77777777" w:rsidR="00957059" w:rsidRDefault="0083510E" w:rsidP="009B35BE">
      <w:pPr>
        <w:spacing w:line="360" w:lineRule="auto"/>
        <w:ind w:left="-5" w:right="0"/>
        <w:jc w:val="left"/>
      </w:pPr>
      <w:r>
        <w:t xml:space="preserve">The liquidity status of the hotel has deteriorated severely over the years. Cash and cash equivalents have declined from £740,590 in the year 2021 to £295,510 in the year 2023. This presents a stressed condition whereby the hotel cannot meet its immediate financial obligations. Current assets also present this trend, therefore suggesting solvency issues that imperil the effectiveness of the hotel in running the day-to-day running and meeting all obligations (Chang, Gan, and Mohsin, 2022). </w:t>
      </w:r>
    </w:p>
    <w:p w14:paraId="1F7B1569" w14:textId="77777777" w:rsidR="00957059" w:rsidRDefault="0083510E" w:rsidP="009B35BE">
      <w:pPr>
        <w:spacing w:after="112" w:line="360" w:lineRule="auto"/>
        <w:ind w:left="-5" w:right="0"/>
        <w:jc w:val="left"/>
      </w:pPr>
      <w:r>
        <w:rPr>
          <w:b/>
        </w:rPr>
        <w:t xml:space="preserve">Solvency: </w:t>
      </w:r>
    </w:p>
    <w:p w14:paraId="4FF1150A" w14:textId="77777777" w:rsidR="00957059" w:rsidRDefault="0083510E" w:rsidP="009B35BE">
      <w:pPr>
        <w:spacing w:after="469" w:line="360" w:lineRule="auto"/>
        <w:ind w:left="-5" w:right="0"/>
        <w:jc w:val="left"/>
      </w:pPr>
      <w:r>
        <w:t>The solvency status of the City Hotel too has deteriorated. Long-term borrowings increased marginally from £8.11 million in 2021 to £8.29 million in 2023, hence increasing the financial burden on the business. The hotel showed retained earnings on the upside, while net income moved on a flip from a profit of £333,930 in 2021 into a loss of £1.13 million in 2023. This signals a downward trend in equity and reduces the capability to tackle the long-term debt of the company, indicating a negative development about the ability of the company to keep solvent going forward (</w:t>
      </w:r>
      <w:proofErr w:type="spellStart"/>
      <w:r>
        <w:t>Mavlutova</w:t>
      </w:r>
      <w:proofErr w:type="spellEnd"/>
      <w:r>
        <w:t xml:space="preserve"> et al., 2021). </w:t>
      </w:r>
    </w:p>
    <w:p w14:paraId="6EC10DCD" w14:textId="77777777" w:rsidR="00957059" w:rsidRDefault="0083510E" w:rsidP="009B35BE">
      <w:pPr>
        <w:pStyle w:val="Heading1"/>
        <w:spacing w:line="360" w:lineRule="auto"/>
        <w:ind w:left="-5" w:right="0"/>
      </w:pPr>
      <w:bookmarkStart w:id="2" w:name="_Toc182432789"/>
      <w:r>
        <w:lastRenderedPageBreak/>
        <w:t>Key Reasons Behind the Decline in Profitability</w:t>
      </w:r>
      <w:bookmarkEnd w:id="2"/>
      <w:r>
        <w:t xml:space="preserve"> </w:t>
      </w:r>
    </w:p>
    <w:p w14:paraId="7F3B6442" w14:textId="77777777" w:rsidR="00957059" w:rsidRDefault="0083510E" w:rsidP="009B35BE">
      <w:pPr>
        <w:spacing w:line="360" w:lineRule="auto"/>
        <w:ind w:left="-5" w:right="0"/>
        <w:jc w:val="left"/>
      </w:pPr>
      <w:r>
        <w:t xml:space="preserve">There are a set of factors involving both real-world external incidents and internal operation issues that have caused a drastic fall in the profitability of The City Hotel for the past three years. </w:t>
      </w:r>
    </w:p>
    <w:p w14:paraId="5F525182" w14:textId="77777777" w:rsidR="00FB31FD" w:rsidRDefault="00FB31FD" w:rsidP="009B35BE">
      <w:pPr>
        <w:spacing w:after="112" w:line="360" w:lineRule="auto"/>
        <w:ind w:left="-5" w:right="0"/>
        <w:jc w:val="left"/>
        <w:rPr>
          <w:b/>
        </w:rPr>
      </w:pPr>
    </w:p>
    <w:p w14:paraId="52644F1C" w14:textId="77777777" w:rsidR="00FB31FD" w:rsidRDefault="00FB31FD" w:rsidP="009B35BE">
      <w:pPr>
        <w:spacing w:after="112" w:line="360" w:lineRule="auto"/>
        <w:ind w:left="-5" w:right="0"/>
        <w:jc w:val="left"/>
        <w:rPr>
          <w:b/>
        </w:rPr>
      </w:pPr>
    </w:p>
    <w:p w14:paraId="28FBDDAD" w14:textId="77777777" w:rsidR="00FB31FD" w:rsidRDefault="00FB31FD" w:rsidP="009B35BE">
      <w:pPr>
        <w:spacing w:after="112" w:line="360" w:lineRule="auto"/>
        <w:ind w:left="-5" w:right="0"/>
        <w:jc w:val="left"/>
        <w:rPr>
          <w:b/>
        </w:rPr>
      </w:pPr>
    </w:p>
    <w:p w14:paraId="77C70EB5" w14:textId="6D3BC4DA" w:rsidR="00FB31FD" w:rsidRPr="003A1D20" w:rsidRDefault="0083510E" w:rsidP="009B35BE">
      <w:pPr>
        <w:spacing w:after="112" w:line="360" w:lineRule="auto"/>
        <w:ind w:left="-5" w:right="0"/>
        <w:jc w:val="left"/>
        <w:rPr>
          <w:sz w:val="36"/>
          <w:szCs w:val="36"/>
        </w:rPr>
      </w:pPr>
      <w:r w:rsidRPr="003A1D20">
        <w:rPr>
          <w:b/>
          <w:sz w:val="36"/>
          <w:szCs w:val="36"/>
        </w:rPr>
        <w:t xml:space="preserve">Real-World Impact: </w:t>
      </w:r>
    </w:p>
    <w:p w14:paraId="34447C5A" w14:textId="7DDF3A28" w:rsidR="00957059" w:rsidRDefault="0083510E" w:rsidP="009B35BE">
      <w:pPr>
        <w:spacing w:after="112" w:line="360" w:lineRule="auto"/>
        <w:ind w:left="-5" w:right="0"/>
        <w:jc w:val="left"/>
      </w:pPr>
      <w:r>
        <w:t xml:space="preserve">The global spread of the COVID-19 pandemic has had a devastating impact on the hospitality business. It could hardly be different for The City Hotel, which faced the brunt of its impacts. Widespread travel restrictions and event cancellations were the hallmarks of the pandemic </w:t>
      </w:r>
    </w:p>
    <w:p w14:paraId="4263678E" w14:textId="3E4C301E" w:rsidR="00957059" w:rsidRDefault="0083510E" w:rsidP="009B35BE">
      <w:pPr>
        <w:spacing w:line="360" w:lineRule="auto"/>
        <w:ind w:left="-5" w:right="0"/>
        <w:jc w:val="left"/>
      </w:pPr>
      <w:r>
        <w:t xml:space="preserve">(Demir et al., 2021). </w:t>
      </w:r>
      <w:r w:rsidR="0074115A">
        <w:t>The</w:t>
      </w:r>
      <w:r>
        <w:t xml:space="preserve"> larger tourism and hospitality sectors were disrupted, and occupancy rates and event bookings at The City Hotel went into a tailspin during the height of the pandemic, 2020-2021. Partial recovery is likely in 2022 while its long tail effects continue to reverberate through 2023, hence a more than 50% revenue decline. For instance, the pandemic has witnessed a slow and uneven recovery in travel and tourism, with potential guests still exercising caution over travelling, especially for leisure and events (Cheer et al., 2021). This is coupled with persistent public health fears, but also lockdowns and social distancing measures, which have further reduced the opportunity for the hotel to generate revenue. </w:t>
      </w:r>
    </w:p>
    <w:p w14:paraId="7A888AC6" w14:textId="65EDDAB1" w:rsidR="00957059" w:rsidRPr="003A1D20" w:rsidRDefault="0083510E" w:rsidP="009B35BE">
      <w:pPr>
        <w:spacing w:after="112" w:line="360" w:lineRule="auto"/>
        <w:ind w:left="-5" w:right="0"/>
        <w:jc w:val="left"/>
        <w:rPr>
          <w:sz w:val="36"/>
          <w:szCs w:val="36"/>
        </w:rPr>
      </w:pPr>
      <w:r w:rsidRPr="003A1D20">
        <w:rPr>
          <w:b/>
          <w:sz w:val="36"/>
          <w:szCs w:val="36"/>
        </w:rPr>
        <w:t xml:space="preserve">Inflexible Cost </w:t>
      </w:r>
      <w:r w:rsidR="008D1365" w:rsidRPr="003A1D20">
        <w:rPr>
          <w:b/>
          <w:sz w:val="36"/>
          <w:szCs w:val="36"/>
        </w:rPr>
        <w:t>Structure:</w:t>
      </w:r>
    </w:p>
    <w:p w14:paraId="6340C61D" w14:textId="0CAC76FF" w:rsidR="00957059" w:rsidRDefault="0083510E" w:rsidP="009B35BE">
      <w:pPr>
        <w:spacing w:line="360" w:lineRule="auto"/>
        <w:ind w:left="-5" w:right="0"/>
        <w:jc w:val="left"/>
      </w:pPr>
      <w:r>
        <w:t xml:space="preserve">One significant reason the hotel has fared poorly financially is a failure to downward shift its cost structure to reflect lower revenues (Noel, 2022). It partly resulted from fixed costs, such as employees' pay and external costs, including utility, maintenance, and supplier contracts, which were relatively high compared with revenues that plunged considerably. For instance, the costs of employees decreased from £1.72 million in 2021 to £1.23 million in 2023, a decline of about 28%. Revenue declined by as much as 56% over the same period. External costs, although lower, were still a substantial cost item on the hotel's books. The </w:t>
      </w:r>
      <w:r w:rsidR="0074115A">
        <w:t>large, fixed</w:t>
      </w:r>
      <w:r>
        <w:t xml:space="preserve"> costs of the City Hotel rendered it vulnerable to decreasing revenues, unable to rapidly reduce </w:t>
      </w:r>
      <w:r>
        <w:lastRenderedPageBreak/>
        <w:t>costs in line with lowered income (</w:t>
      </w:r>
      <w:proofErr w:type="spellStart"/>
      <w:r>
        <w:t>Chanyasak</w:t>
      </w:r>
      <w:proofErr w:type="spellEnd"/>
      <w:r>
        <w:t xml:space="preserve"> et al., 2022). Such a big chasm between revenues and costs that it ended up resulting in the operating loss found in 2023. </w:t>
      </w:r>
    </w:p>
    <w:p w14:paraId="46FD2DDC"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Macro-economic Conditions: </w:t>
      </w:r>
    </w:p>
    <w:p w14:paraId="79D53D44" w14:textId="77777777" w:rsidR="00957059" w:rsidRDefault="0083510E" w:rsidP="009B35BE">
      <w:pPr>
        <w:spacing w:line="360" w:lineRule="auto"/>
        <w:ind w:left="-5" w:right="0"/>
        <w:jc w:val="left"/>
      </w:pPr>
      <w:r>
        <w:t xml:space="preserve">Apart from the pandemic, macroeconomic conditions too have had a role to play in diminution of profitability at this hotel (Yacoub and </w:t>
      </w:r>
      <w:proofErr w:type="spellStart"/>
      <w:r>
        <w:t>ElHajjar</w:t>
      </w:r>
      <w:proofErr w:type="spellEnd"/>
      <w:r>
        <w:t xml:space="preserve">, 2021). Including, foremost, the period of post-pandemic rising inflation, increased labour costs, supply, and utilities demanded higher operational costs. The following energy crisis and supply chain disruptions further pushed up operational costs, as competitiveness in the urban hospitality sector reached a new peak. Market share might have been lost by the City Hotel to other competition that was best positioned to deliver competitive pricing or quality services in the market, further contributing to revenue. </w:t>
      </w:r>
    </w:p>
    <w:p w14:paraId="049C4C92"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Customer Satisfaction and Reputation Issues: </w:t>
      </w:r>
    </w:p>
    <w:p w14:paraId="7B32420B" w14:textId="77777777" w:rsidR="00957059" w:rsidRDefault="0083510E" w:rsidP="009B35BE">
      <w:pPr>
        <w:spacing w:after="467" w:line="360" w:lineRule="auto"/>
        <w:ind w:left="-5" w:right="0"/>
        <w:jc w:val="left"/>
      </w:pPr>
      <w:r>
        <w:t>This low level of customer satisfaction might have arisen from a decreased service quality due to budgetary constraints and is probably the secondary factor that exacerbated the misery of this hotel (</w:t>
      </w:r>
      <w:proofErr w:type="spellStart"/>
      <w:r>
        <w:t>Köseoglu</w:t>
      </w:r>
      <w:proofErr w:type="spellEnd"/>
      <w:r>
        <w:t xml:space="preserve">, Yick, and </w:t>
      </w:r>
      <w:proofErr w:type="spellStart"/>
      <w:r>
        <w:t>Okumus</w:t>
      </w:r>
      <w:proofErr w:type="spellEnd"/>
      <w:r>
        <w:t xml:space="preserve">, 2021). Dissatisfied customers would not revisit or recommend the hotel, and thus repeat visitors might be reduced, creating a negative impression of the hotel. Since the service industry depends on word-of-mouth publicity and guest satisfaction ratings are at a low level in this industry, it might have been one of the factors that made it impossible for this hotel to maintain balanced occupancy levels and reduced profits consequently. </w:t>
      </w:r>
    </w:p>
    <w:p w14:paraId="521CAB5D" w14:textId="77777777" w:rsidR="00957059" w:rsidRDefault="0083510E" w:rsidP="009B35BE">
      <w:pPr>
        <w:pStyle w:val="Heading1"/>
        <w:spacing w:line="360" w:lineRule="auto"/>
        <w:ind w:left="-5" w:right="0"/>
      </w:pPr>
      <w:bookmarkStart w:id="3" w:name="_Toc182432790"/>
      <w:r>
        <w:t>Turnaround Strategy for The City Hotel</w:t>
      </w:r>
      <w:bookmarkEnd w:id="3"/>
      <w:r>
        <w:t xml:space="preserve"> </w:t>
      </w:r>
    </w:p>
    <w:p w14:paraId="30E6E2EE" w14:textId="77777777" w:rsidR="00957059" w:rsidRDefault="0083510E" w:rsidP="009B35BE">
      <w:pPr>
        <w:spacing w:line="360" w:lineRule="auto"/>
        <w:ind w:left="-5" w:right="0"/>
        <w:jc w:val="left"/>
      </w:pPr>
      <w:r>
        <w:t xml:space="preserve">A turnaround strategy for the City Hotel should, therefore, focus on improving both short-run liquidity and long-run sustainability. The strategy of revenue generation, cost control, and efficiency must be embraced, building on financial obligations (Fairley, 2019). </w:t>
      </w:r>
    </w:p>
    <w:p w14:paraId="249C9DA1"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1. Revenue Generation </w:t>
      </w:r>
    </w:p>
    <w:p w14:paraId="2757E2CF"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Target Local and Business Markets: </w:t>
      </w:r>
    </w:p>
    <w:p w14:paraId="71A4F750" w14:textId="77777777" w:rsidR="00957059" w:rsidRDefault="0083510E" w:rsidP="009B35BE">
      <w:pPr>
        <w:spacing w:line="360" w:lineRule="auto"/>
        <w:ind w:left="-5" w:right="0"/>
        <w:jc w:val="left"/>
      </w:pPr>
      <w:r>
        <w:t xml:space="preserve">Recovery of the tourism industry at the worldwide level will take a long time, and therefore, The City Hotel needs to change the focus of residence to local people and business tourists </w:t>
      </w:r>
      <w:r>
        <w:lastRenderedPageBreak/>
        <w:t xml:space="preserve">(Khan et al., 2020). A staycation package can attract those who are ready to spend some part of the weekend outside their house but don't want to travel too far. This way The City Hotel will be able to gain corporate clients' focus because of its meeting venues for conferences, seminars, and retreats. Discounted rates for weekday visits, corporate membership, and meeting packages might attract business travellers. Many business travellers are slowly returning to in-person events. Engaging smaller, regional markets could form a steady stream of revenue to offset the loss of international visitors. </w:t>
      </w:r>
    </w:p>
    <w:p w14:paraId="60B0A947"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Utilise Event Space: </w:t>
      </w:r>
    </w:p>
    <w:p w14:paraId="51317244" w14:textId="08567B55" w:rsidR="001C5585" w:rsidRPr="00C91320" w:rsidRDefault="0083510E" w:rsidP="009B35BE">
      <w:pPr>
        <w:spacing w:line="360" w:lineRule="auto"/>
        <w:ind w:left="-5" w:right="0"/>
        <w:jc w:val="left"/>
        <w:rPr>
          <w:color w:val="FF0000"/>
        </w:rPr>
      </w:pPr>
      <w:r>
        <w:t>The City Hotel's event facilities constitute a significant part of the hotel's bottom line. As leisure travellers are still scarce these days, the hotel should market its facilities more vigorously for weddings, corporate functions, community gatherings, or charity events.</w:t>
      </w:r>
      <w:r w:rsidR="00656593">
        <w:t xml:space="preserve"> </w:t>
      </w:r>
    </w:p>
    <w:p w14:paraId="0F1FDF78" w14:textId="23220064" w:rsidR="009A15CD" w:rsidRPr="00C91320" w:rsidRDefault="0083510E" w:rsidP="009B35BE">
      <w:pPr>
        <w:spacing w:line="360" w:lineRule="auto"/>
        <w:ind w:left="0" w:right="0" w:firstLine="0"/>
        <w:jc w:val="left"/>
        <w:rPr>
          <w:color w:val="FF0000"/>
        </w:rPr>
      </w:pPr>
      <w:r>
        <w:t xml:space="preserve"> For that, competitive pricing, flexible booking options, and tailored packages will do the trick. Since such events normally demand a host of services - catering, accommodation, and decoration for venues, optimised bookings will enhance overall revenue per </w:t>
      </w:r>
      <w:r w:rsidR="000917E2">
        <w:t xml:space="preserve">guest. </w:t>
      </w:r>
      <w:proofErr w:type="gramStart"/>
      <w:r w:rsidR="000917E2">
        <w:t>(</w:t>
      </w:r>
      <w:r>
        <w:t xml:space="preserve"> </w:t>
      </w:r>
      <w:r w:rsidR="00BD2B43" w:rsidRPr="003C45DB">
        <w:rPr>
          <w:color w:val="3A3A3A"/>
          <w:shd w:val="clear" w:color="auto" w:fill="FFFFFF"/>
        </w:rPr>
        <w:t>Hallmann</w:t>
      </w:r>
      <w:proofErr w:type="gramEnd"/>
      <w:r w:rsidR="00BD2B43" w:rsidRPr="003C45DB">
        <w:rPr>
          <w:color w:val="3A3A3A"/>
          <w:shd w:val="clear" w:color="auto" w:fill="FFFFFF"/>
        </w:rPr>
        <w:t>, K.</w:t>
      </w:r>
      <w:r w:rsidR="000917E2">
        <w:rPr>
          <w:color w:val="3A3A3A"/>
          <w:shd w:val="clear" w:color="auto" w:fill="FFFFFF"/>
        </w:rPr>
        <w:t xml:space="preserve"> </w:t>
      </w:r>
      <w:r w:rsidR="00BD2B43" w:rsidRPr="003C45DB">
        <w:rPr>
          <w:color w:val="3A3A3A"/>
          <w:shd w:val="clear" w:color="auto" w:fill="FFFFFF"/>
        </w:rPr>
        <w:t>2024)</w:t>
      </w:r>
      <w:r w:rsidR="009A15CD">
        <w:rPr>
          <w:color w:val="3A3A3A"/>
          <w:shd w:val="clear" w:color="auto" w:fill="FFFFFF"/>
        </w:rPr>
        <w:t>.</w:t>
      </w:r>
      <w:r w:rsidR="009A15CD" w:rsidRPr="009A15CD">
        <w:t xml:space="preserve"> </w:t>
      </w:r>
      <w:r w:rsidR="009A15CD">
        <w:t xml:space="preserve">The long-term partnership relationship would have to be developed with the local businesses, event organisers, and professional associations so that a stable inflow of events will be going. </w:t>
      </w:r>
    </w:p>
    <w:p w14:paraId="54CCC8FF" w14:textId="77777777" w:rsidR="009A15CD" w:rsidRDefault="009A15CD" w:rsidP="009B35BE">
      <w:pPr>
        <w:spacing w:after="112" w:line="360" w:lineRule="auto"/>
        <w:ind w:left="-5" w:right="0"/>
        <w:jc w:val="left"/>
        <w:rPr>
          <w:b/>
        </w:rPr>
      </w:pPr>
    </w:p>
    <w:p w14:paraId="3D033215" w14:textId="4F47C6A3" w:rsidR="00BD2B43" w:rsidRPr="00C91320" w:rsidRDefault="00BD2B43" w:rsidP="009B35BE">
      <w:pPr>
        <w:spacing w:line="360" w:lineRule="auto"/>
        <w:ind w:left="-5" w:right="0"/>
        <w:jc w:val="left"/>
        <w:rPr>
          <w:color w:val="FF0000"/>
        </w:rPr>
      </w:pPr>
    </w:p>
    <w:p w14:paraId="1DD465B3" w14:textId="77777777" w:rsidR="008474A1" w:rsidRDefault="008474A1" w:rsidP="009B35BE">
      <w:pPr>
        <w:spacing w:after="112" w:line="360" w:lineRule="auto"/>
        <w:ind w:left="-5" w:right="0"/>
        <w:jc w:val="left"/>
        <w:rPr>
          <w:b/>
        </w:rPr>
      </w:pPr>
      <w:bookmarkStart w:id="4" w:name="_Hlk182436400"/>
    </w:p>
    <w:bookmarkEnd w:id="4"/>
    <w:p w14:paraId="605B9400" w14:textId="2098B7EB" w:rsidR="00957059" w:rsidRPr="003A1D20" w:rsidRDefault="0083510E" w:rsidP="009B35BE">
      <w:pPr>
        <w:spacing w:after="112" w:line="360" w:lineRule="auto"/>
        <w:ind w:left="-5" w:right="0"/>
        <w:jc w:val="left"/>
        <w:rPr>
          <w:sz w:val="36"/>
          <w:szCs w:val="36"/>
        </w:rPr>
      </w:pPr>
      <w:r w:rsidRPr="003A1D20">
        <w:rPr>
          <w:b/>
          <w:sz w:val="36"/>
          <w:szCs w:val="36"/>
        </w:rPr>
        <w:t xml:space="preserve">Digital Marketing Campaigns: </w:t>
      </w:r>
    </w:p>
    <w:p w14:paraId="3449B66B" w14:textId="77777777" w:rsidR="00957059" w:rsidRDefault="0083510E" w:rsidP="009B35BE">
      <w:pPr>
        <w:spacing w:line="360" w:lineRule="auto"/>
        <w:ind w:left="-5" w:right="0"/>
        <w:jc w:val="left"/>
      </w:pPr>
      <w:r>
        <w:t xml:space="preserve">Online marketing would be necessary, as online booking has become the new norm, and most guests prefer booking rooms and planning events themselves on such a platform. Through social media, the City Hotel can also promote services, offers, and special deals (Kumar, 2021).  The hotel will attract exposure and new customers through partnerships with influential travel bloggers or influencers. Online campaigns can be targeted towards local and regional audiences who might be interested in the hotel's staycation packages, event facilities, or business amenities.  </w:t>
      </w:r>
    </w:p>
    <w:p w14:paraId="0AE7E85D" w14:textId="1F5EB29F" w:rsidR="00957059" w:rsidRPr="003A1D20" w:rsidRDefault="00250C71" w:rsidP="00250C71">
      <w:pPr>
        <w:spacing w:after="112" w:line="360" w:lineRule="auto"/>
        <w:ind w:right="0"/>
        <w:jc w:val="left"/>
        <w:rPr>
          <w:sz w:val="36"/>
          <w:szCs w:val="36"/>
        </w:rPr>
      </w:pPr>
      <w:r>
        <w:rPr>
          <w:b/>
          <w:sz w:val="36"/>
          <w:szCs w:val="36"/>
        </w:rPr>
        <w:t>2.</w:t>
      </w:r>
      <w:r w:rsidR="0083510E" w:rsidRPr="003A1D20">
        <w:rPr>
          <w:b/>
          <w:sz w:val="36"/>
          <w:szCs w:val="36"/>
        </w:rPr>
        <w:t xml:space="preserve">Cost Control </w:t>
      </w:r>
    </w:p>
    <w:p w14:paraId="7DC9E1D1" w14:textId="77777777" w:rsidR="00957059" w:rsidRPr="003A1D20" w:rsidRDefault="0083510E" w:rsidP="009B35BE">
      <w:pPr>
        <w:spacing w:after="112" w:line="360" w:lineRule="auto"/>
        <w:ind w:left="-5" w:right="0"/>
        <w:jc w:val="left"/>
        <w:rPr>
          <w:sz w:val="36"/>
          <w:szCs w:val="36"/>
        </w:rPr>
      </w:pPr>
      <w:r w:rsidRPr="003A1D20">
        <w:rPr>
          <w:b/>
          <w:sz w:val="36"/>
          <w:szCs w:val="36"/>
        </w:rPr>
        <w:t xml:space="preserve">Human Resource Optimisation: </w:t>
      </w:r>
    </w:p>
    <w:p w14:paraId="44E90B4F" w14:textId="77777777" w:rsidR="00957059" w:rsidRDefault="0083510E" w:rsidP="009B35BE">
      <w:pPr>
        <w:spacing w:line="360" w:lineRule="auto"/>
        <w:ind w:left="-5" w:right="0"/>
        <w:jc w:val="left"/>
      </w:pPr>
      <w:r>
        <w:lastRenderedPageBreak/>
        <w:t xml:space="preserve">The volume of business would have seen a steep fall, and the hotel needs to relook at its staffing levels. Flexible staffing models such as part-time employment, or contract-based hiring may help to reduce fixed payroll costs without compromising on service quality. It can further improve the efficiency of the workforce by training employees to perform multiple tasks. This is because, at times of a change in demand, the hotel can serve people without having many full-time employees on board.  </w:t>
      </w:r>
      <w:r>
        <w:rPr>
          <w:b/>
        </w:rPr>
        <w:t xml:space="preserve">Energy and Resource Efficiency </w:t>
      </w:r>
    </w:p>
    <w:p w14:paraId="3B639D42" w14:textId="2A27098D" w:rsidR="00957059" w:rsidRDefault="0083510E" w:rsidP="009B35BE">
      <w:pPr>
        <w:spacing w:line="360" w:lineRule="auto"/>
        <w:ind w:left="-5" w:right="0"/>
        <w:jc w:val="left"/>
      </w:pPr>
      <w:r>
        <w:t>Energy and resource expenditures are some of the largest expense line items despite declining business. Energy conservation measures can save on utility bills. Energy-efficient lighting, HVAC systems, and equipment will have upfront costs for capital, but these should pay for themselves over time</w:t>
      </w:r>
      <w:r w:rsidR="001A6840">
        <w:t>.</w:t>
      </w:r>
      <w:r>
        <w:t xml:space="preserve"> </w:t>
      </w:r>
      <w:proofErr w:type="gramStart"/>
      <w:r w:rsidR="008F6384">
        <w:t>(</w:t>
      </w:r>
      <w:r>
        <w:t xml:space="preserve"> </w:t>
      </w:r>
      <w:proofErr w:type="spellStart"/>
      <w:r w:rsidR="008F6384" w:rsidRPr="003E2467">
        <w:rPr>
          <w:color w:val="3A3A3A"/>
          <w:shd w:val="clear" w:color="auto" w:fill="FFFFFF"/>
        </w:rPr>
        <w:t>Dounskaia</w:t>
      </w:r>
      <w:proofErr w:type="spellEnd"/>
      <w:proofErr w:type="gramEnd"/>
      <w:r w:rsidR="008F6384" w:rsidRPr="003E2467">
        <w:rPr>
          <w:color w:val="3A3A3A"/>
          <w:shd w:val="clear" w:color="auto" w:fill="FFFFFF"/>
        </w:rPr>
        <w:t>, N. and Shimansky, Y.P. 2020)</w:t>
      </w:r>
      <w:r w:rsidR="008F6384">
        <w:rPr>
          <w:color w:val="3A3A3A"/>
          <w:shd w:val="clear" w:color="auto" w:fill="FFFFFF"/>
        </w:rPr>
        <w:t>.</w:t>
      </w:r>
    </w:p>
    <w:p w14:paraId="7794B25B" w14:textId="148A2169" w:rsidR="00957059" w:rsidRPr="00250C71" w:rsidRDefault="009128A8" w:rsidP="009128A8">
      <w:pPr>
        <w:spacing w:after="112" w:line="360" w:lineRule="auto"/>
        <w:ind w:right="0"/>
        <w:jc w:val="left"/>
        <w:rPr>
          <w:sz w:val="36"/>
          <w:szCs w:val="36"/>
        </w:rPr>
      </w:pPr>
      <w:r>
        <w:rPr>
          <w:b/>
          <w:sz w:val="36"/>
          <w:szCs w:val="36"/>
        </w:rPr>
        <w:t>2.</w:t>
      </w:r>
      <w:r w:rsidR="0083510E" w:rsidRPr="00250C71">
        <w:rPr>
          <w:b/>
          <w:sz w:val="36"/>
          <w:szCs w:val="36"/>
        </w:rPr>
        <w:t xml:space="preserve">Operational Efficiency </w:t>
      </w:r>
    </w:p>
    <w:p w14:paraId="1E8B54E8" w14:textId="77777777" w:rsidR="00957059" w:rsidRPr="00250C71" w:rsidRDefault="0083510E" w:rsidP="009B35BE">
      <w:pPr>
        <w:spacing w:after="112" w:line="360" w:lineRule="auto"/>
        <w:ind w:left="-5" w:right="0"/>
        <w:jc w:val="left"/>
        <w:rPr>
          <w:sz w:val="36"/>
          <w:szCs w:val="36"/>
        </w:rPr>
      </w:pPr>
      <w:r w:rsidRPr="00250C71">
        <w:rPr>
          <w:b/>
          <w:sz w:val="36"/>
          <w:szCs w:val="36"/>
        </w:rPr>
        <w:t xml:space="preserve">Improve Customer Experience: </w:t>
      </w:r>
    </w:p>
    <w:p w14:paraId="624507E5" w14:textId="2D77EDC2" w:rsidR="00957059" w:rsidRDefault="0083510E" w:rsidP="009B35BE">
      <w:pPr>
        <w:spacing w:line="360" w:lineRule="auto"/>
        <w:ind w:left="-5" w:right="0"/>
        <w:jc w:val="left"/>
      </w:pPr>
      <w:r>
        <w:t>Reputation is one of the key areas of recovery of the hotel. The service quality can improve customer experiences through improved operatic actions and prompt response time (</w:t>
      </w:r>
      <w:proofErr w:type="spellStart"/>
      <w:r>
        <w:t>Nobar</w:t>
      </w:r>
      <w:proofErr w:type="spellEnd"/>
      <w:r>
        <w:t xml:space="preserve"> and Rostamzadeh, 2018).  Training programs must be held at regular intervals that strengthen staff customer interaction, as proper delivery of service occurs when the workforce is prepared to execute the task.  </w:t>
      </w:r>
    </w:p>
    <w:p w14:paraId="0D4CBE33" w14:textId="77777777" w:rsidR="00957059" w:rsidRPr="009128A8" w:rsidRDefault="0083510E" w:rsidP="009B35BE">
      <w:pPr>
        <w:spacing w:after="112" w:line="360" w:lineRule="auto"/>
        <w:ind w:left="-5" w:right="0"/>
        <w:jc w:val="left"/>
        <w:rPr>
          <w:sz w:val="36"/>
          <w:szCs w:val="36"/>
        </w:rPr>
      </w:pPr>
      <w:r w:rsidRPr="009128A8">
        <w:rPr>
          <w:b/>
          <w:sz w:val="36"/>
          <w:szCs w:val="36"/>
        </w:rPr>
        <w:t xml:space="preserve">Optimise Digital Engagement </w:t>
      </w:r>
    </w:p>
    <w:p w14:paraId="5429747B" w14:textId="0B684D29" w:rsidR="00957059" w:rsidRPr="009F6302" w:rsidRDefault="0083510E" w:rsidP="009B35BE">
      <w:pPr>
        <w:spacing w:line="360" w:lineRule="auto"/>
        <w:ind w:left="-5" w:right="0"/>
        <w:jc w:val="left"/>
        <w:rPr>
          <w:color w:val="FF0000"/>
        </w:rPr>
      </w:pPr>
      <w:r>
        <w:t xml:space="preserve">The online booking system must be straightforward to ensure easier operations and ensure a more pleasant customer experience. Promotions, special deals, as well as loyalty schemes, available through the hotel website, push customers to make direct bookings rather than relying on third-party websites. This can be further improved on the website of the hotel, making it mobile-friendly and with sections for reviews by </w:t>
      </w:r>
      <w:r w:rsidR="002A6FAD" w:rsidRPr="009F6302">
        <w:rPr>
          <w:color w:val="auto"/>
        </w:rPr>
        <w:t>customers.</w:t>
      </w:r>
      <w:r w:rsidR="002A6FAD">
        <w:rPr>
          <w:color w:val="auto"/>
        </w:rPr>
        <w:t xml:space="preserve"> (</w:t>
      </w:r>
      <w:r w:rsidRPr="009F6302">
        <w:rPr>
          <w:color w:val="auto"/>
        </w:rPr>
        <w:t xml:space="preserve"> </w:t>
      </w:r>
      <w:r w:rsidR="009E41DD">
        <w:rPr>
          <w:rFonts w:ascii="Source Sans Pro" w:hAnsi="Source Sans Pro"/>
          <w:color w:val="3A3A3A"/>
          <w:sz w:val="23"/>
          <w:szCs w:val="23"/>
          <w:shd w:val="clear" w:color="auto" w:fill="FFFFFF"/>
        </w:rPr>
        <w:t>Goodyear, V.A., Armour, K.M. and Wood, H.2019).</w:t>
      </w:r>
    </w:p>
    <w:p w14:paraId="5566773D" w14:textId="152E4D1A" w:rsidR="00957059" w:rsidRPr="001F1A37" w:rsidRDefault="001F1A37" w:rsidP="009B35BE">
      <w:pPr>
        <w:spacing w:after="0" w:line="360" w:lineRule="auto"/>
        <w:ind w:left="-5" w:right="5778"/>
        <w:jc w:val="left"/>
        <w:rPr>
          <w:sz w:val="36"/>
          <w:szCs w:val="36"/>
        </w:rPr>
      </w:pPr>
      <w:r>
        <w:rPr>
          <w:b/>
        </w:rPr>
        <w:t>4;</w:t>
      </w:r>
      <w:r w:rsidR="0083510E" w:rsidRPr="008D1365">
        <w:rPr>
          <w:b/>
        </w:rPr>
        <w:t xml:space="preserve"> </w:t>
      </w:r>
      <w:r w:rsidR="0083510E" w:rsidRPr="001F1A37">
        <w:rPr>
          <w:b/>
          <w:sz w:val="36"/>
          <w:szCs w:val="36"/>
        </w:rPr>
        <w:t>Financial</w:t>
      </w:r>
      <w:r w:rsidR="008D1365" w:rsidRPr="001F1A37">
        <w:rPr>
          <w:b/>
          <w:sz w:val="36"/>
          <w:szCs w:val="36"/>
        </w:rPr>
        <w:t xml:space="preserve"> </w:t>
      </w:r>
      <w:r w:rsidR="0083510E" w:rsidRPr="001F1A37">
        <w:rPr>
          <w:b/>
          <w:sz w:val="36"/>
          <w:szCs w:val="36"/>
        </w:rPr>
        <w:t xml:space="preserve">Restructuring Debt Refinancing: </w:t>
      </w:r>
    </w:p>
    <w:p w14:paraId="56F92FDB" w14:textId="35495FF4" w:rsidR="00957059" w:rsidRDefault="0083510E" w:rsidP="009B35BE">
      <w:pPr>
        <w:spacing w:line="360" w:lineRule="auto"/>
        <w:ind w:left="-5" w:right="0"/>
        <w:jc w:val="left"/>
      </w:pPr>
      <w:r>
        <w:t xml:space="preserve">Indeed, the long-term borrowings have gone up, and management needs to keep working on that liquidity as well as solvency improvement. Refinancing of the hotel debt can be done through better negotiations with creditors for improved terms, such as lowering the rate of </w:t>
      </w:r>
      <w:r>
        <w:lastRenderedPageBreak/>
        <w:t xml:space="preserve">interest or repayment period. Consultation with financial advisors might be necessary to restructure the debt; otherwise, this could free resources for investing in recovery by the hotel. </w:t>
      </w:r>
      <w:r w:rsidR="00582431">
        <w:t>(</w:t>
      </w:r>
      <w:r w:rsidR="00582431" w:rsidRPr="00CD0C67">
        <w:rPr>
          <w:color w:val="3A3A3A"/>
          <w:shd w:val="clear" w:color="auto" w:fill="FFFFFF"/>
        </w:rPr>
        <w:t>Mathews, S. </w:t>
      </w:r>
      <w:r w:rsidR="00582431" w:rsidRPr="00CD0C67">
        <w:rPr>
          <w:i/>
          <w:iCs/>
          <w:color w:val="3A3A3A"/>
          <w:shd w:val="clear" w:color="auto" w:fill="FFFFFF"/>
        </w:rPr>
        <w:t>et al.</w:t>
      </w:r>
      <w:r w:rsidR="00582431" w:rsidRPr="00CD0C67">
        <w:rPr>
          <w:color w:val="3A3A3A"/>
          <w:shd w:val="clear" w:color="auto" w:fill="FFFFFF"/>
        </w:rPr>
        <w:t> 2022)</w:t>
      </w:r>
      <w:r w:rsidR="00582431">
        <w:rPr>
          <w:color w:val="3A3A3A"/>
          <w:shd w:val="clear" w:color="auto" w:fill="FFFFFF"/>
        </w:rPr>
        <w:t>.</w:t>
      </w:r>
    </w:p>
    <w:p w14:paraId="30ADD673" w14:textId="77777777" w:rsidR="00957059" w:rsidRDefault="0083510E" w:rsidP="009B35BE">
      <w:pPr>
        <w:spacing w:after="112" w:line="360" w:lineRule="auto"/>
        <w:ind w:left="-5" w:right="0"/>
        <w:jc w:val="left"/>
      </w:pPr>
      <w:r>
        <w:rPr>
          <w:b/>
        </w:rPr>
        <w:t xml:space="preserve">Sale of Non-Critical Fixed Assets </w:t>
      </w:r>
    </w:p>
    <w:p w14:paraId="1808D737" w14:textId="41CDBBB4" w:rsidR="00957059" w:rsidRDefault="0083510E" w:rsidP="009B35BE">
      <w:pPr>
        <w:spacing w:line="360" w:lineRule="auto"/>
        <w:ind w:left="-5" w:right="0"/>
        <w:jc w:val="left"/>
      </w:pPr>
      <w:r>
        <w:t xml:space="preserve">The sales or leasing of non-core assets will provide an instant injection of cash for The City Hotel to overcome financial stress. Idle spaces like unused conference rooms or parking areas can be rented out to local businesses or be used as co-working spaces to increase additional revenues and reduce costs on unutilised </w:t>
      </w:r>
      <w:r w:rsidR="00DF069D">
        <w:t xml:space="preserve">spaces. </w:t>
      </w:r>
      <w:proofErr w:type="gramStart"/>
      <w:r w:rsidR="00DF069D">
        <w:t>(</w:t>
      </w:r>
      <w:r>
        <w:t xml:space="preserve"> </w:t>
      </w:r>
      <w:r w:rsidR="0057399F" w:rsidRPr="0057399F">
        <w:rPr>
          <w:color w:val="3A3A3A"/>
          <w:shd w:val="clear" w:color="auto" w:fill="FFFFFF"/>
        </w:rPr>
        <w:t>Akhtar</w:t>
      </w:r>
      <w:proofErr w:type="gramEnd"/>
      <w:r w:rsidR="0057399F" w:rsidRPr="0057399F">
        <w:rPr>
          <w:color w:val="3A3A3A"/>
          <w:shd w:val="clear" w:color="auto" w:fill="FFFFFF"/>
        </w:rPr>
        <w:t>, M. </w:t>
      </w:r>
      <w:r w:rsidR="0057399F" w:rsidRPr="0057399F">
        <w:rPr>
          <w:i/>
          <w:iCs/>
          <w:color w:val="3A3A3A"/>
          <w:shd w:val="clear" w:color="auto" w:fill="FFFFFF"/>
        </w:rPr>
        <w:t>et al.</w:t>
      </w:r>
      <w:r w:rsidR="0057399F" w:rsidRPr="0057399F">
        <w:rPr>
          <w:color w:val="3A3A3A"/>
          <w:shd w:val="clear" w:color="auto" w:fill="FFFFFF"/>
        </w:rPr>
        <w:t> 2022)</w:t>
      </w:r>
    </w:p>
    <w:p w14:paraId="26351FDD" w14:textId="77777777" w:rsidR="00957059" w:rsidRDefault="0083510E" w:rsidP="009B35BE">
      <w:pPr>
        <w:spacing w:after="110" w:line="360" w:lineRule="auto"/>
        <w:ind w:left="0" w:right="0" w:firstLine="0"/>
        <w:jc w:val="left"/>
      </w:pPr>
      <w:r>
        <w:t xml:space="preserve"> </w:t>
      </w:r>
    </w:p>
    <w:p w14:paraId="5F1434AE" w14:textId="77777777" w:rsidR="00957059" w:rsidRDefault="0083510E" w:rsidP="009B35BE">
      <w:pPr>
        <w:spacing w:after="115" w:line="360" w:lineRule="auto"/>
        <w:ind w:left="0" w:right="0" w:firstLine="0"/>
        <w:jc w:val="left"/>
      </w:pPr>
      <w:r>
        <w:t xml:space="preserve"> </w:t>
      </w:r>
    </w:p>
    <w:p w14:paraId="2535D76C" w14:textId="77777777" w:rsidR="00957059" w:rsidRDefault="0083510E" w:rsidP="009B35BE">
      <w:pPr>
        <w:spacing w:after="115" w:line="360" w:lineRule="auto"/>
        <w:ind w:left="0" w:right="0" w:firstLine="0"/>
        <w:jc w:val="left"/>
      </w:pPr>
      <w:r>
        <w:t xml:space="preserve"> </w:t>
      </w:r>
    </w:p>
    <w:p w14:paraId="1D960667" w14:textId="77777777" w:rsidR="00957059" w:rsidRDefault="0083510E" w:rsidP="009B35BE">
      <w:pPr>
        <w:spacing w:after="115" w:line="360" w:lineRule="auto"/>
        <w:ind w:left="0" w:right="0" w:firstLine="0"/>
        <w:jc w:val="left"/>
      </w:pPr>
      <w:r>
        <w:t xml:space="preserve"> </w:t>
      </w:r>
    </w:p>
    <w:p w14:paraId="1F8071CA" w14:textId="77777777" w:rsidR="00957059" w:rsidRDefault="0083510E" w:rsidP="009B35BE">
      <w:pPr>
        <w:spacing w:after="115" w:line="360" w:lineRule="auto"/>
        <w:ind w:left="0" w:right="0" w:firstLine="0"/>
        <w:jc w:val="left"/>
      </w:pPr>
      <w:r>
        <w:t xml:space="preserve"> </w:t>
      </w:r>
    </w:p>
    <w:p w14:paraId="1D9A1A17" w14:textId="77777777" w:rsidR="00957059" w:rsidRDefault="0083510E" w:rsidP="009B35BE">
      <w:pPr>
        <w:spacing w:after="110" w:line="360" w:lineRule="auto"/>
        <w:ind w:left="0" w:right="0" w:firstLine="0"/>
        <w:jc w:val="left"/>
      </w:pPr>
      <w:r>
        <w:t xml:space="preserve"> </w:t>
      </w:r>
    </w:p>
    <w:p w14:paraId="3BE7B7AD" w14:textId="77777777" w:rsidR="00957059" w:rsidRDefault="0083510E" w:rsidP="009B35BE">
      <w:pPr>
        <w:spacing w:after="0" w:line="360" w:lineRule="auto"/>
        <w:ind w:left="721" w:right="0" w:firstLine="0"/>
        <w:jc w:val="left"/>
      </w:pPr>
      <w:r>
        <w:t xml:space="preserve"> </w:t>
      </w:r>
      <w:r>
        <w:tab/>
        <w:t xml:space="preserve"> </w:t>
      </w:r>
      <w:r>
        <w:br w:type="page"/>
      </w:r>
    </w:p>
    <w:p w14:paraId="437E4116" w14:textId="77777777" w:rsidR="00957059" w:rsidRDefault="0083510E" w:rsidP="009B35BE">
      <w:pPr>
        <w:pStyle w:val="Heading1"/>
        <w:spacing w:line="360" w:lineRule="auto"/>
        <w:ind w:left="-5" w:right="0"/>
      </w:pPr>
      <w:bookmarkStart w:id="5" w:name="_Toc182432791"/>
      <w:r>
        <w:lastRenderedPageBreak/>
        <w:t>Conclusion</w:t>
      </w:r>
      <w:bookmarkEnd w:id="5"/>
      <w:r>
        <w:t xml:space="preserve"> </w:t>
      </w:r>
    </w:p>
    <w:p w14:paraId="5D93CFA4" w14:textId="77777777" w:rsidR="00957059" w:rsidRDefault="0083510E" w:rsidP="009B35BE">
      <w:pPr>
        <w:spacing w:line="360" w:lineRule="auto"/>
        <w:ind w:left="-5" w:right="0"/>
        <w:jc w:val="left"/>
      </w:pPr>
      <w:r>
        <w:t xml:space="preserve">This brings financial challenges for City Hotel as revenue dries up, costs remain at a level of high expense, and liquidity is weakened. These factors can well help in restoring the financial health of the hotel if proper revenue-generating focus can be placed on local and business markets, cost management is bettered through efficiency, and operational efficiency is implemented. This would be achievable by short-term interventions that would enhance customer experience and fixed cost reduction, while in the long-term event facilities utilisation as well as enhancing digital marketing. In effectively executing such turnaround efforts, the hotel has a better chance of bouncing back to profitability and recovering its reputation. Any alternative financial outcomes would include selling or merging the business in case these efforts fail. </w:t>
      </w:r>
    </w:p>
    <w:p w14:paraId="0A91C0F1" w14:textId="77777777" w:rsidR="00957059" w:rsidRDefault="0083510E" w:rsidP="009B35BE">
      <w:pPr>
        <w:spacing w:after="0" w:line="360" w:lineRule="auto"/>
        <w:ind w:left="721" w:right="0" w:firstLine="0"/>
        <w:jc w:val="left"/>
      </w:pPr>
      <w:r>
        <w:t xml:space="preserve"> </w:t>
      </w:r>
      <w:r>
        <w:tab/>
        <w:t xml:space="preserve"> </w:t>
      </w:r>
      <w:r>
        <w:br w:type="page"/>
      </w:r>
    </w:p>
    <w:p w14:paraId="14A3826B" w14:textId="77777777" w:rsidR="00957059" w:rsidRDefault="0083510E">
      <w:pPr>
        <w:pStyle w:val="Heading2"/>
        <w:ind w:left="-5" w:right="0"/>
      </w:pPr>
      <w:r>
        <w:lastRenderedPageBreak/>
        <w:t xml:space="preserve">References </w:t>
      </w:r>
    </w:p>
    <w:p w14:paraId="5FCF046F" w14:textId="5682BFC5" w:rsidR="00957059" w:rsidRDefault="0083510E">
      <w:pPr>
        <w:ind w:left="-5" w:right="0"/>
      </w:pPr>
      <w:r>
        <w:t xml:space="preserve">Chang, L., Gan, X. and Mohsin, M., (2022). Studying corporate liquidity and regulatory responses for economic recovery in COVID-19 crises. </w:t>
      </w:r>
      <w:r>
        <w:rPr>
          <w:i/>
        </w:rPr>
        <w:t>Economic Analysis and Policy</w:t>
      </w:r>
      <w:r>
        <w:t xml:space="preserve">, </w:t>
      </w:r>
      <w:r>
        <w:rPr>
          <w:i/>
        </w:rPr>
        <w:t>76</w:t>
      </w:r>
      <w:r>
        <w:t>, pp.211-225.</w:t>
      </w:r>
      <w:r w:rsidR="00FA17F0">
        <w:t>Available at :</w:t>
      </w:r>
      <w:hyperlink r:id="rId8" w:history="1">
        <w:r w:rsidR="00FA17F0" w:rsidRPr="00FA0C04">
          <w:rPr>
            <w:rStyle w:val="Hyperlink"/>
          </w:rPr>
          <w:t xml:space="preserve"> </w:t>
        </w:r>
      </w:hyperlink>
      <w:hyperlink r:id="rId9">
        <w:r>
          <w:t>https://doi.org/10.1016/j.eap.2022.07.004</w:t>
        </w:r>
      </w:hyperlink>
      <w:hyperlink r:id="rId10">
        <w:r>
          <w:t>.</w:t>
        </w:r>
      </w:hyperlink>
      <w:r>
        <w:t xml:space="preserve"> </w:t>
      </w:r>
    </w:p>
    <w:p w14:paraId="23E9EDB1" w14:textId="77777777" w:rsidR="00957059" w:rsidRDefault="0083510E">
      <w:pPr>
        <w:ind w:left="-5" w:right="0"/>
      </w:pPr>
      <w:proofErr w:type="spellStart"/>
      <w:r>
        <w:t>Chanyasak</w:t>
      </w:r>
      <w:proofErr w:type="spellEnd"/>
      <w:r>
        <w:t xml:space="preserve">, T., </w:t>
      </w:r>
      <w:proofErr w:type="spellStart"/>
      <w:r>
        <w:t>Koseoglu</w:t>
      </w:r>
      <w:proofErr w:type="spellEnd"/>
      <w:r>
        <w:t xml:space="preserve">, M.A., King, B. and </w:t>
      </w:r>
      <w:proofErr w:type="spellStart"/>
      <w:r>
        <w:t>Aladag</w:t>
      </w:r>
      <w:proofErr w:type="spellEnd"/>
      <w:r>
        <w:t xml:space="preserve">, O.F., (2022). Business model adaptation as a strategic response to crises: navigating the COVID-19 pandemic. </w:t>
      </w:r>
      <w:r>
        <w:rPr>
          <w:i/>
        </w:rPr>
        <w:t xml:space="preserve">International Journal of </w:t>
      </w:r>
    </w:p>
    <w:p w14:paraId="60507132" w14:textId="0B2B628D" w:rsidR="00957059" w:rsidRDefault="0083510E">
      <w:pPr>
        <w:spacing w:after="115" w:line="259" w:lineRule="auto"/>
        <w:ind w:left="-5" w:right="0"/>
      </w:pPr>
      <w:r>
        <w:rPr>
          <w:i/>
        </w:rPr>
        <w:t>Tourism Cities</w:t>
      </w:r>
      <w:r>
        <w:t xml:space="preserve">, </w:t>
      </w:r>
      <w:r>
        <w:rPr>
          <w:i/>
        </w:rPr>
        <w:t>8</w:t>
      </w:r>
      <w:r>
        <w:t>(3), pp.616-635.</w:t>
      </w:r>
      <w:r w:rsidR="00196820">
        <w:t>Available at :</w:t>
      </w:r>
      <w:r>
        <w:t xml:space="preserve"> </w:t>
      </w:r>
      <w:hyperlink r:id="rId11">
        <w:r>
          <w:t>https://doi.org/10.1108/IJTC</w:t>
        </w:r>
      </w:hyperlink>
      <w:hyperlink r:id="rId12">
        <w:r>
          <w:t>-</w:t>
        </w:r>
      </w:hyperlink>
      <w:hyperlink r:id="rId13">
        <w:r>
          <w:t>02</w:t>
        </w:r>
      </w:hyperlink>
      <w:hyperlink r:id="rId14">
        <w:r>
          <w:t>-</w:t>
        </w:r>
      </w:hyperlink>
      <w:hyperlink r:id="rId15">
        <w:r>
          <w:t>2021</w:t>
        </w:r>
      </w:hyperlink>
      <w:hyperlink r:id="rId16">
        <w:r>
          <w:t>-</w:t>
        </w:r>
      </w:hyperlink>
      <w:hyperlink r:id="rId17">
        <w:r>
          <w:t>0026</w:t>
        </w:r>
      </w:hyperlink>
      <w:hyperlink r:id="rId18">
        <w:r w:rsidR="00ED1343">
          <w:t>.</w:t>
        </w:r>
      </w:hyperlink>
    </w:p>
    <w:p w14:paraId="09137976" w14:textId="77777777" w:rsidR="00957059" w:rsidRDefault="0083510E">
      <w:pPr>
        <w:spacing w:after="114" w:line="259" w:lineRule="auto"/>
        <w:ind w:left="-5" w:right="0"/>
      </w:pPr>
      <w:r>
        <w:t xml:space="preserve">Cheer, J.M., Lapointe, D., </w:t>
      </w:r>
      <w:proofErr w:type="spellStart"/>
      <w:r>
        <w:t>Mostafanezhad</w:t>
      </w:r>
      <w:proofErr w:type="spellEnd"/>
      <w:r>
        <w:t xml:space="preserve">, M. and Jamal, T., (2021). Global tourism in crisis: </w:t>
      </w:r>
    </w:p>
    <w:p w14:paraId="4B2765BB" w14:textId="77777777" w:rsidR="00957059" w:rsidRDefault="0083510E">
      <w:pPr>
        <w:spacing w:after="115" w:line="259" w:lineRule="auto"/>
        <w:ind w:left="-5" w:right="0"/>
      </w:pPr>
      <w:r>
        <w:t xml:space="preserve">Conceptual frameworks for research and practice. </w:t>
      </w:r>
      <w:r>
        <w:rPr>
          <w:i/>
        </w:rPr>
        <w:t>Journal of Tourism Futures</w:t>
      </w:r>
      <w:r>
        <w:t xml:space="preserve">, </w:t>
      </w:r>
      <w:r>
        <w:rPr>
          <w:i/>
        </w:rPr>
        <w:t>7</w:t>
      </w:r>
      <w:r>
        <w:t>(3), pp.278-</w:t>
      </w:r>
    </w:p>
    <w:p w14:paraId="417683CF" w14:textId="5D48CA34" w:rsidR="00957059" w:rsidRPr="0063258E" w:rsidRDefault="0083510E">
      <w:pPr>
        <w:spacing w:after="151" w:line="259" w:lineRule="auto"/>
        <w:ind w:left="-5" w:right="0"/>
        <w:jc w:val="left"/>
        <w:rPr>
          <w:color w:val="156082" w:themeColor="accent1"/>
        </w:rPr>
      </w:pPr>
      <w:r>
        <w:t>294</w:t>
      </w:r>
      <w:r w:rsidR="006E3A37" w:rsidRPr="001D46AD">
        <w:rPr>
          <w:color w:val="000000" w:themeColor="text1"/>
        </w:rPr>
        <w:t>.</w:t>
      </w:r>
      <w:r w:rsidR="001D46AD" w:rsidRPr="001D46AD">
        <w:rPr>
          <w:color w:val="000000" w:themeColor="text1"/>
        </w:rPr>
        <w:t>Avaible at:</w:t>
      </w:r>
      <w:r w:rsidRPr="001D46AD">
        <w:rPr>
          <w:color w:val="000000" w:themeColor="text1"/>
        </w:rPr>
        <w:t xml:space="preserve"> </w:t>
      </w:r>
      <w:hyperlink r:id="rId19">
        <w:r w:rsidRPr="0063258E">
          <w:rPr>
            <w:color w:val="156082" w:themeColor="accent1"/>
            <w:u w:val="single" w:color="CC9900"/>
          </w:rPr>
          <w:t>https://www.emerald.com/insight/content/doi/10.1108/jtf</w:t>
        </w:r>
      </w:hyperlink>
      <w:hyperlink r:id="rId20">
        <w:r w:rsidRPr="0063258E">
          <w:rPr>
            <w:color w:val="156082" w:themeColor="accent1"/>
            <w:u w:val="single" w:color="CC9900"/>
          </w:rPr>
          <w:t>-</w:t>
        </w:r>
      </w:hyperlink>
      <w:hyperlink r:id="rId21">
        <w:r w:rsidRPr="0063258E">
          <w:rPr>
            <w:color w:val="156082" w:themeColor="accent1"/>
            <w:u w:val="single" w:color="CC9900"/>
          </w:rPr>
          <w:t>09</w:t>
        </w:r>
      </w:hyperlink>
      <w:hyperlink r:id="rId22">
        <w:r w:rsidRPr="0063258E">
          <w:rPr>
            <w:color w:val="156082" w:themeColor="accent1"/>
            <w:u w:val="single" w:color="CC9900"/>
          </w:rPr>
          <w:t>-</w:t>
        </w:r>
      </w:hyperlink>
      <w:hyperlink r:id="rId23">
        <w:r w:rsidRPr="0063258E">
          <w:rPr>
            <w:color w:val="156082" w:themeColor="accent1"/>
            <w:u w:val="single" w:color="CC9900"/>
          </w:rPr>
          <w:t>2021</w:t>
        </w:r>
      </w:hyperlink>
      <w:hyperlink r:id="rId24">
        <w:r w:rsidRPr="0063258E">
          <w:rPr>
            <w:color w:val="156082" w:themeColor="accent1"/>
            <w:u w:val="single" w:color="CC9900"/>
          </w:rPr>
          <w:t>-</w:t>
        </w:r>
      </w:hyperlink>
      <w:hyperlink r:id="rId25">
        <w:r w:rsidRPr="0063258E">
          <w:rPr>
            <w:color w:val="156082" w:themeColor="accent1"/>
            <w:u w:val="single" w:color="CC9900"/>
          </w:rPr>
          <w:t>227/full/html</w:t>
        </w:r>
      </w:hyperlink>
      <w:hyperlink r:id="rId26">
        <w:r w:rsidR="0063258E" w:rsidRPr="0063258E">
          <w:rPr>
            <w:color w:val="156082" w:themeColor="accent1"/>
          </w:rPr>
          <w:t>.</w:t>
        </w:r>
      </w:hyperlink>
    </w:p>
    <w:p w14:paraId="7AAB83F9" w14:textId="69EBF81D" w:rsidR="00957059" w:rsidRDefault="0083510E">
      <w:pPr>
        <w:ind w:left="-5" w:right="0"/>
      </w:pPr>
      <w:r>
        <w:t xml:space="preserve">Demir, M., Demir, Ş.Ş., Dalgıç, A. and Ergen, F.D., (2021). Impact of COVID-19 pandemic on the tourism industry: An evaluation from the hotel managers' perspective. </w:t>
      </w:r>
      <w:r>
        <w:rPr>
          <w:i/>
        </w:rPr>
        <w:t>Journal of Tourism Theory and Research</w:t>
      </w:r>
      <w:r>
        <w:t xml:space="preserve">, </w:t>
      </w:r>
      <w:r>
        <w:rPr>
          <w:i/>
        </w:rPr>
        <w:t>7</w:t>
      </w:r>
      <w:r>
        <w:t>(1), pp.44-57.</w:t>
      </w:r>
      <w:r w:rsidR="001D46AD">
        <w:t xml:space="preserve"> Ava</w:t>
      </w:r>
      <w:r w:rsidR="00B71416">
        <w:t>ilable at:</w:t>
      </w:r>
      <w:hyperlink r:id="rId27" w:history="1">
        <w:r w:rsidR="00B71416" w:rsidRPr="00FA0C04">
          <w:rPr>
            <w:rStyle w:val="Hyperlink"/>
          </w:rPr>
          <w:t xml:space="preserve"> </w:t>
        </w:r>
      </w:hyperlink>
      <w:hyperlink r:id="rId28">
        <w:r>
          <w:rPr>
            <w:color w:val="0B58A2"/>
            <w:u w:val="single" w:color="0B58A2"/>
          </w:rPr>
          <w:t>https://doi.org/10.24288/jttr.857610</w:t>
        </w:r>
      </w:hyperlink>
      <w:r w:rsidR="00E43562">
        <w:rPr>
          <w:color w:val="0B58A2"/>
          <w:u w:val="single" w:color="0B58A2"/>
        </w:rPr>
        <w:t>.</w:t>
      </w:r>
      <w:hyperlink r:id="rId29">
        <w:r>
          <w:t xml:space="preserve"> </w:t>
        </w:r>
      </w:hyperlink>
    </w:p>
    <w:p w14:paraId="1F388C64" w14:textId="626A8C34" w:rsidR="00957059" w:rsidRPr="0036515A" w:rsidRDefault="0083510E" w:rsidP="002469AE">
      <w:pPr>
        <w:spacing w:after="130"/>
        <w:ind w:left="-5" w:right="0"/>
      </w:pPr>
      <w:r>
        <w:t>Fairley, J., (2019). Turnaround Strategies in Destination Marketing Organizations. Tourist Destination Management: Instruments, Products, and Case Studies, pp.227-239</w:t>
      </w:r>
      <w:r w:rsidR="002B18F8">
        <w:t>.</w:t>
      </w:r>
      <w:r w:rsidR="0036515A">
        <w:t xml:space="preserve"> Available </w:t>
      </w:r>
      <w:proofErr w:type="spellStart"/>
      <w:r w:rsidR="0036515A">
        <w:t>at</w:t>
      </w:r>
      <w:r w:rsidRPr="0036515A">
        <w:t>DOI</w:t>
      </w:r>
      <w:proofErr w:type="spellEnd"/>
      <w:r w:rsidRPr="0036515A">
        <w:t>:</w:t>
      </w:r>
      <w:hyperlink r:id="rId30">
        <w:r w:rsidRPr="0036515A">
          <w:rPr>
            <w:color w:val="156082" w:themeColor="accent1"/>
          </w:rPr>
          <w:t xml:space="preserve"> </w:t>
        </w:r>
      </w:hyperlink>
      <w:hyperlink r:id="rId31">
        <w:r w:rsidRPr="0036515A">
          <w:rPr>
            <w:color w:val="156082" w:themeColor="accent1"/>
            <w:u w:val="single" w:color="CC9900"/>
          </w:rPr>
          <w:t>https://doi.org/10.70619/vol4iss2pp32</w:t>
        </w:r>
      </w:hyperlink>
      <w:hyperlink r:id="rId32">
        <w:r w:rsidRPr="0036515A">
          <w:rPr>
            <w:color w:val="156082" w:themeColor="accent1"/>
            <w:u w:val="single" w:color="CC9900"/>
          </w:rPr>
          <w:t>-</w:t>
        </w:r>
      </w:hyperlink>
      <w:hyperlink r:id="rId33">
        <w:r w:rsidRPr="0036515A">
          <w:rPr>
            <w:color w:val="156082" w:themeColor="accent1"/>
            <w:u w:val="single" w:color="CC9900"/>
          </w:rPr>
          <w:t>49</w:t>
        </w:r>
      </w:hyperlink>
      <w:hyperlink r:id="rId34">
        <w:r w:rsidRPr="0036515A">
          <w:t xml:space="preserve"> </w:t>
        </w:r>
      </w:hyperlink>
      <w:r w:rsidR="0036515A">
        <w:t>.</w:t>
      </w:r>
    </w:p>
    <w:p w14:paraId="37E030DC" w14:textId="020B307B" w:rsidR="00957059" w:rsidRPr="00DD6D80" w:rsidRDefault="0083510E" w:rsidP="00DD6D80">
      <w:pPr>
        <w:ind w:left="-5" w:right="0"/>
      </w:pPr>
      <w:r>
        <w:t xml:space="preserve">Hayes, D.K., Hayes, J.D. and Hayes, P.A., (2021). </w:t>
      </w:r>
      <w:r>
        <w:rPr>
          <w:i/>
        </w:rPr>
        <w:t>Revenue management for the hospitality industry</w:t>
      </w:r>
      <w:r>
        <w:t xml:space="preserve">. John Wiley &amp; Sons. </w:t>
      </w:r>
    </w:p>
    <w:p w14:paraId="67974BD5" w14:textId="08E571A5" w:rsidR="00B621A0" w:rsidRPr="00B621A0" w:rsidRDefault="0083510E">
      <w:pPr>
        <w:spacing w:after="3"/>
        <w:ind w:left="0" w:right="0" w:firstLine="0"/>
        <w:jc w:val="left"/>
        <w:rPr>
          <w:color w:val="156082" w:themeColor="accent1"/>
        </w:rPr>
      </w:pPr>
      <w:r>
        <w:t xml:space="preserve">Khan, N., Hassan, A.U., Fahad, S. and Naushad, M., (2020). Factors affecting the tourism industry and its impacts on the global economy of the world. </w:t>
      </w:r>
      <w:r>
        <w:rPr>
          <w:i/>
        </w:rPr>
        <w:t>Available at SSRN 3559353</w:t>
      </w:r>
      <w:r>
        <w:t xml:space="preserve">. </w:t>
      </w:r>
      <w:r w:rsidR="002469AE">
        <w:t>Available at:</w:t>
      </w:r>
      <w:r w:rsidR="003F302B">
        <w:rPr>
          <w:color w:val="156082" w:themeColor="accent1"/>
          <w:u w:val="single" w:color="CC9900"/>
        </w:rPr>
        <w:t>.</w:t>
      </w:r>
      <w:hyperlink r:id="rId35">
        <w:r>
          <w:t xml:space="preserve"> </w:t>
        </w:r>
      </w:hyperlink>
      <w:r w:rsidR="004008FB" w:rsidRPr="004008FB">
        <w:t xml:space="preserve"> </w:t>
      </w:r>
      <w:hyperlink r:id="rId36">
        <w:r w:rsidR="004008FB" w:rsidRPr="00B621A0">
          <w:rPr>
            <w:color w:val="156082" w:themeColor="accent1"/>
            <w:u w:val="single" w:color="CC9900"/>
          </w:rPr>
          <w:t>https://digitalcommons.usf.edu/m3publishing/vol17/iss9781732127593/3/</w:t>
        </w:r>
      </w:hyperlink>
      <w:r w:rsidR="004008FB" w:rsidRPr="00B621A0">
        <w:rPr>
          <w:color w:val="156082" w:themeColor="accent1"/>
          <w:u w:val="single" w:color="CC9900"/>
        </w:rPr>
        <w:t>.</w:t>
      </w:r>
    </w:p>
    <w:p w14:paraId="7BD195EC" w14:textId="3868126F" w:rsidR="00957059" w:rsidRDefault="0083510E">
      <w:pPr>
        <w:ind w:left="-5" w:right="0"/>
      </w:pPr>
      <w:proofErr w:type="spellStart"/>
      <w:r>
        <w:t>Köseoglu</w:t>
      </w:r>
      <w:proofErr w:type="spellEnd"/>
      <w:r>
        <w:t xml:space="preserve">, M.A., Yick, M.Y.Y. and </w:t>
      </w:r>
      <w:proofErr w:type="spellStart"/>
      <w:r>
        <w:t>Okumus</w:t>
      </w:r>
      <w:proofErr w:type="spellEnd"/>
      <w:r>
        <w:t xml:space="preserve">, F., (2021). Coopetition strategies for competitive intelligence practices from full-service hotels. International Journal of Hospitality Management, </w:t>
      </w:r>
      <w:r>
        <w:rPr>
          <w:i/>
        </w:rPr>
        <w:t>99</w:t>
      </w:r>
      <w:r>
        <w:t>, p.103049.</w:t>
      </w:r>
      <w:r w:rsidR="004008FB">
        <w:t xml:space="preserve"> Av</w:t>
      </w:r>
      <w:r w:rsidR="00C47E38">
        <w:t>ailable at:</w:t>
      </w:r>
      <w:r>
        <w:t xml:space="preserve"> </w:t>
      </w:r>
      <w:hyperlink r:id="rId37">
        <w:r>
          <w:t>https://doi.org/10.1016/j.ijhm.2021.103049</w:t>
        </w:r>
      </w:hyperlink>
      <w:r w:rsidR="00203C6D">
        <w:t>.</w:t>
      </w:r>
      <w:hyperlink r:id="rId38">
        <w:r>
          <w:t xml:space="preserve"> </w:t>
        </w:r>
      </w:hyperlink>
    </w:p>
    <w:p w14:paraId="3271671C" w14:textId="77777777" w:rsidR="00957059" w:rsidRDefault="0083510E">
      <w:pPr>
        <w:spacing w:after="110" w:line="259" w:lineRule="auto"/>
        <w:ind w:left="-5" w:right="0"/>
      </w:pPr>
      <w:r>
        <w:t xml:space="preserve">Kumar, P., (2021). Digital marketing in hospitality and tourism. </w:t>
      </w:r>
      <w:r>
        <w:rPr>
          <w:i/>
        </w:rPr>
        <w:t xml:space="preserve">University of South Florida </w:t>
      </w:r>
    </w:p>
    <w:p w14:paraId="438D780F" w14:textId="51BAC145" w:rsidR="00957059" w:rsidRDefault="0083510E">
      <w:pPr>
        <w:tabs>
          <w:tab w:val="center" w:pos="2280"/>
          <w:tab w:val="center" w:pos="5554"/>
          <w:tab w:val="right" w:pos="9034"/>
        </w:tabs>
        <w:spacing w:after="122" w:line="259" w:lineRule="auto"/>
        <w:ind w:left="-15" w:right="0" w:firstLine="0"/>
        <w:jc w:val="left"/>
      </w:pPr>
      <w:r>
        <w:rPr>
          <w:i/>
        </w:rPr>
        <w:t xml:space="preserve">(USF)M3 </w:t>
      </w:r>
      <w:r>
        <w:rPr>
          <w:i/>
        </w:rPr>
        <w:tab/>
        <w:t>Publishing</w:t>
      </w:r>
      <w:r>
        <w:t xml:space="preserve">, </w:t>
      </w:r>
      <w:r>
        <w:rPr>
          <w:i/>
        </w:rPr>
        <w:t>17</w:t>
      </w:r>
      <w:r>
        <w:t xml:space="preserve">(9781732127593), </w:t>
      </w:r>
      <w:r w:rsidR="00AD442C">
        <w:t>17(97817321</w:t>
      </w:r>
      <w:r w:rsidR="00A50BBE">
        <w:t>27593), p.</w:t>
      </w:r>
      <w:r>
        <w:t xml:space="preserve">3. </w:t>
      </w:r>
      <w:r w:rsidR="006B2E35">
        <w:t>Available at:</w:t>
      </w:r>
    </w:p>
    <w:bookmarkStart w:id="6" w:name="_Hlk182421342"/>
    <w:p w14:paraId="2543BDF4" w14:textId="2C55A73B" w:rsidR="00957059" w:rsidRPr="00A50BBE" w:rsidRDefault="0083510E">
      <w:pPr>
        <w:spacing w:after="4" w:line="259" w:lineRule="auto"/>
        <w:ind w:left="-5" w:right="0"/>
        <w:jc w:val="left"/>
        <w:rPr>
          <w:color w:val="156082" w:themeColor="accent1"/>
        </w:rPr>
      </w:pPr>
      <w:r w:rsidRPr="00A50BBE">
        <w:rPr>
          <w:color w:val="156082" w:themeColor="accent1"/>
        </w:rPr>
        <w:fldChar w:fldCharType="begin"/>
      </w:r>
      <w:r w:rsidRPr="00A50BBE">
        <w:rPr>
          <w:color w:val="156082" w:themeColor="accent1"/>
        </w:rPr>
        <w:instrText>HYPERLINK "https://digitalcommons.usf.edu/m3publishing/vol17/iss9781732127593/3/" \h</w:instrText>
      </w:r>
      <w:r w:rsidRPr="00A50BBE">
        <w:rPr>
          <w:color w:val="156082" w:themeColor="accent1"/>
        </w:rPr>
      </w:r>
      <w:r w:rsidRPr="00A50BBE">
        <w:rPr>
          <w:color w:val="156082" w:themeColor="accent1"/>
        </w:rPr>
        <w:fldChar w:fldCharType="separate"/>
      </w:r>
      <w:r w:rsidRPr="00A50BBE">
        <w:rPr>
          <w:color w:val="156082" w:themeColor="accent1"/>
          <w:u w:val="single" w:color="CC9900"/>
        </w:rPr>
        <w:t>https://digitalcommons.usf.edu/m3publishing/vol17/iss9781732127593/3/</w:t>
      </w:r>
      <w:r w:rsidRPr="00A50BBE">
        <w:rPr>
          <w:color w:val="156082" w:themeColor="accent1"/>
          <w:u w:val="single" w:color="CC9900"/>
        </w:rPr>
        <w:fldChar w:fldCharType="end"/>
      </w:r>
      <w:bookmarkEnd w:id="6"/>
      <w:r w:rsidRPr="00A50BBE">
        <w:rPr>
          <w:color w:val="156082" w:themeColor="accent1"/>
        </w:rPr>
        <w:fldChar w:fldCharType="begin"/>
      </w:r>
      <w:r w:rsidRPr="00A50BBE">
        <w:rPr>
          <w:color w:val="156082" w:themeColor="accent1"/>
        </w:rPr>
        <w:instrText>HYPERLINK "https://digitalcommons.usf.edu/m3publishing/vol17/iss9781732127593/3/" \h</w:instrText>
      </w:r>
      <w:r w:rsidRPr="00A50BBE">
        <w:rPr>
          <w:color w:val="156082" w:themeColor="accent1"/>
        </w:rPr>
      </w:r>
      <w:r w:rsidRPr="00A50BBE">
        <w:rPr>
          <w:color w:val="156082" w:themeColor="accent1"/>
        </w:rPr>
        <w:fldChar w:fldCharType="separate"/>
      </w:r>
      <w:r w:rsidRPr="00A50BBE">
        <w:rPr>
          <w:color w:val="156082" w:themeColor="accent1"/>
        </w:rPr>
        <w:t xml:space="preserve"> </w:t>
      </w:r>
      <w:r w:rsidRPr="00A50BBE">
        <w:rPr>
          <w:color w:val="156082" w:themeColor="accent1"/>
        </w:rPr>
        <w:fldChar w:fldCharType="end"/>
      </w:r>
      <w:r w:rsidR="00A50BBE">
        <w:rPr>
          <w:color w:val="156082" w:themeColor="accent1"/>
        </w:rPr>
        <w:t>.</w:t>
      </w:r>
    </w:p>
    <w:p w14:paraId="32DAFFB3" w14:textId="4561C6AF" w:rsidR="00957059" w:rsidRDefault="0083510E" w:rsidP="00027E8D">
      <w:pPr>
        <w:ind w:left="-5" w:right="0"/>
      </w:pPr>
      <w:proofErr w:type="spellStart"/>
      <w:r>
        <w:t>Mavlutova</w:t>
      </w:r>
      <w:proofErr w:type="spellEnd"/>
      <w:r>
        <w:t xml:space="preserve">, I., Babenko, V., Dykan, V., Prokopenko, N., </w:t>
      </w:r>
      <w:proofErr w:type="spellStart"/>
      <w:r>
        <w:t>Kalinichenko</w:t>
      </w:r>
      <w:proofErr w:type="spellEnd"/>
      <w:r>
        <w:t xml:space="preserve">, S. and </w:t>
      </w:r>
      <w:proofErr w:type="spellStart"/>
      <w:r>
        <w:t>Tokmakova</w:t>
      </w:r>
      <w:proofErr w:type="spellEnd"/>
      <w:r>
        <w:t>, I., (2021). Business restructuring is a method of strengthening a company’s financial position. Journal of Optimization in Industrial Engineering, 14(1), pp.129-139.</w:t>
      </w:r>
      <w:r w:rsidR="00027E8D">
        <w:t>Avalabile at:</w:t>
      </w:r>
    </w:p>
    <w:p w14:paraId="16904980" w14:textId="06A0D288" w:rsidR="00957059" w:rsidRDefault="00027E8D">
      <w:pPr>
        <w:spacing w:after="115" w:line="259" w:lineRule="auto"/>
        <w:ind w:left="-5" w:right="0"/>
      </w:pPr>
      <w:r>
        <w:t>DOI:</w:t>
      </w:r>
      <w:r w:rsidR="0083510E">
        <w:t>10.22094/JOIE.2020.</w:t>
      </w:r>
      <w:r w:rsidR="00FF3080">
        <w:t>677839.</w:t>
      </w:r>
    </w:p>
    <w:p w14:paraId="67B57767" w14:textId="12EB85C8" w:rsidR="00DA29E2" w:rsidRPr="00D71C89" w:rsidRDefault="0083510E" w:rsidP="00DA29E2">
      <w:pPr>
        <w:ind w:left="-5" w:right="0"/>
      </w:pPr>
      <w:proofErr w:type="spellStart"/>
      <w:r w:rsidRPr="00D71C89">
        <w:lastRenderedPageBreak/>
        <w:t>Nobar</w:t>
      </w:r>
      <w:proofErr w:type="spellEnd"/>
      <w:r w:rsidRPr="00D71C89">
        <w:t xml:space="preserve">, H.B.K. and Rostamzadeh, R., (2018). The impact of customer satisfaction, customer experience and customer loyalty on brand power: empirical evidence from hotel industry. </w:t>
      </w:r>
      <w:r w:rsidRPr="00D71C89">
        <w:rPr>
          <w:i/>
        </w:rPr>
        <w:t>Journal of Business Economics and Management</w:t>
      </w:r>
      <w:r w:rsidRPr="00D71C89">
        <w:t xml:space="preserve">, </w:t>
      </w:r>
      <w:r w:rsidRPr="00D71C89">
        <w:rPr>
          <w:i/>
        </w:rPr>
        <w:t>19</w:t>
      </w:r>
      <w:r w:rsidRPr="00D71C89">
        <w:t xml:space="preserve">(2), pp.417-430. </w:t>
      </w:r>
      <w:r w:rsidR="00DA29E2">
        <w:t>Available at:</w:t>
      </w:r>
    </w:p>
    <w:p w14:paraId="675AFF78" w14:textId="63A6650D" w:rsidR="00957059" w:rsidRPr="00D71C89" w:rsidRDefault="0083510E">
      <w:pPr>
        <w:spacing w:after="96" w:line="259" w:lineRule="auto"/>
        <w:ind w:left="0" w:right="0" w:firstLine="0"/>
        <w:jc w:val="left"/>
      </w:pPr>
      <w:r w:rsidRPr="00D71C89">
        <w:rPr>
          <w:color w:val="7D7D7D"/>
        </w:rPr>
        <w:t>DOI:</w:t>
      </w:r>
      <w:hyperlink r:id="rId39">
        <w:r w:rsidRPr="00D71C89">
          <w:rPr>
            <w:color w:val="7D7D7D"/>
          </w:rPr>
          <w:t xml:space="preserve"> </w:t>
        </w:r>
      </w:hyperlink>
      <w:hyperlink r:id="rId40">
        <w:r w:rsidRPr="00D71C89">
          <w:rPr>
            <w:color w:val="00B3C9"/>
            <w:u w:val="single" w:color="00B3C9"/>
          </w:rPr>
          <w:t>https://doi.org/10.3846/jbem.2018.5678</w:t>
        </w:r>
      </w:hyperlink>
      <w:hyperlink r:id="rId41">
        <w:r w:rsidRPr="00D71C89">
          <w:t xml:space="preserve"> </w:t>
        </w:r>
      </w:hyperlink>
      <w:r w:rsidR="00FF3080" w:rsidRPr="00D71C89">
        <w:rPr>
          <w:color w:val="156082" w:themeColor="accent1"/>
        </w:rPr>
        <w:t>.</w:t>
      </w:r>
    </w:p>
    <w:p w14:paraId="290799B4" w14:textId="77777777" w:rsidR="00957059" w:rsidRPr="00D71C89" w:rsidRDefault="0083510E">
      <w:pPr>
        <w:spacing w:after="122" w:line="259" w:lineRule="auto"/>
        <w:ind w:left="-5" w:right="0"/>
      </w:pPr>
      <w:r w:rsidRPr="00D71C89">
        <w:t xml:space="preserve">Noel, M.D., (2022). Competitive survival in a devastated industry: Evidence from hotels during </w:t>
      </w:r>
    </w:p>
    <w:p w14:paraId="23A05294" w14:textId="2DF790FB" w:rsidR="00957059" w:rsidRPr="00D71C89" w:rsidRDefault="0083510E">
      <w:pPr>
        <w:tabs>
          <w:tab w:val="center" w:pos="2410"/>
          <w:tab w:val="center" w:pos="3442"/>
          <w:tab w:val="center" w:pos="4468"/>
          <w:tab w:val="center" w:pos="5594"/>
          <w:tab w:val="center" w:pos="7371"/>
          <w:tab w:val="right" w:pos="9034"/>
        </w:tabs>
        <w:spacing w:after="145" w:line="259" w:lineRule="auto"/>
        <w:ind w:left="-15" w:right="0" w:firstLine="0"/>
        <w:jc w:val="left"/>
      </w:pPr>
      <w:r w:rsidRPr="00D71C89">
        <w:t xml:space="preserve">COVID‐19. Journal of </w:t>
      </w:r>
      <w:r w:rsidRPr="00D71C89">
        <w:tab/>
        <w:t xml:space="preserve">Economics </w:t>
      </w:r>
      <w:r w:rsidRPr="00D71C89">
        <w:tab/>
        <w:t xml:space="preserve">&amp; Management </w:t>
      </w:r>
      <w:r w:rsidRPr="00D71C89">
        <w:tab/>
        <w:t>Strategy, 31(1</w:t>
      </w:r>
      <w:r w:rsidR="00F01D69" w:rsidRPr="00D71C89">
        <w:t>), pp.</w:t>
      </w:r>
      <w:r w:rsidRPr="00D71C89">
        <w:t>3</w:t>
      </w:r>
      <w:r w:rsidR="00F01D69">
        <w:t xml:space="preserve">. </w:t>
      </w:r>
      <w:r w:rsidR="002055AD">
        <w:t>Available at:</w:t>
      </w:r>
    </w:p>
    <w:p w14:paraId="588CB67B" w14:textId="3EE2A8C5" w:rsidR="00957059" w:rsidRPr="00D71C89" w:rsidRDefault="0083510E">
      <w:pPr>
        <w:spacing w:after="116" w:line="259" w:lineRule="auto"/>
        <w:ind w:left="0" w:right="0" w:firstLine="0"/>
        <w:jc w:val="left"/>
        <w:rPr>
          <w:color w:val="156082" w:themeColor="accent1"/>
        </w:rPr>
      </w:pPr>
      <w:r w:rsidRPr="00D71C89">
        <w:t xml:space="preserve">24. </w:t>
      </w:r>
      <w:hyperlink r:id="rId42">
        <w:r w:rsidRPr="00D71C89">
          <w:rPr>
            <w:color w:val="767676"/>
          </w:rPr>
          <w:t xml:space="preserve"> </w:t>
        </w:r>
      </w:hyperlink>
      <w:hyperlink r:id="rId43">
        <w:r w:rsidRPr="00D71C89">
          <w:rPr>
            <w:b/>
            <w:color w:val="156082" w:themeColor="accent1"/>
            <w:u w:val="single" w:color="CC9900"/>
          </w:rPr>
          <w:t>https://doi.org/10.1111/jems.12446</w:t>
        </w:r>
      </w:hyperlink>
      <w:hyperlink r:id="rId44">
        <w:r w:rsidRPr="00D71C89">
          <w:rPr>
            <w:color w:val="156082" w:themeColor="accent1"/>
          </w:rPr>
          <w:t xml:space="preserve"> </w:t>
        </w:r>
      </w:hyperlink>
      <w:r w:rsidR="0077358A" w:rsidRPr="00D71C89">
        <w:rPr>
          <w:color w:val="156082" w:themeColor="accent1"/>
        </w:rPr>
        <w:t>.</w:t>
      </w:r>
    </w:p>
    <w:p w14:paraId="294167CC" w14:textId="77777777" w:rsidR="00957059" w:rsidRPr="00D71C89" w:rsidRDefault="0083510E">
      <w:pPr>
        <w:ind w:left="-5" w:right="0"/>
      </w:pPr>
      <w:r w:rsidRPr="00D71C89">
        <w:t xml:space="preserve">Yacoub, L. and </w:t>
      </w:r>
      <w:proofErr w:type="spellStart"/>
      <w:r w:rsidRPr="00D71C89">
        <w:t>ElHajjar</w:t>
      </w:r>
      <w:proofErr w:type="spellEnd"/>
      <w:r w:rsidRPr="00D71C89">
        <w:t xml:space="preserve">, S., (2021). How do hotels in developing countries manage the impact of COVID-19? The case of Lebanese hotels. </w:t>
      </w:r>
      <w:r w:rsidRPr="00D71C89">
        <w:rPr>
          <w:i/>
        </w:rPr>
        <w:t xml:space="preserve">International Journal of Contemporary </w:t>
      </w:r>
    </w:p>
    <w:p w14:paraId="4D37D227" w14:textId="29C0430F" w:rsidR="00957059" w:rsidRDefault="0083510E">
      <w:pPr>
        <w:tabs>
          <w:tab w:val="center" w:pos="4466"/>
          <w:tab w:val="right" w:pos="9034"/>
        </w:tabs>
        <w:spacing w:after="121" w:line="259" w:lineRule="auto"/>
        <w:ind w:left="0" w:right="0" w:firstLine="0"/>
        <w:jc w:val="left"/>
      </w:pPr>
      <w:r w:rsidRPr="00D71C89">
        <w:rPr>
          <w:i/>
        </w:rPr>
        <w:t>Hospitality Management</w:t>
      </w:r>
      <w:r w:rsidRPr="00D71C89">
        <w:t xml:space="preserve">, </w:t>
      </w:r>
      <w:r w:rsidRPr="00D71C89">
        <w:rPr>
          <w:i/>
        </w:rPr>
        <w:t>33</w:t>
      </w:r>
      <w:r w:rsidRPr="00D71C89">
        <w:t xml:space="preserve">(3), pp.929-948. </w:t>
      </w:r>
    </w:p>
    <w:p w14:paraId="074437E9" w14:textId="3A0BB504" w:rsidR="00F06598" w:rsidRDefault="009C0063">
      <w:pPr>
        <w:tabs>
          <w:tab w:val="center" w:pos="4466"/>
          <w:tab w:val="right" w:pos="9034"/>
        </w:tabs>
        <w:spacing w:after="121" w:line="259" w:lineRule="auto"/>
        <w:ind w:left="0" w:right="0" w:firstLine="0"/>
        <w:jc w:val="left"/>
        <w:rPr>
          <w:color w:val="3A3A3A"/>
          <w:shd w:val="clear" w:color="auto" w:fill="FFFFFF"/>
        </w:rPr>
      </w:pPr>
      <w:r w:rsidRPr="003C45DB">
        <w:rPr>
          <w:color w:val="3A3A3A"/>
          <w:shd w:val="clear" w:color="auto" w:fill="FFFFFF"/>
        </w:rPr>
        <w:t>Hallmann, K. (2024) ‘Public Spaces and Events’, </w:t>
      </w:r>
      <w:r w:rsidRPr="003C45DB">
        <w:rPr>
          <w:i/>
          <w:iCs/>
          <w:color w:val="3A3A3A"/>
          <w:shd w:val="clear" w:color="auto" w:fill="FFFFFF"/>
        </w:rPr>
        <w:t>Event management</w:t>
      </w:r>
      <w:r w:rsidRPr="003C45DB">
        <w:rPr>
          <w:color w:val="3A3A3A"/>
          <w:shd w:val="clear" w:color="auto" w:fill="FFFFFF"/>
        </w:rPr>
        <w:t xml:space="preserve">, 28(6), pp. 949–954. Available at: </w:t>
      </w:r>
      <w:hyperlink r:id="rId45" w:history="1">
        <w:r w:rsidR="003E2467" w:rsidRPr="00FA0C04">
          <w:rPr>
            <w:rStyle w:val="Hyperlink"/>
            <w:shd w:val="clear" w:color="auto" w:fill="FFFFFF"/>
          </w:rPr>
          <w:t>https://doi.org/10.3727/152599524X17095118412081</w:t>
        </w:r>
      </w:hyperlink>
      <w:r w:rsidRPr="003C45DB">
        <w:rPr>
          <w:color w:val="3A3A3A"/>
          <w:shd w:val="clear" w:color="auto" w:fill="FFFFFF"/>
        </w:rPr>
        <w:t>.</w:t>
      </w:r>
    </w:p>
    <w:p w14:paraId="34421610" w14:textId="59C30BB3" w:rsidR="003E2467" w:rsidRDefault="003E2467">
      <w:pPr>
        <w:tabs>
          <w:tab w:val="center" w:pos="4466"/>
          <w:tab w:val="right" w:pos="9034"/>
        </w:tabs>
        <w:spacing w:after="121" w:line="259" w:lineRule="auto"/>
        <w:ind w:left="0" w:right="0" w:firstLine="0"/>
        <w:jc w:val="left"/>
        <w:rPr>
          <w:color w:val="3A3A3A"/>
          <w:shd w:val="clear" w:color="auto" w:fill="FFFFFF"/>
        </w:rPr>
      </w:pPr>
      <w:proofErr w:type="spellStart"/>
      <w:r w:rsidRPr="003E2467">
        <w:rPr>
          <w:color w:val="3A3A3A"/>
          <w:shd w:val="clear" w:color="auto" w:fill="FFFFFF"/>
        </w:rPr>
        <w:t>Dounskaia</w:t>
      </w:r>
      <w:proofErr w:type="spellEnd"/>
      <w:r w:rsidRPr="003E2467">
        <w:rPr>
          <w:color w:val="3A3A3A"/>
          <w:shd w:val="clear" w:color="auto" w:fill="FFFFFF"/>
        </w:rPr>
        <w:t>, N. and Shimansky, Y.P. (2020) ‘Generalization of the resource-rationality principle to neural control of goal-directed movements’, </w:t>
      </w:r>
      <w:r w:rsidRPr="003E2467">
        <w:rPr>
          <w:i/>
          <w:iCs/>
          <w:color w:val="3A3A3A"/>
          <w:shd w:val="clear" w:color="auto" w:fill="FFFFFF"/>
        </w:rPr>
        <w:t xml:space="preserve">The </w:t>
      </w:r>
      <w:proofErr w:type="spellStart"/>
      <w:r w:rsidRPr="003E2467">
        <w:rPr>
          <w:i/>
          <w:iCs/>
          <w:color w:val="3A3A3A"/>
          <w:shd w:val="clear" w:color="auto" w:fill="FFFFFF"/>
        </w:rPr>
        <w:t>Behavioral</w:t>
      </w:r>
      <w:proofErr w:type="spellEnd"/>
      <w:r w:rsidRPr="003E2467">
        <w:rPr>
          <w:i/>
          <w:iCs/>
          <w:color w:val="3A3A3A"/>
          <w:shd w:val="clear" w:color="auto" w:fill="FFFFFF"/>
        </w:rPr>
        <w:t xml:space="preserve"> and brain sciences</w:t>
      </w:r>
      <w:r w:rsidRPr="003E2467">
        <w:rPr>
          <w:color w:val="3A3A3A"/>
          <w:shd w:val="clear" w:color="auto" w:fill="FFFFFF"/>
        </w:rPr>
        <w:t xml:space="preserve">, 43, pp. e10–e10. Available at: </w:t>
      </w:r>
      <w:hyperlink r:id="rId46" w:history="1">
        <w:r w:rsidR="009779CA" w:rsidRPr="00FA0C04">
          <w:rPr>
            <w:rStyle w:val="Hyperlink"/>
            <w:shd w:val="clear" w:color="auto" w:fill="FFFFFF"/>
          </w:rPr>
          <w:t>https://doi.org/10.1017/S0140525X19001559</w:t>
        </w:r>
      </w:hyperlink>
      <w:r w:rsidRPr="003E2467">
        <w:rPr>
          <w:color w:val="3A3A3A"/>
          <w:shd w:val="clear" w:color="auto" w:fill="FFFFFF"/>
        </w:rPr>
        <w:t>.</w:t>
      </w:r>
    </w:p>
    <w:p w14:paraId="1637AF00" w14:textId="311A9E27" w:rsidR="009779CA" w:rsidRDefault="006249D5">
      <w:pPr>
        <w:tabs>
          <w:tab w:val="center" w:pos="4466"/>
          <w:tab w:val="right" w:pos="9034"/>
        </w:tabs>
        <w:spacing w:after="121" w:line="259" w:lineRule="auto"/>
        <w:ind w:left="0" w:right="0" w:firstLine="0"/>
        <w:jc w:val="left"/>
        <w:rPr>
          <w:color w:val="3A3A3A"/>
          <w:shd w:val="clear" w:color="auto" w:fill="FFFFFF"/>
        </w:rPr>
      </w:pPr>
      <w:r>
        <w:rPr>
          <w:color w:val="3A3A3A"/>
          <w:shd w:val="clear" w:color="auto" w:fill="FFFFFF"/>
        </w:rPr>
        <w:t>G</w:t>
      </w:r>
      <w:r w:rsidR="009779CA" w:rsidRPr="009779CA">
        <w:rPr>
          <w:color w:val="3A3A3A"/>
          <w:shd w:val="clear" w:color="auto" w:fill="FFFFFF"/>
        </w:rPr>
        <w:t>oodyear, V.A., Armour, K.M. and Wood, H. (2019) ‘Young people and their engagement with health-related social media: new perspectives’, </w:t>
      </w:r>
      <w:r w:rsidR="009779CA" w:rsidRPr="009779CA">
        <w:rPr>
          <w:i/>
          <w:iCs/>
          <w:color w:val="3A3A3A"/>
          <w:shd w:val="clear" w:color="auto" w:fill="FFFFFF"/>
        </w:rPr>
        <w:t>Sport, education and society</w:t>
      </w:r>
      <w:r w:rsidR="009779CA" w:rsidRPr="009779CA">
        <w:rPr>
          <w:color w:val="3A3A3A"/>
          <w:shd w:val="clear" w:color="auto" w:fill="FFFFFF"/>
        </w:rPr>
        <w:t xml:space="preserve">, 24(7), pp. 673–688. Available at: </w:t>
      </w:r>
      <w:hyperlink r:id="rId47" w:history="1">
        <w:r w:rsidR="00CD0C67" w:rsidRPr="00FA0C04">
          <w:rPr>
            <w:rStyle w:val="Hyperlink"/>
            <w:shd w:val="clear" w:color="auto" w:fill="FFFFFF"/>
          </w:rPr>
          <w:t>https://doi.org/10.1080/13573322.2017.1423464</w:t>
        </w:r>
      </w:hyperlink>
      <w:r w:rsidR="009779CA" w:rsidRPr="009779CA">
        <w:rPr>
          <w:color w:val="3A3A3A"/>
          <w:shd w:val="clear" w:color="auto" w:fill="FFFFFF"/>
        </w:rPr>
        <w:t>.</w:t>
      </w:r>
    </w:p>
    <w:p w14:paraId="4F88552B" w14:textId="2DD5ACFF" w:rsidR="00CD0C67" w:rsidRDefault="00CD0C67">
      <w:pPr>
        <w:tabs>
          <w:tab w:val="center" w:pos="4466"/>
          <w:tab w:val="right" w:pos="9034"/>
        </w:tabs>
        <w:spacing w:after="121" w:line="259" w:lineRule="auto"/>
        <w:ind w:left="0" w:right="0" w:firstLine="0"/>
        <w:jc w:val="left"/>
        <w:rPr>
          <w:color w:val="3A3A3A"/>
          <w:shd w:val="clear" w:color="auto" w:fill="FFFFFF"/>
        </w:rPr>
      </w:pPr>
      <w:r w:rsidRPr="00CD0C67">
        <w:rPr>
          <w:color w:val="3A3A3A"/>
          <w:shd w:val="clear" w:color="auto" w:fill="FFFFFF"/>
        </w:rPr>
        <w:t>Mathews, S. </w:t>
      </w:r>
      <w:r w:rsidRPr="00CD0C67">
        <w:rPr>
          <w:i/>
          <w:iCs/>
          <w:color w:val="3A3A3A"/>
          <w:shd w:val="clear" w:color="auto" w:fill="FFFFFF"/>
        </w:rPr>
        <w:t>et al.</w:t>
      </w:r>
      <w:r w:rsidRPr="00CD0C67">
        <w:rPr>
          <w:color w:val="3A3A3A"/>
          <w:shd w:val="clear" w:color="auto" w:fill="FFFFFF"/>
        </w:rPr>
        <w:t xml:space="preserve"> (2022) ‘Managing </w:t>
      </w:r>
      <w:proofErr w:type="spellStart"/>
      <w:r w:rsidRPr="00CD0C67">
        <w:rPr>
          <w:color w:val="3A3A3A"/>
          <w:shd w:val="clear" w:color="auto" w:fill="FFFFFF"/>
        </w:rPr>
        <w:t>eWOM</w:t>
      </w:r>
      <w:proofErr w:type="spellEnd"/>
      <w:r w:rsidRPr="00CD0C67">
        <w:rPr>
          <w:color w:val="3A3A3A"/>
          <w:shd w:val="clear" w:color="auto" w:fill="FFFFFF"/>
        </w:rPr>
        <w:t xml:space="preserve"> for hotel performance’, </w:t>
      </w:r>
      <w:r w:rsidRPr="00CD0C67">
        <w:rPr>
          <w:i/>
          <w:iCs/>
          <w:color w:val="3A3A3A"/>
          <w:shd w:val="clear" w:color="auto" w:fill="FFFFFF"/>
        </w:rPr>
        <w:t>Journal of global scholars of marketing science</w:t>
      </w:r>
      <w:r w:rsidRPr="00CD0C67">
        <w:rPr>
          <w:color w:val="3A3A3A"/>
          <w:shd w:val="clear" w:color="auto" w:fill="FFFFFF"/>
        </w:rPr>
        <w:t xml:space="preserve">, 32(3), pp. 331–350. Available at: </w:t>
      </w:r>
      <w:hyperlink r:id="rId48" w:history="1">
        <w:r w:rsidR="0057399F" w:rsidRPr="00FA0C04">
          <w:rPr>
            <w:rStyle w:val="Hyperlink"/>
            <w:shd w:val="clear" w:color="auto" w:fill="FFFFFF"/>
          </w:rPr>
          <w:t>https://doi.org/10.1080/21639159.2020.1808844</w:t>
        </w:r>
      </w:hyperlink>
      <w:r w:rsidRPr="00CD0C67">
        <w:rPr>
          <w:color w:val="3A3A3A"/>
          <w:shd w:val="clear" w:color="auto" w:fill="FFFFFF"/>
        </w:rPr>
        <w:t>.</w:t>
      </w:r>
    </w:p>
    <w:p w14:paraId="6FD61214" w14:textId="5E76582E" w:rsidR="0057399F" w:rsidRPr="0057399F" w:rsidRDefault="0057399F">
      <w:pPr>
        <w:tabs>
          <w:tab w:val="center" w:pos="4466"/>
          <w:tab w:val="right" w:pos="9034"/>
        </w:tabs>
        <w:spacing w:after="121" w:line="259" w:lineRule="auto"/>
        <w:ind w:left="0" w:right="0" w:firstLine="0"/>
        <w:jc w:val="left"/>
      </w:pPr>
      <w:bookmarkStart w:id="7" w:name="_Hlk182438116"/>
      <w:r w:rsidRPr="0057399F">
        <w:rPr>
          <w:color w:val="3A3A3A"/>
          <w:shd w:val="clear" w:color="auto" w:fill="FFFFFF"/>
        </w:rPr>
        <w:t>Akhtar, M. </w:t>
      </w:r>
      <w:r w:rsidRPr="0057399F">
        <w:rPr>
          <w:i/>
          <w:iCs/>
          <w:color w:val="3A3A3A"/>
          <w:shd w:val="clear" w:color="auto" w:fill="FFFFFF"/>
        </w:rPr>
        <w:t>et al.</w:t>
      </w:r>
      <w:r w:rsidRPr="0057399F">
        <w:rPr>
          <w:color w:val="3A3A3A"/>
          <w:shd w:val="clear" w:color="auto" w:fill="FFFFFF"/>
        </w:rPr>
        <w:t xml:space="preserve"> (2022) </w:t>
      </w:r>
      <w:bookmarkEnd w:id="7"/>
      <w:r w:rsidRPr="0057399F">
        <w:rPr>
          <w:color w:val="3A3A3A"/>
          <w:shd w:val="clear" w:color="auto" w:fill="FFFFFF"/>
        </w:rPr>
        <w:t>‘Impact of financial leverage on sustainable growth, market performance, and profitability’, </w:t>
      </w:r>
      <w:r w:rsidRPr="0057399F">
        <w:rPr>
          <w:i/>
          <w:iCs/>
          <w:color w:val="3A3A3A"/>
          <w:shd w:val="clear" w:color="auto" w:fill="FFFFFF"/>
        </w:rPr>
        <w:t>Economic change and restructuring</w:t>
      </w:r>
      <w:r w:rsidRPr="0057399F">
        <w:rPr>
          <w:color w:val="3A3A3A"/>
          <w:shd w:val="clear" w:color="auto" w:fill="FFFFFF"/>
        </w:rPr>
        <w:t>, 55(2), pp. 737–774. Available at: https://doi.org/10.1007/s10644-021-09321-z.</w:t>
      </w:r>
    </w:p>
    <w:sectPr w:rsidR="0057399F" w:rsidRPr="0057399F">
      <w:footerReference w:type="even" r:id="rId49"/>
      <w:footerReference w:type="default" r:id="rId50"/>
      <w:footerReference w:type="first" r:id="rId51"/>
      <w:pgSz w:w="11905" w:h="16840"/>
      <w:pgMar w:top="1440" w:right="1430" w:bottom="145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FD6750" w14:textId="77777777" w:rsidR="00E653EE" w:rsidRDefault="00E653EE">
      <w:pPr>
        <w:spacing w:after="0" w:line="240" w:lineRule="auto"/>
      </w:pPr>
      <w:r>
        <w:separator/>
      </w:r>
    </w:p>
  </w:endnote>
  <w:endnote w:type="continuationSeparator" w:id="0">
    <w:p w14:paraId="501F6AE8" w14:textId="77777777" w:rsidR="00E653EE" w:rsidRDefault="00E65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F5B39" w14:textId="77777777" w:rsidR="00957059" w:rsidRDefault="0083510E">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785B95EF" w14:textId="77777777" w:rsidR="00957059" w:rsidRDefault="0083510E">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A3D6E" w14:textId="77777777" w:rsidR="00957059" w:rsidRDefault="0083510E">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35035E22" w14:textId="77777777" w:rsidR="00957059" w:rsidRDefault="0083510E">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71C80" w14:textId="77777777" w:rsidR="00957059" w:rsidRDefault="0083510E">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1B4D4533" w14:textId="77777777" w:rsidR="00957059" w:rsidRDefault="0083510E">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2AB74" w14:textId="77777777" w:rsidR="00E653EE" w:rsidRDefault="00E653EE">
      <w:pPr>
        <w:spacing w:after="0" w:line="240" w:lineRule="auto"/>
      </w:pPr>
      <w:r>
        <w:separator/>
      </w:r>
    </w:p>
  </w:footnote>
  <w:footnote w:type="continuationSeparator" w:id="0">
    <w:p w14:paraId="48635487" w14:textId="77777777" w:rsidR="00E653EE" w:rsidRDefault="00E65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627600"/>
    <w:multiLevelType w:val="hybridMultilevel"/>
    <w:tmpl w:val="6F940C48"/>
    <w:lvl w:ilvl="0" w:tplc="64684FA8">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8A8EB1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C2C3C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2D08B6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BAEEB1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188965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500C7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6184A1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14C3F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2072533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059"/>
    <w:rsid w:val="00027E8D"/>
    <w:rsid w:val="00085D70"/>
    <w:rsid w:val="000917E2"/>
    <w:rsid w:val="000C63D4"/>
    <w:rsid w:val="00196820"/>
    <w:rsid w:val="001A6840"/>
    <w:rsid w:val="001C5585"/>
    <w:rsid w:val="001D0D5F"/>
    <w:rsid w:val="001D46AD"/>
    <w:rsid w:val="001F1A37"/>
    <w:rsid w:val="00203C6D"/>
    <w:rsid w:val="002055AD"/>
    <w:rsid w:val="00223D19"/>
    <w:rsid w:val="00232827"/>
    <w:rsid w:val="002469AE"/>
    <w:rsid w:val="00250C71"/>
    <w:rsid w:val="002A6FAD"/>
    <w:rsid w:val="002B18F8"/>
    <w:rsid w:val="002C76F7"/>
    <w:rsid w:val="0036515A"/>
    <w:rsid w:val="0038624D"/>
    <w:rsid w:val="003A1D20"/>
    <w:rsid w:val="003C45DB"/>
    <w:rsid w:val="003E2467"/>
    <w:rsid w:val="003F302B"/>
    <w:rsid w:val="004008FB"/>
    <w:rsid w:val="00412CBB"/>
    <w:rsid w:val="004B2334"/>
    <w:rsid w:val="004C0A74"/>
    <w:rsid w:val="00545F59"/>
    <w:rsid w:val="0057399F"/>
    <w:rsid w:val="00580267"/>
    <w:rsid w:val="00582431"/>
    <w:rsid w:val="005A1351"/>
    <w:rsid w:val="00610375"/>
    <w:rsid w:val="006249D5"/>
    <w:rsid w:val="0063258E"/>
    <w:rsid w:val="00656593"/>
    <w:rsid w:val="0065762D"/>
    <w:rsid w:val="0067408E"/>
    <w:rsid w:val="006B2E35"/>
    <w:rsid w:val="006E203C"/>
    <w:rsid w:val="006E3A37"/>
    <w:rsid w:val="007226FB"/>
    <w:rsid w:val="00732CDB"/>
    <w:rsid w:val="0074115A"/>
    <w:rsid w:val="007431CD"/>
    <w:rsid w:val="0077358A"/>
    <w:rsid w:val="007E2A89"/>
    <w:rsid w:val="0080624A"/>
    <w:rsid w:val="0083510E"/>
    <w:rsid w:val="008474A1"/>
    <w:rsid w:val="008B503E"/>
    <w:rsid w:val="008D1365"/>
    <w:rsid w:val="008D3AB9"/>
    <w:rsid w:val="008F6384"/>
    <w:rsid w:val="009128A8"/>
    <w:rsid w:val="00957059"/>
    <w:rsid w:val="009779CA"/>
    <w:rsid w:val="00982D46"/>
    <w:rsid w:val="009A15CD"/>
    <w:rsid w:val="009B2F47"/>
    <w:rsid w:val="009B35BE"/>
    <w:rsid w:val="009C0063"/>
    <w:rsid w:val="009C5095"/>
    <w:rsid w:val="009E41DD"/>
    <w:rsid w:val="009F6302"/>
    <w:rsid w:val="00A50BBE"/>
    <w:rsid w:val="00A5447D"/>
    <w:rsid w:val="00A954B3"/>
    <w:rsid w:val="00AD442C"/>
    <w:rsid w:val="00AD4B28"/>
    <w:rsid w:val="00B01997"/>
    <w:rsid w:val="00B621A0"/>
    <w:rsid w:val="00B71416"/>
    <w:rsid w:val="00BD2B43"/>
    <w:rsid w:val="00BF53FB"/>
    <w:rsid w:val="00C15224"/>
    <w:rsid w:val="00C47E38"/>
    <w:rsid w:val="00C91320"/>
    <w:rsid w:val="00CB3105"/>
    <w:rsid w:val="00CD0C67"/>
    <w:rsid w:val="00CE0DB0"/>
    <w:rsid w:val="00D53751"/>
    <w:rsid w:val="00D71C89"/>
    <w:rsid w:val="00DA29E2"/>
    <w:rsid w:val="00DB5F26"/>
    <w:rsid w:val="00DD6D80"/>
    <w:rsid w:val="00DF069D"/>
    <w:rsid w:val="00DF7185"/>
    <w:rsid w:val="00E21485"/>
    <w:rsid w:val="00E43562"/>
    <w:rsid w:val="00E653EE"/>
    <w:rsid w:val="00E9181A"/>
    <w:rsid w:val="00EB0A85"/>
    <w:rsid w:val="00EC22D4"/>
    <w:rsid w:val="00ED1343"/>
    <w:rsid w:val="00F01D69"/>
    <w:rsid w:val="00F06598"/>
    <w:rsid w:val="00F83486"/>
    <w:rsid w:val="00FA17F0"/>
    <w:rsid w:val="00FB31FD"/>
    <w:rsid w:val="00FF3080"/>
    <w:rsid w:val="00FF6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E1491"/>
  <w15:docId w15:val="{2C773C2A-8D4A-4962-BFC7-3AA9CF592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356" w:lineRule="auto"/>
      <w:ind w:left="10" w:right="6"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42" w:line="259" w:lineRule="auto"/>
      <w:ind w:left="10" w:righ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342" w:line="259" w:lineRule="auto"/>
      <w:ind w:left="10" w:right="10" w:hanging="10"/>
      <w:outlineLvl w:val="1"/>
    </w:pPr>
    <w:rPr>
      <w:rFonts w:ascii="Times New Roman" w:eastAsia="Times New Roman" w:hAnsi="Times New Roman" w:cs="Times New Roman"/>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36"/>
    </w:rPr>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TOC1">
    <w:name w:val="toc 1"/>
    <w:hidden/>
    <w:uiPriority w:val="39"/>
    <w:pPr>
      <w:spacing w:after="215" w:line="259" w:lineRule="auto"/>
      <w:ind w:left="25" w:right="24" w:hanging="10"/>
      <w:jc w:val="both"/>
    </w:pPr>
    <w:rPr>
      <w:rFonts w:ascii="Times New Roman" w:eastAsia="Times New Roman" w:hAnsi="Times New Roman" w:cs="Times New Roman"/>
      <w:color w:val="000000"/>
    </w:rPr>
  </w:style>
  <w:style w:type="character" w:styleId="Hyperlink">
    <w:name w:val="Hyperlink"/>
    <w:basedOn w:val="DefaultParagraphFont"/>
    <w:uiPriority w:val="99"/>
    <w:unhideWhenUsed/>
    <w:rsid w:val="007E2A89"/>
    <w:rPr>
      <w:color w:val="467886" w:themeColor="hyperlink"/>
      <w:u w:val="single"/>
    </w:rPr>
  </w:style>
  <w:style w:type="character" w:styleId="UnresolvedMention">
    <w:name w:val="Unresolved Mention"/>
    <w:basedOn w:val="DefaultParagraphFont"/>
    <w:uiPriority w:val="99"/>
    <w:semiHidden/>
    <w:unhideWhenUsed/>
    <w:rsid w:val="00FA1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TC-02-2021-0026" TargetMode="External"/><Relationship Id="rId18" Type="http://schemas.openxmlformats.org/officeDocument/2006/relationships/hyperlink" Target="https://doi.org/10.1108/IJTC-02-2021-0026" TargetMode="External"/><Relationship Id="rId26" Type="http://schemas.openxmlformats.org/officeDocument/2006/relationships/hyperlink" Target="https://www.emerald.com/insight/content/doi/10.1108/jtf-09-2021-227/full/html" TargetMode="External"/><Relationship Id="rId39" Type="http://schemas.openxmlformats.org/officeDocument/2006/relationships/hyperlink" Target="https://doi.org/10.3846/jbem.2018.5678" TargetMode="External"/><Relationship Id="rId21" Type="http://schemas.openxmlformats.org/officeDocument/2006/relationships/hyperlink" Target="https://www.emerald.com/insight/content/doi/10.1108/jtf-09-2021-227/full/html" TargetMode="External"/><Relationship Id="rId34" Type="http://schemas.openxmlformats.org/officeDocument/2006/relationships/hyperlink" Target="https://doi.org/10.70619/vol4iss2pp32-49" TargetMode="External"/><Relationship Id="rId42" Type="http://schemas.openxmlformats.org/officeDocument/2006/relationships/hyperlink" Target="https://doi.org/10.1111/jems.12446" TargetMode="External"/><Relationship Id="rId47" Type="http://schemas.openxmlformats.org/officeDocument/2006/relationships/hyperlink" Target="https://doi.org/10.1080/13573322.2017.1423464" TargetMode="External"/><Relationship Id="rId50" Type="http://schemas.openxmlformats.org/officeDocument/2006/relationships/footer" Target="footer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108/IJTC-02-2021-0026" TargetMode="External"/><Relationship Id="rId29" Type="http://schemas.openxmlformats.org/officeDocument/2006/relationships/hyperlink" Target="https://doi.org/10.24288/jttr.857610" TargetMode="External"/><Relationship Id="rId11" Type="http://schemas.openxmlformats.org/officeDocument/2006/relationships/hyperlink" Target="https://doi.org/10.1108/IJTC-02-2021-0026" TargetMode="External"/><Relationship Id="rId24" Type="http://schemas.openxmlformats.org/officeDocument/2006/relationships/hyperlink" Target="https://www.emerald.com/insight/content/doi/10.1108/jtf-09-2021-227/full/html" TargetMode="External"/><Relationship Id="rId32" Type="http://schemas.openxmlformats.org/officeDocument/2006/relationships/hyperlink" Target="https://doi.org/10.70619/vol4iss2pp32-49" TargetMode="External"/><Relationship Id="rId37" Type="http://schemas.openxmlformats.org/officeDocument/2006/relationships/hyperlink" Target="https://doi.org/10.1016/j.ijhm.2021.103049" TargetMode="External"/><Relationship Id="rId40" Type="http://schemas.openxmlformats.org/officeDocument/2006/relationships/hyperlink" Target="https://doi.org/10.3846/jbem.2018.5678" TargetMode="External"/><Relationship Id="rId45" Type="http://schemas.openxmlformats.org/officeDocument/2006/relationships/hyperlink" Target="https://doi.org/10.3727/152599524X17095118412081"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16/j.eap.2022.07.004" TargetMode="External"/><Relationship Id="rId19" Type="http://schemas.openxmlformats.org/officeDocument/2006/relationships/hyperlink" Target="https://www.emerald.com/insight/content/doi/10.1108/jtf-09-2021-227/full/html" TargetMode="External"/><Relationship Id="rId31" Type="http://schemas.openxmlformats.org/officeDocument/2006/relationships/hyperlink" Target="https://doi.org/10.70619/vol4iss2pp32-49" TargetMode="External"/><Relationship Id="rId44" Type="http://schemas.openxmlformats.org/officeDocument/2006/relationships/hyperlink" Target="https://doi.org/10.1111/jems.12446"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eap.2022.07.004" TargetMode="External"/><Relationship Id="rId14" Type="http://schemas.openxmlformats.org/officeDocument/2006/relationships/hyperlink" Target="https://doi.org/10.1108/IJTC-02-2021-0026" TargetMode="External"/><Relationship Id="rId22" Type="http://schemas.openxmlformats.org/officeDocument/2006/relationships/hyperlink" Target="https://www.emerald.com/insight/content/doi/10.1108/jtf-09-2021-227/full/html" TargetMode="External"/><Relationship Id="rId27" Type="http://schemas.openxmlformats.org/officeDocument/2006/relationships/hyperlink" Target="%20" TargetMode="External"/><Relationship Id="rId30" Type="http://schemas.openxmlformats.org/officeDocument/2006/relationships/hyperlink" Target="https://doi.org/10.70619/vol4iss2pp32-49" TargetMode="External"/><Relationship Id="rId35" Type="http://schemas.openxmlformats.org/officeDocument/2006/relationships/hyperlink" Target="https://papers.ssrn.com/sol3/Papers.cfm?abstract_id=3559353" TargetMode="External"/><Relationship Id="rId43" Type="http://schemas.openxmlformats.org/officeDocument/2006/relationships/hyperlink" Target="https://doi.org/10.1111/jems.12446" TargetMode="External"/><Relationship Id="rId48" Type="http://schemas.openxmlformats.org/officeDocument/2006/relationships/hyperlink" Target="https://doi.org/10.1080/21639159.2020.1808844" TargetMode="External"/><Relationship Id="rId8" Type="http://schemas.openxmlformats.org/officeDocument/2006/relationships/hyperlink" Target="%20" TargetMode="External"/><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doi.org/10.1108/IJTC-02-2021-0026" TargetMode="External"/><Relationship Id="rId17" Type="http://schemas.openxmlformats.org/officeDocument/2006/relationships/hyperlink" Target="https://doi.org/10.1108/IJTC-02-2021-0026" TargetMode="External"/><Relationship Id="rId25" Type="http://schemas.openxmlformats.org/officeDocument/2006/relationships/hyperlink" Target="https://www.emerald.com/insight/content/doi/10.1108/jtf-09-2021-227/full/html" TargetMode="External"/><Relationship Id="rId33" Type="http://schemas.openxmlformats.org/officeDocument/2006/relationships/hyperlink" Target="https://doi.org/10.70619/vol4iss2pp32-49" TargetMode="External"/><Relationship Id="rId38" Type="http://schemas.openxmlformats.org/officeDocument/2006/relationships/hyperlink" Target="https://doi.org/10.1016/j.ijhm.2021.103049" TargetMode="External"/><Relationship Id="rId46" Type="http://schemas.openxmlformats.org/officeDocument/2006/relationships/hyperlink" Target="https://doi.org/10.1017/S0140525X19001559" TargetMode="External"/><Relationship Id="rId20" Type="http://schemas.openxmlformats.org/officeDocument/2006/relationships/hyperlink" Target="https://www.emerald.com/insight/content/doi/10.1108/jtf-09-2021-227/full/html" TargetMode="External"/><Relationship Id="rId41" Type="http://schemas.openxmlformats.org/officeDocument/2006/relationships/hyperlink" Target="https://doi.org/10.3846/jbem.2018.567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08/IJTC-02-2021-0026" TargetMode="External"/><Relationship Id="rId23" Type="http://schemas.openxmlformats.org/officeDocument/2006/relationships/hyperlink" Target="https://www.emerald.com/insight/content/doi/10.1108/jtf-09-2021-227/full/html" TargetMode="External"/><Relationship Id="rId28" Type="http://schemas.openxmlformats.org/officeDocument/2006/relationships/hyperlink" Target="https://doi.org/10.24288/jttr.857610" TargetMode="External"/><Relationship Id="rId36" Type="http://schemas.openxmlformats.org/officeDocument/2006/relationships/hyperlink" Target="https://digitalcommons.usf.edu/m3publishing/vol17/iss9781732127593/3/"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TotalTime>
  <Pages>13</Pages>
  <Words>3447</Words>
  <Characters>19653</Characters>
  <Application>Microsoft Office Word</Application>
  <DocSecurity>0</DocSecurity>
  <Lines>163</Lines>
  <Paragraphs>46</Paragraphs>
  <ScaleCrop>false</ScaleCrop>
  <Company/>
  <LinksUpToDate>false</LinksUpToDate>
  <CharactersWithSpaces>23054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 (2117500)</cp:lastModifiedBy>
  <cp:revision>97</cp:revision>
  <dcterms:created xsi:type="dcterms:W3CDTF">2024-11-13T19:54:00Z</dcterms:created>
  <dcterms:modified xsi:type="dcterms:W3CDTF">2024-11-14T01:10:00Z</dcterms:modified>
</cp:coreProperties>
</file>