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53EF8" w14:textId="77777777" w:rsidR="00F61F9D" w:rsidRDefault="002C4E78">
      <w:pPr>
        <w:jc w:val="center"/>
      </w:pPr>
      <w:r>
        <w:rPr>
          <w:noProof/>
          <w:lang w:val="en-IN"/>
        </w:rPr>
        <w:drawing>
          <wp:inline distT="114300" distB="114300" distL="114300" distR="114300" wp14:anchorId="4851DB66" wp14:editId="075AAC0E">
            <wp:extent cx="2321488" cy="985838"/>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21488" cy="985838"/>
                    </a:xfrm>
                    <a:prstGeom prst="rect">
                      <a:avLst/>
                    </a:prstGeom>
                    <a:ln/>
                  </pic:spPr>
                </pic:pic>
              </a:graphicData>
            </a:graphic>
          </wp:inline>
        </w:drawing>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57"/>
        <w:gridCol w:w="2992"/>
        <w:gridCol w:w="2198"/>
        <w:gridCol w:w="2113"/>
      </w:tblGrid>
      <w:tr w:rsidR="00F61F9D" w14:paraId="1A349F1D" w14:textId="77777777">
        <w:trPr>
          <w:trHeight w:val="510"/>
        </w:trPr>
        <w:tc>
          <w:tcPr>
            <w:tcW w:w="2056"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35D947F" w14:textId="77777777" w:rsidR="00F61F9D" w:rsidRDefault="002C4E78">
            <w:pPr>
              <w:spacing w:before="120" w:after="120"/>
              <w:ind w:left="400"/>
              <w:rPr>
                <w:b/>
                <w:bCs/>
              </w:rPr>
            </w:pPr>
            <w:proofErr w:type="spellStart"/>
            <w:r>
              <w:rPr>
                <w:b/>
                <w:bCs/>
              </w:rPr>
              <w:t>Programme</w:t>
            </w:r>
            <w:proofErr w:type="spellEnd"/>
            <w:r>
              <w:rPr>
                <w:b/>
                <w:bCs/>
              </w:rPr>
              <w:t>:</w:t>
            </w:r>
          </w:p>
        </w:tc>
        <w:tc>
          <w:tcPr>
            <w:tcW w:w="7303" w:type="dxa"/>
            <w:gridSpan w:val="3"/>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816B542" w14:textId="77777777" w:rsidR="00F61F9D" w:rsidRDefault="002C4E78">
            <w:pPr>
              <w:spacing w:before="120" w:after="120"/>
              <w:ind w:left="400"/>
              <w:rPr>
                <w:b/>
                <w:bCs/>
              </w:rPr>
            </w:pPr>
            <w:r>
              <w:rPr>
                <w:b/>
                <w:bCs/>
              </w:rPr>
              <w:t>MSc Public Health and Social Care in Practice</w:t>
            </w:r>
          </w:p>
        </w:tc>
      </w:tr>
      <w:tr w:rsidR="00F61F9D" w14:paraId="2E3EE683" w14:textId="77777777">
        <w:trPr>
          <w:trHeight w:val="900"/>
        </w:trPr>
        <w:tc>
          <w:tcPr>
            <w:tcW w:w="205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C8D201" w14:textId="77777777" w:rsidR="00F61F9D" w:rsidRDefault="002C4E78">
            <w:pPr>
              <w:spacing w:before="120" w:after="120"/>
              <w:ind w:left="400"/>
              <w:rPr>
                <w:b/>
                <w:bCs/>
              </w:rPr>
            </w:pPr>
            <w:r>
              <w:rPr>
                <w:b/>
                <w:bCs/>
              </w:rPr>
              <w:t>Module:</w:t>
            </w:r>
          </w:p>
        </w:tc>
        <w:tc>
          <w:tcPr>
            <w:tcW w:w="7303" w:type="dxa"/>
            <w:gridSpan w:val="3"/>
            <w:tcBorders>
              <w:top w:val="nil"/>
              <w:left w:val="nil"/>
              <w:bottom w:val="single" w:sz="5" w:space="0" w:color="000000"/>
              <w:right w:val="single" w:sz="5" w:space="0" w:color="000000"/>
            </w:tcBorders>
            <w:tcMar>
              <w:top w:w="0" w:type="dxa"/>
              <w:left w:w="100" w:type="dxa"/>
              <w:bottom w:w="0" w:type="dxa"/>
              <w:right w:w="100" w:type="dxa"/>
            </w:tcMar>
          </w:tcPr>
          <w:p w14:paraId="062D7298" w14:textId="77777777" w:rsidR="00F61F9D" w:rsidRDefault="002C4E78">
            <w:pPr>
              <w:spacing w:before="120" w:after="120"/>
              <w:ind w:left="400"/>
              <w:rPr>
                <w:b/>
                <w:bCs/>
              </w:rPr>
            </w:pPr>
            <w:r>
              <w:rPr>
                <w:b/>
                <w:bCs/>
              </w:rPr>
              <w:t>Quality Assurance and Service Improvements</w:t>
            </w:r>
          </w:p>
          <w:p w14:paraId="1891D902" w14:textId="77777777" w:rsidR="00F61F9D" w:rsidRDefault="002C4E78">
            <w:pPr>
              <w:spacing w:before="120" w:after="120"/>
              <w:ind w:left="400"/>
              <w:rPr>
                <w:b/>
                <w:bCs/>
              </w:rPr>
            </w:pPr>
            <w:r>
              <w:rPr>
                <w:b/>
                <w:bCs/>
              </w:rPr>
              <w:t xml:space="preserve"> </w:t>
            </w:r>
          </w:p>
        </w:tc>
      </w:tr>
      <w:tr w:rsidR="00F61F9D" w14:paraId="43B7E5AF" w14:textId="77777777">
        <w:trPr>
          <w:trHeight w:val="1095"/>
        </w:trPr>
        <w:tc>
          <w:tcPr>
            <w:tcW w:w="205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E1DFFB0" w14:textId="77777777" w:rsidR="00F61F9D" w:rsidRDefault="002C4E78">
            <w:pPr>
              <w:spacing w:before="120" w:after="120"/>
              <w:ind w:left="400"/>
              <w:rPr>
                <w:b/>
                <w:bCs/>
              </w:rPr>
            </w:pPr>
            <w:r>
              <w:rPr>
                <w:b/>
                <w:bCs/>
              </w:rPr>
              <w:t>Module code:</w:t>
            </w:r>
          </w:p>
        </w:tc>
        <w:tc>
          <w:tcPr>
            <w:tcW w:w="2992" w:type="dxa"/>
            <w:tcBorders>
              <w:top w:val="nil"/>
              <w:left w:val="nil"/>
              <w:bottom w:val="single" w:sz="5" w:space="0" w:color="000000"/>
              <w:right w:val="single" w:sz="5" w:space="0" w:color="000000"/>
            </w:tcBorders>
            <w:tcMar>
              <w:top w:w="0" w:type="dxa"/>
              <w:left w:w="100" w:type="dxa"/>
              <w:bottom w:w="0" w:type="dxa"/>
              <w:right w:w="100" w:type="dxa"/>
            </w:tcMar>
          </w:tcPr>
          <w:p w14:paraId="1FE6E373" w14:textId="77777777" w:rsidR="00F61F9D" w:rsidRDefault="002C4E78">
            <w:pPr>
              <w:spacing w:before="120" w:after="120"/>
              <w:ind w:left="400"/>
              <w:rPr>
                <w:b/>
                <w:bCs/>
              </w:rPr>
            </w:pPr>
            <w:r>
              <w:rPr>
                <w:b/>
                <w:bCs/>
              </w:rPr>
              <w:t>LCHS7006</w:t>
            </w:r>
          </w:p>
        </w:tc>
        <w:tc>
          <w:tcPr>
            <w:tcW w:w="2198" w:type="dxa"/>
            <w:tcBorders>
              <w:top w:val="nil"/>
              <w:left w:val="nil"/>
              <w:bottom w:val="single" w:sz="5" w:space="0" w:color="000000"/>
              <w:right w:val="single" w:sz="5" w:space="0" w:color="000000"/>
            </w:tcBorders>
            <w:shd w:val="clear" w:color="auto" w:fill="D9D9D9"/>
            <w:tcMar>
              <w:top w:w="0" w:type="dxa"/>
              <w:left w:w="100" w:type="dxa"/>
              <w:bottom w:w="0" w:type="dxa"/>
              <w:right w:w="100" w:type="dxa"/>
            </w:tcMar>
          </w:tcPr>
          <w:p w14:paraId="77B06474" w14:textId="77777777" w:rsidR="00F61F9D" w:rsidRDefault="002C4E78">
            <w:pPr>
              <w:spacing w:before="360" w:after="80" w:line="276" w:lineRule="auto"/>
              <w:ind w:left="400"/>
              <w:jc w:val="left"/>
              <w:rPr>
                <w:b/>
                <w:bCs/>
              </w:rPr>
            </w:pPr>
            <w:r>
              <w:rPr>
                <w:b/>
                <w:bCs/>
              </w:rPr>
              <w:t>Contribution to Overall Module Assessment (%):</w:t>
            </w:r>
          </w:p>
        </w:tc>
        <w:tc>
          <w:tcPr>
            <w:tcW w:w="2113" w:type="dxa"/>
            <w:tcBorders>
              <w:top w:val="nil"/>
              <w:left w:val="nil"/>
              <w:bottom w:val="single" w:sz="5" w:space="0" w:color="000000"/>
              <w:right w:val="single" w:sz="5" w:space="0" w:color="000000"/>
            </w:tcBorders>
            <w:tcMar>
              <w:top w:w="0" w:type="dxa"/>
              <w:left w:w="100" w:type="dxa"/>
              <w:bottom w:w="0" w:type="dxa"/>
              <w:right w:w="100" w:type="dxa"/>
            </w:tcMar>
          </w:tcPr>
          <w:p w14:paraId="450AA064" w14:textId="77777777" w:rsidR="00F61F9D" w:rsidRDefault="002C4E78">
            <w:pPr>
              <w:spacing w:before="120" w:after="120"/>
              <w:ind w:left="400"/>
              <w:rPr>
                <w:b/>
                <w:bCs/>
              </w:rPr>
            </w:pPr>
            <w:r>
              <w:rPr>
                <w:b/>
                <w:bCs/>
              </w:rPr>
              <w:t>50%</w:t>
            </w:r>
          </w:p>
        </w:tc>
      </w:tr>
      <w:tr w:rsidR="00F61F9D" w14:paraId="2D842BA9" w14:textId="77777777">
        <w:trPr>
          <w:trHeight w:val="510"/>
        </w:trPr>
        <w:tc>
          <w:tcPr>
            <w:tcW w:w="205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0F33DC0" w14:textId="77777777" w:rsidR="00F61F9D" w:rsidRDefault="002C4E78">
            <w:pPr>
              <w:spacing w:before="120" w:after="120"/>
              <w:ind w:left="400"/>
              <w:rPr>
                <w:b/>
                <w:bCs/>
              </w:rPr>
            </w:pPr>
            <w:r>
              <w:rPr>
                <w:b/>
                <w:bCs/>
              </w:rPr>
              <w:t>Lecturer:</w:t>
            </w:r>
          </w:p>
        </w:tc>
        <w:tc>
          <w:tcPr>
            <w:tcW w:w="2992" w:type="dxa"/>
            <w:tcBorders>
              <w:top w:val="nil"/>
              <w:left w:val="nil"/>
              <w:bottom w:val="single" w:sz="5" w:space="0" w:color="000000"/>
              <w:right w:val="single" w:sz="5" w:space="0" w:color="000000"/>
            </w:tcBorders>
            <w:tcMar>
              <w:top w:w="0" w:type="dxa"/>
              <w:left w:w="100" w:type="dxa"/>
              <w:bottom w:w="0" w:type="dxa"/>
              <w:right w:w="100" w:type="dxa"/>
            </w:tcMar>
          </w:tcPr>
          <w:p w14:paraId="0E9493B1" w14:textId="77777777" w:rsidR="00F61F9D" w:rsidRDefault="002C4E78">
            <w:pPr>
              <w:spacing w:before="120" w:after="120"/>
              <w:ind w:left="400"/>
              <w:rPr>
                <w:b/>
                <w:bCs/>
              </w:rPr>
            </w:pPr>
            <w:r>
              <w:rPr>
                <w:b/>
                <w:bCs/>
              </w:rPr>
              <w:t>Dr Fahad Khan</w:t>
            </w:r>
          </w:p>
        </w:tc>
        <w:tc>
          <w:tcPr>
            <w:tcW w:w="2198" w:type="dxa"/>
            <w:tcBorders>
              <w:top w:val="nil"/>
              <w:left w:val="nil"/>
              <w:bottom w:val="single" w:sz="5" w:space="0" w:color="000000"/>
              <w:right w:val="single" w:sz="5" w:space="0" w:color="000000"/>
            </w:tcBorders>
            <w:shd w:val="clear" w:color="auto" w:fill="D9D9D9"/>
            <w:tcMar>
              <w:top w:w="0" w:type="dxa"/>
              <w:left w:w="100" w:type="dxa"/>
              <w:bottom w:w="0" w:type="dxa"/>
              <w:right w:w="100" w:type="dxa"/>
            </w:tcMar>
          </w:tcPr>
          <w:p w14:paraId="74F2B5D4" w14:textId="77777777" w:rsidR="00F61F9D" w:rsidRDefault="002C4E78">
            <w:pPr>
              <w:spacing w:before="120" w:after="120"/>
              <w:ind w:left="400"/>
              <w:rPr>
                <w:b/>
                <w:bCs/>
              </w:rPr>
            </w:pPr>
            <w:r>
              <w:rPr>
                <w:b/>
                <w:bCs/>
              </w:rPr>
              <w:t>Internal Verifier:</w:t>
            </w:r>
          </w:p>
        </w:tc>
        <w:tc>
          <w:tcPr>
            <w:tcW w:w="2113" w:type="dxa"/>
            <w:tcBorders>
              <w:top w:val="nil"/>
              <w:left w:val="nil"/>
              <w:bottom w:val="single" w:sz="5" w:space="0" w:color="000000"/>
              <w:right w:val="single" w:sz="5" w:space="0" w:color="000000"/>
            </w:tcBorders>
            <w:tcMar>
              <w:top w:w="0" w:type="dxa"/>
              <w:left w:w="100" w:type="dxa"/>
              <w:bottom w:w="0" w:type="dxa"/>
              <w:right w:w="100" w:type="dxa"/>
            </w:tcMar>
          </w:tcPr>
          <w:p w14:paraId="1E368B21" w14:textId="77777777" w:rsidR="00F61F9D" w:rsidRDefault="002C4E78">
            <w:pPr>
              <w:spacing w:before="120" w:after="120"/>
              <w:ind w:left="400"/>
              <w:rPr>
                <w:b/>
                <w:bCs/>
              </w:rPr>
            </w:pPr>
            <w:r>
              <w:rPr>
                <w:b/>
                <w:bCs/>
              </w:rPr>
              <w:t>Dr Hamdi Hussain</w:t>
            </w:r>
          </w:p>
        </w:tc>
      </w:tr>
      <w:tr w:rsidR="00F61F9D" w14:paraId="4D68BCC9" w14:textId="77777777">
        <w:trPr>
          <w:trHeight w:val="1170"/>
        </w:trPr>
        <w:tc>
          <w:tcPr>
            <w:tcW w:w="205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28BAE7D" w14:textId="77777777" w:rsidR="00F61F9D" w:rsidRDefault="002C4E78">
            <w:pPr>
              <w:spacing w:before="120" w:after="120"/>
              <w:ind w:left="400"/>
              <w:rPr>
                <w:b/>
                <w:bCs/>
              </w:rPr>
            </w:pPr>
            <w:r>
              <w:rPr>
                <w:b/>
                <w:bCs/>
              </w:rPr>
              <w:t>Assignment Title:</w:t>
            </w:r>
          </w:p>
        </w:tc>
        <w:tc>
          <w:tcPr>
            <w:tcW w:w="2992" w:type="dxa"/>
            <w:tcBorders>
              <w:top w:val="nil"/>
              <w:left w:val="nil"/>
              <w:bottom w:val="single" w:sz="5" w:space="0" w:color="000000"/>
              <w:right w:val="single" w:sz="5" w:space="0" w:color="000000"/>
            </w:tcBorders>
            <w:tcMar>
              <w:top w:w="0" w:type="dxa"/>
              <w:left w:w="100" w:type="dxa"/>
              <w:bottom w:w="0" w:type="dxa"/>
              <w:right w:w="100" w:type="dxa"/>
            </w:tcMar>
          </w:tcPr>
          <w:p w14:paraId="03B1BED1" w14:textId="77777777" w:rsidR="00F61F9D" w:rsidRDefault="002C4E78">
            <w:pPr>
              <w:spacing w:before="120" w:after="120"/>
              <w:ind w:left="400"/>
              <w:rPr>
                <w:b/>
                <w:bCs/>
              </w:rPr>
            </w:pPr>
            <w:r>
              <w:rPr>
                <w:b/>
                <w:bCs/>
              </w:rPr>
              <w:t>Component 2</w:t>
            </w:r>
          </w:p>
          <w:p w14:paraId="54F1FD64" w14:textId="77777777" w:rsidR="00F61F9D" w:rsidRDefault="002C4E78">
            <w:pPr>
              <w:spacing w:before="120" w:after="120"/>
              <w:ind w:left="400"/>
              <w:rPr>
                <w:b/>
                <w:bCs/>
              </w:rPr>
            </w:pPr>
            <w:r>
              <w:rPr>
                <w:b/>
                <w:bCs/>
              </w:rPr>
              <w:t>Service Improvement Report</w:t>
            </w:r>
          </w:p>
        </w:tc>
        <w:tc>
          <w:tcPr>
            <w:tcW w:w="2198" w:type="dxa"/>
            <w:tcBorders>
              <w:top w:val="nil"/>
              <w:left w:val="nil"/>
              <w:bottom w:val="single" w:sz="5" w:space="0" w:color="000000"/>
              <w:right w:val="single" w:sz="5" w:space="0" w:color="000000"/>
            </w:tcBorders>
            <w:tcMar>
              <w:top w:w="0" w:type="dxa"/>
              <w:left w:w="100" w:type="dxa"/>
              <w:bottom w:w="0" w:type="dxa"/>
              <w:right w:w="100" w:type="dxa"/>
            </w:tcMar>
          </w:tcPr>
          <w:p w14:paraId="6292B846" w14:textId="77777777" w:rsidR="00F61F9D" w:rsidRDefault="002C4E78">
            <w:pPr>
              <w:spacing w:before="120" w:after="120"/>
              <w:ind w:left="400"/>
              <w:rPr>
                <w:b/>
                <w:bCs/>
              </w:rPr>
            </w:pPr>
            <w:r>
              <w:rPr>
                <w:b/>
                <w:bCs/>
              </w:rPr>
              <w:t>Word count (or equivalent):</w:t>
            </w:r>
          </w:p>
        </w:tc>
        <w:tc>
          <w:tcPr>
            <w:tcW w:w="2113" w:type="dxa"/>
            <w:tcBorders>
              <w:top w:val="nil"/>
              <w:left w:val="nil"/>
              <w:bottom w:val="single" w:sz="5" w:space="0" w:color="000000"/>
              <w:right w:val="single" w:sz="5" w:space="0" w:color="000000"/>
            </w:tcBorders>
            <w:tcMar>
              <w:top w:w="0" w:type="dxa"/>
              <w:left w:w="100" w:type="dxa"/>
              <w:bottom w:w="0" w:type="dxa"/>
              <w:right w:w="100" w:type="dxa"/>
            </w:tcMar>
          </w:tcPr>
          <w:p w14:paraId="31B43231" w14:textId="77777777" w:rsidR="00F61F9D" w:rsidRDefault="00072E1B">
            <w:pPr>
              <w:spacing w:before="120" w:after="120"/>
              <w:ind w:left="400"/>
              <w:rPr>
                <w:b/>
                <w:bCs/>
              </w:rPr>
            </w:pPr>
            <w:r>
              <w:rPr>
                <w:b/>
                <w:bCs/>
              </w:rPr>
              <w:t>3033</w:t>
            </w:r>
            <w:r w:rsidR="002C4E78">
              <w:rPr>
                <w:b/>
                <w:bCs/>
              </w:rPr>
              <w:t xml:space="preserve"> words</w:t>
            </w:r>
          </w:p>
          <w:p w14:paraId="68F656B1" w14:textId="77777777" w:rsidR="00F61F9D" w:rsidRDefault="002C4E78">
            <w:pPr>
              <w:spacing w:before="120" w:after="120"/>
              <w:ind w:left="400"/>
            </w:pPr>
            <w:r>
              <w:t xml:space="preserve"> </w:t>
            </w:r>
          </w:p>
        </w:tc>
      </w:tr>
    </w:tbl>
    <w:p w14:paraId="461F47DB" w14:textId="77777777" w:rsidR="00F61F9D" w:rsidRDefault="00F61F9D"/>
    <w:p w14:paraId="3914786C" w14:textId="77777777" w:rsidR="00F61F9D" w:rsidRDefault="002C4E78">
      <w:pPr>
        <w:jc w:val="center"/>
        <w:rPr>
          <w:b/>
          <w:bCs/>
          <w:i/>
          <w:iCs/>
          <w:sz w:val="36"/>
          <w:szCs w:val="36"/>
        </w:rPr>
      </w:pPr>
      <w:r>
        <w:rPr>
          <w:b/>
          <w:bCs/>
          <w:sz w:val="36"/>
          <w:szCs w:val="36"/>
        </w:rPr>
        <w:t xml:space="preserve">Title: </w:t>
      </w:r>
      <w:r>
        <w:rPr>
          <w:b/>
          <w:bCs/>
          <w:i/>
          <w:iCs/>
          <w:sz w:val="36"/>
          <w:szCs w:val="36"/>
        </w:rPr>
        <w:t xml:space="preserve">Quality Assurance Failures and Systemic Risk in Neonatal Healthcare: A Service Improvement Analysis of the Lucy </w:t>
      </w:r>
      <w:proofErr w:type="spellStart"/>
      <w:r>
        <w:rPr>
          <w:b/>
          <w:bCs/>
          <w:i/>
          <w:iCs/>
          <w:sz w:val="36"/>
          <w:szCs w:val="36"/>
        </w:rPr>
        <w:t>Letby</w:t>
      </w:r>
      <w:proofErr w:type="spellEnd"/>
      <w:r>
        <w:rPr>
          <w:b/>
          <w:bCs/>
          <w:i/>
          <w:iCs/>
          <w:sz w:val="36"/>
          <w:szCs w:val="36"/>
        </w:rPr>
        <w:t xml:space="preserve"> Case</w:t>
      </w:r>
    </w:p>
    <w:p w14:paraId="2B0C7327" w14:textId="1AAFC253" w:rsidR="004C6196" w:rsidRDefault="004C6196">
      <w:pPr>
        <w:jc w:val="center"/>
        <w:rPr>
          <w:b/>
          <w:bCs/>
          <w:i/>
          <w:iCs/>
          <w:sz w:val="36"/>
          <w:szCs w:val="36"/>
        </w:rPr>
      </w:pPr>
      <w:r>
        <w:rPr>
          <w:b/>
          <w:bCs/>
          <w:i/>
          <w:iCs/>
          <w:sz w:val="36"/>
          <w:szCs w:val="36"/>
        </w:rPr>
        <w:t>Student name</w:t>
      </w:r>
      <w:r w:rsidR="00405C49">
        <w:rPr>
          <w:b/>
          <w:bCs/>
          <w:i/>
          <w:iCs/>
          <w:sz w:val="36"/>
          <w:szCs w:val="36"/>
        </w:rPr>
        <w:t>: Pati Asha</w:t>
      </w:r>
    </w:p>
    <w:p w14:paraId="242D6A17" w14:textId="5EE85667" w:rsidR="00405C49" w:rsidRDefault="00405C49">
      <w:pPr>
        <w:jc w:val="center"/>
        <w:rPr>
          <w:b/>
          <w:bCs/>
          <w:i/>
          <w:iCs/>
          <w:sz w:val="36"/>
          <w:szCs w:val="36"/>
        </w:rPr>
      </w:pPr>
      <w:r>
        <w:rPr>
          <w:b/>
          <w:bCs/>
          <w:i/>
          <w:iCs/>
          <w:sz w:val="36"/>
          <w:szCs w:val="36"/>
        </w:rPr>
        <w:t>Student I</w:t>
      </w:r>
      <w:r w:rsidR="001F3EE0">
        <w:rPr>
          <w:b/>
          <w:bCs/>
          <w:i/>
          <w:iCs/>
          <w:sz w:val="36"/>
          <w:szCs w:val="36"/>
        </w:rPr>
        <w:t>d: 2513192</w:t>
      </w:r>
    </w:p>
    <w:p w14:paraId="615C953C" w14:textId="77777777" w:rsidR="00F61F9D" w:rsidRDefault="002C4E78">
      <w:pPr>
        <w:jc w:val="center"/>
        <w:rPr>
          <w:b/>
          <w:bCs/>
          <w:i/>
          <w:iCs/>
          <w:sz w:val="36"/>
          <w:szCs w:val="36"/>
        </w:rPr>
      </w:pPr>
      <w:r>
        <w:br w:type="page"/>
      </w:r>
    </w:p>
    <w:p w14:paraId="37D5FC02" w14:textId="77777777" w:rsidR="00F61F9D" w:rsidRDefault="002C4E78">
      <w:pPr>
        <w:jc w:val="center"/>
        <w:rPr>
          <w:b/>
          <w:bCs/>
        </w:rPr>
      </w:pPr>
      <w:r>
        <w:rPr>
          <w:b/>
          <w:bCs/>
        </w:rPr>
        <w:lastRenderedPageBreak/>
        <w:t>Table of contents</w:t>
      </w:r>
    </w:p>
    <w:p w14:paraId="2731B112" w14:textId="77777777" w:rsidR="00F61F9D" w:rsidRDefault="00F61F9D">
      <w:pPr>
        <w:jc w:val="center"/>
        <w:rPr>
          <w:b/>
          <w:bCs/>
        </w:rPr>
      </w:pPr>
    </w:p>
    <w:sdt>
      <w:sdtPr>
        <w:rPr>
          <w:rFonts w:ascii="Arial" w:eastAsia="Arial" w:hAnsi="Arial" w:cs="Arial"/>
          <w:color w:val="auto"/>
          <w:sz w:val="24"/>
          <w:szCs w:val="24"/>
          <w:lang w:val="en" w:eastAsia="en-IN"/>
        </w:rPr>
        <w:id w:val="-2123990595"/>
        <w:docPartObj>
          <w:docPartGallery w:val="Table of Contents"/>
          <w:docPartUnique/>
        </w:docPartObj>
      </w:sdtPr>
      <w:sdtEndPr>
        <w:rPr>
          <w:b/>
          <w:bCs/>
          <w:noProof/>
        </w:rPr>
      </w:sdtEndPr>
      <w:sdtContent>
        <w:p w14:paraId="3862B8EF" w14:textId="77777777" w:rsidR="00072E1B" w:rsidRDefault="00072E1B">
          <w:pPr>
            <w:pStyle w:val="TOCHeading"/>
          </w:pPr>
        </w:p>
        <w:p w14:paraId="3E5D87E9" w14:textId="77777777" w:rsidR="00072E1B" w:rsidRDefault="00072E1B">
          <w:pPr>
            <w:pStyle w:val="TOC1"/>
            <w:tabs>
              <w:tab w:val="right" w:leader="dot" w:pos="9350"/>
            </w:tabs>
            <w:rPr>
              <w:noProof/>
            </w:rPr>
          </w:pPr>
          <w:r>
            <w:fldChar w:fldCharType="begin"/>
          </w:r>
          <w:r>
            <w:instrText xml:space="preserve"> TOC \o "1-3" \h \z \u </w:instrText>
          </w:r>
          <w:r>
            <w:fldChar w:fldCharType="separate"/>
          </w:r>
          <w:hyperlink w:anchor="_Toc223529595" w:history="1">
            <w:r w:rsidRPr="008552C5">
              <w:rPr>
                <w:rStyle w:val="Hyperlink"/>
                <w:noProof/>
              </w:rPr>
              <w:t>1. INTRODUCTION</w:t>
            </w:r>
            <w:r>
              <w:rPr>
                <w:noProof/>
                <w:webHidden/>
              </w:rPr>
              <w:tab/>
            </w:r>
            <w:r>
              <w:rPr>
                <w:noProof/>
                <w:webHidden/>
              </w:rPr>
              <w:fldChar w:fldCharType="begin"/>
            </w:r>
            <w:r>
              <w:rPr>
                <w:noProof/>
                <w:webHidden/>
              </w:rPr>
              <w:instrText xml:space="preserve"> PAGEREF _Toc223529595 \h </w:instrText>
            </w:r>
            <w:r>
              <w:rPr>
                <w:noProof/>
                <w:webHidden/>
              </w:rPr>
            </w:r>
            <w:r>
              <w:rPr>
                <w:noProof/>
                <w:webHidden/>
              </w:rPr>
              <w:fldChar w:fldCharType="separate"/>
            </w:r>
            <w:r>
              <w:rPr>
                <w:noProof/>
                <w:webHidden/>
              </w:rPr>
              <w:t>3</w:t>
            </w:r>
            <w:r>
              <w:rPr>
                <w:noProof/>
                <w:webHidden/>
              </w:rPr>
              <w:fldChar w:fldCharType="end"/>
            </w:r>
          </w:hyperlink>
        </w:p>
        <w:p w14:paraId="2533BC61" w14:textId="77777777" w:rsidR="00072E1B" w:rsidRDefault="00072E1B">
          <w:pPr>
            <w:pStyle w:val="TOC1"/>
            <w:tabs>
              <w:tab w:val="right" w:leader="dot" w:pos="9350"/>
            </w:tabs>
            <w:rPr>
              <w:noProof/>
            </w:rPr>
          </w:pPr>
          <w:hyperlink w:anchor="_Toc223529596" w:history="1">
            <w:r w:rsidRPr="008552C5">
              <w:rPr>
                <w:rStyle w:val="Hyperlink"/>
                <w:noProof/>
              </w:rPr>
              <w:t>2. MAIN BODY</w:t>
            </w:r>
            <w:r>
              <w:rPr>
                <w:noProof/>
                <w:webHidden/>
              </w:rPr>
              <w:tab/>
            </w:r>
            <w:r>
              <w:rPr>
                <w:noProof/>
                <w:webHidden/>
              </w:rPr>
              <w:fldChar w:fldCharType="begin"/>
            </w:r>
            <w:r>
              <w:rPr>
                <w:noProof/>
                <w:webHidden/>
              </w:rPr>
              <w:instrText xml:space="preserve"> PAGEREF _Toc223529596 \h </w:instrText>
            </w:r>
            <w:r>
              <w:rPr>
                <w:noProof/>
                <w:webHidden/>
              </w:rPr>
            </w:r>
            <w:r>
              <w:rPr>
                <w:noProof/>
                <w:webHidden/>
              </w:rPr>
              <w:fldChar w:fldCharType="separate"/>
            </w:r>
            <w:r>
              <w:rPr>
                <w:noProof/>
                <w:webHidden/>
              </w:rPr>
              <w:t>5</w:t>
            </w:r>
            <w:r>
              <w:rPr>
                <w:noProof/>
                <w:webHidden/>
              </w:rPr>
              <w:fldChar w:fldCharType="end"/>
            </w:r>
          </w:hyperlink>
        </w:p>
        <w:p w14:paraId="4CCE9AB2" w14:textId="77777777" w:rsidR="00072E1B" w:rsidRDefault="00072E1B">
          <w:pPr>
            <w:pStyle w:val="TOC2"/>
            <w:tabs>
              <w:tab w:val="right" w:leader="dot" w:pos="9350"/>
            </w:tabs>
            <w:rPr>
              <w:noProof/>
            </w:rPr>
          </w:pPr>
          <w:hyperlink w:anchor="_Toc223529597" w:history="1">
            <w:r w:rsidRPr="008552C5">
              <w:rPr>
                <w:rStyle w:val="Hyperlink"/>
                <w:noProof/>
              </w:rPr>
              <w:t>2.1 Theoretical Foundations of Quality in Healthcare</w:t>
            </w:r>
            <w:r>
              <w:rPr>
                <w:noProof/>
                <w:webHidden/>
              </w:rPr>
              <w:tab/>
            </w:r>
            <w:r>
              <w:rPr>
                <w:noProof/>
                <w:webHidden/>
              </w:rPr>
              <w:fldChar w:fldCharType="begin"/>
            </w:r>
            <w:r>
              <w:rPr>
                <w:noProof/>
                <w:webHidden/>
              </w:rPr>
              <w:instrText xml:space="preserve"> PAGEREF _Toc223529597 \h </w:instrText>
            </w:r>
            <w:r>
              <w:rPr>
                <w:noProof/>
                <w:webHidden/>
              </w:rPr>
            </w:r>
            <w:r>
              <w:rPr>
                <w:noProof/>
                <w:webHidden/>
              </w:rPr>
              <w:fldChar w:fldCharType="separate"/>
            </w:r>
            <w:r>
              <w:rPr>
                <w:noProof/>
                <w:webHidden/>
              </w:rPr>
              <w:t>5</w:t>
            </w:r>
            <w:r>
              <w:rPr>
                <w:noProof/>
                <w:webHidden/>
              </w:rPr>
              <w:fldChar w:fldCharType="end"/>
            </w:r>
          </w:hyperlink>
        </w:p>
        <w:p w14:paraId="2D11871E" w14:textId="77777777" w:rsidR="00072E1B" w:rsidRDefault="00072E1B">
          <w:pPr>
            <w:pStyle w:val="TOC2"/>
            <w:tabs>
              <w:tab w:val="right" w:leader="dot" w:pos="9350"/>
            </w:tabs>
            <w:rPr>
              <w:noProof/>
            </w:rPr>
          </w:pPr>
          <w:hyperlink w:anchor="_Toc223529598" w:history="1">
            <w:r w:rsidRPr="008552C5">
              <w:rPr>
                <w:rStyle w:val="Hyperlink"/>
                <w:noProof/>
              </w:rPr>
              <w:t>2.1.1 Swiss Cheese Model</w:t>
            </w:r>
            <w:r>
              <w:rPr>
                <w:noProof/>
                <w:webHidden/>
              </w:rPr>
              <w:tab/>
            </w:r>
            <w:r>
              <w:rPr>
                <w:noProof/>
                <w:webHidden/>
              </w:rPr>
              <w:fldChar w:fldCharType="begin"/>
            </w:r>
            <w:r>
              <w:rPr>
                <w:noProof/>
                <w:webHidden/>
              </w:rPr>
              <w:instrText xml:space="preserve"> PAGEREF _Toc223529598 \h </w:instrText>
            </w:r>
            <w:r>
              <w:rPr>
                <w:noProof/>
                <w:webHidden/>
              </w:rPr>
            </w:r>
            <w:r>
              <w:rPr>
                <w:noProof/>
                <w:webHidden/>
              </w:rPr>
              <w:fldChar w:fldCharType="separate"/>
            </w:r>
            <w:r>
              <w:rPr>
                <w:noProof/>
                <w:webHidden/>
              </w:rPr>
              <w:t>5</w:t>
            </w:r>
            <w:r>
              <w:rPr>
                <w:noProof/>
                <w:webHidden/>
              </w:rPr>
              <w:fldChar w:fldCharType="end"/>
            </w:r>
          </w:hyperlink>
        </w:p>
        <w:p w14:paraId="14794552" w14:textId="77777777" w:rsidR="00072E1B" w:rsidRDefault="00072E1B">
          <w:pPr>
            <w:pStyle w:val="TOC2"/>
            <w:tabs>
              <w:tab w:val="right" w:leader="dot" w:pos="9350"/>
            </w:tabs>
            <w:rPr>
              <w:noProof/>
            </w:rPr>
          </w:pPr>
          <w:hyperlink w:anchor="_Toc223529599" w:history="1">
            <w:r w:rsidRPr="008552C5">
              <w:rPr>
                <w:rStyle w:val="Hyperlink"/>
                <w:noProof/>
              </w:rPr>
              <w:t>2.1.2 Donabedian Model (Structure–Process–Outcome)</w:t>
            </w:r>
            <w:r>
              <w:rPr>
                <w:noProof/>
                <w:webHidden/>
              </w:rPr>
              <w:tab/>
            </w:r>
            <w:r>
              <w:rPr>
                <w:noProof/>
                <w:webHidden/>
              </w:rPr>
              <w:fldChar w:fldCharType="begin"/>
            </w:r>
            <w:r>
              <w:rPr>
                <w:noProof/>
                <w:webHidden/>
              </w:rPr>
              <w:instrText xml:space="preserve"> PAGEREF _Toc223529599 \h </w:instrText>
            </w:r>
            <w:r>
              <w:rPr>
                <w:noProof/>
                <w:webHidden/>
              </w:rPr>
            </w:r>
            <w:r>
              <w:rPr>
                <w:noProof/>
                <w:webHidden/>
              </w:rPr>
              <w:fldChar w:fldCharType="separate"/>
            </w:r>
            <w:r>
              <w:rPr>
                <w:noProof/>
                <w:webHidden/>
              </w:rPr>
              <w:t>7</w:t>
            </w:r>
            <w:r>
              <w:rPr>
                <w:noProof/>
                <w:webHidden/>
              </w:rPr>
              <w:fldChar w:fldCharType="end"/>
            </w:r>
          </w:hyperlink>
        </w:p>
        <w:p w14:paraId="0B650FD8" w14:textId="77777777" w:rsidR="00072E1B" w:rsidRDefault="00072E1B">
          <w:pPr>
            <w:pStyle w:val="TOC2"/>
            <w:tabs>
              <w:tab w:val="right" w:leader="dot" w:pos="9350"/>
            </w:tabs>
            <w:rPr>
              <w:noProof/>
            </w:rPr>
          </w:pPr>
          <w:hyperlink w:anchor="_Toc223529600" w:history="1">
            <w:r w:rsidRPr="008552C5">
              <w:rPr>
                <w:rStyle w:val="Hyperlink"/>
                <w:noProof/>
              </w:rPr>
              <w:t>2.2 Root Cause Analysis</w:t>
            </w:r>
            <w:r>
              <w:rPr>
                <w:noProof/>
                <w:webHidden/>
              </w:rPr>
              <w:tab/>
            </w:r>
            <w:r>
              <w:rPr>
                <w:noProof/>
                <w:webHidden/>
              </w:rPr>
              <w:fldChar w:fldCharType="begin"/>
            </w:r>
            <w:r>
              <w:rPr>
                <w:noProof/>
                <w:webHidden/>
              </w:rPr>
              <w:instrText xml:space="preserve"> PAGEREF _Toc223529600 \h </w:instrText>
            </w:r>
            <w:r>
              <w:rPr>
                <w:noProof/>
                <w:webHidden/>
              </w:rPr>
            </w:r>
            <w:r>
              <w:rPr>
                <w:noProof/>
                <w:webHidden/>
              </w:rPr>
              <w:fldChar w:fldCharType="separate"/>
            </w:r>
            <w:r>
              <w:rPr>
                <w:noProof/>
                <w:webHidden/>
              </w:rPr>
              <w:t>8</w:t>
            </w:r>
            <w:r>
              <w:rPr>
                <w:noProof/>
                <w:webHidden/>
              </w:rPr>
              <w:fldChar w:fldCharType="end"/>
            </w:r>
          </w:hyperlink>
        </w:p>
        <w:p w14:paraId="3F1D75A9" w14:textId="77777777" w:rsidR="00072E1B" w:rsidRDefault="00072E1B">
          <w:pPr>
            <w:pStyle w:val="TOC2"/>
            <w:tabs>
              <w:tab w:val="right" w:leader="dot" w:pos="9350"/>
            </w:tabs>
            <w:rPr>
              <w:noProof/>
            </w:rPr>
          </w:pPr>
          <w:hyperlink w:anchor="_Toc223529601" w:history="1">
            <w:r w:rsidRPr="008552C5">
              <w:rPr>
                <w:rStyle w:val="Hyperlink"/>
                <w:noProof/>
              </w:rPr>
              <w:t>2.2.1 Fishbone (Ishikawa) Diagram Application</w:t>
            </w:r>
            <w:r>
              <w:rPr>
                <w:noProof/>
                <w:webHidden/>
              </w:rPr>
              <w:tab/>
            </w:r>
            <w:r>
              <w:rPr>
                <w:noProof/>
                <w:webHidden/>
              </w:rPr>
              <w:fldChar w:fldCharType="begin"/>
            </w:r>
            <w:r>
              <w:rPr>
                <w:noProof/>
                <w:webHidden/>
              </w:rPr>
              <w:instrText xml:space="preserve"> PAGEREF _Toc223529601 \h </w:instrText>
            </w:r>
            <w:r>
              <w:rPr>
                <w:noProof/>
                <w:webHidden/>
              </w:rPr>
            </w:r>
            <w:r>
              <w:rPr>
                <w:noProof/>
                <w:webHidden/>
              </w:rPr>
              <w:fldChar w:fldCharType="separate"/>
            </w:r>
            <w:r>
              <w:rPr>
                <w:noProof/>
                <w:webHidden/>
              </w:rPr>
              <w:t>8</w:t>
            </w:r>
            <w:r>
              <w:rPr>
                <w:noProof/>
                <w:webHidden/>
              </w:rPr>
              <w:fldChar w:fldCharType="end"/>
            </w:r>
          </w:hyperlink>
        </w:p>
        <w:p w14:paraId="6837A3F7" w14:textId="77777777" w:rsidR="00072E1B" w:rsidRDefault="00072E1B">
          <w:pPr>
            <w:pStyle w:val="TOC2"/>
            <w:tabs>
              <w:tab w:val="right" w:leader="dot" w:pos="9350"/>
            </w:tabs>
            <w:rPr>
              <w:noProof/>
            </w:rPr>
          </w:pPr>
          <w:hyperlink w:anchor="_Toc223529602" w:history="1">
            <w:r w:rsidRPr="008552C5">
              <w:rPr>
                <w:rStyle w:val="Hyperlink"/>
                <w:noProof/>
              </w:rPr>
              <w:t>2.2.2 The 5 Whys Analysis</w:t>
            </w:r>
            <w:r>
              <w:rPr>
                <w:noProof/>
                <w:webHidden/>
              </w:rPr>
              <w:tab/>
            </w:r>
            <w:r>
              <w:rPr>
                <w:noProof/>
                <w:webHidden/>
              </w:rPr>
              <w:fldChar w:fldCharType="begin"/>
            </w:r>
            <w:r>
              <w:rPr>
                <w:noProof/>
                <w:webHidden/>
              </w:rPr>
              <w:instrText xml:space="preserve"> PAGEREF _Toc223529602 \h </w:instrText>
            </w:r>
            <w:r>
              <w:rPr>
                <w:noProof/>
                <w:webHidden/>
              </w:rPr>
            </w:r>
            <w:r>
              <w:rPr>
                <w:noProof/>
                <w:webHidden/>
              </w:rPr>
              <w:fldChar w:fldCharType="separate"/>
            </w:r>
            <w:r>
              <w:rPr>
                <w:noProof/>
                <w:webHidden/>
              </w:rPr>
              <w:t>10</w:t>
            </w:r>
            <w:r>
              <w:rPr>
                <w:noProof/>
                <w:webHidden/>
              </w:rPr>
              <w:fldChar w:fldCharType="end"/>
            </w:r>
          </w:hyperlink>
        </w:p>
        <w:p w14:paraId="399A3730" w14:textId="77777777" w:rsidR="00072E1B" w:rsidRDefault="00072E1B">
          <w:pPr>
            <w:pStyle w:val="TOC2"/>
            <w:tabs>
              <w:tab w:val="right" w:leader="dot" w:pos="9350"/>
            </w:tabs>
            <w:rPr>
              <w:noProof/>
            </w:rPr>
          </w:pPr>
          <w:hyperlink w:anchor="_Toc223529603" w:history="1">
            <w:r w:rsidRPr="008552C5">
              <w:rPr>
                <w:rStyle w:val="Hyperlink"/>
                <w:noProof/>
              </w:rPr>
              <w:t>2.3 Strategic Analysis</w:t>
            </w:r>
            <w:r>
              <w:rPr>
                <w:noProof/>
                <w:webHidden/>
              </w:rPr>
              <w:tab/>
            </w:r>
            <w:r>
              <w:rPr>
                <w:noProof/>
                <w:webHidden/>
              </w:rPr>
              <w:fldChar w:fldCharType="begin"/>
            </w:r>
            <w:r>
              <w:rPr>
                <w:noProof/>
                <w:webHidden/>
              </w:rPr>
              <w:instrText xml:space="preserve"> PAGEREF _Toc223529603 \h </w:instrText>
            </w:r>
            <w:r>
              <w:rPr>
                <w:noProof/>
                <w:webHidden/>
              </w:rPr>
            </w:r>
            <w:r>
              <w:rPr>
                <w:noProof/>
                <w:webHidden/>
              </w:rPr>
              <w:fldChar w:fldCharType="separate"/>
            </w:r>
            <w:r>
              <w:rPr>
                <w:noProof/>
                <w:webHidden/>
              </w:rPr>
              <w:t>11</w:t>
            </w:r>
            <w:r>
              <w:rPr>
                <w:noProof/>
                <w:webHidden/>
              </w:rPr>
              <w:fldChar w:fldCharType="end"/>
            </w:r>
          </w:hyperlink>
        </w:p>
        <w:p w14:paraId="6C43FAF6" w14:textId="77777777" w:rsidR="00072E1B" w:rsidRDefault="00072E1B">
          <w:pPr>
            <w:pStyle w:val="TOC2"/>
            <w:tabs>
              <w:tab w:val="right" w:leader="dot" w:pos="9350"/>
            </w:tabs>
            <w:rPr>
              <w:noProof/>
            </w:rPr>
          </w:pPr>
          <w:hyperlink w:anchor="_Toc223529604" w:history="1">
            <w:r w:rsidRPr="008552C5">
              <w:rPr>
                <w:rStyle w:val="Hyperlink"/>
                <w:noProof/>
              </w:rPr>
              <w:t>2.3.1 SWOT Analysis</w:t>
            </w:r>
            <w:r>
              <w:rPr>
                <w:noProof/>
                <w:webHidden/>
              </w:rPr>
              <w:tab/>
            </w:r>
            <w:r>
              <w:rPr>
                <w:noProof/>
                <w:webHidden/>
              </w:rPr>
              <w:fldChar w:fldCharType="begin"/>
            </w:r>
            <w:r>
              <w:rPr>
                <w:noProof/>
                <w:webHidden/>
              </w:rPr>
              <w:instrText xml:space="preserve"> PAGEREF _Toc223529604 \h </w:instrText>
            </w:r>
            <w:r>
              <w:rPr>
                <w:noProof/>
                <w:webHidden/>
              </w:rPr>
            </w:r>
            <w:r>
              <w:rPr>
                <w:noProof/>
                <w:webHidden/>
              </w:rPr>
              <w:fldChar w:fldCharType="separate"/>
            </w:r>
            <w:r>
              <w:rPr>
                <w:noProof/>
                <w:webHidden/>
              </w:rPr>
              <w:t>11</w:t>
            </w:r>
            <w:r>
              <w:rPr>
                <w:noProof/>
                <w:webHidden/>
              </w:rPr>
              <w:fldChar w:fldCharType="end"/>
            </w:r>
          </w:hyperlink>
        </w:p>
        <w:p w14:paraId="06FF96FF" w14:textId="77777777" w:rsidR="00072E1B" w:rsidRDefault="00072E1B">
          <w:pPr>
            <w:pStyle w:val="TOC2"/>
            <w:tabs>
              <w:tab w:val="right" w:leader="dot" w:pos="9350"/>
            </w:tabs>
            <w:rPr>
              <w:noProof/>
            </w:rPr>
          </w:pPr>
          <w:hyperlink w:anchor="_Toc223529605" w:history="1">
            <w:r w:rsidRPr="008552C5">
              <w:rPr>
                <w:rStyle w:val="Hyperlink"/>
                <w:noProof/>
              </w:rPr>
              <w:t>2.3.2 PESTLE Analysis</w:t>
            </w:r>
            <w:r>
              <w:rPr>
                <w:noProof/>
                <w:webHidden/>
              </w:rPr>
              <w:tab/>
            </w:r>
            <w:r>
              <w:rPr>
                <w:noProof/>
                <w:webHidden/>
              </w:rPr>
              <w:fldChar w:fldCharType="begin"/>
            </w:r>
            <w:r>
              <w:rPr>
                <w:noProof/>
                <w:webHidden/>
              </w:rPr>
              <w:instrText xml:space="preserve"> PAGEREF _Toc223529605 \h </w:instrText>
            </w:r>
            <w:r>
              <w:rPr>
                <w:noProof/>
                <w:webHidden/>
              </w:rPr>
            </w:r>
            <w:r>
              <w:rPr>
                <w:noProof/>
                <w:webHidden/>
              </w:rPr>
              <w:fldChar w:fldCharType="separate"/>
            </w:r>
            <w:r>
              <w:rPr>
                <w:noProof/>
                <w:webHidden/>
              </w:rPr>
              <w:t>12</w:t>
            </w:r>
            <w:r>
              <w:rPr>
                <w:noProof/>
                <w:webHidden/>
              </w:rPr>
              <w:fldChar w:fldCharType="end"/>
            </w:r>
          </w:hyperlink>
        </w:p>
        <w:p w14:paraId="16507035" w14:textId="77777777" w:rsidR="00072E1B" w:rsidRDefault="00072E1B">
          <w:pPr>
            <w:pStyle w:val="TOC2"/>
            <w:tabs>
              <w:tab w:val="right" w:leader="dot" w:pos="9350"/>
            </w:tabs>
            <w:rPr>
              <w:noProof/>
            </w:rPr>
          </w:pPr>
          <w:hyperlink w:anchor="_Toc223529606" w:history="1">
            <w:r w:rsidRPr="008552C5">
              <w:rPr>
                <w:rStyle w:val="Hyperlink"/>
                <w:noProof/>
              </w:rPr>
              <w:t>2.4 Critical Evaluation of Governance and Policy Failure</w:t>
            </w:r>
            <w:r>
              <w:rPr>
                <w:noProof/>
                <w:webHidden/>
              </w:rPr>
              <w:tab/>
            </w:r>
            <w:r>
              <w:rPr>
                <w:noProof/>
                <w:webHidden/>
              </w:rPr>
              <w:fldChar w:fldCharType="begin"/>
            </w:r>
            <w:r>
              <w:rPr>
                <w:noProof/>
                <w:webHidden/>
              </w:rPr>
              <w:instrText xml:space="preserve"> PAGEREF _Toc223529606 \h </w:instrText>
            </w:r>
            <w:r>
              <w:rPr>
                <w:noProof/>
                <w:webHidden/>
              </w:rPr>
            </w:r>
            <w:r>
              <w:rPr>
                <w:noProof/>
                <w:webHidden/>
              </w:rPr>
              <w:fldChar w:fldCharType="separate"/>
            </w:r>
            <w:r>
              <w:rPr>
                <w:noProof/>
                <w:webHidden/>
              </w:rPr>
              <w:t>13</w:t>
            </w:r>
            <w:r>
              <w:rPr>
                <w:noProof/>
                <w:webHidden/>
              </w:rPr>
              <w:fldChar w:fldCharType="end"/>
            </w:r>
          </w:hyperlink>
        </w:p>
        <w:p w14:paraId="26ED643E" w14:textId="77777777" w:rsidR="00072E1B" w:rsidRDefault="00072E1B">
          <w:pPr>
            <w:pStyle w:val="TOC1"/>
            <w:tabs>
              <w:tab w:val="right" w:leader="dot" w:pos="9350"/>
            </w:tabs>
            <w:rPr>
              <w:noProof/>
            </w:rPr>
          </w:pPr>
          <w:hyperlink w:anchor="_Toc223529607" w:history="1">
            <w:r w:rsidRPr="008552C5">
              <w:rPr>
                <w:rStyle w:val="Hyperlink"/>
                <w:noProof/>
              </w:rPr>
              <w:t>3. RECOMMENDATIONS</w:t>
            </w:r>
            <w:r>
              <w:rPr>
                <w:noProof/>
                <w:webHidden/>
              </w:rPr>
              <w:tab/>
            </w:r>
            <w:r>
              <w:rPr>
                <w:noProof/>
                <w:webHidden/>
              </w:rPr>
              <w:fldChar w:fldCharType="begin"/>
            </w:r>
            <w:r>
              <w:rPr>
                <w:noProof/>
                <w:webHidden/>
              </w:rPr>
              <w:instrText xml:space="preserve"> PAGEREF _Toc223529607 \h </w:instrText>
            </w:r>
            <w:r>
              <w:rPr>
                <w:noProof/>
                <w:webHidden/>
              </w:rPr>
            </w:r>
            <w:r>
              <w:rPr>
                <w:noProof/>
                <w:webHidden/>
              </w:rPr>
              <w:fldChar w:fldCharType="separate"/>
            </w:r>
            <w:r>
              <w:rPr>
                <w:noProof/>
                <w:webHidden/>
              </w:rPr>
              <w:t>13</w:t>
            </w:r>
            <w:r>
              <w:rPr>
                <w:noProof/>
                <w:webHidden/>
              </w:rPr>
              <w:fldChar w:fldCharType="end"/>
            </w:r>
          </w:hyperlink>
        </w:p>
        <w:p w14:paraId="7C2B60D5" w14:textId="77777777" w:rsidR="00072E1B" w:rsidRDefault="00072E1B">
          <w:pPr>
            <w:pStyle w:val="TOC1"/>
            <w:tabs>
              <w:tab w:val="right" w:leader="dot" w:pos="9350"/>
            </w:tabs>
            <w:rPr>
              <w:noProof/>
            </w:rPr>
          </w:pPr>
          <w:hyperlink w:anchor="_Toc223529608" w:history="1">
            <w:r w:rsidRPr="008552C5">
              <w:rPr>
                <w:rStyle w:val="Hyperlink"/>
                <w:noProof/>
              </w:rPr>
              <w:t>4. CONCLUSION</w:t>
            </w:r>
            <w:r>
              <w:rPr>
                <w:noProof/>
                <w:webHidden/>
              </w:rPr>
              <w:tab/>
            </w:r>
            <w:r>
              <w:rPr>
                <w:noProof/>
                <w:webHidden/>
              </w:rPr>
              <w:fldChar w:fldCharType="begin"/>
            </w:r>
            <w:r>
              <w:rPr>
                <w:noProof/>
                <w:webHidden/>
              </w:rPr>
              <w:instrText xml:space="preserve"> PAGEREF _Toc223529608 \h </w:instrText>
            </w:r>
            <w:r>
              <w:rPr>
                <w:noProof/>
                <w:webHidden/>
              </w:rPr>
            </w:r>
            <w:r>
              <w:rPr>
                <w:noProof/>
                <w:webHidden/>
              </w:rPr>
              <w:fldChar w:fldCharType="separate"/>
            </w:r>
            <w:r>
              <w:rPr>
                <w:noProof/>
                <w:webHidden/>
              </w:rPr>
              <w:t>15</w:t>
            </w:r>
            <w:r>
              <w:rPr>
                <w:noProof/>
                <w:webHidden/>
              </w:rPr>
              <w:fldChar w:fldCharType="end"/>
            </w:r>
          </w:hyperlink>
        </w:p>
        <w:p w14:paraId="272EC211" w14:textId="77777777" w:rsidR="00072E1B" w:rsidRDefault="00072E1B">
          <w:pPr>
            <w:pStyle w:val="TOC1"/>
            <w:tabs>
              <w:tab w:val="right" w:leader="dot" w:pos="9350"/>
            </w:tabs>
            <w:rPr>
              <w:noProof/>
            </w:rPr>
          </w:pPr>
          <w:hyperlink w:anchor="_Toc223529609" w:history="1">
            <w:r w:rsidRPr="008552C5">
              <w:rPr>
                <w:rStyle w:val="Hyperlink"/>
                <w:noProof/>
              </w:rPr>
              <w:t>References</w:t>
            </w:r>
            <w:r>
              <w:rPr>
                <w:noProof/>
                <w:webHidden/>
              </w:rPr>
              <w:tab/>
            </w:r>
            <w:r>
              <w:rPr>
                <w:noProof/>
                <w:webHidden/>
              </w:rPr>
              <w:fldChar w:fldCharType="begin"/>
            </w:r>
            <w:r>
              <w:rPr>
                <w:noProof/>
                <w:webHidden/>
              </w:rPr>
              <w:instrText xml:space="preserve"> PAGEREF _Toc223529609 \h </w:instrText>
            </w:r>
            <w:r>
              <w:rPr>
                <w:noProof/>
                <w:webHidden/>
              </w:rPr>
            </w:r>
            <w:r>
              <w:rPr>
                <w:noProof/>
                <w:webHidden/>
              </w:rPr>
              <w:fldChar w:fldCharType="separate"/>
            </w:r>
            <w:r>
              <w:rPr>
                <w:noProof/>
                <w:webHidden/>
              </w:rPr>
              <w:t>17</w:t>
            </w:r>
            <w:r>
              <w:rPr>
                <w:noProof/>
                <w:webHidden/>
              </w:rPr>
              <w:fldChar w:fldCharType="end"/>
            </w:r>
          </w:hyperlink>
        </w:p>
        <w:p w14:paraId="47D7D53A" w14:textId="77777777" w:rsidR="00072E1B" w:rsidRDefault="00072E1B">
          <w:r>
            <w:rPr>
              <w:b/>
              <w:bCs/>
              <w:noProof/>
            </w:rPr>
            <w:fldChar w:fldCharType="end"/>
          </w:r>
        </w:p>
      </w:sdtContent>
    </w:sdt>
    <w:p w14:paraId="3E1BDDC0" w14:textId="77777777" w:rsidR="00072E1B" w:rsidRDefault="00072E1B">
      <w:pPr>
        <w:jc w:val="center"/>
        <w:rPr>
          <w:b/>
          <w:bCs/>
        </w:rPr>
        <w:sectPr w:rsidR="00072E1B" w:rsidSect="00072E1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4E16D3C2" w14:textId="77777777" w:rsidR="00F61F9D" w:rsidRDefault="002C4E78">
      <w:pPr>
        <w:pStyle w:val="Heading1"/>
      </w:pPr>
      <w:bookmarkStart w:id="0" w:name="_nqdmisekexzt" w:colFirst="0" w:colLast="0"/>
      <w:bookmarkStart w:id="1" w:name="_Toc223529595"/>
      <w:bookmarkEnd w:id="0"/>
      <w:r>
        <w:lastRenderedPageBreak/>
        <w:t>1. INTRODUCTION</w:t>
      </w:r>
      <w:bookmarkEnd w:id="1"/>
    </w:p>
    <w:p w14:paraId="5CC69E7A" w14:textId="77777777" w:rsidR="00F61F9D" w:rsidRDefault="002C4E78">
      <w:r>
        <w:t xml:space="preserve">Quality assurance of health and social care is an </w:t>
      </w:r>
      <w:proofErr w:type="spellStart"/>
      <w:r>
        <w:t>organised</w:t>
      </w:r>
      <w:proofErr w:type="spellEnd"/>
      <w:r>
        <w:t xml:space="preserve"> process that verifies the achievement of safety, effectiveness and patient-</w:t>
      </w:r>
      <w:proofErr w:type="spellStart"/>
      <w:r>
        <w:t>centredness</w:t>
      </w:r>
      <w:proofErr w:type="spellEnd"/>
      <w:r>
        <w:t xml:space="preserve"> of services. Any quality failure in a high-risk environment, such as neonatal intensive care, can be very severe. The babies in these units are extremely delicate and require a well-</w:t>
      </w:r>
      <w:proofErr w:type="spellStart"/>
      <w:r>
        <w:t>mobilised</w:t>
      </w:r>
      <w:proofErr w:type="spellEnd"/>
      <w:r>
        <w:t xml:space="preserve"> work of several professionals. The World Health </w:t>
      </w:r>
      <w:proofErr w:type="spellStart"/>
      <w:r>
        <w:t>Organisation</w:t>
      </w:r>
      <w:proofErr w:type="spellEnd"/>
      <w:r>
        <w:t xml:space="preserve"> indicates that unsafe care continues to be a leading source of avoidable damage globally, with millions of negative events annually. Most of them might have been prevented if there were improved governance, safer staffing, and enhanced reporting systems (WHO, 2024). Patient safety is not only a clinical concern, but one of the key public health concerns which should be continually refined. One of the most complicated and dangerous aspects of contemporary health care is neonatal services. They need the collaboration of teams of various </w:t>
      </w:r>
      <w:proofErr w:type="spellStart"/>
      <w:r>
        <w:t>specialities</w:t>
      </w:r>
      <w:proofErr w:type="spellEnd"/>
      <w:r>
        <w:t>, rapid actions, and continuous surveillance of extremely vulnerable newborns. Babies are extremely susceptible, and any minor delays in addressing the issues or providing assistance may result in severe health conditions or fatal outcomes. That is why the quality of care in the field of neonatology should not be limited to the abilities of a particular clinic. It must also have a conducive working atmosphere, defined rules and regulations, stringent staffing strategies, and system responsibility in general. National reviews in the recent past have pointed out that there is a need for early risk management and avenues that should be taken to escalate concerns to avoid preventable damage. The analysis and solid theories in the study of neonatal quality failures provide valuable information on the emergence of weaknesses and the potential solutions to long-term improvements.</w:t>
      </w:r>
    </w:p>
    <w:p w14:paraId="4ABAA8D4" w14:textId="77777777" w:rsidR="00F61F9D" w:rsidRDefault="002C4E78">
      <w:pPr>
        <w:jc w:val="center"/>
      </w:pPr>
      <w:r>
        <w:rPr>
          <w:noProof/>
          <w:lang w:val="en-IN"/>
        </w:rPr>
        <w:lastRenderedPageBreak/>
        <w:drawing>
          <wp:inline distT="114300" distB="114300" distL="114300" distR="114300" wp14:anchorId="3C8739F4" wp14:editId="2AC70734">
            <wp:extent cx="5943600" cy="372110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721100"/>
                    </a:xfrm>
                    <a:prstGeom prst="rect">
                      <a:avLst/>
                    </a:prstGeom>
                    <a:ln w="25400">
                      <a:solidFill>
                        <a:srgbClr val="000000"/>
                      </a:solidFill>
                      <a:prstDash val="solid"/>
                    </a:ln>
                  </pic:spPr>
                </pic:pic>
              </a:graphicData>
            </a:graphic>
          </wp:inline>
        </w:drawing>
      </w:r>
    </w:p>
    <w:p w14:paraId="75EBA62D" w14:textId="77777777" w:rsidR="00F61F9D" w:rsidRDefault="002C4E78">
      <w:pPr>
        <w:jc w:val="center"/>
        <w:rPr>
          <w:b/>
          <w:bCs/>
        </w:rPr>
      </w:pPr>
      <w:r>
        <w:rPr>
          <w:b/>
          <w:bCs/>
        </w:rPr>
        <w:t>Figure 1: Quality Assurance</w:t>
      </w:r>
    </w:p>
    <w:p w14:paraId="6C531264" w14:textId="77777777" w:rsidR="00F61F9D" w:rsidRDefault="002C4E78">
      <w:pPr>
        <w:jc w:val="center"/>
        <w:rPr>
          <w:b/>
          <w:bCs/>
        </w:rPr>
      </w:pPr>
      <w:r>
        <w:rPr>
          <w:b/>
          <w:bCs/>
        </w:rPr>
        <w:t xml:space="preserve">(Source: </w:t>
      </w:r>
      <w:proofErr w:type="spellStart"/>
      <w:r>
        <w:rPr>
          <w:b/>
          <w:bCs/>
        </w:rPr>
        <w:t>Zenbit</w:t>
      </w:r>
      <w:proofErr w:type="spellEnd"/>
      <w:r>
        <w:rPr>
          <w:b/>
          <w:bCs/>
        </w:rPr>
        <w:t>, 2026)</w:t>
      </w:r>
    </w:p>
    <w:p w14:paraId="49F584E2" w14:textId="77777777" w:rsidR="00F61F9D" w:rsidRDefault="002C4E78">
      <w:r>
        <w:t xml:space="preserve">The Care Quality Commission (CQC) oversees neonatal services in England. CQC establishes inspection regulations for NHS adults and specialist children's hospitals, including the neonatal intensive care units. These regulations aim at leadership, employee competencies, reporting of incidents, protection and culture of learning. (CQC, 2026). Nevertheless, even in some hospitals, major safety failures occur despite the presence of compliance, which demonstrates that compliance is insufficient without a positive </w:t>
      </w:r>
      <w:proofErr w:type="spellStart"/>
      <w:r>
        <w:t>organisational</w:t>
      </w:r>
      <w:proofErr w:type="spellEnd"/>
      <w:r>
        <w:t xml:space="preserve"> culture and efficient escalation systems. The new rules and government proposals to enhance reporting obligations (Government of the UK, 2024) indicate that the national system is developing to prevent broader issues.</w:t>
      </w:r>
    </w:p>
    <w:p w14:paraId="6AF7A3FF" w14:textId="77777777" w:rsidR="00F61F9D" w:rsidRDefault="002C4E78">
      <w:r>
        <w:t xml:space="preserve">The Countess of Chester Hospital neonatal unit of 2015-2016 presents a significant issue with the quality assurance. Repeated complaints of high death rates were not responded to quickly, nor were they escalated. The case demonstrates that poor structures, inept processes, and a negative culture can enable permanent damage even within a regulated environment. The recent evidence indicates that missed care and poor neonatal </w:t>
      </w:r>
      <w:r>
        <w:lastRenderedPageBreak/>
        <w:t>outcomes are closely associated with nurse workload and skill mix, which requires the implementation of safe staffing regulations in intensive care (Tubbs</w:t>
      </w:r>
      <w:r>
        <w:rPr>
          <w:i/>
          <w:iCs/>
        </w:rPr>
        <w:t xml:space="preserve"> et al.,</w:t>
      </w:r>
      <w:r>
        <w:t xml:space="preserve"> 2025).</w:t>
      </w:r>
    </w:p>
    <w:p w14:paraId="395B5BEF" w14:textId="77777777" w:rsidR="00F61F9D" w:rsidRDefault="002C4E78">
      <w:r>
        <w:t>The current report examines a critical issue: the failure of the governance, staffing protection and escalation procedures in the neonatal services. The report will determine the root causes using theories such as the Donabedian Model, Fishbone analysis, and the 5 Whys technique to provide evidence-based recommendations on the basis of good quality improvement techniques.</w:t>
      </w:r>
    </w:p>
    <w:p w14:paraId="00E2A1B1" w14:textId="77777777" w:rsidR="00F61F9D" w:rsidRDefault="002C4E78">
      <w:pPr>
        <w:pStyle w:val="Heading1"/>
      </w:pPr>
      <w:bookmarkStart w:id="2" w:name="_ka7qqtly6mu" w:colFirst="0" w:colLast="0"/>
      <w:bookmarkStart w:id="3" w:name="_Toc223529596"/>
      <w:bookmarkEnd w:id="2"/>
      <w:r>
        <w:t>2. MAIN BODY</w:t>
      </w:r>
      <w:bookmarkEnd w:id="3"/>
    </w:p>
    <w:p w14:paraId="1161A9D1" w14:textId="77777777" w:rsidR="00F61F9D" w:rsidRDefault="002C4E78">
      <w:pPr>
        <w:pStyle w:val="Heading2"/>
      </w:pPr>
      <w:bookmarkStart w:id="4" w:name="_d4fis2kmvkuf" w:colFirst="0" w:colLast="0"/>
      <w:bookmarkStart w:id="5" w:name="_Toc223529597"/>
      <w:bookmarkEnd w:id="4"/>
      <w:r>
        <w:t>2.1 Theoretical Foundations of Quality in Healthcare</w:t>
      </w:r>
      <w:bookmarkEnd w:id="5"/>
    </w:p>
    <w:p w14:paraId="6ABC7856" w14:textId="77777777" w:rsidR="00F61F9D" w:rsidRDefault="002C4E78">
      <w:pPr>
        <w:pStyle w:val="Heading2"/>
      </w:pPr>
      <w:bookmarkStart w:id="6" w:name="_n66zyv891eqj" w:colFirst="0" w:colLast="0"/>
      <w:bookmarkStart w:id="7" w:name="_Toc223529598"/>
      <w:bookmarkEnd w:id="6"/>
      <w:r>
        <w:t>2.1.1 Swiss Cheese Model</w:t>
      </w:r>
      <w:bookmarkEnd w:id="7"/>
    </w:p>
    <w:p w14:paraId="5B617689" w14:textId="77777777" w:rsidR="00F61F9D" w:rsidRDefault="002C4E78">
      <w:r>
        <w:t xml:space="preserve">James Reason came up with the Swiss Cheese Model. It states that something bad to a patient occurs when numerous minor vulnerabilities in a system are aligned, rather than a single error of an individual. Babies are delicate in the field of neonatal care. Safety depends on numerous protection layers, including a sufficient number of staff, obvious procedures for addressing the issue, avenues of reporting the problems, and effective leadership. According to the World Health </w:t>
      </w:r>
      <w:proofErr w:type="spellStart"/>
      <w:r>
        <w:t>Organisation</w:t>
      </w:r>
      <w:proofErr w:type="spellEnd"/>
      <w:r>
        <w:t xml:space="preserve">, unsafe care leads to millions of bad events annually, and many of them would be prevented with better barriers in the system (WHO, 2024). This leads to the concept that the damage is caused when the </w:t>
      </w:r>
      <w:proofErr w:type="spellStart"/>
      <w:r>
        <w:t>organisation's</w:t>
      </w:r>
      <w:proofErr w:type="spellEnd"/>
      <w:r>
        <w:t xml:space="preserve"> </w:t>
      </w:r>
      <w:proofErr w:type="spellStart"/>
      <w:r>
        <w:t>defences</w:t>
      </w:r>
      <w:proofErr w:type="spellEnd"/>
      <w:r>
        <w:t xml:space="preserve"> are either poor or ill-fitted.</w:t>
      </w:r>
    </w:p>
    <w:p w14:paraId="450D4E85" w14:textId="77777777" w:rsidR="00F61F9D" w:rsidRDefault="002C4E78">
      <w:pPr>
        <w:jc w:val="center"/>
      </w:pPr>
      <w:r>
        <w:rPr>
          <w:noProof/>
          <w:lang w:val="en-IN"/>
        </w:rPr>
        <w:lastRenderedPageBreak/>
        <w:drawing>
          <wp:inline distT="114300" distB="114300" distL="114300" distR="114300" wp14:anchorId="306C2D42" wp14:editId="41110EE0">
            <wp:extent cx="5943600" cy="49784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4978400"/>
                    </a:xfrm>
                    <a:prstGeom prst="rect">
                      <a:avLst/>
                    </a:prstGeom>
                    <a:ln w="25400">
                      <a:solidFill>
                        <a:srgbClr val="000000"/>
                      </a:solidFill>
                      <a:prstDash val="solid"/>
                    </a:ln>
                  </pic:spPr>
                </pic:pic>
              </a:graphicData>
            </a:graphic>
          </wp:inline>
        </w:drawing>
      </w:r>
    </w:p>
    <w:p w14:paraId="2A8A1B9C" w14:textId="77777777" w:rsidR="00F61F9D" w:rsidRDefault="002C4E78">
      <w:pPr>
        <w:jc w:val="center"/>
        <w:rPr>
          <w:b/>
          <w:bCs/>
        </w:rPr>
      </w:pPr>
      <w:r>
        <w:rPr>
          <w:b/>
          <w:bCs/>
        </w:rPr>
        <w:t>Table 1: Swiss cheese model evaluation</w:t>
      </w:r>
    </w:p>
    <w:p w14:paraId="0F51FA9A" w14:textId="77777777" w:rsidR="00F61F9D" w:rsidRDefault="002C4E78">
      <w:pPr>
        <w:jc w:val="center"/>
        <w:rPr>
          <w:b/>
          <w:bCs/>
        </w:rPr>
      </w:pPr>
      <w:r>
        <w:rPr>
          <w:b/>
          <w:bCs/>
        </w:rPr>
        <w:t>(Source: Self-created)</w:t>
      </w:r>
    </w:p>
    <w:p w14:paraId="5707B1FF" w14:textId="77777777" w:rsidR="00F61F9D" w:rsidRDefault="002C4E78">
      <w:r>
        <w:t xml:space="preserve">NHS England states that the Patient Safety Strategy is now clearly bearing fruit in the NHS, including saving an additional 1,000 lives annually and saving 100 million (NHS England, 2026). Such measures as the Rule by Martha resulted in the 2,389 escalated calls within six months, 129 of which could have resulted in a life-saving action. These figures demonstrate how the escalation paths of the </w:t>
      </w:r>
      <w:proofErr w:type="spellStart"/>
      <w:r>
        <w:t>defence</w:t>
      </w:r>
      <w:proofErr w:type="spellEnd"/>
      <w:r>
        <w:t xml:space="preserve"> can prevent the worsening of the situation by means of enhancing one of the aspects of the </w:t>
      </w:r>
      <w:proofErr w:type="spellStart"/>
      <w:r>
        <w:t>defence</w:t>
      </w:r>
      <w:proofErr w:type="spellEnd"/>
      <w:r>
        <w:t>. In the mentioned neonatal scenario, issues arose since the steps of escalation, leadership response, and staff protection failed to collaborate, which allowed the harm to continue, causing damage to the patient until someone corrected the issue.</w:t>
      </w:r>
    </w:p>
    <w:p w14:paraId="5D446B7C" w14:textId="77777777" w:rsidR="00F61F9D" w:rsidRDefault="002C4E78">
      <w:r>
        <w:lastRenderedPageBreak/>
        <w:t xml:space="preserve">The Swiss Cheese Model teaches us that when we point the finger at others, there are many more structural and cultural issues under the carpet. Recent studies indicate that the friendly culture and psychological safety contribute to the staff speaking up (Blacklock </w:t>
      </w:r>
      <w:r>
        <w:rPr>
          <w:i/>
          <w:iCs/>
        </w:rPr>
        <w:t>et al.,</w:t>
      </w:r>
      <w:r>
        <w:t xml:space="preserve"> 2025). Thus, </w:t>
      </w:r>
      <w:proofErr w:type="spellStart"/>
      <w:r>
        <w:t>organisational</w:t>
      </w:r>
      <w:proofErr w:type="spellEnd"/>
      <w:r>
        <w:t xml:space="preserve"> systems should be enhanced rather than individual behaviour to enhance safety.</w:t>
      </w:r>
    </w:p>
    <w:p w14:paraId="24DC6ACF" w14:textId="77777777" w:rsidR="00F61F9D" w:rsidRDefault="002C4E78">
      <w:pPr>
        <w:pStyle w:val="Heading2"/>
      </w:pPr>
      <w:bookmarkStart w:id="8" w:name="_iebrx8touovj" w:colFirst="0" w:colLast="0"/>
      <w:bookmarkStart w:id="9" w:name="_Toc223529599"/>
      <w:bookmarkEnd w:id="8"/>
      <w:r>
        <w:t>2.1.2 Donabedian Model (Structure–Process–Outcome)</w:t>
      </w:r>
      <w:bookmarkEnd w:id="9"/>
    </w:p>
    <w:p w14:paraId="36FA5D38" w14:textId="77777777" w:rsidR="00F61F9D" w:rsidRDefault="002C4E78">
      <w:r>
        <w:t>The Donabedian Model assists us in examining healthcare quality in three interrelated components: structure, process, and outcome. It can be applied to the safety of neonatal care since it helps create connections between the individuals and the regulations existing in the provided care and patient outcomes.</w:t>
      </w:r>
    </w:p>
    <w:p w14:paraId="3DD6F4E7" w14:textId="77777777" w:rsidR="00F61F9D" w:rsidRDefault="002C4E78">
      <w:r>
        <w:rPr>
          <w:b/>
          <w:bCs/>
        </w:rPr>
        <w:t>Structure</w:t>
      </w:r>
      <w:r>
        <w:t xml:space="preserve"> refers to the construction, the employees, and the regulations. According to the King Fund, in 2024/25, the Department of Health and Social Care expended 204.7‛billion, of which 94.4 billion was spent on day-to-day expenditure, such as staff and medicine (The King Fund, 2025). Despite this money, the real growth between 2015/16 and 2023/24 was at 3.1 -1, which is lower than in the past. The issue of staff shortages continues to persist and influences those nurses' patient-to-infant ratios.</w:t>
      </w:r>
    </w:p>
    <w:p w14:paraId="7A7E074C" w14:textId="77777777" w:rsidR="00F61F9D" w:rsidRDefault="002C4E78">
      <w:r>
        <w:rPr>
          <w:b/>
          <w:bCs/>
        </w:rPr>
        <w:t>Process</w:t>
      </w:r>
      <w:r>
        <w:t xml:space="preserve"> refers to the way care is provided, that is, monitored, paperwork and escalation. Research by Tubbs -Cooley et al. (2025) indicates that NICU workload entails an increased number of missed care. Dillner et al. (2025) discovered that the combination of skills is the right mix that enhances the care of high-need babies.</w:t>
      </w:r>
    </w:p>
    <w:p w14:paraId="4FEAF674" w14:textId="77777777" w:rsidR="00F61F9D" w:rsidRDefault="002C4E78">
      <w:r>
        <w:rPr>
          <w:b/>
          <w:bCs/>
        </w:rPr>
        <w:t>Outcome</w:t>
      </w:r>
      <w:r>
        <w:t xml:space="preserve"> refers to the consequences: sickness, death and reducing harm. According to NHS England (2026), magnesium sulphate has saved 1,499 lives of babies and 518 cases of cerebral palsy among mothers and babies with the use of its safety measures. These figures indicate that better results are produced by structure and process changes.</w:t>
      </w:r>
    </w:p>
    <w:p w14:paraId="03FDA61F" w14:textId="77777777" w:rsidR="00F61F9D" w:rsidRDefault="002C4E78">
      <w:r>
        <w:t>The Donabedian framework allows us to identify the following problem: inadequate staffing (structure) negatively affects monitoring and escalation (process), which contributes to preventable deaths (outcome).</w:t>
      </w:r>
    </w:p>
    <w:p w14:paraId="34DAAEE8" w14:textId="77777777" w:rsidR="00F61F9D" w:rsidRDefault="002C4E78">
      <w:pPr>
        <w:jc w:val="center"/>
      </w:pPr>
      <w:r>
        <w:rPr>
          <w:noProof/>
          <w:lang w:val="en-IN"/>
        </w:rPr>
        <w:lastRenderedPageBreak/>
        <w:drawing>
          <wp:inline distT="114300" distB="114300" distL="114300" distR="114300" wp14:anchorId="46746F4E" wp14:editId="7BDEEB8F">
            <wp:extent cx="5943600" cy="39624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4474C43C" w14:textId="77777777" w:rsidR="00F61F9D" w:rsidRDefault="002C4E78">
      <w:pPr>
        <w:jc w:val="center"/>
        <w:rPr>
          <w:b/>
          <w:bCs/>
          <w:sz w:val="26"/>
          <w:szCs w:val="26"/>
        </w:rPr>
      </w:pPr>
      <w:r>
        <w:rPr>
          <w:b/>
          <w:bCs/>
        </w:rPr>
        <w:t xml:space="preserve">Figure 2: </w:t>
      </w:r>
      <w:r>
        <w:rPr>
          <w:b/>
          <w:bCs/>
          <w:sz w:val="26"/>
          <w:szCs w:val="26"/>
        </w:rPr>
        <w:t>Donabedian Model (Structure–Process–Outcome)</w:t>
      </w:r>
    </w:p>
    <w:p w14:paraId="4E99165A" w14:textId="77777777" w:rsidR="00F61F9D" w:rsidRDefault="002C4E78">
      <w:pPr>
        <w:jc w:val="center"/>
        <w:rPr>
          <w:b/>
          <w:bCs/>
          <w:sz w:val="26"/>
          <w:szCs w:val="26"/>
        </w:rPr>
      </w:pPr>
      <w:r>
        <w:rPr>
          <w:b/>
          <w:bCs/>
          <w:sz w:val="26"/>
          <w:szCs w:val="26"/>
        </w:rPr>
        <w:t>(Source: Self-created)</w:t>
      </w:r>
    </w:p>
    <w:p w14:paraId="61FB4B64" w14:textId="77777777" w:rsidR="00F61F9D" w:rsidRDefault="002C4E78">
      <w:pPr>
        <w:pStyle w:val="Heading2"/>
      </w:pPr>
      <w:bookmarkStart w:id="10" w:name="_odwhnzpx8hvh" w:colFirst="0" w:colLast="0"/>
      <w:bookmarkStart w:id="11" w:name="_Toc223529600"/>
      <w:bookmarkEnd w:id="10"/>
      <w:r>
        <w:t>2.2 Root Cause Analysis</w:t>
      </w:r>
      <w:bookmarkEnd w:id="11"/>
    </w:p>
    <w:p w14:paraId="00882D39" w14:textId="77777777" w:rsidR="00F61F9D" w:rsidRDefault="002C4E78">
      <w:pPr>
        <w:pStyle w:val="Heading2"/>
      </w:pPr>
      <w:bookmarkStart w:id="12" w:name="_pqfxgqetkqbd" w:colFirst="0" w:colLast="0"/>
      <w:bookmarkStart w:id="13" w:name="_Toc223529601"/>
      <w:bookmarkEnd w:id="12"/>
      <w:r>
        <w:t>2.2.1 Fishbone (Ishikawa) Diagram Application</w:t>
      </w:r>
      <w:bookmarkEnd w:id="13"/>
    </w:p>
    <w:p w14:paraId="033B9AC9" w14:textId="77777777" w:rsidR="00F61F9D" w:rsidRDefault="002C4E78">
      <w:r>
        <w:t>The root causes of the neonatal quality failure were grouped into six categories, namely: People, Process, Environment, Equipment, Management and Policy using the Fishbone Diagram.</w:t>
      </w:r>
    </w:p>
    <w:p w14:paraId="20ADB18B" w14:textId="77777777" w:rsidR="00F61F9D" w:rsidRDefault="002C4E78">
      <w:r>
        <w:rPr>
          <w:b/>
          <w:bCs/>
        </w:rPr>
        <w:t>Staffing</w:t>
      </w:r>
      <w:r>
        <w:t>: Inadequate personnel and a poor skills combination. According to Ball and Griffiths (2022), good outcomes are based on safe nurse staffing. According to Morgan (2022), NHS workforce gaps remain a persistent problem with regard to service delivery.</w:t>
      </w:r>
    </w:p>
    <w:p w14:paraId="4280DA07" w14:textId="77777777" w:rsidR="00F61F9D" w:rsidRDefault="002C4E78">
      <w:r>
        <w:rPr>
          <w:b/>
          <w:bCs/>
        </w:rPr>
        <w:t>Process</w:t>
      </w:r>
      <w:r>
        <w:t>: Ineffective incident reporting and escalation. Systems thinking. The Patient Safety Incident Response Framework (PSIRF), which is now applied in every secondary care setting, learns from incidents (NHS England, 2026). Even the failures of the past demonstrate the absence of such a system of learning.</w:t>
      </w:r>
    </w:p>
    <w:p w14:paraId="64391665" w14:textId="77777777" w:rsidR="00F61F9D" w:rsidRDefault="002C4E78">
      <w:r>
        <w:rPr>
          <w:b/>
          <w:bCs/>
        </w:rPr>
        <w:lastRenderedPageBreak/>
        <w:t>Environment</w:t>
      </w:r>
      <w:r>
        <w:t xml:space="preserve">: Mental overload in high-acuity neonatal environments. In a before-and-after study, </w:t>
      </w:r>
      <w:proofErr w:type="spellStart"/>
      <w:r>
        <w:t>Ferorelli</w:t>
      </w:r>
      <w:proofErr w:type="spellEnd"/>
      <w:r>
        <w:t xml:space="preserve"> </w:t>
      </w:r>
      <w:r>
        <w:rPr>
          <w:i/>
          <w:iCs/>
        </w:rPr>
        <w:t>et al.</w:t>
      </w:r>
      <w:r>
        <w:t xml:space="preserve"> (2024) established that structured risk management reduces the neonatal sepsis rates.</w:t>
      </w:r>
    </w:p>
    <w:p w14:paraId="7D1D0CBC" w14:textId="77777777" w:rsidR="00F61F9D" w:rsidRDefault="002C4E78">
      <w:r>
        <w:rPr>
          <w:b/>
          <w:bCs/>
        </w:rPr>
        <w:t>Machinery:</w:t>
      </w:r>
      <w:r>
        <w:t xml:space="preserve"> The safety and upkeep of neonatal incubators are crucial; the state of inspection </w:t>
      </w:r>
      <w:proofErr w:type="spellStart"/>
      <w:r>
        <w:t>emphasises</w:t>
      </w:r>
      <w:proofErr w:type="spellEnd"/>
      <w:r>
        <w:t xml:space="preserve"> the necessity of device testing and adherence (</w:t>
      </w:r>
      <w:proofErr w:type="spellStart"/>
      <w:r>
        <w:t>Pokvić</w:t>
      </w:r>
      <w:proofErr w:type="spellEnd"/>
      <w:r>
        <w:t xml:space="preserve"> </w:t>
      </w:r>
      <w:r>
        <w:rPr>
          <w:i/>
          <w:iCs/>
        </w:rPr>
        <w:t xml:space="preserve">et al., </w:t>
      </w:r>
      <w:r>
        <w:t>2023).</w:t>
      </w:r>
    </w:p>
    <w:p w14:paraId="5E7E85A6" w14:textId="77777777" w:rsidR="00F61F9D" w:rsidRDefault="002C4E78">
      <w:r>
        <w:rPr>
          <w:b/>
          <w:bCs/>
        </w:rPr>
        <w:t>Management:</w:t>
      </w:r>
      <w:r>
        <w:t xml:space="preserve"> This was largely due to inefficiencies in governance and board oversight. The Care Quality Commission inspection model of neonatal services </w:t>
      </w:r>
      <w:proofErr w:type="spellStart"/>
      <w:r>
        <w:t>emphasises</w:t>
      </w:r>
      <w:proofErr w:type="spellEnd"/>
      <w:r>
        <w:t xml:space="preserve"> interviewing of leadership, teams and families to determine safety culture (CQC, 2026).</w:t>
      </w:r>
    </w:p>
    <w:p w14:paraId="36DA2D29" w14:textId="77777777" w:rsidR="00F61F9D" w:rsidRDefault="002C4E78">
      <w:r>
        <w:rPr>
          <w:b/>
          <w:bCs/>
        </w:rPr>
        <w:t>Policy</w:t>
      </w:r>
      <w:r>
        <w:t>: Alterations in regulations demonstrate gaps in the system. The UK Government suggests that regulatory exemptions of temporary events, as well as annual reviews of CQC rules, should be removed to make the oversight more robust (UK Government, 2024).</w:t>
      </w:r>
    </w:p>
    <w:p w14:paraId="6B036166" w14:textId="77777777" w:rsidR="00F61F9D" w:rsidRDefault="002C4E78">
      <w:r>
        <w:t>According to the Fishbone analysis, the damage was inflicted not by one individual, but by a lot of factors.</w:t>
      </w:r>
    </w:p>
    <w:p w14:paraId="7BBC6848" w14:textId="77777777" w:rsidR="00F61F9D" w:rsidRDefault="002C4E78">
      <w:pPr>
        <w:jc w:val="center"/>
      </w:pPr>
      <w:r>
        <w:rPr>
          <w:noProof/>
          <w:lang w:val="en-IN"/>
        </w:rPr>
        <w:drawing>
          <wp:inline distT="114300" distB="114300" distL="114300" distR="114300" wp14:anchorId="31FFC031" wp14:editId="3B7CD95D">
            <wp:extent cx="5943600" cy="39624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05F99775" w14:textId="77777777" w:rsidR="00F61F9D" w:rsidRDefault="002C4E78">
      <w:pPr>
        <w:jc w:val="center"/>
        <w:rPr>
          <w:b/>
          <w:bCs/>
          <w:sz w:val="26"/>
          <w:szCs w:val="26"/>
        </w:rPr>
      </w:pPr>
      <w:r>
        <w:rPr>
          <w:b/>
          <w:bCs/>
        </w:rPr>
        <w:lastRenderedPageBreak/>
        <w:t xml:space="preserve">Figure 3: </w:t>
      </w:r>
      <w:r>
        <w:rPr>
          <w:b/>
          <w:bCs/>
          <w:sz w:val="26"/>
          <w:szCs w:val="26"/>
        </w:rPr>
        <w:t>Fish Bone Analysis</w:t>
      </w:r>
    </w:p>
    <w:p w14:paraId="53341C60" w14:textId="77777777" w:rsidR="00F61F9D" w:rsidRDefault="002C4E78">
      <w:pPr>
        <w:jc w:val="center"/>
        <w:rPr>
          <w:b/>
          <w:bCs/>
          <w:sz w:val="26"/>
          <w:szCs w:val="26"/>
        </w:rPr>
      </w:pPr>
      <w:r>
        <w:rPr>
          <w:b/>
          <w:bCs/>
          <w:sz w:val="26"/>
          <w:szCs w:val="26"/>
        </w:rPr>
        <w:t>(Source: Self-created)</w:t>
      </w:r>
    </w:p>
    <w:p w14:paraId="1131638C" w14:textId="77777777" w:rsidR="00F61F9D" w:rsidRDefault="002C4E78">
      <w:pPr>
        <w:pStyle w:val="Heading2"/>
      </w:pPr>
      <w:bookmarkStart w:id="14" w:name="_5li31tvmq3xh" w:colFirst="0" w:colLast="0"/>
      <w:bookmarkStart w:id="15" w:name="_Toc223529602"/>
      <w:bookmarkEnd w:id="14"/>
      <w:r>
        <w:t>2.2.2 The 5 Whys Analysis</w:t>
      </w:r>
      <w:bookmarkEnd w:id="15"/>
    </w:p>
    <w:p w14:paraId="2EC4AF14" w14:textId="77777777" w:rsidR="00F61F9D" w:rsidRDefault="002C4E78">
      <w:r>
        <w:t>Applying the 5 Whys method reveals that there are deeper causes:</w:t>
      </w:r>
    </w:p>
    <w:p w14:paraId="4A7D551A" w14:textId="77777777" w:rsidR="00F61F9D" w:rsidRDefault="002C4E78">
      <w:pPr>
        <w:rPr>
          <w:b/>
          <w:bCs/>
          <w:i/>
          <w:iCs/>
        </w:rPr>
      </w:pPr>
      <w:r>
        <w:rPr>
          <w:b/>
          <w:bCs/>
          <w:i/>
          <w:iCs/>
        </w:rPr>
        <w:t xml:space="preserve">Why did neonatal deaths rise?  </w:t>
      </w:r>
    </w:p>
    <w:p w14:paraId="4536A12F" w14:textId="77777777" w:rsidR="00F61F9D" w:rsidRDefault="002C4E78">
      <w:r>
        <w:t>Because there was no rapid escalation of clinical problems.</w:t>
      </w:r>
    </w:p>
    <w:p w14:paraId="5BD260A3" w14:textId="77777777" w:rsidR="00F61F9D" w:rsidRDefault="002C4E78">
      <w:pPr>
        <w:rPr>
          <w:b/>
          <w:bCs/>
          <w:i/>
          <w:iCs/>
        </w:rPr>
      </w:pPr>
      <w:r>
        <w:rPr>
          <w:b/>
          <w:bCs/>
          <w:i/>
          <w:iCs/>
        </w:rPr>
        <w:t xml:space="preserve">Why was escalation slow?  </w:t>
      </w:r>
    </w:p>
    <w:p w14:paraId="30D241E1" w14:textId="77777777" w:rsidR="00F61F9D" w:rsidRDefault="002C4E78">
      <w:r>
        <w:t>Since top executives did not necessarily respond to the concerns of staff.</w:t>
      </w:r>
    </w:p>
    <w:p w14:paraId="0D362776" w14:textId="77777777" w:rsidR="00F61F9D" w:rsidRDefault="002C4E78">
      <w:pPr>
        <w:rPr>
          <w:b/>
          <w:bCs/>
          <w:i/>
          <w:iCs/>
        </w:rPr>
      </w:pPr>
      <w:r>
        <w:rPr>
          <w:b/>
          <w:bCs/>
          <w:i/>
          <w:iCs/>
        </w:rPr>
        <w:t xml:space="preserve">Why were concerns ignored?  </w:t>
      </w:r>
    </w:p>
    <w:p w14:paraId="7194A1B9" w14:textId="77777777" w:rsidR="00F61F9D" w:rsidRDefault="002C4E78">
      <w:r>
        <w:t>Because the culture of governance was based on reputation protection rather than honesty.</w:t>
      </w:r>
    </w:p>
    <w:p w14:paraId="6E0D1776" w14:textId="77777777" w:rsidR="00F61F9D" w:rsidRDefault="002C4E78">
      <w:r>
        <w:rPr>
          <w:b/>
          <w:bCs/>
          <w:i/>
          <w:iCs/>
        </w:rPr>
        <w:t xml:space="preserve">Why did governance fail? </w:t>
      </w:r>
      <w:r>
        <w:t xml:space="preserve"> </w:t>
      </w:r>
    </w:p>
    <w:p w14:paraId="074A0162" w14:textId="77777777" w:rsidR="00F61F9D" w:rsidRDefault="002C4E78">
      <w:r>
        <w:t xml:space="preserve">Owing to the </w:t>
      </w:r>
      <w:proofErr w:type="spellStart"/>
      <w:r>
        <w:t>decentralisation</w:t>
      </w:r>
      <w:proofErr w:type="spellEnd"/>
      <w:r>
        <w:t xml:space="preserve"> between accountability systems and weak external checks.</w:t>
      </w:r>
    </w:p>
    <w:p w14:paraId="3D23B54A" w14:textId="77777777" w:rsidR="00F61F9D" w:rsidRDefault="002C4E78">
      <w:pPr>
        <w:rPr>
          <w:b/>
          <w:bCs/>
          <w:i/>
          <w:iCs/>
        </w:rPr>
      </w:pPr>
      <w:r>
        <w:rPr>
          <w:b/>
          <w:bCs/>
          <w:i/>
          <w:iCs/>
        </w:rPr>
        <w:t xml:space="preserve">Why was scrutiny delayed?  </w:t>
      </w:r>
    </w:p>
    <w:p w14:paraId="1DEEA390" w14:textId="77777777" w:rsidR="00F61F9D" w:rsidRDefault="002C4E78">
      <w:r>
        <w:t>The reason is that the patterns were not flagged early due to regulatory and internal monitoring.</w:t>
      </w:r>
    </w:p>
    <w:p w14:paraId="67059052" w14:textId="77777777" w:rsidR="00F61F9D" w:rsidRDefault="002C4E78">
      <w:r>
        <w:t>This gap of escalation is closed when a new rule is introduced to allow families to request rapid reviews. The data reveal the usefulness of listening to families, with 73 per cent of the escalation calls being made by them and 57 urgent ICU admissions being instigated (NHS England, 2026).</w:t>
      </w:r>
    </w:p>
    <w:p w14:paraId="5B7E7ECB" w14:textId="77777777" w:rsidR="00F61F9D" w:rsidRDefault="002C4E78">
      <w:r>
        <w:t>The 5 Whys tool reveals that cultural and governance issues are the most profound causes.</w:t>
      </w:r>
    </w:p>
    <w:p w14:paraId="1ED305E5" w14:textId="77777777" w:rsidR="00F61F9D" w:rsidRDefault="002C4E78">
      <w:pPr>
        <w:jc w:val="center"/>
      </w:pPr>
      <w:r>
        <w:rPr>
          <w:noProof/>
          <w:lang w:val="en-IN"/>
        </w:rPr>
        <w:lastRenderedPageBreak/>
        <w:drawing>
          <wp:inline distT="114300" distB="114300" distL="114300" distR="114300" wp14:anchorId="3FAB9C27" wp14:editId="35925611">
            <wp:extent cx="5943600" cy="396240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2095D4FF" w14:textId="77777777" w:rsidR="00F61F9D" w:rsidRDefault="002C4E78">
      <w:pPr>
        <w:jc w:val="center"/>
        <w:rPr>
          <w:b/>
          <w:bCs/>
          <w:sz w:val="26"/>
          <w:szCs w:val="26"/>
        </w:rPr>
      </w:pPr>
      <w:r>
        <w:rPr>
          <w:b/>
          <w:bCs/>
        </w:rPr>
        <w:t xml:space="preserve">Figure 4: </w:t>
      </w:r>
      <w:r>
        <w:rPr>
          <w:b/>
          <w:bCs/>
          <w:sz w:val="26"/>
          <w:szCs w:val="26"/>
        </w:rPr>
        <w:t>5 Why Analysis</w:t>
      </w:r>
    </w:p>
    <w:p w14:paraId="2F18F3F5" w14:textId="77777777" w:rsidR="00F61F9D" w:rsidRDefault="002C4E78">
      <w:pPr>
        <w:jc w:val="center"/>
        <w:rPr>
          <w:b/>
          <w:bCs/>
          <w:sz w:val="26"/>
          <w:szCs w:val="26"/>
        </w:rPr>
      </w:pPr>
      <w:r>
        <w:rPr>
          <w:b/>
          <w:bCs/>
          <w:sz w:val="26"/>
          <w:szCs w:val="26"/>
        </w:rPr>
        <w:t>(Source: Self-created)</w:t>
      </w:r>
    </w:p>
    <w:p w14:paraId="6B53D61E" w14:textId="77777777" w:rsidR="00F61F9D" w:rsidRDefault="002C4E78">
      <w:pPr>
        <w:pStyle w:val="Heading2"/>
      </w:pPr>
      <w:bookmarkStart w:id="16" w:name="_a6bcgaosoi9n" w:colFirst="0" w:colLast="0"/>
      <w:bookmarkStart w:id="17" w:name="_Toc223529603"/>
      <w:bookmarkEnd w:id="16"/>
      <w:r>
        <w:t>2.3 Strategic Analysis</w:t>
      </w:r>
      <w:bookmarkEnd w:id="17"/>
    </w:p>
    <w:p w14:paraId="0A4A2E1E" w14:textId="77777777" w:rsidR="00F61F9D" w:rsidRDefault="002C4E78">
      <w:pPr>
        <w:pStyle w:val="Heading2"/>
      </w:pPr>
      <w:bookmarkStart w:id="18" w:name="_2fagc63pi55r" w:colFirst="0" w:colLast="0"/>
      <w:bookmarkStart w:id="19" w:name="_Toc223529604"/>
      <w:bookmarkEnd w:id="18"/>
      <w:r>
        <w:t>2.3.1 SWOT Analysis</w:t>
      </w:r>
      <w:bookmarkEnd w:id="19"/>
    </w:p>
    <w:p w14:paraId="5AD7FA0E" w14:textId="77777777" w:rsidR="00F61F9D" w:rsidRDefault="002C4E78">
      <w:pPr>
        <w:rPr>
          <w:b/>
          <w:bCs/>
        </w:rPr>
      </w:pPr>
      <w:r>
        <w:rPr>
          <w:b/>
          <w:bCs/>
        </w:rPr>
        <w:t>Strengths:</w:t>
      </w:r>
    </w:p>
    <w:p w14:paraId="2AA0DE07" w14:textId="77777777" w:rsidR="00F61F9D" w:rsidRDefault="002C4E78">
      <w:r>
        <w:t>Good national safety strategy; more than 1.47⁻ one hundred and fifty thousand NHS staff have completed patient safety training (NHS England, 2026). 800 patient safety experts assist in implementing the training.</w:t>
      </w:r>
    </w:p>
    <w:p w14:paraId="78727E71" w14:textId="77777777" w:rsidR="00F61F9D" w:rsidRDefault="002C4E78">
      <w:pPr>
        <w:rPr>
          <w:b/>
          <w:bCs/>
        </w:rPr>
      </w:pPr>
      <w:r>
        <w:rPr>
          <w:b/>
          <w:bCs/>
        </w:rPr>
        <w:t>Weaknesses:</w:t>
      </w:r>
    </w:p>
    <w:p w14:paraId="5B69B554" w14:textId="77777777" w:rsidR="00F61F9D" w:rsidRDefault="002C4E78">
      <w:r>
        <w:t>Lack of enough staff and workloads remains an issue. According to McFadden et al. (2024), there are remaining loopholes in the laws and policies that cause harm to safe staffing in care.</w:t>
      </w:r>
    </w:p>
    <w:p w14:paraId="015E3029" w14:textId="77777777" w:rsidR="00F61F9D" w:rsidRDefault="002C4E78">
      <w:pPr>
        <w:rPr>
          <w:b/>
          <w:bCs/>
        </w:rPr>
      </w:pPr>
      <w:r>
        <w:rPr>
          <w:b/>
          <w:bCs/>
        </w:rPr>
        <w:t>Opportunities:</w:t>
      </w:r>
    </w:p>
    <w:p w14:paraId="156A43CD" w14:textId="77777777" w:rsidR="00F61F9D" w:rsidRDefault="002C4E78">
      <w:r>
        <w:lastRenderedPageBreak/>
        <w:t>More than 3 million safety events in a year are documented in digital reporting systems like Learn from Patient Safety Events (LFPSE) to conduct rapid data analysis to identify risks (NHS England, 2026).</w:t>
      </w:r>
    </w:p>
    <w:p w14:paraId="28B7DE13" w14:textId="77777777" w:rsidR="00F61F9D" w:rsidRDefault="002C4E78">
      <w:pPr>
        <w:rPr>
          <w:b/>
          <w:bCs/>
        </w:rPr>
      </w:pPr>
      <w:r>
        <w:rPr>
          <w:b/>
          <w:bCs/>
        </w:rPr>
        <w:t>Threats:</w:t>
      </w:r>
    </w:p>
    <w:p w14:paraId="30CF52A3" w14:textId="77777777" w:rsidR="00F61F9D" w:rsidRDefault="002C4E78">
      <w:r>
        <w:t>The growth in funding is projected to increase by 2.2 per cent annually until 2028/29, which restricts the number of staff that can be hired (The King’s Fund, 2025). High-profile failures can lead to the decline of public trust.</w:t>
      </w:r>
    </w:p>
    <w:p w14:paraId="1CA1FD3D" w14:textId="77777777" w:rsidR="00F61F9D" w:rsidRDefault="002C4E78">
      <w:pPr>
        <w:pStyle w:val="Heading2"/>
        <w:rPr>
          <w:sz w:val="24"/>
          <w:szCs w:val="24"/>
        </w:rPr>
      </w:pPr>
      <w:bookmarkStart w:id="20" w:name="_uk4evlli13ra" w:colFirst="0" w:colLast="0"/>
      <w:bookmarkStart w:id="21" w:name="_Toc223529605"/>
      <w:bookmarkEnd w:id="20"/>
      <w:r>
        <w:t>2.3.2 PESTLE Analysis</w:t>
      </w:r>
      <w:bookmarkEnd w:id="21"/>
      <w:r>
        <w:rPr>
          <w:sz w:val="24"/>
          <w:szCs w:val="24"/>
        </w:rPr>
        <w:t xml:space="preserve"> </w:t>
      </w:r>
    </w:p>
    <w:p w14:paraId="0D7CC9F8" w14:textId="77777777" w:rsidR="00F61F9D" w:rsidRDefault="002C4E78">
      <w:r>
        <w:rPr>
          <w:b/>
          <w:bCs/>
          <w:i/>
          <w:iCs/>
        </w:rPr>
        <w:t>Political:</w:t>
      </w:r>
      <w:r>
        <w:t xml:space="preserve"> Greater legal regulation, such as independent medical examination of all eventualities since September 2024 (NHS England, 2026).</w:t>
      </w:r>
    </w:p>
    <w:p w14:paraId="075CDECA" w14:textId="77777777" w:rsidR="00F61F9D" w:rsidRDefault="002C4E78">
      <w:r>
        <w:rPr>
          <w:b/>
          <w:bCs/>
          <w:i/>
          <w:iCs/>
        </w:rPr>
        <w:t>Economic:</w:t>
      </w:r>
      <w:r>
        <w:t xml:space="preserve"> The scale of the sector is indicated by the total health spending of 204.7 billion pounds in 2024/25, and the money pressures restrain growth (The King’s Fund, 2025).</w:t>
      </w:r>
    </w:p>
    <w:p w14:paraId="10DBA33F" w14:textId="77777777" w:rsidR="00F61F9D" w:rsidRDefault="002C4E78">
      <w:pPr>
        <w:jc w:val="center"/>
      </w:pPr>
      <w:r>
        <w:rPr>
          <w:noProof/>
          <w:lang w:val="en-IN"/>
        </w:rPr>
        <w:drawing>
          <wp:inline distT="114300" distB="114300" distL="114300" distR="114300" wp14:anchorId="49FC921B" wp14:editId="797DFE08">
            <wp:extent cx="5943600" cy="28067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2806700"/>
                    </a:xfrm>
                    <a:prstGeom prst="rect">
                      <a:avLst/>
                    </a:prstGeom>
                    <a:ln w="25400">
                      <a:solidFill>
                        <a:srgbClr val="000000"/>
                      </a:solidFill>
                      <a:prstDash val="solid"/>
                    </a:ln>
                  </pic:spPr>
                </pic:pic>
              </a:graphicData>
            </a:graphic>
          </wp:inline>
        </w:drawing>
      </w:r>
    </w:p>
    <w:p w14:paraId="55125807" w14:textId="77777777" w:rsidR="00F61F9D" w:rsidRDefault="002C4E78">
      <w:pPr>
        <w:jc w:val="center"/>
        <w:rPr>
          <w:b/>
          <w:bCs/>
        </w:rPr>
      </w:pPr>
      <w:r>
        <w:rPr>
          <w:b/>
          <w:bCs/>
        </w:rPr>
        <w:t>Figure 5: NHS Staffing budget</w:t>
      </w:r>
    </w:p>
    <w:p w14:paraId="3BC7E636" w14:textId="77777777" w:rsidR="00F61F9D" w:rsidRDefault="002C4E78">
      <w:pPr>
        <w:jc w:val="center"/>
        <w:rPr>
          <w:b/>
          <w:bCs/>
        </w:rPr>
      </w:pPr>
      <w:r>
        <w:rPr>
          <w:b/>
          <w:bCs/>
        </w:rPr>
        <w:t>(Source: the Kings Fund, 2026)</w:t>
      </w:r>
    </w:p>
    <w:p w14:paraId="7ED789B8" w14:textId="77777777" w:rsidR="00F61F9D" w:rsidRDefault="002C4E78">
      <w:r>
        <w:rPr>
          <w:b/>
          <w:bCs/>
          <w:i/>
          <w:iCs/>
        </w:rPr>
        <w:t>Social:</w:t>
      </w:r>
      <w:r>
        <w:t xml:space="preserve"> Increased attention to family engagement; according to Wyatt and Bamber (2025), a voice to families enhances </w:t>
      </w:r>
      <w:proofErr w:type="spellStart"/>
      <w:r>
        <w:t>paediatric</w:t>
      </w:r>
      <w:proofErr w:type="spellEnd"/>
      <w:r>
        <w:t xml:space="preserve"> safety.</w:t>
      </w:r>
    </w:p>
    <w:p w14:paraId="2DCB4B76" w14:textId="77777777" w:rsidR="00F61F9D" w:rsidRDefault="002C4E78">
      <w:r>
        <w:rPr>
          <w:b/>
          <w:bCs/>
          <w:i/>
          <w:iCs/>
        </w:rPr>
        <w:t>Technological:</w:t>
      </w:r>
      <w:r>
        <w:t xml:space="preserve"> Learning is enhanced in national incident reporting platforms.</w:t>
      </w:r>
    </w:p>
    <w:p w14:paraId="6B1AABD5" w14:textId="77777777" w:rsidR="00F61F9D" w:rsidRDefault="002C4E78">
      <w:r>
        <w:rPr>
          <w:b/>
          <w:bCs/>
          <w:i/>
          <w:iCs/>
        </w:rPr>
        <w:t>Legal:</w:t>
      </w:r>
      <w:r>
        <w:t xml:space="preserve"> The proposed reforms increase CQC authority by eliminating regulatory exemptions (UK Government, 2024).</w:t>
      </w:r>
    </w:p>
    <w:p w14:paraId="793EEC88" w14:textId="77777777" w:rsidR="00F61F9D" w:rsidRDefault="002C4E78">
      <w:r>
        <w:rPr>
          <w:b/>
          <w:bCs/>
          <w:i/>
          <w:iCs/>
        </w:rPr>
        <w:lastRenderedPageBreak/>
        <w:t>Environmental:</w:t>
      </w:r>
      <w:r>
        <w:t xml:space="preserve"> Neonatal units of high acuity require a high level of infection control and equipment inspections.</w:t>
      </w:r>
    </w:p>
    <w:p w14:paraId="7E051BCF" w14:textId="77777777" w:rsidR="00F61F9D" w:rsidRDefault="002C4E78">
      <w:pPr>
        <w:pStyle w:val="Heading2"/>
        <w:rPr>
          <w:sz w:val="24"/>
          <w:szCs w:val="24"/>
        </w:rPr>
      </w:pPr>
      <w:bookmarkStart w:id="22" w:name="_19d6pr5abzqs" w:colFirst="0" w:colLast="0"/>
      <w:bookmarkStart w:id="23" w:name="_Toc223529606"/>
      <w:bookmarkEnd w:id="22"/>
      <w:r>
        <w:t>2.4 Critical Evaluation of Governance and Policy Failure</w:t>
      </w:r>
      <w:bookmarkEnd w:id="23"/>
    </w:p>
    <w:p w14:paraId="2508BE86" w14:textId="77777777" w:rsidR="00F61F9D" w:rsidRDefault="002C4E78">
      <w:r>
        <w:t>There is a failure in governance of neonatal services that depicts a disparity between rules, culture and capacity of the staff. The model of the CQC inspection involves interviews and data verification, but the inspections do not occur regularly, only once in a while (CQC, 2026). This can create blind spots.</w:t>
      </w:r>
    </w:p>
    <w:p w14:paraId="5B81EAED" w14:textId="77777777" w:rsidR="00F61F9D" w:rsidRDefault="002C4E78">
      <w:r>
        <w:t xml:space="preserve">At the system level, Greer (2023) notes that the NHS is getting increasingly centralised in governance, yet the day-to-day demands take away the emphasis on quality offered by the board. The PSIRF is meant to be informed by the incidents, although it can only be effective when the staff members feel free to report. As Delpino </w:t>
      </w:r>
      <w:r>
        <w:rPr>
          <w:i/>
          <w:iCs/>
        </w:rPr>
        <w:t>et al.</w:t>
      </w:r>
      <w:r>
        <w:t xml:space="preserve"> (2023) demonstrate, the speaking-up culture enhances safety, as well as staff well-being, but it requires effective leadership.</w:t>
      </w:r>
    </w:p>
    <w:p w14:paraId="221E748B" w14:textId="77777777" w:rsidR="00F61F9D" w:rsidRDefault="002C4E78">
      <w:r>
        <w:t>The independent death review is enhanced with the new statutory medical examiner oversight. Simultaneously, the data governance discussions demonstrate that it is necessary to strike the right balance between transparency and trust among the masses (</w:t>
      </w:r>
      <w:proofErr w:type="spellStart"/>
      <w:r>
        <w:t>Kerasidou</w:t>
      </w:r>
      <w:proofErr w:type="spellEnd"/>
      <w:r>
        <w:t xml:space="preserve"> and </w:t>
      </w:r>
      <w:proofErr w:type="spellStart"/>
      <w:r>
        <w:t>Kerasidou</w:t>
      </w:r>
      <w:proofErr w:type="spellEnd"/>
      <w:r>
        <w:t>, 2023).</w:t>
      </w:r>
    </w:p>
    <w:p w14:paraId="0569C84C" w14:textId="77777777" w:rsidR="00F61F9D" w:rsidRDefault="002C4E78">
      <w:r>
        <w:t>On the whole, national reforms provide a decent outline, but the actual change requires local implementation, sufficient personnel and a change of culture. By applying the frameworks of Donabedian, Swiss Cheese, Fishbone and SWOT, one can have a firm foundation to build evidence-based service enhancements, which are specific and targeted.</w:t>
      </w:r>
    </w:p>
    <w:p w14:paraId="4635D03E" w14:textId="77777777" w:rsidR="00F61F9D" w:rsidRDefault="002C4E78">
      <w:pPr>
        <w:pStyle w:val="Heading1"/>
      </w:pPr>
      <w:bookmarkStart w:id="24" w:name="_fm0fvdn71ync" w:colFirst="0" w:colLast="0"/>
      <w:bookmarkStart w:id="25" w:name="_Toc223529607"/>
      <w:bookmarkEnd w:id="24"/>
      <w:r>
        <w:t>3. RECOMMENDATIONS</w:t>
      </w:r>
      <w:bookmarkEnd w:id="25"/>
    </w:p>
    <w:p w14:paraId="1982C30D" w14:textId="77777777" w:rsidR="00F61F9D" w:rsidRDefault="002C4E78">
      <w:pPr>
        <w:rPr>
          <w:b/>
          <w:bCs/>
          <w:i/>
          <w:iCs/>
        </w:rPr>
      </w:pPr>
      <w:r>
        <w:rPr>
          <w:b/>
          <w:bCs/>
          <w:i/>
          <w:iCs/>
        </w:rPr>
        <w:t>Recommendations 1: Strengthening Governance and Regulatory Compliance</w:t>
      </w:r>
    </w:p>
    <w:p w14:paraId="48818C1C" w14:textId="538DDF48" w:rsidR="00F61F9D" w:rsidRDefault="002C4E78">
      <w:r>
        <w:t>The discovery included that newborn care was a problem due to bad governance and a slow increase. The first step is to increase the ability to comply with regulations. The Care Quality Commission desires that leaders should be responsible, teams cooperate, and families should participate in safety checks. Carrying out mock inspections quarterly will reveal issues at the early stages, before formal reviews. The UK government assured that the applicable regulations would remain until March 2025</w:t>
      </w:r>
      <w:r w:rsidR="004305AB">
        <w:t>. T</w:t>
      </w:r>
      <w:r>
        <w:t xml:space="preserve">herefore, it will have the advantage of legal control (UK Government, 2024).  </w:t>
      </w:r>
    </w:p>
    <w:p w14:paraId="2CE8E577" w14:textId="5510AD9D" w:rsidR="00F61F9D" w:rsidRDefault="002C4E78">
      <w:r>
        <w:lastRenderedPageBreak/>
        <w:t xml:space="preserve">Use the </w:t>
      </w:r>
      <w:r w:rsidRPr="004305AB">
        <w:rPr>
          <w:b/>
          <w:bCs/>
        </w:rPr>
        <w:t>PDCA cycle</w:t>
      </w:r>
      <w:r>
        <w:t xml:space="preserve">. Initially, it was </w:t>
      </w:r>
      <w:r w:rsidRPr="004305AB">
        <w:rPr>
          <w:i/>
          <w:iCs/>
        </w:rPr>
        <w:t xml:space="preserve">planned </w:t>
      </w:r>
      <w:r>
        <w:t xml:space="preserve">to map CQC standards. Then </w:t>
      </w:r>
      <w:r w:rsidRPr="004305AB">
        <w:rPr>
          <w:i/>
          <w:iCs/>
        </w:rPr>
        <w:t>establish</w:t>
      </w:r>
      <w:r w:rsidR="004305AB" w:rsidRPr="004305AB">
        <w:rPr>
          <w:i/>
          <w:iCs/>
        </w:rPr>
        <w:t xml:space="preserve"> (do)</w:t>
      </w:r>
      <w:r w:rsidRPr="004305AB">
        <w:rPr>
          <w:i/>
          <w:iCs/>
        </w:rPr>
        <w:t>:</w:t>
      </w:r>
      <w:r>
        <w:t xml:space="preserve"> death and escalation tracking systems dashboards. Thereupon</w:t>
      </w:r>
      <w:r w:rsidRPr="004305AB">
        <w:rPr>
          <w:i/>
          <w:iCs/>
        </w:rPr>
        <w:t>, verify</w:t>
      </w:r>
      <w:r w:rsidR="004305AB" w:rsidRPr="004305AB">
        <w:rPr>
          <w:i/>
          <w:iCs/>
        </w:rPr>
        <w:t xml:space="preserve"> (study)</w:t>
      </w:r>
      <w:r w:rsidRPr="004305AB">
        <w:rPr>
          <w:i/>
          <w:iCs/>
        </w:rPr>
        <w:t>:</w:t>
      </w:r>
      <w:r>
        <w:t xml:space="preserve"> perform quarterly board reviews and audits. </w:t>
      </w:r>
      <w:r w:rsidRPr="004305AB">
        <w:rPr>
          <w:i/>
          <w:iCs/>
        </w:rPr>
        <w:t>Act</w:t>
      </w:r>
      <w:r>
        <w:t xml:space="preserve">: remedy the government according to the evidence of the audits. This cycle takes us out of responding to issues to averting them.  </w:t>
      </w:r>
    </w:p>
    <w:tbl>
      <w:tblPr>
        <w:tblW w:w="0" w:type="auto"/>
        <w:tblCellMar>
          <w:top w:w="15" w:type="dxa"/>
          <w:left w:w="15" w:type="dxa"/>
          <w:bottom w:w="15" w:type="dxa"/>
          <w:right w:w="15" w:type="dxa"/>
        </w:tblCellMar>
        <w:tblLook w:val="04A0" w:firstRow="1" w:lastRow="0" w:firstColumn="1" w:lastColumn="0" w:noHBand="0" w:noVBand="1"/>
      </w:tblPr>
      <w:tblGrid>
        <w:gridCol w:w="1780"/>
        <w:gridCol w:w="3466"/>
        <w:gridCol w:w="4098"/>
      </w:tblGrid>
      <w:tr w:rsidR="004305AB" w:rsidRPr="004305AB" w14:paraId="278B663F" w14:textId="77777777">
        <w:trPr>
          <w:trHeight w:val="560"/>
        </w:trPr>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4CE8D54F" w14:textId="77777777" w:rsidR="004305AB" w:rsidRPr="004305AB" w:rsidRDefault="004305AB" w:rsidP="004305AB">
            <w:pPr>
              <w:rPr>
                <w:lang w:val="en-GB"/>
              </w:rPr>
            </w:pPr>
            <w:r w:rsidRPr="004305AB">
              <w:rPr>
                <w:b/>
                <w:bCs/>
                <w:lang w:val="en-GB"/>
              </w:rPr>
              <w:t>Stage</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1B4C1703" w14:textId="77777777" w:rsidR="004305AB" w:rsidRPr="004305AB" w:rsidRDefault="004305AB" w:rsidP="004305AB">
            <w:pPr>
              <w:rPr>
                <w:lang w:val="en-GB"/>
              </w:rPr>
            </w:pPr>
            <w:r w:rsidRPr="004305AB">
              <w:rPr>
                <w:b/>
                <w:bCs/>
                <w:lang w:val="en-GB"/>
              </w:rPr>
              <w:t>Description</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511B835D" w14:textId="77777777" w:rsidR="004305AB" w:rsidRPr="004305AB" w:rsidRDefault="004305AB" w:rsidP="004305AB">
            <w:pPr>
              <w:rPr>
                <w:lang w:val="en-GB"/>
              </w:rPr>
            </w:pPr>
            <w:r w:rsidRPr="004305AB">
              <w:rPr>
                <w:b/>
                <w:bCs/>
                <w:lang w:val="en-GB"/>
              </w:rPr>
              <w:t>Application to Neonatal Care</w:t>
            </w:r>
          </w:p>
        </w:tc>
      </w:tr>
      <w:tr w:rsidR="004305AB" w:rsidRPr="004305AB" w14:paraId="521DA9FF" w14:textId="77777777">
        <w:trPr>
          <w:trHeight w:val="1880"/>
        </w:trPr>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29DE4219"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Stage 1: Unfreeze</w:t>
            </w:r>
          </w:p>
        </w:tc>
        <w:tc>
          <w:tcPr>
            <w:tcW w:w="0" w:type="auto"/>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hideMark/>
          </w:tcPr>
          <w:p w14:paraId="4E9A904C" w14:textId="77777777" w:rsidR="004305AB" w:rsidRPr="004305AB" w:rsidRDefault="004305AB" w:rsidP="004305AB">
            <w:pPr>
              <w:rPr>
                <w:lang w:val="en-GB"/>
              </w:rPr>
            </w:pPr>
            <w:r w:rsidRPr="004305AB">
              <w:rPr>
                <w:lang w:val="en-GB"/>
              </w:rPr>
              <w:t>Create awareness of the need for change by challenging existing attitudes, practices, and structures. Motivate staff and leadership to recognise that current systems are inadequate.</w:t>
            </w:r>
          </w:p>
        </w:tc>
        <w:tc>
          <w:tcPr>
            <w:tcW w:w="0" w:type="auto"/>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hideMark/>
          </w:tcPr>
          <w:p w14:paraId="1A9E9DEF" w14:textId="77777777" w:rsidR="004305AB" w:rsidRPr="004305AB" w:rsidRDefault="004305AB" w:rsidP="004305AB">
            <w:pPr>
              <w:rPr>
                <w:lang w:val="en-GB"/>
              </w:rPr>
            </w:pPr>
            <w:r w:rsidRPr="004305AB">
              <w:rPr>
                <w:lang w:val="en-GB"/>
              </w:rPr>
              <w:t>Present Fishbone, SWOT, and 5 Whys findings to senior leadership and neonatal teams. Use incident data and mortality reviews to build a strong case for urgent governance reform and staffing redesign.</w:t>
            </w:r>
          </w:p>
        </w:tc>
      </w:tr>
      <w:tr w:rsidR="004305AB" w:rsidRPr="004305AB" w14:paraId="0110DBE4" w14:textId="77777777">
        <w:trPr>
          <w:trHeight w:val="2150"/>
        </w:trPr>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570F831D"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Stage 2: Change (Movement)</w:t>
            </w:r>
          </w:p>
        </w:tc>
        <w:tc>
          <w:tcPr>
            <w:tcW w:w="0" w:type="auto"/>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hideMark/>
          </w:tcPr>
          <w:p w14:paraId="0925C375" w14:textId="77777777" w:rsidR="004305AB" w:rsidRPr="004305AB" w:rsidRDefault="004305AB" w:rsidP="004305AB">
            <w:pPr>
              <w:rPr>
                <w:lang w:val="en-GB"/>
              </w:rPr>
            </w:pPr>
            <w:r w:rsidRPr="004305AB">
              <w:rPr>
                <w:lang w:val="en-GB"/>
              </w:rPr>
              <w:t>Implement new behaviours, processes, and structures. This is the active improvement phase where PDSA cycles are applied to test and refine changes in real time.</w:t>
            </w:r>
          </w:p>
        </w:tc>
        <w:tc>
          <w:tcPr>
            <w:tcW w:w="0" w:type="auto"/>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hideMark/>
          </w:tcPr>
          <w:p w14:paraId="08C823C4" w14:textId="77777777" w:rsidR="004305AB" w:rsidRPr="004305AB" w:rsidRDefault="004305AB" w:rsidP="004305AB">
            <w:pPr>
              <w:rPr>
                <w:lang w:val="en-GB"/>
              </w:rPr>
            </w:pPr>
            <w:r w:rsidRPr="004305AB">
              <w:rPr>
                <w:lang w:val="en-GB"/>
              </w:rPr>
              <w:t>Roll out Freedom to Speak Up guardianship, revised nurse-to-baby ratios, Martha's Rule escalation protocols, and digital safety dashboards. Apply PDSA cycles to pilot and evaluate each change across the neonatal unit.</w:t>
            </w:r>
          </w:p>
        </w:tc>
      </w:tr>
      <w:tr w:rsidR="004305AB" w:rsidRPr="004305AB" w14:paraId="69551280" w14:textId="77777777">
        <w:trPr>
          <w:trHeight w:val="2150"/>
        </w:trPr>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7ED06A74"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Stage 3: Refreeze</w:t>
            </w:r>
          </w:p>
        </w:tc>
        <w:tc>
          <w:tcPr>
            <w:tcW w:w="0" w:type="auto"/>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hideMark/>
          </w:tcPr>
          <w:p w14:paraId="1C90DFED" w14:textId="77777777" w:rsidR="004305AB" w:rsidRPr="004305AB" w:rsidRDefault="004305AB" w:rsidP="004305AB">
            <w:pPr>
              <w:rPr>
                <w:lang w:val="en-GB"/>
              </w:rPr>
            </w:pPr>
            <w:r w:rsidRPr="004305AB">
              <w:rPr>
                <w:lang w:val="en-GB"/>
              </w:rPr>
              <w:t>Stabilise and embed successful changes into standard practice. Update policies, training, and appraisal frameworks to sustain improvements and prevent regression.</w:t>
            </w:r>
          </w:p>
        </w:tc>
        <w:tc>
          <w:tcPr>
            <w:tcW w:w="0" w:type="auto"/>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hideMark/>
          </w:tcPr>
          <w:p w14:paraId="7CEB48CE" w14:textId="77777777" w:rsidR="004305AB" w:rsidRPr="004305AB" w:rsidRDefault="004305AB" w:rsidP="004305AB">
            <w:pPr>
              <w:rPr>
                <w:lang w:val="en-GB"/>
              </w:rPr>
            </w:pPr>
            <w:r w:rsidRPr="004305AB">
              <w:rPr>
                <w:lang w:val="en-GB"/>
              </w:rPr>
              <w:t>Embed revised staffing models, governance frameworks, and psychological safety culture into CQC compliance documentation, ward policies, and onboarding programmes. Monitor progress through continuous benchmark audits.</w:t>
            </w:r>
          </w:p>
        </w:tc>
      </w:tr>
    </w:tbl>
    <w:p w14:paraId="69CD04F0" w14:textId="3D392C11" w:rsidR="004305AB" w:rsidRDefault="004305AB" w:rsidP="004305AB">
      <w:pPr>
        <w:jc w:val="center"/>
        <w:rPr>
          <w:b/>
          <w:bCs/>
        </w:rPr>
      </w:pPr>
      <w:r>
        <w:rPr>
          <w:b/>
          <w:bCs/>
        </w:rPr>
        <w:t>Table 2: Kurt Lewins Change Model</w:t>
      </w:r>
    </w:p>
    <w:p w14:paraId="51A24239" w14:textId="1906E5D9" w:rsidR="004305AB" w:rsidRPr="004305AB" w:rsidRDefault="004305AB" w:rsidP="004305AB">
      <w:pPr>
        <w:jc w:val="center"/>
        <w:rPr>
          <w:b/>
          <w:bCs/>
        </w:rPr>
      </w:pPr>
      <w:r>
        <w:rPr>
          <w:b/>
          <w:bCs/>
        </w:rPr>
        <w:t>(Source: Author)</w:t>
      </w:r>
    </w:p>
    <w:p w14:paraId="7DB7D128" w14:textId="77777777" w:rsidR="00F61F9D" w:rsidRDefault="002C4E78">
      <w:pPr>
        <w:rPr>
          <w:b/>
          <w:bCs/>
          <w:i/>
          <w:iCs/>
        </w:rPr>
      </w:pPr>
      <w:r>
        <w:rPr>
          <w:b/>
          <w:bCs/>
          <w:i/>
          <w:iCs/>
        </w:rPr>
        <w:lastRenderedPageBreak/>
        <w:t>Recommendations 2:  Safe Staffing and Workforce Redesign</w:t>
      </w:r>
    </w:p>
    <w:p w14:paraId="0FDFDDF3" w14:textId="77777777" w:rsidR="00F61F9D" w:rsidRDefault="002C4E78">
      <w:r>
        <w:t xml:space="preserve">Lack of adequate nurses and inappropriate skill mix is detrimental. The expenditure in England on the daily costs that include the personnel in 2024/25 amounted to £204.7 billion, a majority being 94.4 per cent (The King’s Fund, 2025). Still, there are staffing shortages, and this negatively affects staff-to-baby ratios and workloads. Research has indicated that NICUs have excessive nurse workloads that result in lapses of care and poor outcomes (Tubbs-Cooley </w:t>
      </w:r>
      <w:r>
        <w:rPr>
          <w:i/>
          <w:iCs/>
        </w:rPr>
        <w:t>et al.,</w:t>
      </w:r>
      <w:r>
        <w:t xml:space="preserve"> 2025). Adequate staffing and a good skill mix that are acuity appropriate enhance the quality of care (Dillner </w:t>
      </w:r>
      <w:r>
        <w:rPr>
          <w:i/>
          <w:iCs/>
        </w:rPr>
        <w:t>et al.,</w:t>
      </w:r>
      <w:r>
        <w:t xml:space="preserve"> 2025).  </w:t>
      </w:r>
    </w:p>
    <w:p w14:paraId="1A5274D8" w14:textId="77777777" w:rsidR="00F61F9D" w:rsidRDefault="002C4E78">
      <w:r>
        <w:t xml:space="preserve">Use PDSA to change staffing. During the plan stage, evaluate the staff depending on the acuity of the babies. The do stage involves an attempt at new nurse-to-baby ratios in three months. During the research phase, consider missed care, infections, and the sickness of the staff. During the act stage, convert the new staffing into permanent staffing if it is working. The processes of lean can eliminate unnecessary activities, leaving nurses with more time to attend to patients.  </w:t>
      </w:r>
    </w:p>
    <w:p w14:paraId="68593378" w14:textId="77777777" w:rsidR="00F61F9D" w:rsidRDefault="002C4E78">
      <w:pPr>
        <w:rPr>
          <w:b/>
          <w:bCs/>
          <w:i/>
          <w:iCs/>
        </w:rPr>
      </w:pPr>
      <w:r>
        <w:rPr>
          <w:b/>
          <w:bCs/>
          <w:i/>
          <w:iCs/>
        </w:rPr>
        <w:t>Recommendations 3: Embedding Psychological Safety and Learning Culture</w:t>
      </w:r>
    </w:p>
    <w:p w14:paraId="41187ADB" w14:textId="0A05FD18" w:rsidR="00F61F9D" w:rsidRDefault="002C4E78">
      <w:r>
        <w:t xml:space="preserve">Escalation problems were caused by a culture that prevented people from speaking up. According to the WHO, unsafe care is the cause of millions of avoidable bad outcomes, and this is why we must have organisations that respect safety openness. Statistics indicate that safety plans are </w:t>
      </w:r>
      <w:r w:rsidR="004305AB">
        <w:t>effective (</w:t>
      </w:r>
      <w:r>
        <w:t xml:space="preserve">WHO, 2024). According to NHS England (2026), safety work has saved 1,499 newborns and safety events during the process are recorded in excess of 3m annually.  </w:t>
      </w:r>
    </w:p>
    <w:p w14:paraId="632DEB7D" w14:textId="77777777" w:rsidR="00F61F9D" w:rsidRDefault="002C4E78">
      <w:r>
        <w:t xml:space="preserve">The neonatal teams to establish this culture must embrace Freedom to Speak Up guardianship and the PSIRF, which analyses problems as systems problems rather than attributing them to individuals. Death and sickness meetings, which include the family input, enhance transparency. Six Sigma can quantify and reduce variation in our emergency response time to investigate all major incidents within 72 hours. Combining a culture change with well-defined performance objectives will enable the process of safety to become a standard practice, not an isolated activity.  </w:t>
      </w:r>
    </w:p>
    <w:p w14:paraId="73B002A2" w14:textId="77777777" w:rsidR="00F61F9D" w:rsidRDefault="002C4E78">
      <w:pPr>
        <w:rPr>
          <w:b/>
          <w:bCs/>
          <w:i/>
          <w:iCs/>
        </w:rPr>
      </w:pPr>
      <w:r>
        <w:rPr>
          <w:b/>
          <w:bCs/>
          <w:i/>
          <w:iCs/>
        </w:rPr>
        <w:t>Recommendations 4: Early Deterioration Recognition and Family Empowerment</w:t>
      </w:r>
    </w:p>
    <w:p w14:paraId="4261F417" w14:textId="77777777" w:rsidR="00F61F9D" w:rsidRDefault="002C4E78">
      <w:r>
        <w:t xml:space="preserve">Another issue is the absence of early symptoms of sickness in babies. A study with 2,389 escalation calls between September 2024 and February 2025, involving 129 potentially </w:t>
      </w:r>
      <w:r>
        <w:lastRenderedPageBreak/>
        <w:t xml:space="preserve">life-saving actions, 57 of them being ICU admissions, was conducted when a rule called Martha’s Rule was utilised in 143 hospitals (NHS England, 2026). This demonstrates that effective escalation plans and assigning families authority are of service to patients.  </w:t>
      </w:r>
    </w:p>
    <w:p w14:paraId="42DDFE48" w14:textId="77777777" w:rsidR="00F61F9D" w:rsidRDefault="002C4E78">
      <w:r>
        <w:t xml:space="preserve">The same early warning scores should also be used by the neonatal units and offer families easy methods of requesting urgent assistance. Employees should understand how to identify deterioration due to training and simulations. Lean mapping can reduce the road length and ensure that each step is marked by the owner. Displaying visual escalation charts in the areas of care is a reminder to everyone to take action.  </w:t>
      </w:r>
    </w:p>
    <w:p w14:paraId="5970E785" w14:textId="77777777" w:rsidR="00F61F9D" w:rsidRDefault="002C4E78">
      <w:pPr>
        <w:rPr>
          <w:b/>
          <w:bCs/>
          <w:i/>
          <w:iCs/>
        </w:rPr>
      </w:pPr>
      <w:r>
        <w:rPr>
          <w:b/>
          <w:bCs/>
          <w:i/>
          <w:iCs/>
        </w:rPr>
        <w:t>Recommendations 5: Data Governance and Continuous Quality Monitoring</w:t>
      </w:r>
    </w:p>
    <w:p w14:paraId="5B6ED193" w14:textId="77777777" w:rsidR="00F61F9D" w:rsidRDefault="002C4E78">
      <w:r>
        <w:t xml:space="preserve">Good data rules and live monitoring are required to continue receiving improved results. Every year, safety events are registered in thousands that provide numerous lessons. Digital dashboards displaying deaths, sepsis, medication errors, staffing and family complaints should be created by the neonatal units. The board of directors should examine these figures monthly in order to keep pace with things.  </w:t>
      </w:r>
    </w:p>
    <w:p w14:paraId="456AE2B2" w14:textId="77777777" w:rsidR="00F61F9D" w:rsidRDefault="002C4E78">
      <w:r>
        <w:t>When the work is compared to the national standards, it become more responsible, and we can learn. Short-, medium-, and long-term monitoring of progress allows it to readjust behaviour and allocate resources more productively. Prescribing a complete system plan involves enhancement of governance, staffing, safety culture, family power and data tools. With the help of PDCA, PDSA, Lean and Six Sigma, these concepts become long-term safety and trust.</w:t>
      </w:r>
    </w:p>
    <w:tbl>
      <w:tblPr>
        <w:tblW w:w="0" w:type="auto"/>
        <w:tblCellMar>
          <w:top w:w="15" w:type="dxa"/>
          <w:left w:w="15" w:type="dxa"/>
          <w:bottom w:w="15" w:type="dxa"/>
          <w:right w:w="15" w:type="dxa"/>
        </w:tblCellMar>
        <w:tblLook w:val="04A0" w:firstRow="1" w:lastRow="0" w:firstColumn="1" w:lastColumn="0" w:noHBand="0" w:noVBand="1"/>
      </w:tblPr>
      <w:tblGrid>
        <w:gridCol w:w="2069"/>
        <w:gridCol w:w="2361"/>
        <w:gridCol w:w="2379"/>
        <w:gridCol w:w="2535"/>
      </w:tblGrid>
      <w:tr w:rsidR="004305AB" w:rsidRPr="004305AB" w14:paraId="1BF54CDE" w14:textId="77777777">
        <w:trPr>
          <w:trHeight w:val="1100"/>
        </w:trPr>
        <w:tc>
          <w:tcPr>
            <w:tcW w:w="0" w:type="auto"/>
            <w:tcBorders>
              <w:top w:val="single" w:sz="6" w:space="0" w:color="000000"/>
              <w:left w:val="single" w:sz="6" w:space="0" w:color="000000"/>
              <w:bottom w:val="single" w:sz="6" w:space="0" w:color="000000"/>
              <w:right w:val="single" w:sz="6" w:space="0" w:color="000000"/>
            </w:tcBorders>
            <w:shd w:val="clear" w:color="auto" w:fill="DD7E6B"/>
            <w:tcMar>
              <w:top w:w="100" w:type="dxa"/>
              <w:left w:w="100" w:type="dxa"/>
              <w:bottom w:w="100" w:type="dxa"/>
              <w:right w:w="100" w:type="dxa"/>
            </w:tcMar>
            <w:hideMark/>
          </w:tcPr>
          <w:p w14:paraId="5EA6D4A1" w14:textId="77777777" w:rsidR="004305AB" w:rsidRPr="004305AB" w:rsidRDefault="004305AB" w:rsidP="004305AB">
            <w:pPr>
              <w:rPr>
                <w:lang w:val="en-GB"/>
              </w:rPr>
            </w:pPr>
            <w:r w:rsidRPr="004305AB">
              <w:rPr>
                <w:b/>
                <w:bCs/>
                <w:lang w:val="en-GB"/>
              </w:rPr>
              <w:t>Benchmark Indicator</w:t>
            </w:r>
          </w:p>
        </w:tc>
        <w:tc>
          <w:tcPr>
            <w:tcW w:w="0" w:type="auto"/>
            <w:tcBorders>
              <w:top w:val="single" w:sz="6" w:space="0" w:color="000000"/>
              <w:left w:val="single" w:sz="6" w:space="0" w:color="000000"/>
              <w:bottom w:val="single" w:sz="6" w:space="0" w:color="000000"/>
              <w:right w:val="single" w:sz="6" w:space="0" w:color="000000"/>
            </w:tcBorders>
            <w:shd w:val="clear" w:color="auto" w:fill="DD7E6B"/>
            <w:tcMar>
              <w:top w:w="100" w:type="dxa"/>
              <w:left w:w="100" w:type="dxa"/>
              <w:bottom w:w="100" w:type="dxa"/>
              <w:right w:w="100" w:type="dxa"/>
            </w:tcMar>
            <w:hideMark/>
          </w:tcPr>
          <w:p w14:paraId="41381F72" w14:textId="77777777" w:rsidR="004305AB" w:rsidRPr="004305AB" w:rsidRDefault="004305AB" w:rsidP="004305AB">
            <w:pPr>
              <w:rPr>
                <w:lang w:val="en-GB"/>
              </w:rPr>
            </w:pPr>
            <w:r w:rsidRPr="004305AB">
              <w:rPr>
                <w:b/>
                <w:bCs/>
                <w:lang w:val="en-GB"/>
              </w:rPr>
              <w:t>National Standard</w:t>
            </w:r>
          </w:p>
        </w:tc>
        <w:tc>
          <w:tcPr>
            <w:tcW w:w="0" w:type="auto"/>
            <w:tcBorders>
              <w:top w:val="single" w:sz="6" w:space="0" w:color="000000"/>
              <w:left w:val="single" w:sz="6" w:space="0" w:color="000000"/>
              <w:bottom w:val="single" w:sz="6" w:space="0" w:color="000000"/>
              <w:right w:val="single" w:sz="6" w:space="0" w:color="000000"/>
            </w:tcBorders>
            <w:shd w:val="clear" w:color="auto" w:fill="DD7E6B"/>
            <w:tcMar>
              <w:top w:w="100" w:type="dxa"/>
              <w:left w:w="100" w:type="dxa"/>
              <w:bottom w:w="100" w:type="dxa"/>
              <w:right w:w="100" w:type="dxa"/>
            </w:tcMar>
            <w:hideMark/>
          </w:tcPr>
          <w:p w14:paraId="211B3507" w14:textId="77777777" w:rsidR="004305AB" w:rsidRPr="004305AB" w:rsidRDefault="004305AB" w:rsidP="004305AB">
            <w:pPr>
              <w:rPr>
                <w:lang w:val="en-GB"/>
              </w:rPr>
            </w:pPr>
            <w:r w:rsidRPr="004305AB">
              <w:rPr>
                <w:rFonts w:ascii="Segoe UI Emoji" w:hAnsi="Segoe UI Emoji" w:cs="Segoe UI Emoji"/>
                <w:b/>
                <w:bCs/>
                <w:lang w:val="en-GB"/>
              </w:rPr>
              <w:t>🔴</w:t>
            </w:r>
            <w:r w:rsidRPr="004305AB">
              <w:rPr>
                <w:b/>
                <w:bCs/>
                <w:lang w:val="en-GB"/>
              </w:rPr>
              <w:t xml:space="preserve"> Hospital Performance (Before)</w:t>
            </w:r>
          </w:p>
        </w:tc>
        <w:tc>
          <w:tcPr>
            <w:tcW w:w="0" w:type="auto"/>
            <w:tcBorders>
              <w:top w:val="single" w:sz="6" w:space="0" w:color="000000"/>
              <w:left w:val="single" w:sz="6" w:space="0" w:color="000000"/>
              <w:bottom w:val="single" w:sz="6" w:space="0" w:color="000000"/>
              <w:right w:val="single" w:sz="6" w:space="0" w:color="000000"/>
            </w:tcBorders>
            <w:shd w:val="clear" w:color="auto" w:fill="DD7E6B"/>
            <w:tcMar>
              <w:top w:w="100" w:type="dxa"/>
              <w:left w:w="100" w:type="dxa"/>
              <w:bottom w:w="100" w:type="dxa"/>
              <w:right w:w="100" w:type="dxa"/>
            </w:tcMar>
            <w:hideMark/>
          </w:tcPr>
          <w:p w14:paraId="2BCE1480" w14:textId="77777777" w:rsidR="004305AB" w:rsidRPr="004305AB" w:rsidRDefault="004305AB" w:rsidP="004305AB">
            <w:pPr>
              <w:rPr>
                <w:lang w:val="en-GB"/>
              </w:rPr>
            </w:pPr>
            <w:r w:rsidRPr="004305AB">
              <w:rPr>
                <w:rFonts w:ascii="Segoe UI Emoji" w:hAnsi="Segoe UI Emoji" w:cs="Segoe UI Emoji"/>
                <w:b/>
                <w:bCs/>
                <w:lang w:val="en-GB"/>
              </w:rPr>
              <w:t>🟢</w:t>
            </w:r>
            <w:r w:rsidRPr="004305AB">
              <w:rPr>
                <w:b/>
                <w:bCs/>
                <w:lang w:val="en-GB"/>
              </w:rPr>
              <w:t xml:space="preserve"> Hospital Performance (After)</w:t>
            </w:r>
          </w:p>
        </w:tc>
      </w:tr>
      <w:tr w:rsidR="004305AB" w:rsidRPr="004305AB" w14:paraId="587159E4" w14:textId="77777777">
        <w:trPr>
          <w:trHeight w:val="1100"/>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hideMark/>
          </w:tcPr>
          <w:p w14:paraId="2C929660"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Nurse-to-baby ratio (NICU)</w:t>
            </w:r>
          </w:p>
        </w:tc>
        <w:tc>
          <w:tcPr>
            <w:tcW w:w="0" w:type="auto"/>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hideMark/>
          </w:tcPr>
          <w:p w14:paraId="0E9F9D6C" w14:textId="77777777" w:rsidR="004305AB" w:rsidRPr="004305AB" w:rsidRDefault="004305AB" w:rsidP="004305AB">
            <w:pPr>
              <w:rPr>
                <w:lang w:val="en-GB"/>
              </w:rPr>
            </w:pPr>
            <w:r w:rsidRPr="004305AB">
              <w:rPr>
                <w:lang w:val="en-GB"/>
              </w:rPr>
              <w:t xml:space="preserve">1:1 intensive care; 1:2 high dependency </w:t>
            </w:r>
            <w:r w:rsidRPr="004305AB">
              <w:rPr>
                <w:i/>
                <w:iCs/>
                <w:lang w:val="en-GB"/>
              </w:rPr>
              <w:t>(NHS England, 2026)</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1C66E2B9" w14:textId="77777777" w:rsidR="004305AB" w:rsidRPr="004305AB" w:rsidRDefault="004305AB" w:rsidP="004305AB">
            <w:pPr>
              <w:rPr>
                <w:lang w:val="en-GB"/>
              </w:rPr>
            </w:pPr>
            <w:r w:rsidRPr="004305AB">
              <w:rPr>
                <w:lang w:val="en-GB"/>
              </w:rPr>
              <w:t>1:3 – 1:4 below standard; high missed care incidents</w:t>
            </w:r>
          </w:p>
        </w:tc>
        <w:tc>
          <w:tcPr>
            <w:tcW w:w="0" w:type="auto"/>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hideMark/>
          </w:tcPr>
          <w:p w14:paraId="3214864F" w14:textId="77777777" w:rsidR="004305AB" w:rsidRPr="004305AB" w:rsidRDefault="004305AB" w:rsidP="004305AB">
            <w:pPr>
              <w:rPr>
                <w:lang w:val="en-GB"/>
              </w:rPr>
            </w:pPr>
            <w:r w:rsidRPr="004305AB">
              <w:rPr>
                <w:lang w:val="en-GB"/>
              </w:rPr>
              <w:t>1:1 – 1:2 achieved following PDSA-driven workforce redesign</w:t>
            </w:r>
          </w:p>
        </w:tc>
      </w:tr>
      <w:tr w:rsidR="004305AB" w:rsidRPr="004305AB" w14:paraId="42CB5E4E" w14:textId="77777777">
        <w:trPr>
          <w:trHeight w:val="1385"/>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hideMark/>
          </w:tcPr>
          <w:p w14:paraId="0F926DD3" w14:textId="77777777" w:rsidR="004305AB" w:rsidRPr="004305AB" w:rsidRDefault="004305AB" w:rsidP="004305AB">
            <w:pPr>
              <w:rPr>
                <w:lang w:val="en-GB"/>
              </w:rPr>
            </w:pPr>
            <w:r w:rsidRPr="004305AB">
              <w:rPr>
                <w:rFonts w:ascii="Segoe UI Emoji" w:hAnsi="Segoe UI Emoji" w:cs="Segoe UI Emoji"/>
                <w:lang w:val="en-GB"/>
              </w:rPr>
              <w:lastRenderedPageBreak/>
              <w:t>📊</w:t>
            </w:r>
            <w:r w:rsidRPr="004305AB">
              <w:rPr>
                <w:lang w:val="en-GB"/>
              </w:rPr>
              <w:t xml:space="preserve"> </w:t>
            </w:r>
            <w:r w:rsidRPr="004305AB">
              <w:rPr>
                <w:b/>
                <w:bCs/>
                <w:lang w:val="en-GB"/>
              </w:rPr>
              <w:t>Incident reporting rate (per 1,000 patient days)</w:t>
            </w:r>
          </w:p>
        </w:tc>
        <w:tc>
          <w:tcPr>
            <w:tcW w:w="0" w:type="auto"/>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hideMark/>
          </w:tcPr>
          <w:p w14:paraId="7F8C0400" w14:textId="77777777" w:rsidR="004305AB" w:rsidRPr="004305AB" w:rsidRDefault="004305AB" w:rsidP="004305AB">
            <w:pPr>
              <w:rPr>
                <w:lang w:val="en-GB"/>
              </w:rPr>
            </w:pPr>
            <w:r w:rsidRPr="004305AB">
              <w:rPr>
                <w:lang w:val="en-GB"/>
              </w:rPr>
              <w:t xml:space="preserve">≥30 — strong safety reporting culture </w:t>
            </w:r>
            <w:r w:rsidRPr="004305AB">
              <w:rPr>
                <w:i/>
                <w:iCs/>
                <w:lang w:val="en-GB"/>
              </w:rPr>
              <w:t>(PSIRF/NHS England, 2026)</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398277BA" w14:textId="77777777" w:rsidR="004305AB" w:rsidRPr="004305AB" w:rsidRDefault="004305AB" w:rsidP="004305AB">
            <w:pPr>
              <w:rPr>
                <w:lang w:val="en-GB"/>
              </w:rPr>
            </w:pPr>
            <w:r w:rsidRPr="004305AB">
              <w:rPr>
                <w:lang w:val="en-GB"/>
              </w:rPr>
              <w:t>&lt;10 — under-reporting; fear-driven blame culture</w:t>
            </w:r>
          </w:p>
        </w:tc>
        <w:tc>
          <w:tcPr>
            <w:tcW w:w="0" w:type="auto"/>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hideMark/>
          </w:tcPr>
          <w:p w14:paraId="5D37DAA2" w14:textId="77777777" w:rsidR="004305AB" w:rsidRPr="004305AB" w:rsidRDefault="004305AB" w:rsidP="004305AB">
            <w:pPr>
              <w:rPr>
                <w:lang w:val="en-GB"/>
              </w:rPr>
            </w:pPr>
            <w:r w:rsidRPr="004305AB">
              <w:rPr>
                <w:lang w:val="en-GB"/>
              </w:rPr>
              <w:t>≥30 after Freedom to Speak Up and PSIRF implementation</w:t>
            </w:r>
          </w:p>
        </w:tc>
      </w:tr>
      <w:tr w:rsidR="004305AB" w:rsidRPr="004305AB" w14:paraId="7F8A0183" w14:textId="77777777">
        <w:trPr>
          <w:trHeight w:val="1325"/>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hideMark/>
          </w:tcPr>
          <w:p w14:paraId="0EEDADEE"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Neonatal sepsis rate (%)</w:t>
            </w:r>
          </w:p>
        </w:tc>
        <w:tc>
          <w:tcPr>
            <w:tcW w:w="0" w:type="auto"/>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hideMark/>
          </w:tcPr>
          <w:p w14:paraId="4F3643E6" w14:textId="77777777" w:rsidR="004305AB" w:rsidRPr="004305AB" w:rsidRDefault="004305AB" w:rsidP="004305AB">
            <w:pPr>
              <w:rPr>
                <w:lang w:val="en-GB"/>
              </w:rPr>
            </w:pPr>
            <w:r w:rsidRPr="004305AB">
              <w:rPr>
                <w:lang w:val="en-GB"/>
              </w:rPr>
              <w:t xml:space="preserve">≤5% </w:t>
            </w:r>
            <w:r w:rsidRPr="004305AB">
              <w:rPr>
                <w:i/>
                <w:iCs/>
                <w:lang w:val="en-GB"/>
              </w:rPr>
              <w:t xml:space="preserve">(NICE; </w:t>
            </w:r>
            <w:proofErr w:type="spellStart"/>
            <w:r w:rsidRPr="004305AB">
              <w:rPr>
                <w:i/>
                <w:iCs/>
                <w:lang w:val="en-GB"/>
              </w:rPr>
              <w:t>Ferorelli</w:t>
            </w:r>
            <w:proofErr w:type="spellEnd"/>
            <w:r w:rsidRPr="004305AB">
              <w:rPr>
                <w:i/>
                <w:iCs/>
                <w:lang w:val="en-GB"/>
              </w:rPr>
              <w:t xml:space="preserve"> et al., 2024)</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6FD7B07C" w14:textId="77777777" w:rsidR="004305AB" w:rsidRPr="004305AB" w:rsidRDefault="004305AB" w:rsidP="004305AB">
            <w:pPr>
              <w:rPr>
                <w:lang w:val="en-GB"/>
              </w:rPr>
            </w:pPr>
            <w:r w:rsidRPr="004305AB">
              <w:rPr>
                <w:lang w:val="en-GB"/>
              </w:rPr>
              <w:t>12–15% — high; linked to understaffing and weak infection control</w:t>
            </w:r>
          </w:p>
        </w:tc>
        <w:tc>
          <w:tcPr>
            <w:tcW w:w="0" w:type="auto"/>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hideMark/>
          </w:tcPr>
          <w:p w14:paraId="409A6E65" w14:textId="77777777" w:rsidR="004305AB" w:rsidRPr="004305AB" w:rsidRDefault="004305AB" w:rsidP="004305AB">
            <w:pPr>
              <w:rPr>
                <w:lang w:val="en-GB"/>
              </w:rPr>
            </w:pPr>
            <w:r w:rsidRPr="004305AB">
              <w:rPr>
                <w:lang w:val="en-GB"/>
              </w:rPr>
              <w:t>≤5% after structured risk management and protocol updates</w:t>
            </w:r>
          </w:p>
        </w:tc>
      </w:tr>
      <w:tr w:rsidR="004305AB" w:rsidRPr="004305AB" w14:paraId="2360ACA6" w14:textId="77777777">
        <w:trPr>
          <w:trHeight w:val="1385"/>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hideMark/>
          </w:tcPr>
          <w:p w14:paraId="6C690336"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Clinical escalation response time (minutes)</w:t>
            </w:r>
          </w:p>
        </w:tc>
        <w:tc>
          <w:tcPr>
            <w:tcW w:w="0" w:type="auto"/>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hideMark/>
          </w:tcPr>
          <w:p w14:paraId="13AD1BF1" w14:textId="77777777" w:rsidR="004305AB" w:rsidRPr="004305AB" w:rsidRDefault="004305AB" w:rsidP="004305AB">
            <w:pPr>
              <w:rPr>
                <w:lang w:val="en-GB"/>
              </w:rPr>
            </w:pPr>
            <w:r w:rsidRPr="004305AB">
              <w:rPr>
                <w:lang w:val="en-GB"/>
              </w:rPr>
              <w:t xml:space="preserve">≤15 minutes </w:t>
            </w:r>
            <w:r w:rsidRPr="004305AB">
              <w:rPr>
                <w:i/>
                <w:iCs/>
                <w:lang w:val="en-GB"/>
              </w:rPr>
              <w:t>(NHS Rapid Response Standard)</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7315A0A0" w14:textId="77777777" w:rsidR="004305AB" w:rsidRPr="004305AB" w:rsidRDefault="004305AB" w:rsidP="004305AB">
            <w:pPr>
              <w:rPr>
                <w:lang w:val="en-GB"/>
              </w:rPr>
            </w:pPr>
            <w:r w:rsidRPr="004305AB">
              <w:rPr>
                <w:lang w:val="en-GB"/>
              </w:rPr>
              <w:t>45–60 minutes — delayed due to lack of escalation pathways</w:t>
            </w:r>
          </w:p>
        </w:tc>
        <w:tc>
          <w:tcPr>
            <w:tcW w:w="0" w:type="auto"/>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hideMark/>
          </w:tcPr>
          <w:p w14:paraId="1FBFFD2F" w14:textId="77777777" w:rsidR="004305AB" w:rsidRPr="004305AB" w:rsidRDefault="004305AB" w:rsidP="004305AB">
            <w:pPr>
              <w:rPr>
                <w:lang w:val="en-GB"/>
              </w:rPr>
            </w:pPr>
            <w:r w:rsidRPr="004305AB">
              <w:rPr>
                <w:lang w:val="en-GB"/>
              </w:rPr>
              <w:t>≤15 minutes after Martha's Rule and early warning score training</w:t>
            </w:r>
          </w:p>
        </w:tc>
      </w:tr>
      <w:tr w:rsidR="004305AB" w:rsidRPr="004305AB" w14:paraId="02E2642F" w14:textId="77777777">
        <w:trPr>
          <w:trHeight w:val="1325"/>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hideMark/>
          </w:tcPr>
          <w:p w14:paraId="4ECC151A"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Staff feeling safe to raise concerns (%)</w:t>
            </w:r>
          </w:p>
        </w:tc>
        <w:tc>
          <w:tcPr>
            <w:tcW w:w="0" w:type="auto"/>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hideMark/>
          </w:tcPr>
          <w:p w14:paraId="06525426" w14:textId="77777777" w:rsidR="004305AB" w:rsidRPr="004305AB" w:rsidRDefault="004305AB" w:rsidP="004305AB">
            <w:pPr>
              <w:rPr>
                <w:lang w:val="en-GB"/>
              </w:rPr>
            </w:pPr>
            <w:r w:rsidRPr="004305AB">
              <w:rPr>
                <w:lang w:val="en-GB"/>
              </w:rPr>
              <w:t xml:space="preserve">≥80% </w:t>
            </w:r>
            <w:r w:rsidRPr="004305AB">
              <w:rPr>
                <w:i/>
                <w:iCs/>
                <w:lang w:val="en-GB"/>
              </w:rPr>
              <w:t>(NHS Staff Survey benchmark)</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1F72F725" w14:textId="77777777" w:rsidR="004305AB" w:rsidRPr="004305AB" w:rsidRDefault="004305AB" w:rsidP="004305AB">
            <w:pPr>
              <w:rPr>
                <w:lang w:val="en-GB"/>
              </w:rPr>
            </w:pPr>
            <w:r w:rsidRPr="004305AB">
              <w:rPr>
                <w:lang w:val="en-GB"/>
              </w:rPr>
              <w:t>42% — suppressed culture; fear of speaking up</w:t>
            </w:r>
          </w:p>
        </w:tc>
        <w:tc>
          <w:tcPr>
            <w:tcW w:w="0" w:type="auto"/>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hideMark/>
          </w:tcPr>
          <w:p w14:paraId="188008E8" w14:textId="77777777" w:rsidR="004305AB" w:rsidRPr="004305AB" w:rsidRDefault="004305AB" w:rsidP="004305AB">
            <w:pPr>
              <w:rPr>
                <w:lang w:val="en-GB"/>
              </w:rPr>
            </w:pPr>
            <w:r w:rsidRPr="004305AB">
              <w:rPr>
                <w:lang w:val="en-GB"/>
              </w:rPr>
              <w:t>≥80% after psychological safety programme and guardianship</w:t>
            </w:r>
          </w:p>
        </w:tc>
      </w:tr>
      <w:tr w:rsidR="004305AB" w:rsidRPr="004305AB" w14:paraId="0D1F7B86" w14:textId="77777777">
        <w:trPr>
          <w:trHeight w:val="1385"/>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hideMark/>
          </w:tcPr>
          <w:p w14:paraId="4229FF85"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Major incident review within 72 hours (%)</w:t>
            </w:r>
          </w:p>
        </w:tc>
        <w:tc>
          <w:tcPr>
            <w:tcW w:w="0" w:type="auto"/>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hideMark/>
          </w:tcPr>
          <w:p w14:paraId="603C5DBE" w14:textId="77777777" w:rsidR="004305AB" w:rsidRPr="004305AB" w:rsidRDefault="004305AB" w:rsidP="004305AB">
            <w:pPr>
              <w:rPr>
                <w:lang w:val="en-GB"/>
              </w:rPr>
            </w:pPr>
            <w:r w:rsidRPr="004305AB">
              <w:rPr>
                <w:lang w:val="en-GB"/>
              </w:rPr>
              <w:t xml:space="preserve">100% within 72 hours </w:t>
            </w:r>
            <w:r w:rsidRPr="004305AB">
              <w:rPr>
                <w:i/>
                <w:iCs/>
                <w:lang w:val="en-GB"/>
              </w:rPr>
              <w:t>(PSIRF/NHS England, 2026)</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06E53D5C" w14:textId="77777777" w:rsidR="004305AB" w:rsidRPr="004305AB" w:rsidRDefault="004305AB" w:rsidP="004305AB">
            <w:pPr>
              <w:rPr>
                <w:lang w:val="en-GB"/>
              </w:rPr>
            </w:pPr>
            <w:r w:rsidRPr="004305AB">
              <w:rPr>
                <w:lang w:val="en-GB"/>
              </w:rPr>
              <w:t>28% — significant delays; weak accountability</w:t>
            </w:r>
          </w:p>
        </w:tc>
        <w:tc>
          <w:tcPr>
            <w:tcW w:w="0" w:type="auto"/>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hideMark/>
          </w:tcPr>
          <w:p w14:paraId="236FA527" w14:textId="77777777" w:rsidR="004305AB" w:rsidRPr="004305AB" w:rsidRDefault="004305AB" w:rsidP="004305AB">
            <w:pPr>
              <w:rPr>
                <w:lang w:val="en-GB"/>
              </w:rPr>
            </w:pPr>
            <w:r w:rsidRPr="004305AB">
              <w:rPr>
                <w:lang w:val="en-GB"/>
              </w:rPr>
              <w:t>100% after Six Sigma standardisation and board-level accountability</w:t>
            </w:r>
          </w:p>
        </w:tc>
      </w:tr>
      <w:tr w:rsidR="004305AB" w:rsidRPr="004305AB" w14:paraId="02339A2B" w14:textId="77777777">
        <w:trPr>
          <w:trHeight w:val="1325"/>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hideMark/>
          </w:tcPr>
          <w:p w14:paraId="0BD2798F" w14:textId="77777777" w:rsidR="004305AB" w:rsidRPr="004305AB" w:rsidRDefault="004305AB" w:rsidP="004305AB">
            <w:pPr>
              <w:rPr>
                <w:lang w:val="en-GB"/>
              </w:rPr>
            </w:pPr>
            <w:r w:rsidRPr="004305AB">
              <w:rPr>
                <w:rFonts w:ascii="Segoe UI Emoji" w:hAnsi="Segoe UI Emoji" w:cs="Segoe UI Emoji"/>
                <w:lang w:val="en-GB"/>
              </w:rPr>
              <w:t>🏥</w:t>
            </w:r>
            <w:r w:rsidRPr="004305AB">
              <w:rPr>
                <w:lang w:val="en-GB"/>
              </w:rPr>
              <w:t xml:space="preserve"> </w:t>
            </w:r>
            <w:r w:rsidRPr="004305AB">
              <w:rPr>
                <w:b/>
                <w:bCs/>
                <w:lang w:val="en-GB"/>
              </w:rPr>
              <w:t>CQC compliance rating</w:t>
            </w:r>
          </w:p>
        </w:tc>
        <w:tc>
          <w:tcPr>
            <w:tcW w:w="0" w:type="auto"/>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hideMark/>
          </w:tcPr>
          <w:p w14:paraId="248E0711" w14:textId="77777777" w:rsidR="004305AB" w:rsidRPr="004305AB" w:rsidRDefault="004305AB" w:rsidP="004305AB">
            <w:pPr>
              <w:rPr>
                <w:lang w:val="en-GB"/>
              </w:rPr>
            </w:pPr>
            <w:r w:rsidRPr="004305AB">
              <w:rPr>
                <w:lang w:val="en-GB"/>
              </w:rPr>
              <w:t xml:space="preserve">“Good” or “Outstanding” </w:t>
            </w:r>
            <w:r w:rsidRPr="004305AB">
              <w:rPr>
                <w:i/>
                <w:iCs/>
                <w:lang w:val="en-GB"/>
              </w:rPr>
              <w:t>(CQC, 2026)</w:t>
            </w:r>
          </w:p>
        </w:tc>
        <w:tc>
          <w:tcPr>
            <w:tcW w:w="0" w:type="auto"/>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hideMark/>
          </w:tcPr>
          <w:p w14:paraId="77B1DFC7" w14:textId="77777777" w:rsidR="004305AB" w:rsidRPr="004305AB" w:rsidRDefault="004305AB" w:rsidP="004305AB">
            <w:pPr>
              <w:rPr>
                <w:lang w:val="en-GB"/>
              </w:rPr>
            </w:pPr>
            <w:r w:rsidRPr="004305AB">
              <w:rPr>
                <w:lang w:val="en-GB"/>
              </w:rPr>
              <w:t>“Requires Improvement” — issues in governance and safety</w:t>
            </w:r>
          </w:p>
        </w:tc>
        <w:tc>
          <w:tcPr>
            <w:tcW w:w="0" w:type="auto"/>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hideMark/>
          </w:tcPr>
          <w:p w14:paraId="7DE2D5DE" w14:textId="77777777" w:rsidR="004305AB" w:rsidRPr="004305AB" w:rsidRDefault="004305AB" w:rsidP="004305AB">
            <w:pPr>
              <w:rPr>
                <w:lang w:val="en-GB"/>
              </w:rPr>
            </w:pPr>
            <w:r w:rsidRPr="004305AB">
              <w:rPr>
                <w:lang w:val="en-GB"/>
              </w:rPr>
              <w:t>“Good” after governance reform and mock inspection</w:t>
            </w:r>
          </w:p>
        </w:tc>
      </w:tr>
    </w:tbl>
    <w:p w14:paraId="4C89C841" w14:textId="67592B44" w:rsidR="004305AB" w:rsidRDefault="004305AB" w:rsidP="004305AB">
      <w:pPr>
        <w:jc w:val="center"/>
        <w:rPr>
          <w:b/>
          <w:bCs/>
        </w:rPr>
      </w:pPr>
      <w:r>
        <w:rPr>
          <w:b/>
          <w:bCs/>
        </w:rPr>
        <w:t>Table 3: Benchmark Table</w:t>
      </w:r>
    </w:p>
    <w:p w14:paraId="6D81825F" w14:textId="57110C86" w:rsidR="004305AB" w:rsidRPr="004305AB" w:rsidRDefault="004305AB" w:rsidP="004305AB">
      <w:pPr>
        <w:jc w:val="center"/>
        <w:rPr>
          <w:b/>
          <w:bCs/>
        </w:rPr>
      </w:pPr>
      <w:r>
        <w:rPr>
          <w:b/>
          <w:bCs/>
        </w:rPr>
        <w:t>(Source: Author)</w:t>
      </w:r>
    </w:p>
    <w:p w14:paraId="3087AEE4" w14:textId="77777777" w:rsidR="00F61F9D" w:rsidRDefault="002C4E78">
      <w:pPr>
        <w:pStyle w:val="Heading1"/>
      </w:pPr>
      <w:bookmarkStart w:id="26" w:name="_yccpbb2exgh1" w:colFirst="0" w:colLast="0"/>
      <w:bookmarkStart w:id="27" w:name="_Toc223529608"/>
      <w:bookmarkEnd w:id="26"/>
      <w:r>
        <w:lastRenderedPageBreak/>
        <w:t>4. CONCLUSION</w:t>
      </w:r>
      <w:bookmarkEnd w:id="27"/>
      <w:r>
        <w:t xml:space="preserve"> </w:t>
      </w:r>
    </w:p>
    <w:p w14:paraId="604D2DB4" w14:textId="77777777" w:rsidR="00F61F9D" w:rsidRDefault="002C4E78">
      <w:r>
        <w:t>This report has critically examined the quality of care provided to newborn babies. It demonstrated that bad outcomes of newborns were not a result of one error but rather systematic issues using the Swiss Cheese Model and the Donabedian Structure-Process-Outcome framework. Lack of adequate personnel and inappropriate skill balance are problems that directly influenced the care procedures, making patient access to help difficult and unequal monitoring detrimental. After further investigating with Fishbone and 5 Whys, we realised that the main issues were weak governance, failure of people to raise an issue and poor accountability.</w:t>
      </w:r>
    </w:p>
    <w:p w14:paraId="0BDF3A2B" w14:textId="77777777" w:rsidR="00F61F9D" w:rsidRDefault="002C4E78">
      <w:r>
        <w:t>Through SWOT and PESTLE, we identified threats and opportunities for the way forward in the NHS. NHS England demonstrates that the harm to newborns has reduced despite the safety programmes, which proves that substantial change can assist. With appropriate implementation, the enhanced control of the Care Quality Commission can also contribute to the safety of practice.</w:t>
      </w:r>
    </w:p>
    <w:p w14:paraId="0DC74D0E" w14:textId="77777777" w:rsidR="00F61F9D" w:rsidRDefault="002C4E78">
      <w:r>
        <w:t>Simply put, one would need efforts in the field of governance, staff planning, culture, and data-driven monitoring to ensure the safety of newborn care on an extended basis. Teams can learn continuously and not merely respond to issues using approaches such as PDCA, PDSA, Lean and Six Sigma. Correction of system problems as well as culture will assist the newborn services to emerge as a robust safety culture, which cherishes transparency, responsibility, and patient-focused care.</w:t>
      </w:r>
    </w:p>
    <w:p w14:paraId="31E3C5DD" w14:textId="77777777" w:rsidR="00F61F9D" w:rsidRDefault="00F61F9D"/>
    <w:p w14:paraId="0A2A7678" w14:textId="77777777" w:rsidR="00F61F9D" w:rsidRDefault="00F61F9D"/>
    <w:p w14:paraId="1A0FA280" w14:textId="77777777" w:rsidR="00F61F9D" w:rsidRDefault="00F61F9D">
      <w:pPr>
        <w:pStyle w:val="Heading1"/>
        <w:sectPr w:rsidR="00F61F9D" w:rsidSect="00072E1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bookmarkStart w:id="28" w:name="_owsdd1w75wv" w:colFirst="0" w:colLast="0"/>
      <w:bookmarkEnd w:id="28"/>
    </w:p>
    <w:p w14:paraId="64D9D839" w14:textId="77777777" w:rsidR="00F61F9D" w:rsidRDefault="002C4E78">
      <w:pPr>
        <w:pStyle w:val="Heading1"/>
      </w:pPr>
      <w:bookmarkStart w:id="29" w:name="_x0ex3lgfvw3i" w:colFirst="0" w:colLast="0"/>
      <w:bookmarkStart w:id="30" w:name="_Toc223529609"/>
      <w:bookmarkEnd w:id="29"/>
      <w:r>
        <w:lastRenderedPageBreak/>
        <w:t>References</w:t>
      </w:r>
      <w:bookmarkEnd w:id="30"/>
    </w:p>
    <w:p w14:paraId="1448E6BD" w14:textId="77777777" w:rsidR="00072E1B" w:rsidRDefault="00072E1B">
      <w:pPr>
        <w:rPr>
          <w:color w:val="222222"/>
          <w:highlight w:val="white"/>
        </w:rPr>
      </w:pPr>
      <w:r>
        <w:rPr>
          <w:color w:val="222222"/>
          <w:highlight w:val="white"/>
        </w:rPr>
        <w:t xml:space="preserve">Anderson, M., Pitchforth, E., Edwards, N., </w:t>
      </w:r>
      <w:proofErr w:type="spellStart"/>
      <w:r>
        <w:rPr>
          <w:color w:val="222222"/>
          <w:highlight w:val="white"/>
        </w:rPr>
        <w:t>Alderwick</w:t>
      </w:r>
      <w:proofErr w:type="spellEnd"/>
      <w:r>
        <w:rPr>
          <w:color w:val="222222"/>
          <w:highlight w:val="white"/>
        </w:rPr>
        <w:t xml:space="preserve">, H., McGuire, A. and </w:t>
      </w:r>
      <w:proofErr w:type="spellStart"/>
      <w:r>
        <w:rPr>
          <w:color w:val="222222"/>
          <w:highlight w:val="white"/>
        </w:rPr>
        <w:t>Mossialos</w:t>
      </w:r>
      <w:proofErr w:type="spellEnd"/>
      <w:r>
        <w:rPr>
          <w:color w:val="222222"/>
          <w:highlight w:val="white"/>
        </w:rPr>
        <w:t>, E., 2022. United Kingdom: health system review.</w:t>
      </w:r>
      <w:hyperlink r:id="rId15">
        <w:r>
          <w:rPr>
            <w:color w:val="1155CC"/>
            <w:highlight w:val="white"/>
            <w:u w:val="single"/>
          </w:rPr>
          <w:t>https://iris.who.int/bitstream/handle/10665/354075/Hit-24-1-2022-eng.pdf</w:t>
        </w:r>
      </w:hyperlink>
    </w:p>
    <w:p w14:paraId="4BC8A6F1" w14:textId="77777777" w:rsidR="00072E1B" w:rsidRDefault="00072E1B">
      <w:pPr>
        <w:rPr>
          <w:color w:val="222222"/>
          <w:highlight w:val="white"/>
        </w:rPr>
      </w:pPr>
      <w:r>
        <w:rPr>
          <w:color w:val="222222"/>
          <w:highlight w:val="white"/>
        </w:rPr>
        <w:t xml:space="preserve">Ball, J.E. and Griffiths, P., 2022. Consensus Development Project (CDP): An overview of staffing for safe and effective nursing care. </w:t>
      </w:r>
      <w:r>
        <w:rPr>
          <w:i/>
          <w:iCs/>
          <w:color w:val="222222"/>
          <w:highlight w:val="white"/>
        </w:rPr>
        <w:t>Nursing Open</w:t>
      </w:r>
      <w:r>
        <w:rPr>
          <w:color w:val="222222"/>
          <w:highlight w:val="white"/>
        </w:rPr>
        <w:t xml:space="preserve">, </w:t>
      </w:r>
      <w:r>
        <w:rPr>
          <w:i/>
          <w:iCs/>
          <w:color w:val="222222"/>
          <w:highlight w:val="white"/>
        </w:rPr>
        <w:t>9</w:t>
      </w:r>
      <w:r>
        <w:rPr>
          <w:color w:val="222222"/>
          <w:highlight w:val="white"/>
        </w:rPr>
        <w:t>(2), pp.872-879.</w:t>
      </w:r>
      <w:hyperlink r:id="rId16">
        <w:r>
          <w:rPr>
            <w:color w:val="1155CC"/>
            <w:highlight w:val="white"/>
            <w:u w:val="single"/>
          </w:rPr>
          <w:t>https://onlinelibrary.wiley.com/doi/abs/10.1002/nop2.989</w:t>
        </w:r>
      </w:hyperlink>
    </w:p>
    <w:p w14:paraId="6BB953EC" w14:textId="77777777" w:rsidR="00072E1B" w:rsidRDefault="00072E1B">
      <w:pPr>
        <w:rPr>
          <w:color w:val="222222"/>
          <w:highlight w:val="white"/>
        </w:rPr>
      </w:pPr>
      <w:r>
        <w:rPr>
          <w:color w:val="222222"/>
          <w:highlight w:val="white"/>
        </w:rPr>
        <w:t xml:space="preserve">Baston, H. and Durward, H., 2025. </w:t>
      </w:r>
      <w:r>
        <w:rPr>
          <w:i/>
          <w:iCs/>
          <w:color w:val="222222"/>
          <w:highlight w:val="white"/>
        </w:rPr>
        <w:t>Examination of the newborn: a practical guide</w:t>
      </w:r>
      <w:r>
        <w:rPr>
          <w:color w:val="222222"/>
          <w:highlight w:val="white"/>
        </w:rPr>
        <w:t>. Routledge.</w:t>
      </w:r>
      <w:hyperlink r:id="rId17">
        <w:r>
          <w:rPr>
            <w:color w:val="1155CC"/>
            <w:highlight w:val="white"/>
            <w:u w:val="single"/>
          </w:rPr>
          <w:t>https://www.taylorfrancis.com/books/mono/10.4324/9781032667850/examination-newborn-helen-baston-heather-durward</w:t>
        </w:r>
      </w:hyperlink>
    </w:p>
    <w:p w14:paraId="3FD585E9" w14:textId="77777777" w:rsidR="00072E1B" w:rsidRDefault="00072E1B">
      <w:pPr>
        <w:rPr>
          <w:color w:val="222222"/>
          <w:highlight w:val="white"/>
        </w:rPr>
      </w:pPr>
      <w:r>
        <w:rPr>
          <w:color w:val="222222"/>
          <w:highlight w:val="white"/>
        </w:rPr>
        <w:t xml:space="preserve">Blacklock, C., Wanyama, C., Jepkosgei, J., Hinton, L., McKnight, J., Jepkosgei, J., Oluoch, D., Molyneux, S., Hogan, B., English, M. and Wong, G., 2025. Understanding the relational culture of healthcare workplaces: a framework to guide improvement interventions, derived from a realist evaluation of neonatal care in Kenya. </w:t>
      </w:r>
      <w:r>
        <w:rPr>
          <w:i/>
          <w:iCs/>
          <w:color w:val="222222"/>
          <w:highlight w:val="white"/>
        </w:rPr>
        <w:t>BMC Health Services Research</w:t>
      </w:r>
      <w:r>
        <w:rPr>
          <w:color w:val="222222"/>
          <w:highlight w:val="white"/>
        </w:rPr>
        <w:t xml:space="preserve">, </w:t>
      </w:r>
      <w:r>
        <w:rPr>
          <w:i/>
          <w:iCs/>
          <w:color w:val="222222"/>
          <w:highlight w:val="white"/>
        </w:rPr>
        <w:t>25</w:t>
      </w:r>
      <w:r>
        <w:rPr>
          <w:color w:val="222222"/>
          <w:highlight w:val="white"/>
        </w:rPr>
        <w:t>(1), p.1499.</w:t>
      </w:r>
      <w:hyperlink r:id="rId18">
        <w:r>
          <w:rPr>
            <w:color w:val="1155CC"/>
            <w:highlight w:val="white"/>
            <w:u w:val="single"/>
          </w:rPr>
          <w:t>https://link.springer.com/article/10.1186/s12913-025-13686-6</w:t>
        </w:r>
      </w:hyperlink>
    </w:p>
    <w:p w14:paraId="7D7F1B2D" w14:textId="77777777" w:rsidR="00072E1B" w:rsidRDefault="00072E1B">
      <w:pPr>
        <w:rPr>
          <w:color w:val="222222"/>
          <w:highlight w:val="white"/>
        </w:rPr>
      </w:pPr>
      <w:r>
        <w:rPr>
          <w:color w:val="222222"/>
          <w:highlight w:val="white"/>
        </w:rPr>
        <w:t xml:space="preserve">Brown, C.S., 2024. </w:t>
      </w:r>
      <w:r>
        <w:rPr>
          <w:i/>
          <w:iCs/>
          <w:color w:val="222222"/>
          <w:highlight w:val="white"/>
        </w:rPr>
        <w:t>Improving a Neonatal Care Process to Enhance the Prognosis of the Neonate</w:t>
      </w:r>
      <w:r>
        <w:rPr>
          <w:color w:val="222222"/>
          <w:highlight w:val="white"/>
        </w:rPr>
        <w:t xml:space="preserve"> (Doctoral dissertation, Barry University).</w:t>
      </w:r>
      <w:hyperlink r:id="rId19">
        <w:r>
          <w:rPr>
            <w:color w:val="1155CC"/>
            <w:highlight w:val="white"/>
            <w:u w:val="single"/>
          </w:rPr>
          <w:t>https://search.proquest.com/openview/57e058ddcacf1db055f754899551b0a0/1?pq-origsite=gscholar&amp;cbl=18750&amp;diss=y</w:t>
        </w:r>
      </w:hyperlink>
    </w:p>
    <w:p w14:paraId="10427DE5" w14:textId="77777777" w:rsidR="00072E1B" w:rsidRDefault="00072E1B">
      <w:pPr>
        <w:rPr>
          <w:color w:val="222222"/>
          <w:highlight w:val="white"/>
        </w:rPr>
      </w:pPr>
      <w:r>
        <w:rPr>
          <w:color w:val="222222"/>
          <w:highlight w:val="white"/>
        </w:rPr>
        <w:t xml:space="preserve">Buka, P. ed., 2024. </w:t>
      </w:r>
      <w:r>
        <w:rPr>
          <w:i/>
          <w:iCs/>
          <w:color w:val="222222"/>
          <w:highlight w:val="white"/>
        </w:rPr>
        <w:t>Patient Safety in Clinical Practice: A Diverse Approach to Safe Healthcare for All</w:t>
      </w:r>
      <w:r>
        <w:rPr>
          <w:color w:val="222222"/>
          <w:highlight w:val="white"/>
        </w:rPr>
        <w:t>. Taylor &amp; Francis.</w:t>
      </w:r>
      <w:hyperlink r:id="rId20">
        <w:r>
          <w:rPr>
            <w:color w:val="1155CC"/>
            <w:highlight w:val="white"/>
            <w:u w:val="single"/>
          </w:rPr>
          <w:t>https://books.google.com/books?hl=en&amp;lr=&amp;id=Z9QZEQAAQBAJ&amp;oi=fnd&amp;pg=PA1983&amp;dq=UK+Psychological+safety..patient+safety+lapses+neonatal+care+services+&amp;ots=EwgdwRdtz3&amp;sig=AOmRexmYtg__DE1TkB920mggeqI</w:t>
        </w:r>
      </w:hyperlink>
    </w:p>
    <w:p w14:paraId="61E46712" w14:textId="77777777" w:rsidR="00072E1B" w:rsidRDefault="00072E1B">
      <w:r>
        <w:rPr>
          <w:color w:val="222222"/>
          <w:highlight w:val="white"/>
        </w:rPr>
        <w:t xml:space="preserve">Chowdhury, G. and Bhushan, A., 2024. </w:t>
      </w:r>
      <w:r>
        <w:rPr>
          <w:i/>
          <w:iCs/>
          <w:color w:val="222222"/>
          <w:highlight w:val="white"/>
        </w:rPr>
        <w:t>Obstetrics–Quality of Care, Risk and Lean management</w:t>
      </w:r>
      <w:r>
        <w:rPr>
          <w:color w:val="222222"/>
          <w:highlight w:val="white"/>
        </w:rPr>
        <w:t>. Prowess Publishing.</w:t>
      </w:r>
      <w:hyperlink r:id="rId21">
        <w:r>
          <w:rPr>
            <w:color w:val="1155CC"/>
            <w:highlight w:val="white"/>
            <w:u w:val="single"/>
          </w:rPr>
          <w:t>https://books.google.com/books?hl=en&amp;lr=&amp;id=H7UWEQAAQBAJ&amp;oi=fnd&amp;pg=PT9&amp;dq=UK+Regulation+and+quality+improvement.+heathcare+patient+safety+lapses+neonatal+care+services+&amp;ots=QhTcp5pY76&amp;sig=DRW_FNqnIz17C3mTt86Pxb0nDIM</w:t>
        </w:r>
      </w:hyperlink>
    </w:p>
    <w:p w14:paraId="1253162D" w14:textId="77777777" w:rsidR="00072E1B" w:rsidRDefault="00072E1B">
      <w:pPr>
        <w:rPr>
          <w:color w:val="212121"/>
          <w:highlight w:val="white"/>
        </w:rPr>
      </w:pPr>
      <w:r>
        <w:rPr>
          <w:color w:val="222222"/>
          <w:highlight w:val="white"/>
        </w:rPr>
        <w:lastRenderedPageBreak/>
        <w:t xml:space="preserve">CQC (2026). </w:t>
      </w:r>
      <w:r>
        <w:rPr>
          <w:i/>
          <w:iCs/>
          <w:color w:val="212121"/>
          <w:highlight w:val="white"/>
        </w:rPr>
        <w:t xml:space="preserve">Improving how we work. </w:t>
      </w:r>
      <w:r>
        <w:rPr>
          <w:color w:val="212121"/>
          <w:highlight w:val="white"/>
        </w:rPr>
        <w:t xml:space="preserve">Available at: </w:t>
      </w:r>
      <w:hyperlink r:id="rId22">
        <w:r>
          <w:rPr>
            <w:color w:val="1155CC"/>
            <w:highlight w:val="white"/>
            <w:u w:val="single"/>
          </w:rPr>
          <w:t>https://www.cqc.org.uk/about-us/improving-how-we-work</w:t>
        </w:r>
      </w:hyperlink>
      <w:r>
        <w:rPr>
          <w:color w:val="212121"/>
          <w:highlight w:val="white"/>
        </w:rPr>
        <w:t>. [Accessed on: 04.03.2026].</w:t>
      </w:r>
    </w:p>
    <w:p w14:paraId="188680C3" w14:textId="77777777" w:rsidR="00072E1B" w:rsidRDefault="00072E1B">
      <w:pPr>
        <w:rPr>
          <w:color w:val="212121"/>
          <w:highlight w:val="white"/>
        </w:rPr>
      </w:pPr>
      <w:r>
        <w:rPr>
          <w:color w:val="222222"/>
          <w:highlight w:val="white"/>
        </w:rPr>
        <w:t xml:space="preserve">CQC (2026). </w:t>
      </w:r>
      <w:r>
        <w:rPr>
          <w:i/>
          <w:iCs/>
          <w:color w:val="212121"/>
          <w:highlight w:val="white"/>
        </w:rPr>
        <w:t xml:space="preserve">Inspection framework: NHS acute hospitals (specialist children’s hospital). </w:t>
      </w:r>
      <w:r>
        <w:rPr>
          <w:color w:val="212121"/>
          <w:highlight w:val="white"/>
        </w:rPr>
        <w:t xml:space="preserve">Available at: </w:t>
      </w:r>
      <w:hyperlink r:id="rId23">
        <w:r>
          <w:rPr>
            <w:color w:val="1155CC"/>
            <w:highlight w:val="white"/>
            <w:u w:val="single"/>
          </w:rPr>
          <w:t>https://www.cqc.org.uk/sites/default/files/Inspection_framework_NHS_acute_hospitals_additional_service_Neonatal_services.pdf</w:t>
        </w:r>
      </w:hyperlink>
      <w:r>
        <w:rPr>
          <w:color w:val="212121"/>
          <w:highlight w:val="white"/>
        </w:rPr>
        <w:t>. [Accessed on: 04.03.2026].</w:t>
      </w:r>
    </w:p>
    <w:p w14:paraId="7B066618" w14:textId="77777777" w:rsidR="00072E1B" w:rsidRDefault="00072E1B">
      <w:pPr>
        <w:rPr>
          <w:color w:val="222222"/>
          <w:highlight w:val="white"/>
        </w:rPr>
      </w:pPr>
      <w:r>
        <w:rPr>
          <w:color w:val="222222"/>
          <w:highlight w:val="white"/>
        </w:rPr>
        <w:t xml:space="preserve">Delpino, R., Lees-Deutsch, L. and Solanki, B., 2023. ‘Speaking </w:t>
      </w:r>
      <w:proofErr w:type="spellStart"/>
      <w:r>
        <w:rPr>
          <w:color w:val="222222"/>
          <w:highlight w:val="white"/>
        </w:rPr>
        <w:t>Up’for</w:t>
      </w:r>
      <w:proofErr w:type="spellEnd"/>
      <w:r>
        <w:rPr>
          <w:color w:val="222222"/>
          <w:highlight w:val="white"/>
        </w:rPr>
        <w:t xml:space="preserve"> patient safety and staff well-being: a qualitative study. </w:t>
      </w:r>
      <w:r>
        <w:rPr>
          <w:i/>
          <w:iCs/>
          <w:color w:val="222222"/>
          <w:highlight w:val="white"/>
        </w:rPr>
        <w:t>BMJ Open Quality</w:t>
      </w:r>
      <w:r>
        <w:rPr>
          <w:color w:val="222222"/>
          <w:highlight w:val="white"/>
        </w:rPr>
        <w:t xml:space="preserve">, </w:t>
      </w:r>
      <w:r>
        <w:rPr>
          <w:i/>
          <w:iCs/>
          <w:color w:val="222222"/>
          <w:highlight w:val="white"/>
        </w:rPr>
        <w:t>12</w:t>
      </w:r>
      <w:r>
        <w:rPr>
          <w:color w:val="222222"/>
          <w:highlight w:val="white"/>
        </w:rPr>
        <w:t>(2).</w:t>
      </w:r>
      <w:hyperlink r:id="rId24">
        <w:r>
          <w:rPr>
            <w:color w:val="1155CC"/>
            <w:highlight w:val="white"/>
            <w:u w:val="single"/>
          </w:rPr>
          <w:t>https://bmjopenquality.bmj.com/content/12/2/e002047</w:t>
        </w:r>
      </w:hyperlink>
    </w:p>
    <w:p w14:paraId="3F879BD5" w14:textId="77777777" w:rsidR="00072E1B" w:rsidRDefault="00072E1B">
      <w:pPr>
        <w:rPr>
          <w:color w:val="212121"/>
          <w:highlight w:val="white"/>
        </w:rPr>
      </w:pPr>
      <w:r>
        <w:rPr>
          <w:color w:val="222222"/>
          <w:highlight w:val="white"/>
        </w:rPr>
        <w:t xml:space="preserve">Dillner, P., Göransson, K.E., Norman, M., Unbeck, M. and </w:t>
      </w:r>
      <w:proofErr w:type="spellStart"/>
      <w:r>
        <w:rPr>
          <w:color w:val="222222"/>
          <w:highlight w:val="white"/>
        </w:rPr>
        <w:t>Förberg</w:t>
      </w:r>
      <w:proofErr w:type="spellEnd"/>
      <w:r>
        <w:rPr>
          <w:color w:val="222222"/>
          <w:highlight w:val="white"/>
        </w:rPr>
        <w:t xml:space="preserve">, U., 2025. Nurse staffing skill mix and acuity-adjusted provision ratios in Swedish neonatal care: A cohort benchmark study. </w:t>
      </w:r>
      <w:r>
        <w:rPr>
          <w:i/>
          <w:iCs/>
          <w:color w:val="222222"/>
          <w:highlight w:val="white"/>
        </w:rPr>
        <w:t>International Journal of Nursing Studies Advances</w:t>
      </w:r>
      <w:r>
        <w:rPr>
          <w:color w:val="222222"/>
          <w:highlight w:val="white"/>
        </w:rPr>
        <w:t>, p.100471.</w:t>
      </w:r>
      <w:hyperlink r:id="rId25">
        <w:r>
          <w:rPr>
            <w:color w:val="1155CC"/>
            <w:highlight w:val="white"/>
            <w:u w:val="single"/>
          </w:rPr>
          <w:t>https://www.sciencedirect.com/science/article/pii/S2666142X25001766</w:t>
        </w:r>
      </w:hyperlink>
    </w:p>
    <w:p w14:paraId="5072109F" w14:textId="77777777" w:rsidR="00072E1B" w:rsidRDefault="00072E1B">
      <w:pPr>
        <w:rPr>
          <w:color w:val="222222"/>
          <w:highlight w:val="white"/>
        </w:rPr>
      </w:pPr>
      <w:r>
        <w:rPr>
          <w:color w:val="222222"/>
          <w:highlight w:val="white"/>
        </w:rPr>
        <w:t xml:space="preserve">Dyer, C., 2025. Letby case: Criminal investigation is widened to focus on individual </w:t>
      </w:r>
      <w:proofErr w:type="spellStart"/>
      <w:r>
        <w:rPr>
          <w:color w:val="222222"/>
          <w:highlight w:val="white"/>
        </w:rPr>
        <w:t>staff.</w:t>
      </w:r>
      <w:hyperlink r:id="rId26">
        <w:r>
          <w:rPr>
            <w:color w:val="1155CC"/>
            <w:highlight w:val="white"/>
            <w:u w:val="single"/>
          </w:rPr>
          <w:t>https</w:t>
        </w:r>
        <w:proofErr w:type="spellEnd"/>
        <w:r>
          <w:rPr>
            <w:color w:val="1155CC"/>
            <w:highlight w:val="white"/>
            <w:u w:val="single"/>
          </w:rPr>
          <w:t>://www.bmj.com/content/388/bmj.r538</w:t>
        </w:r>
      </w:hyperlink>
    </w:p>
    <w:p w14:paraId="42F48039" w14:textId="77777777" w:rsidR="00072E1B" w:rsidRDefault="00072E1B">
      <w:r>
        <w:rPr>
          <w:color w:val="222222"/>
          <w:highlight w:val="white"/>
        </w:rPr>
        <w:t xml:space="preserve">Ferorelli, D., Goffredo, V.M., Graziano, E., </w:t>
      </w:r>
      <w:proofErr w:type="spellStart"/>
      <w:r>
        <w:rPr>
          <w:color w:val="222222"/>
          <w:highlight w:val="white"/>
        </w:rPr>
        <w:t>Mastrapasqua</w:t>
      </w:r>
      <w:proofErr w:type="spellEnd"/>
      <w:r>
        <w:rPr>
          <w:color w:val="222222"/>
          <w:highlight w:val="white"/>
        </w:rPr>
        <w:t xml:space="preserve">, M., </w:t>
      </w:r>
      <w:proofErr w:type="spellStart"/>
      <w:r>
        <w:rPr>
          <w:color w:val="222222"/>
          <w:highlight w:val="white"/>
        </w:rPr>
        <w:t>Telegrafo</w:t>
      </w:r>
      <w:proofErr w:type="spellEnd"/>
      <w:r>
        <w:rPr>
          <w:color w:val="222222"/>
          <w:highlight w:val="white"/>
        </w:rPr>
        <w:t xml:space="preserve">, M., Vinci, A., </w:t>
      </w:r>
      <w:proofErr w:type="spellStart"/>
      <w:r>
        <w:rPr>
          <w:color w:val="222222"/>
          <w:highlight w:val="white"/>
        </w:rPr>
        <w:t>Visci</w:t>
      </w:r>
      <w:proofErr w:type="spellEnd"/>
      <w:r>
        <w:rPr>
          <w:color w:val="222222"/>
          <w:highlight w:val="white"/>
        </w:rPr>
        <w:t xml:space="preserve">, P., Benevento, M., Zotti, F., </w:t>
      </w:r>
      <w:proofErr w:type="spellStart"/>
      <w:r>
        <w:rPr>
          <w:color w:val="222222"/>
          <w:highlight w:val="white"/>
        </w:rPr>
        <w:t>Foglianese</w:t>
      </w:r>
      <w:proofErr w:type="spellEnd"/>
      <w:r>
        <w:rPr>
          <w:color w:val="222222"/>
          <w:highlight w:val="white"/>
        </w:rPr>
        <w:t xml:space="preserve">, A. and Panza, R., 2024. Quality improvement in neonatal care through enhanced patient safety and clinical risk management: a before-and-after study about neonatal sepsis. </w:t>
      </w:r>
      <w:r>
        <w:rPr>
          <w:i/>
          <w:iCs/>
          <w:color w:val="222222"/>
          <w:highlight w:val="white"/>
        </w:rPr>
        <w:t>Frontiers in medicine</w:t>
      </w:r>
      <w:r>
        <w:rPr>
          <w:color w:val="222222"/>
          <w:highlight w:val="white"/>
        </w:rPr>
        <w:t xml:space="preserve">, </w:t>
      </w:r>
      <w:r>
        <w:rPr>
          <w:i/>
          <w:iCs/>
          <w:color w:val="222222"/>
          <w:highlight w:val="white"/>
        </w:rPr>
        <w:t>11</w:t>
      </w:r>
      <w:r>
        <w:rPr>
          <w:color w:val="222222"/>
          <w:highlight w:val="white"/>
        </w:rPr>
        <w:t>, p.1430853.</w:t>
      </w:r>
      <w:hyperlink r:id="rId27">
        <w:r>
          <w:rPr>
            <w:color w:val="1155CC"/>
            <w:highlight w:val="white"/>
            <w:u w:val="single"/>
          </w:rPr>
          <w:t>https://www.frontiersin.org/journals/medicine/articles/10.3389/fmed.2024.1430853/full</w:t>
        </w:r>
      </w:hyperlink>
    </w:p>
    <w:p w14:paraId="38E7EA17" w14:textId="77777777" w:rsidR="00072E1B" w:rsidRDefault="00072E1B">
      <w:r>
        <w:rPr>
          <w:color w:val="222222"/>
          <w:highlight w:val="white"/>
        </w:rPr>
        <w:t xml:space="preserve">Goenka, A., </w:t>
      </w:r>
      <w:proofErr w:type="spellStart"/>
      <w:r>
        <w:rPr>
          <w:color w:val="222222"/>
          <w:highlight w:val="white"/>
        </w:rPr>
        <w:t>Mundkur</w:t>
      </w:r>
      <w:proofErr w:type="spellEnd"/>
      <w:r>
        <w:rPr>
          <w:color w:val="222222"/>
          <w:highlight w:val="white"/>
        </w:rPr>
        <w:t xml:space="preserve">, S., Nayak, S.S., Shetty, A., Thomas, J., Balakrishnan, J.M., Sekaran, V.C. and Dsouza, B., 2024. Improving the emergency services using quality improvement project and Donabedian model in a quaternary teaching hospital in South India. </w:t>
      </w:r>
      <w:r>
        <w:rPr>
          <w:i/>
          <w:iCs/>
          <w:color w:val="222222"/>
          <w:highlight w:val="white"/>
        </w:rPr>
        <w:t>BMJ open quality</w:t>
      </w:r>
      <w:r>
        <w:rPr>
          <w:color w:val="222222"/>
          <w:highlight w:val="white"/>
        </w:rPr>
        <w:t xml:space="preserve">, </w:t>
      </w:r>
      <w:r>
        <w:rPr>
          <w:i/>
          <w:iCs/>
          <w:color w:val="222222"/>
          <w:highlight w:val="white"/>
        </w:rPr>
        <w:t>13</w:t>
      </w:r>
      <w:r>
        <w:rPr>
          <w:color w:val="222222"/>
          <w:highlight w:val="white"/>
        </w:rPr>
        <w:t>(1).</w:t>
      </w:r>
      <w:hyperlink r:id="rId28">
        <w:r>
          <w:rPr>
            <w:color w:val="1155CC"/>
            <w:highlight w:val="white"/>
            <w:u w:val="single"/>
          </w:rPr>
          <w:t>https://bmjopenquality.bmj.com/content/13/1/e002246</w:t>
        </w:r>
      </w:hyperlink>
    </w:p>
    <w:p w14:paraId="340C56F6" w14:textId="77777777" w:rsidR="00072E1B" w:rsidRDefault="00072E1B">
      <w:pPr>
        <w:rPr>
          <w:color w:val="212121"/>
          <w:highlight w:val="white"/>
        </w:rPr>
      </w:pPr>
      <w:r>
        <w:rPr>
          <w:color w:val="212121"/>
          <w:highlight w:val="white"/>
        </w:rPr>
        <w:t xml:space="preserve">Government of the UK (2024). </w:t>
      </w:r>
      <w:r>
        <w:rPr>
          <w:i/>
          <w:iCs/>
          <w:highlight w:val="white"/>
        </w:rPr>
        <w:t xml:space="preserve">Changes to regulations relating to the Care Quality Commission: regulatory impact assessment. </w:t>
      </w:r>
      <w:r>
        <w:rPr>
          <w:color w:val="212121"/>
          <w:highlight w:val="white"/>
        </w:rPr>
        <w:t xml:space="preserve">Available at: </w:t>
      </w:r>
      <w:hyperlink r:id="rId29">
        <w:r>
          <w:rPr>
            <w:color w:val="1155CC"/>
            <w:highlight w:val="white"/>
            <w:u w:val="single"/>
          </w:rPr>
          <w:t>https://www.gov.uk/government/consultations/changes-to-regulations-relating-to-the-care-quality-commission/changes-to-regulations-relating-to-the-care-quality-commission-regulatory-impact-assessment</w:t>
        </w:r>
      </w:hyperlink>
      <w:r>
        <w:rPr>
          <w:color w:val="212121"/>
          <w:highlight w:val="white"/>
        </w:rPr>
        <w:t>. [Accessed on: 04.03.2026].</w:t>
      </w:r>
    </w:p>
    <w:p w14:paraId="5870F6B4" w14:textId="77777777" w:rsidR="00072E1B" w:rsidRDefault="00072E1B">
      <w:pPr>
        <w:rPr>
          <w:color w:val="222222"/>
          <w:highlight w:val="white"/>
        </w:rPr>
      </w:pPr>
      <w:r>
        <w:rPr>
          <w:color w:val="222222"/>
          <w:highlight w:val="white"/>
        </w:rPr>
        <w:lastRenderedPageBreak/>
        <w:t xml:space="preserve">Greer, S., 2023. NHS governance: the </w:t>
      </w:r>
      <w:proofErr w:type="spellStart"/>
      <w:r>
        <w:rPr>
          <w:color w:val="222222"/>
          <w:highlight w:val="white"/>
        </w:rPr>
        <w:t>centre</w:t>
      </w:r>
      <w:proofErr w:type="spellEnd"/>
      <w:r>
        <w:rPr>
          <w:color w:val="222222"/>
          <w:highlight w:val="white"/>
        </w:rPr>
        <w:t xml:space="preserve"> claims authority. In </w:t>
      </w:r>
      <w:r>
        <w:rPr>
          <w:i/>
          <w:iCs/>
          <w:color w:val="222222"/>
          <w:highlight w:val="white"/>
        </w:rPr>
        <w:t>The NHS at 75</w:t>
      </w:r>
      <w:r>
        <w:rPr>
          <w:color w:val="222222"/>
          <w:highlight w:val="white"/>
        </w:rPr>
        <w:t xml:space="preserve"> (pp. 21-39). Policy Press.</w:t>
      </w:r>
      <w:hyperlink r:id="rId30">
        <w:r>
          <w:rPr>
            <w:color w:val="1155CC"/>
            <w:highlight w:val="white"/>
            <w:u w:val="single"/>
          </w:rPr>
          <w:t>https://bristoluniversitypressdigital.com/edcollchap/book/9781447368625/ch002.xml'</w:t>
        </w:r>
      </w:hyperlink>
    </w:p>
    <w:p w14:paraId="00B54158" w14:textId="77777777" w:rsidR="00072E1B" w:rsidRDefault="00072E1B">
      <w:pPr>
        <w:rPr>
          <w:color w:val="222222"/>
          <w:highlight w:val="white"/>
        </w:rPr>
      </w:pPr>
      <w:proofErr w:type="spellStart"/>
      <w:r>
        <w:rPr>
          <w:color w:val="222222"/>
          <w:highlight w:val="white"/>
        </w:rPr>
        <w:t>Kerasidou</w:t>
      </w:r>
      <w:proofErr w:type="spellEnd"/>
      <w:r>
        <w:rPr>
          <w:color w:val="222222"/>
          <w:highlight w:val="white"/>
        </w:rPr>
        <w:t xml:space="preserve">, A. and </w:t>
      </w:r>
      <w:proofErr w:type="spellStart"/>
      <w:r>
        <w:rPr>
          <w:color w:val="222222"/>
          <w:highlight w:val="white"/>
        </w:rPr>
        <w:t>Kerasidou</w:t>
      </w:r>
      <w:proofErr w:type="spellEnd"/>
      <w:r>
        <w:rPr>
          <w:color w:val="222222"/>
          <w:highlight w:val="white"/>
        </w:rPr>
        <w:t xml:space="preserve">, C., 2023. Data-driven research and healthcare: public trust, data governance and the NHS. </w:t>
      </w:r>
      <w:r>
        <w:rPr>
          <w:i/>
          <w:iCs/>
          <w:color w:val="222222"/>
          <w:highlight w:val="white"/>
        </w:rPr>
        <w:t>BMC medical ethics</w:t>
      </w:r>
      <w:r>
        <w:rPr>
          <w:color w:val="222222"/>
          <w:highlight w:val="white"/>
        </w:rPr>
        <w:t xml:space="preserve">, </w:t>
      </w:r>
      <w:r>
        <w:rPr>
          <w:i/>
          <w:iCs/>
          <w:color w:val="222222"/>
          <w:highlight w:val="white"/>
        </w:rPr>
        <w:t>24</w:t>
      </w:r>
      <w:r>
        <w:rPr>
          <w:color w:val="222222"/>
          <w:highlight w:val="white"/>
        </w:rPr>
        <w:t>(1), p.51.</w:t>
      </w:r>
      <w:hyperlink r:id="rId31">
        <w:r>
          <w:rPr>
            <w:color w:val="1155CC"/>
            <w:highlight w:val="white"/>
            <w:u w:val="single"/>
          </w:rPr>
          <w:t>https://link.springer.com/article/10.1186/s12910-023-00922-z</w:t>
        </w:r>
      </w:hyperlink>
    </w:p>
    <w:p w14:paraId="44987A4D" w14:textId="77777777" w:rsidR="00072E1B" w:rsidRDefault="00072E1B">
      <w:pPr>
        <w:rPr>
          <w:color w:val="222222"/>
          <w:highlight w:val="white"/>
        </w:rPr>
      </w:pPr>
      <w:r>
        <w:rPr>
          <w:color w:val="222222"/>
          <w:highlight w:val="white"/>
        </w:rPr>
        <w:t xml:space="preserve">McFadden, P., Davies, H., Manthorpe, J., </w:t>
      </w:r>
      <w:proofErr w:type="spellStart"/>
      <w:r>
        <w:rPr>
          <w:color w:val="222222"/>
          <w:highlight w:val="white"/>
        </w:rPr>
        <w:t>MacLochlainn</w:t>
      </w:r>
      <w:proofErr w:type="spellEnd"/>
      <w:r>
        <w:rPr>
          <w:color w:val="222222"/>
          <w:highlight w:val="white"/>
        </w:rPr>
        <w:t xml:space="preserve">, J., McGrory, S., Naylor, R., Mallett, J., Kirby, K., Currie, D., Schroder, H. and Nicholl, P., 2024. Safe staffing and workload management in social work: A scoping review of legislation, policy and practice. </w:t>
      </w:r>
      <w:r>
        <w:rPr>
          <w:i/>
          <w:iCs/>
          <w:color w:val="222222"/>
          <w:highlight w:val="white"/>
        </w:rPr>
        <w:t>The British Journal of Social Work</w:t>
      </w:r>
      <w:r>
        <w:rPr>
          <w:color w:val="222222"/>
          <w:highlight w:val="white"/>
        </w:rPr>
        <w:t xml:space="preserve">, </w:t>
      </w:r>
      <w:r>
        <w:rPr>
          <w:i/>
          <w:iCs/>
          <w:color w:val="222222"/>
          <w:highlight w:val="white"/>
        </w:rPr>
        <w:t>54</w:t>
      </w:r>
      <w:r>
        <w:rPr>
          <w:color w:val="222222"/>
          <w:highlight w:val="white"/>
        </w:rPr>
        <w:t>(5), pp.2006-2026.</w:t>
      </w:r>
      <w:hyperlink r:id="rId32">
        <w:r>
          <w:rPr>
            <w:color w:val="1155CC"/>
            <w:highlight w:val="white"/>
            <w:u w:val="single"/>
          </w:rPr>
          <w:t>https://academic.oup.com/bjsw/article-abstract/54/5/2006/7613002</w:t>
        </w:r>
      </w:hyperlink>
    </w:p>
    <w:p w14:paraId="2898B1B2" w14:textId="77777777" w:rsidR="00072E1B" w:rsidRDefault="00072E1B">
      <w:pPr>
        <w:rPr>
          <w:color w:val="222222"/>
          <w:highlight w:val="white"/>
        </w:rPr>
      </w:pPr>
      <w:r>
        <w:rPr>
          <w:color w:val="222222"/>
          <w:highlight w:val="white"/>
        </w:rPr>
        <w:t xml:space="preserve">McLachlan, S., </w:t>
      </w:r>
      <w:proofErr w:type="spellStart"/>
      <w:r>
        <w:rPr>
          <w:color w:val="222222"/>
          <w:highlight w:val="white"/>
        </w:rPr>
        <w:t>Lagnado</w:t>
      </w:r>
      <w:proofErr w:type="spellEnd"/>
      <w:r>
        <w:rPr>
          <w:color w:val="222222"/>
          <w:highlight w:val="white"/>
        </w:rPr>
        <w:t>, D., Neil, M. and Fenton, N., Understanding the Evidence and Verdict in the Letby Trial.</w:t>
      </w:r>
      <w:hyperlink r:id="rId33">
        <w:r>
          <w:rPr>
            <w:color w:val="1155CC"/>
            <w:highlight w:val="white"/>
            <w:u w:val="single"/>
          </w:rPr>
          <w:t>https://www.researchgate.net/profile/Scott-Mclachlan-3/publication/391699226_Understanding_the_Evidence_and_Verdict_in_the_Letby_Trial_Can_the_Innocent_Really_be_Found_Guilty_of_Serial_Murder/links/68232e01be1b507dce8aed28/Understanding-the-Evidence-and-Verdict-in-the-Letby-Trial-Can-the-Innocent-Really-be-Found-Guilty-of-Serial-Murder.pdf</w:t>
        </w:r>
      </w:hyperlink>
    </w:p>
    <w:p w14:paraId="04E5B0D1" w14:textId="77777777" w:rsidR="00072E1B" w:rsidRDefault="00072E1B">
      <w:pPr>
        <w:rPr>
          <w:color w:val="222222"/>
          <w:highlight w:val="white"/>
        </w:rPr>
      </w:pPr>
      <w:r>
        <w:rPr>
          <w:color w:val="222222"/>
          <w:highlight w:val="white"/>
        </w:rPr>
        <w:t xml:space="preserve">Mistri, I.U., Badge, A. and Shahu, S., 2023. Enhancing patient safety culture in hospitals. </w:t>
      </w:r>
      <w:r>
        <w:rPr>
          <w:i/>
          <w:iCs/>
          <w:color w:val="222222"/>
          <w:highlight w:val="white"/>
        </w:rPr>
        <w:t>Cureus</w:t>
      </w:r>
      <w:r>
        <w:rPr>
          <w:color w:val="222222"/>
          <w:highlight w:val="white"/>
        </w:rPr>
        <w:t xml:space="preserve">, </w:t>
      </w:r>
      <w:r>
        <w:rPr>
          <w:i/>
          <w:iCs/>
          <w:color w:val="222222"/>
          <w:highlight w:val="white"/>
        </w:rPr>
        <w:t>15</w:t>
      </w:r>
      <w:r>
        <w:rPr>
          <w:color w:val="222222"/>
          <w:highlight w:val="white"/>
        </w:rPr>
        <w:t>(12), p.e51159.</w:t>
      </w:r>
      <w:hyperlink r:id="rId34">
        <w:r>
          <w:rPr>
            <w:color w:val="1155CC"/>
            <w:highlight w:val="white"/>
            <w:u w:val="single"/>
          </w:rPr>
          <w:t>https://www.cureus.com/articles/199967</w:t>
        </w:r>
      </w:hyperlink>
    </w:p>
    <w:p w14:paraId="7ABCE969" w14:textId="77777777" w:rsidR="00072E1B" w:rsidRDefault="00072E1B">
      <w:pPr>
        <w:rPr>
          <w:color w:val="222222"/>
          <w:highlight w:val="white"/>
        </w:rPr>
      </w:pPr>
      <w:r>
        <w:rPr>
          <w:color w:val="222222"/>
          <w:highlight w:val="white"/>
        </w:rPr>
        <w:t xml:space="preserve">Morgan, B., 2022. NHS staffing shortages. </w:t>
      </w:r>
      <w:r>
        <w:rPr>
          <w:i/>
          <w:iCs/>
          <w:color w:val="222222"/>
          <w:highlight w:val="white"/>
        </w:rPr>
        <w:t>Why do politicians struggle to give the NHS the staff it needs?</w:t>
      </w:r>
      <w:hyperlink r:id="rId35">
        <w:r>
          <w:rPr>
            <w:i/>
            <w:iCs/>
            <w:color w:val="1155CC"/>
            <w:highlight w:val="white"/>
            <w:u w:val="single"/>
          </w:rPr>
          <w:t>https://assets.kingsfund.org.uk/f/256914/x/151509726c/nhs_staffing_shortages_engage_britain_2022.pdf</w:t>
        </w:r>
      </w:hyperlink>
    </w:p>
    <w:p w14:paraId="3C5356C8" w14:textId="77777777" w:rsidR="00072E1B" w:rsidRDefault="00072E1B">
      <w:pPr>
        <w:rPr>
          <w:i/>
          <w:iCs/>
          <w:color w:val="202A30"/>
          <w:highlight w:val="white"/>
        </w:rPr>
      </w:pPr>
      <w:r>
        <w:rPr>
          <w:color w:val="212121"/>
          <w:highlight w:val="white"/>
        </w:rPr>
        <w:t xml:space="preserve">NHS England (2026). </w:t>
      </w:r>
      <w:r>
        <w:rPr>
          <w:i/>
          <w:iCs/>
          <w:color w:val="202A30"/>
          <w:highlight w:val="white"/>
        </w:rPr>
        <w:t xml:space="preserve">NHS patient safety strategy – progress update – April 2025. </w:t>
      </w:r>
      <w:r>
        <w:rPr>
          <w:color w:val="212121"/>
          <w:highlight w:val="white"/>
        </w:rPr>
        <w:t xml:space="preserve">Available at: </w:t>
      </w:r>
      <w:hyperlink r:id="rId36">
        <w:r>
          <w:rPr>
            <w:color w:val="1155CC"/>
            <w:highlight w:val="white"/>
            <w:u w:val="single"/>
          </w:rPr>
          <w:t>https://www.england.nhs.uk/patient-safety/the-nhs-patient-safety-strategy/nhs-patient-safety-strategy-progress-so-far/</w:t>
        </w:r>
      </w:hyperlink>
      <w:r>
        <w:rPr>
          <w:color w:val="212121"/>
          <w:highlight w:val="white"/>
        </w:rPr>
        <w:t>. [Accessed on: 04.03.2026].</w:t>
      </w:r>
    </w:p>
    <w:p w14:paraId="64351763" w14:textId="77777777" w:rsidR="00072E1B" w:rsidRDefault="00072E1B">
      <w:pPr>
        <w:rPr>
          <w:i/>
          <w:iCs/>
          <w:color w:val="202A30"/>
          <w:highlight w:val="white"/>
        </w:rPr>
      </w:pPr>
      <w:r>
        <w:rPr>
          <w:color w:val="212121"/>
          <w:highlight w:val="white"/>
        </w:rPr>
        <w:t xml:space="preserve">NHS England (2026). </w:t>
      </w:r>
      <w:r>
        <w:rPr>
          <w:i/>
          <w:iCs/>
          <w:color w:val="202A30"/>
          <w:highlight w:val="white"/>
        </w:rPr>
        <w:t xml:space="preserve">Safer staffing: nursing and midwifery. </w:t>
      </w:r>
      <w:r>
        <w:rPr>
          <w:color w:val="212121"/>
          <w:highlight w:val="white"/>
        </w:rPr>
        <w:t xml:space="preserve">Available at: </w:t>
      </w:r>
      <w:hyperlink r:id="rId37">
        <w:r>
          <w:rPr>
            <w:color w:val="1155CC"/>
            <w:highlight w:val="white"/>
            <w:u w:val="single"/>
          </w:rPr>
          <w:t>https://www.england.nhs.uk/nursingmidwifery/safer-staffing-nursing-and-midwifery/</w:t>
        </w:r>
      </w:hyperlink>
      <w:r>
        <w:rPr>
          <w:color w:val="212121"/>
          <w:highlight w:val="white"/>
        </w:rPr>
        <w:t>. [Accessed on: 04.03.2026].</w:t>
      </w:r>
    </w:p>
    <w:p w14:paraId="63CF1DE9" w14:textId="77777777" w:rsidR="00072E1B" w:rsidRDefault="00072E1B">
      <w:pPr>
        <w:rPr>
          <w:color w:val="222222"/>
          <w:highlight w:val="white"/>
        </w:rPr>
      </w:pPr>
      <w:proofErr w:type="spellStart"/>
      <w:r>
        <w:rPr>
          <w:color w:val="222222"/>
          <w:highlight w:val="white"/>
        </w:rPr>
        <w:lastRenderedPageBreak/>
        <w:t>Pokvić</w:t>
      </w:r>
      <w:proofErr w:type="spellEnd"/>
      <w:r>
        <w:rPr>
          <w:color w:val="222222"/>
          <w:highlight w:val="white"/>
        </w:rPr>
        <w:t xml:space="preserve">, L.G., </w:t>
      </w:r>
      <w:proofErr w:type="spellStart"/>
      <w:r>
        <w:rPr>
          <w:color w:val="222222"/>
          <w:highlight w:val="white"/>
        </w:rPr>
        <w:t>Spahić</w:t>
      </w:r>
      <w:proofErr w:type="spellEnd"/>
      <w:r>
        <w:rPr>
          <w:color w:val="222222"/>
          <w:highlight w:val="white"/>
        </w:rPr>
        <w:t xml:space="preserve">, L. and </w:t>
      </w:r>
      <w:proofErr w:type="spellStart"/>
      <w:r>
        <w:rPr>
          <w:color w:val="222222"/>
          <w:highlight w:val="white"/>
        </w:rPr>
        <w:t>Badnjević-Čengić</w:t>
      </w:r>
      <w:proofErr w:type="spellEnd"/>
      <w:r>
        <w:rPr>
          <w:color w:val="222222"/>
          <w:highlight w:val="white"/>
        </w:rPr>
        <w:t xml:space="preserve">, A., 2023. Inspection and testing of pediatric and neonatal incubators. In </w:t>
      </w:r>
      <w:r>
        <w:rPr>
          <w:i/>
          <w:iCs/>
          <w:color w:val="222222"/>
          <w:highlight w:val="white"/>
        </w:rPr>
        <w:t>Inspection of Medical Devices: For Regulatory Purposes</w:t>
      </w:r>
      <w:r>
        <w:rPr>
          <w:color w:val="222222"/>
          <w:highlight w:val="white"/>
        </w:rPr>
        <w:t xml:space="preserve"> (pp. 357-375). Cham: Springer Nature Switzerland.</w:t>
      </w:r>
      <w:hyperlink r:id="rId38">
        <w:r>
          <w:rPr>
            <w:color w:val="1155CC"/>
            <w:highlight w:val="white"/>
            <w:u w:val="single"/>
          </w:rPr>
          <w:t>https://link.springer.com/chapter/10.1007/978-3-031-43444-0_14</w:t>
        </w:r>
      </w:hyperlink>
    </w:p>
    <w:p w14:paraId="1BBB5188" w14:textId="77777777" w:rsidR="00072E1B" w:rsidRDefault="00072E1B">
      <w:pPr>
        <w:rPr>
          <w:color w:val="222222"/>
          <w:highlight w:val="white"/>
        </w:rPr>
      </w:pPr>
      <w:r>
        <w:rPr>
          <w:color w:val="222222"/>
          <w:highlight w:val="white"/>
        </w:rPr>
        <w:t xml:space="preserve">Sinnott, C., </w:t>
      </w:r>
      <w:proofErr w:type="spellStart"/>
      <w:r>
        <w:rPr>
          <w:color w:val="222222"/>
          <w:highlight w:val="white"/>
        </w:rPr>
        <w:t>Alboksmaty</w:t>
      </w:r>
      <w:proofErr w:type="spellEnd"/>
      <w:r>
        <w:rPr>
          <w:color w:val="222222"/>
          <w:highlight w:val="white"/>
        </w:rPr>
        <w:t xml:space="preserve">, A., Moxey, J.M., Morley, K., Parkinson, S., Burt, J. and Dixon-Woods, M., 2023. Operational failures in general practice: a consensus-building study on the priorities for improvement. </w:t>
      </w:r>
      <w:r>
        <w:rPr>
          <w:i/>
          <w:iCs/>
          <w:color w:val="222222"/>
          <w:highlight w:val="white"/>
        </w:rPr>
        <w:t>British Journal of General Practice</w:t>
      </w:r>
      <w:r>
        <w:rPr>
          <w:color w:val="222222"/>
          <w:highlight w:val="white"/>
        </w:rPr>
        <w:t>.</w:t>
      </w:r>
      <w:hyperlink r:id="rId39">
        <w:r>
          <w:rPr>
            <w:color w:val="1155CC"/>
            <w:highlight w:val="white"/>
            <w:u w:val="single"/>
          </w:rPr>
          <w:t>https://bjgp.org/content/bjgp/early/2023/11/07/BJGP.2023.0321.full.pdf</w:t>
        </w:r>
      </w:hyperlink>
    </w:p>
    <w:p w14:paraId="7C3398BB" w14:textId="77777777" w:rsidR="00072E1B" w:rsidRDefault="00072E1B">
      <w:pPr>
        <w:rPr>
          <w:color w:val="212121"/>
          <w:highlight w:val="white"/>
        </w:rPr>
      </w:pPr>
      <w:r>
        <w:rPr>
          <w:highlight w:val="white"/>
        </w:rPr>
        <w:t>The Kings fund (2025). The NHS budget and how it has changed</w:t>
      </w:r>
      <w:r>
        <w:rPr>
          <w:i/>
          <w:iCs/>
          <w:highlight w:val="white"/>
        </w:rPr>
        <w:t xml:space="preserve">. </w:t>
      </w:r>
      <w:r>
        <w:rPr>
          <w:color w:val="212121"/>
          <w:highlight w:val="white"/>
        </w:rPr>
        <w:t xml:space="preserve">Available at: </w:t>
      </w:r>
      <w:hyperlink r:id="rId40">
        <w:r>
          <w:rPr>
            <w:color w:val="1155CC"/>
            <w:highlight w:val="white"/>
            <w:u w:val="single"/>
          </w:rPr>
          <w:t>https://www.kingsfund.org.uk/insight-and-analysis/data-and-charts/nhs-budget-nutshell</w:t>
        </w:r>
      </w:hyperlink>
      <w:r>
        <w:rPr>
          <w:color w:val="212121"/>
          <w:highlight w:val="white"/>
        </w:rPr>
        <w:t>. [Accessed on: 04.03.2026].</w:t>
      </w:r>
    </w:p>
    <w:p w14:paraId="62774554" w14:textId="77777777" w:rsidR="00072E1B" w:rsidRDefault="00072E1B">
      <w:pPr>
        <w:rPr>
          <w:color w:val="212121"/>
          <w:highlight w:val="white"/>
        </w:rPr>
      </w:pPr>
      <w:r>
        <w:rPr>
          <w:highlight w:val="white"/>
        </w:rPr>
        <w:t xml:space="preserve">The Kings fund (2026). </w:t>
      </w:r>
      <w:r>
        <w:rPr>
          <w:i/>
          <w:iCs/>
          <w:highlight w:val="white"/>
        </w:rPr>
        <w:t xml:space="preserve">Governance and our Royal Charter. </w:t>
      </w:r>
      <w:r>
        <w:rPr>
          <w:color w:val="212121"/>
          <w:highlight w:val="white"/>
        </w:rPr>
        <w:t xml:space="preserve">Available at: </w:t>
      </w:r>
      <w:hyperlink r:id="rId41">
        <w:r>
          <w:rPr>
            <w:color w:val="1155CC"/>
            <w:highlight w:val="white"/>
            <w:u w:val="single"/>
          </w:rPr>
          <w:t>https://www.kingsfund.org.uk/about-us/governance-royal-charter</w:t>
        </w:r>
      </w:hyperlink>
      <w:r>
        <w:rPr>
          <w:color w:val="212121"/>
          <w:highlight w:val="white"/>
        </w:rPr>
        <w:t>. [Accessed on: 04.03.2026].</w:t>
      </w:r>
    </w:p>
    <w:p w14:paraId="14AB8A0D" w14:textId="77777777" w:rsidR="00072E1B" w:rsidRDefault="00072E1B">
      <w:pPr>
        <w:rPr>
          <w:highlight w:val="white"/>
        </w:rPr>
      </w:pPr>
      <w:r>
        <w:rPr>
          <w:color w:val="222222"/>
          <w:highlight w:val="white"/>
        </w:rPr>
        <w:t xml:space="preserve">Tubbs-Cooley, H.L., Carle, A.C., Mark, B.A., </w:t>
      </w:r>
      <w:proofErr w:type="spellStart"/>
      <w:r>
        <w:rPr>
          <w:color w:val="222222"/>
          <w:highlight w:val="white"/>
        </w:rPr>
        <w:t>Gurses</w:t>
      </w:r>
      <w:proofErr w:type="spellEnd"/>
      <w:r>
        <w:rPr>
          <w:color w:val="222222"/>
          <w:highlight w:val="white"/>
        </w:rPr>
        <w:t xml:space="preserve">, A.P., </w:t>
      </w:r>
      <w:proofErr w:type="spellStart"/>
      <w:r>
        <w:rPr>
          <w:color w:val="222222"/>
          <w:highlight w:val="white"/>
        </w:rPr>
        <w:t>Pickler</w:t>
      </w:r>
      <w:proofErr w:type="spellEnd"/>
      <w:r>
        <w:rPr>
          <w:color w:val="222222"/>
          <w:highlight w:val="white"/>
        </w:rPr>
        <w:t xml:space="preserve">, R.H., Hall, P.D. and Bartman, T., 2025. Nurse workload and missed nursing care in neonatal intensive care units. </w:t>
      </w:r>
      <w:r>
        <w:rPr>
          <w:i/>
          <w:iCs/>
          <w:color w:val="222222"/>
          <w:highlight w:val="white"/>
        </w:rPr>
        <w:t>JAMA pediatrics</w:t>
      </w:r>
      <w:r>
        <w:rPr>
          <w:color w:val="222222"/>
          <w:highlight w:val="white"/>
        </w:rPr>
        <w:t xml:space="preserve">, </w:t>
      </w:r>
      <w:r>
        <w:rPr>
          <w:i/>
          <w:iCs/>
          <w:color w:val="222222"/>
          <w:highlight w:val="white"/>
        </w:rPr>
        <w:t>179</w:t>
      </w:r>
      <w:r>
        <w:rPr>
          <w:color w:val="222222"/>
          <w:highlight w:val="white"/>
        </w:rPr>
        <w:t>(12), pp.1335-1342.</w:t>
      </w:r>
      <w:hyperlink r:id="rId42">
        <w:r>
          <w:rPr>
            <w:color w:val="1155CC"/>
            <w:highlight w:val="white"/>
            <w:u w:val="single"/>
          </w:rPr>
          <w:t>https://jamanetwork.com/journals/jamapediatrics/article-abstract/2839702</w:t>
        </w:r>
      </w:hyperlink>
    </w:p>
    <w:p w14:paraId="13DBC2BB" w14:textId="77777777" w:rsidR="00072E1B" w:rsidRDefault="00072E1B">
      <w:pPr>
        <w:rPr>
          <w:color w:val="222222"/>
          <w:highlight w:val="white"/>
        </w:rPr>
      </w:pPr>
      <w:r>
        <w:rPr>
          <w:color w:val="222222"/>
          <w:highlight w:val="white"/>
        </w:rPr>
        <w:t xml:space="preserve">World Health Organization, 2023. </w:t>
      </w:r>
      <w:r>
        <w:rPr>
          <w:i/>
          <w:iCs/>
          <w:color w:val="222222"/>
          <w:highlight w:val="white"/>
        </w:rPr>
        <w:t>Global celebrations of world patient safety day, 17 September 2022</w:t>
      </w:r>
      <w:r>
        <w:rPr>
          <w:color w:val="222222"/>
          <w:highlight w:val="white"/>
        </w:rPr>
        <w:t xml:space="preserve"> (No. WHO/UHL/IHS/2023.1). World Health Organization.</w:t>
      </w:r>
      <w:hyperlink r:id="rId43">
        <w:r>
          <w:rPr>
            <w:color w:val="1155CC"/>
            <w:highlight w:val="white"/>
            <w:u w:val="single"/>
          </w:rPr>
          <w:t>https://iris.who.int/bitstream/handle/10665/367048/WHO-UHL-IHS-2023.1-eng.pdf</w:t>
        </w:r>
      </w:hyperlink>
    </w:p>
    <w:p w14:paraId="70CA47A3" w14:textId="77777777" w:rsidR="00072E1B" w:rsidRDefault="00072E1B">
      <w:r>
        <w:rPr>
          <w:color w:val="222222"/>
          <w:highlight w:val="white"/>
        </w:rPr>
        <w:t xml:space="preserve">World Health Organization, 2024. </w:t>
      </w:r>
      <w:r>
        <w:rPr>
          <w:i/>
          <w:iCs/>
          <w:color w:val="222222"/>
          <w:highlight w:val="white"/>
        </w:rPr>
        <w:t>Global patient safety report 2024</w:t>
      </w:r>
      <w:r>
        <w:rPr>
          <w:color w:val="222222"/>
          <w:highlight w:val="white"/>
        </w:rPr>
        <w:t>. World Health Organization.</w:t>
      </w:r>
      <w:hyperlink r:id="rId44">
        <w:r>
          <w:rPr>
            <w:color w:val="1155CC"/>
            <w:highlight w:val="white"/>
            <w:u w:val="single"/>
          </w:rPr>
          <w:t>https://books.google.com/books?hl=en&amp;lr=&amp;id=waMOEQAAQBAJ&amp;oi=fnd&amp;pg=PR7&amp;dq=UK+Regulation+and+quality+improvement.+heathcare+patient+safety+lapses+neonatal+care+services+&amp;ots=4b0wfwTKMc&amp;sig=W0ggtEXpPHNSwU8THnbLXF9xQ0k</w:t>
        </w:r>
      </w:hyperlink>
    </w:p>
    <w:p w14:paraId="1B2B31E7" w14:textId="77777777" w:rsidR="00072E1B" w:rsidRDefault="00072E1B">
      <w:pPr>
        <w:rPr>
          <w:color w:val="222222"/>
          <w:highlight w:val="white"/>
        </w:rPr>
      </w:pPr>
      <w:r>
        <w:rPr>
          <w:color w:val="222222"/>
          <w:highlight w:val="white"/>
        </w:rPr>
        <w:t xml:space="preserve">Wyatt, N. and Bamber, J.R., 2025. Empowering children, young people and their families to improve </w:t>
      </w:r>
      <w:proofErr w:type="spellStart"/>
      <w:r>
        <w:rPr>
          <w:color w:val="222222"/>
          <w:highlight w:val="white"/>
        </w:rPr>
        <w:t>paediatric</w:t>
      </w:r>
      <w:proofErr w:type="spellEnd"/>
      <w:r>
        <w:rPr>
          <w:color w:val="222222"/>
          <w:highlight w:val="white"/>
        </w:rPr>
        <w:t xml:space="preserve"> patient safety. </w:t>
      </w:r>
      <w:r>
        <w:rPr>
          <w:i/>
          <w:iCs/>
          <w:color w:val="222222"/>
          <w:highlight w:val="white"/>
        </w:rPr>
        <w:t>Archives of Disease in Childhood-Education and Practice</w:t>
      </w:r>
      <w:r>
        <w:rPr>
          <w:color w:val="222222"/>
          <w:highlight w:val="white"/>
        </w:rPr>
        <w:t xml:space="preserve">, </w:t>
      </w:r>
      <w:r>
        <w:rPr>
          <w:i/>
          <w:iCs/>
          <w:color w:val="222222"/>
          <w:highlight w:val="white"/>
        </w:rPr>
        <w:t>110</w:t>
      </w:r>
      <w:r>
        <w:rPr>
          <w:color w:val="222222"/>
          <w:highlight w:val="white"/>
        </w:rPr>
        <w:t>(6), pp.263-268.</w:t>
      </w:r>
      <w:hyperlink r:id="rId45">
        <w:r>
          <w:rPr>
            <w:color w:val="1155CC"/>
            <w:highlight w:val="white"/>
            <w:u w:val="single"/>
          </w:rPr>
          <w:t>https://ep.bmj.com/content/110/6/263.abstract</w:t>
        </w:r>
      </w:hyperlink>
    </w:p>
    <w:p w14:paraId="63261DCB" w14:textId="77777777" w:rsidR="00F61F9D" w:rsidRPr="00072E1B" w:rsidRDefault="00072E1B" w:rsidP="00072E1B">
      <w:pPr>
        <w:rPr>
          <w:color w:val="212121"/>
          <w:highlight w:val="white"/>
        </w:rPr>
      </w:pPr>
      <w:proofErr w:type="spellStart"/>
      <w:r>
        <w:rPr>
          <w:color w:val="212121"/>
          <w:highlight w:val="white"/>
        </w:rPr>
        <w:lastRenderedPageBreak/>
        <w:t>Zenbit</w:t>
      </w:r>
      <w:proofErr w:type="spellEnd"/>
      <w:r>
        <w:rPr>
          <w:color w:val="212121"/>
          <w:highlight w:val="white"/>
        </w:rPr>
        <w:t xml:space="preserve"> (2026). </w:t>
      </w:r>
      <w:r>
        <w:rPr>
          <w:i/>
          <w:iCs/>
          <w:color w:val="212121"/>
          <w:highlight w:val="white"/>
        </w:rPr>
        <w:t xml:space="preserve">The essence. </w:t>
      </w:r>
      <w:r>
        <w:rPr>
          <w:color w:val="212121"/>
          <w:highlight w:val="white"/>
        </w:rPr>
        <w:t xml:space="preserve">Available at: </w:t>
      </w:r>
      <w:hyperlink r:id="rId46">
        <w:r>
          <w:rPr>
            <w:color w:val="1155CC"/>
            <w:highlight w:val="white"/>
            <w:u w:val="single"/>
          </w:rPr>
          <w:t>https://zenbit.tech/blog/what-is-quality-assurance-in-healthcare/</w:t>
        </w:r>
      </w:hyperlink>
      <w:r>
        <w:rPr>
          <w:color w:val="212121"/>
          <w:highlight w:val="white"/>
        </w:rPr>
        <w:t>. [Accessed on: 04.03.2026].</w:t>
      </w:r>
    </w:p>
    <w:sectPr w:rsidR="00F61F9D" w:rsidRPr="00072E1B" w:rsidSect="00072E1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3FA6F" w14:textId="77777777" w:rsidR="00CA397C" w:rsidRDefault="00CA397C" w:rsidP="00072E1B">
      <w:pPr>
        <w:spacing w:line="240" w:lineRule="auto"/>
      </w:pPr>
      <w:r>
        <w:separator/>
      </w:r>
    </w:p>
  </w:endnote>
  <w:endnote w:type="continuationSeparator" w:id="0">
    <w:p w14:paraId="4483B84E" w14:textId="77777777" w:rsidR="00CA397C" w:rsidRDefault="00CA397C" w:rsidP="00072E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A73DB5E-AD2A-4256-88D4-BD03E0C9513A}"/>
  </w:font>
  <w:font w:name="Mangal">
    <w:panose1 w:val="02040503050203030202"/>
    <w:charset w:val="00"/>
    <w:family w:val="roman"/>
    <w:pitch w:val="variable"/>
    <w:sig w:usb0="00008003" w:usb1="00000000" w:usb2="00000000" w:usb3="00000000" w:csb0="00000001" w:csb1="00000000"/>
    <w:embedRegular r:id="rId2" w:fontKey="{2C8546D9-FD53-0342-9D0D-5CC5CDF3F7D1}"/>
  </w:font>
  <w:font w:name="Segoe UI Emoji">
    <w:panose1 w:val="020B0502040204020203"/>
    <w:charset w:val="00"/>
    <w:family w:val="swiss"/>
    <w:pitch w:val="variable"/>
    <w:sig w:usb0="00000003" w:usb1="02000000" w:usb2="08000000" w:usb3="00000000" w:csb0="00000001" w:csb1="00000000"/>
    <w:embedRegular r:id="rId3" w:fontKey="{EE434FC4-9779-3A40-B586-1CDD32FD3C49}"/>
    <w:embedBold r:id="rId4" w:fontKey="{37667E93-84B9-0F47-8D4A-CF7617E1E970}"/>
  </w:font>
  <w:font w:name="Cambria">
    <w:panose1 w:val="02040503050406030204"/>
    <w:charset w:val="00"/>
    <w:family w:val="roman"/>
    <w:pitch w:val="variable"/>
    <w:sig w:usb0="E00006FF" w:usb1="420024FF" w:usb2="02000000" w:usb3="00000000" w:csb0="0000019F" w:csb1="00000000"/>
    <w:embedRegular r:id="rId5" w:fontKey="{234BA66C-2487-4B16-942F-568AFFB198F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7823590"/>
      <w:docPartObj>
        <w:docPartGallery w:val="Page Numbers (Bottom of Page)"/>
        <w:docPartUnique/>
      </w:docPartObj>
    </w:sdtPr>
    <w:sdtEndPr>
      <w:rPr>
        <w:noProof/>
      </w:rPr>
    </w:sdtEndPr>
    <w:sdtContent>
      <w:p w14:paraId="0DB901A6" w14:textId="77777777" w:rsidR="00072E1B" w:rsidRDefault="00072E1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D80FAD3" w14:textId="77777777" w:rsidR="00072E1B" w:rsidRDefault="00072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5AE7F" w14:textId="77777777" w:rsidR="00CA397C" w:rsidRDefault="00CA397C" w:rsidP="00072E1B">
      <w:pPr>
        <w:spacing w:line="240" w:lineRule="auto"/>
      </w:pPr>
      <w:r>
        <w:separator/>
      </w:r>
    </w:p>
  </w:footnote>
  <w:footnote w:type="continuationSeparator" w:id="0">
    <w:p w14:paraId="62B490B3" w14:textId="77777777" w:rsidR="00CA397C" w:rsidRDefault="00CA397C" w:rsidP="00072E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F9D"/>
    <w:rsid w:val="00072E1B"/>
    <w:rsid w:val="0014432E"/>
    <w:rsid w:val="001F3EE0"/>
    <w:rsid w:val="002C4E78"/>
    <w:rsid w:val="00405C49"/>
    <w:rsid w:val="004305AB"/>
    <w:rsid w:val="004C6196"/>
    <w:rsid w:val="0084791E"/>
    <w:rsid w:val="009B1E11"/>
    <w:rsid w:val="009E5169"/>
    <w:rsid w:val="00CA397C"/>
    <w:rsid w:val="00F61F9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A156D"/>
  <w15:docId w15:val="{A2523C7C-A327-4E7C-95E5-30CADF121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072E1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72E1B"/>
    <w:pPr>
      <w:spacing w:after="100"/>
    </w:pPr>
  </w:style>
  <w:style w:type="paragraph" w:styleId="TOC2">
    <w:name w:val="toc 2"/>
    <w:basedOn w:val="Normal"/>
    <w:next w:val="Normal"/>
    <w:autoRedefine/>
    <w:uiPriority w:val="39"/>
    <w:unhideWhenUsed/>
    <w:rsid w:val="00072E1B"/>
    <w:pPr>
      <w:spacing w:after="100"/>
      <w:ind w:left="240"/>
    </w:pPr>
  </w:style>
  <w:style w:type="character" w:styleId="Hyperlink">
    <w:name w:val="Hyperlink"/>
    <w:basedOn w:val="DefaultParagraphFont"/>
    <w:uiPriority w:val="99"/>
    <w:unhideWhenUsed/>
    <w:rsid w:val="00072E1B"/>
    <w:rPr>
      <w:color w:val="0000FF" w:themeColor="hyperlink"/>
      <w:u w:val="single"/>
    </w:rPr>
  </w:style>
  <w:style w:type="paragraph" w:styleId="Header">
    <w:name w:val="header"/>
    <w:basedOn w:val="Normal"/>
    <w:link w:val="HeaderChar"/>
    <w:uiPriority w:val="99"/>
    <w:unhideWhenUsed/>
    <w:rsid w:val="00072E1B"/>
    <w:pPr>
      <w:tabs>
        <w:tab w:val="center" w:pos="4513"/>
        <w:tab w:val="right" w:pos="9026"/>
      </w:tabs>
      <w:spacing w:line="240" w:lineRule="auto"/>
    </w:pPr>
  </w:style>
  <w:style w:type="character" w:customStyle="1" w:styleId="HeaderChar">
    <w:name w:val="Header Char"/>
    <w:basedOn w:val="DefaultParagraphFont"/>
    <w:link w:val="Header"/>
    <w:uiPriority w:val="99"/>
    <w:rsid w:val="00072E1B"/>
  </w:style>
  <w:style w:type="paragraph" w:styleId="Footer">
    <w:name w:val="footer"/>
    <w:basedOn w:val="Normal"/>
    <w:link w:val="FooterChar"/>
    <w:uiPriority w:val="99"/>
    <w:unhideWhenUsed/>
    <w:rsid w:val="00072E1B"/>
    <w:pPr>
      <w:tabs>
        <w:tab w:val="center" w:pos="4513"/>
        <w:tab w:val="right" w:pos="9026"/>
      </w:tabs>
      <w:spacing w:line="240" w:lineRule="auto"/>
    </w:pPr>
  </w:style>
  <w:style w:type="character" w:customStyle="1" w:styleId="FooterChar">
    <w:name w:val="Footer Char"/>
    <w:basedOn w:val="DefaultParagraphFont"/>
    <w:link w:val="Footer"/>
    <w:uiPriority w:val="99"/>
    <w:rsid w:val="00072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png" /><Relationship Id="rId18" Type="http://schemas.openxmlformats.org/officeDocument/2006/relationships/hyperlink" Target="https://link.springer.com/article/10.1186/s12913-025-13686-6" TargetMode="External" /><Relationship Id="rId26" Type="http://schemas.openxmlformats.org/officeDocument/2006/relationships/hyperlink" Target="https://www.bmj.com/content/388/bmj.r538" TargetMode="External" /><Relationship Id="rId39" Type="http://schemas.openxmlformats.org/officeDocument/2006/relationships/hyperlink" Target="https://bjgp.org/content/bjgp/early/2023/11/07/BJGP.2023.0321.full.pdf" TargetMode="External" /><Relationship Id="rId3" Type="http://schemas.openxmlformats.org/officeDocument/2006/relationships/settings" Target="settings.xml" /><Relationship Id="rId21" Type="http://schemas.openxmlformats.org/officeDocument/2006/relationships/hyperlink" Target="https://books.google.com/books?hl=en&amp;lr=&amp;id=H7UWEQAAQBAJ&amp;oi=fnd&amp;pg=PT9&amp;dq=UK+Regulation+and+quality+improvement.+heathcare+patient+safety+lapses+neonatal+care+services+&amp;ots=QhTcp5pY76&amp;sig=DRW_FNqnIz17C3mTt86Pxb0nDIM" TargetMode="External" /><Relationship Id="rId34" Type="http://schemas.openxmlformats.org/officeDocument/2006/relationships/hyperlink" Target="https://www.cureus.com/articles/199967" TargetMode="External" /><Relationship Id="rId42" Type="http://schemas.openxmlformats.org/officeDocument/2006/relationships/hyperlink" Target="https://jamanetwork.com/journals/jamapediatrics/article-abstract/2839702" TargetMode="External" /><Relationship Id="rId47"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hyperlink" Target="https://www.taylorfrancis.com/books/mono/10.4324/9781032667850/examination-newborn-helen-baston-heather-durward" TargetMode="External" /><Relationship Id="rId25" Type="http://schemas.openxmlformats.org/officeDocument/2006/relationships/hyperlink" Target="https://www.sciencedirect.com/science/article/pii/S2666142X25001766" TargetMode="External" /><Relationship Id="rId33" Type="http://schemas.openxmlformats.org/officeDocument/2006/relationships/hyperlink" Target="https://www.researchgate.net/profile/Scott-Mclachlan-3/publication/391699226_Understanding_the_Evidence_and_Verdict_in_the_Letby_Trial_Can_the_Innocent_Really_be_Found_Guilty_of_Serial_Murder/links/68232e01be1b507dce8aed28/Understanding-the-Evidence-and-Verdict-in-the-Letby-Trial-Can-the-Innocent-Really-be-Found-Guilty-of-Serial-Murder.pdf" TargetMode="External" /><Relationship Id="rId38" Type="http://schemas.openxmlformats.org/officeDocument/2006/relationships/hyperlink" Target="https://link.springer.com/chapter/10.1007/978-3-031-43444-0_14" TargetMode="External" /><Relationship Id="rId46" Type="http://schemas.openxmlformats.org/officeDocument/2006/relationships/hyperlink" Target="https://zenbit.tech/blog/what-is-quality-assurance-in-healthcare/" TargetMode="External" /><Relationship Id="rId2" Type="http://schemas.openxmlformats.org/officeDocument/2006/relationships/styles" Target="styles.xml" /><Relationship Id="rId16" Type="http://schemas.openxmlformats.org/officeDocument/2006/relationships/hyperlink" Target="https://onlinelibrary.wiley.com/doi/abs/10.1002/nop2.989" TargetMode="External" /><Relationship Id="rId20" Type="http://schemas.openxmlformats.org/officeDocument/2006/relationships/hyperlink" Target="https://books.google.com/books?hl=en&amp;lr=&amp;id=Z9QZEQAAQBAJ&amp;oi=fnd&amp;pg=PA1983&amp;dq=UK+Psychological+safety..patient+safety+lapses+neonatal+care+services+&amp;ots=EwgdwRdtz3&amp;sig=AOmRexmYtg__DE1TkB920mggeqI" TargetMode="External" /><Relationship Id="rId29" Type="http://schemas.openxmlformats.org/officeDocument/2006/relationships/hyperlink" Target="https://www.gov.uk/government/consultations/changes-to-regulations-relating-to-the-care-quality-commission/changes-to-regulations-relating-to-the-care-quality-commission-regulatory-impact-assessment" TargetMode="External" /><Relationship Id="rId41" Type="http://schemas.openxmlformats.org/officeDocument/2006/relationships/hyperlink" Target="https://www.kingsfund.org.uk/about-us/governance-royal-charter"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hyperlink" Target="https://bmjopenquality.bmj.com/content/12/2/e002047" TargetMode="External" /><Relationship Id="rId32" Type="http://schemas.openxmlformats.org/officeDocument/2006/relationships/hyperlink" Target="https://academic.oup.com/bjsw/article-abstract/54/5/2006/7613002" TargetMode="External" /><Relationship Id="rId37" Type="http://schemas.openxmlformats.org/officeDocument/2006/relationships/hyperlink" Target="https://www.england.nhs.uk/nursingmidwifery/safer-staffing-nursing-and-midwifery/" TargetMode="External" /><Relationship Id="rId40" Type="http://schemas.openxmlformats.org/officeDocument/2006/relationships/hyperlink" Target="https://www.kingsfund.org.uk/insight-and-analysis/data-and-charts/nhs-budget-nutshell" TargetMode="External" /><Relationship Id="rId45" Type="http://schemas.openxmlformats.org/officeDocument/2006/relationships/hyperlink" Target="https://ep.bmj.com/content/110/6/263.abstract" TargetMode="External" /><Relationship Id="rId5" Type="http://schemas.openxmlformats.org/officeDocument/2006/relationships/footnotes" Target="footnotes.xml" /><Relationship Id="rId15" Type="http://schemas.openxmlformats.org/officeDocument/2006/relationships/hyperlink" Target="https://iris.who.int/bitstream/handle/10665/354075/Hit-24-1-2022-eng.pdf" TargetMode="External" /><Relationship Id="rId23" Type="http://schemas.openxmlformats.org/officeDocument/2006/relationships/hyperlink" Target="https://www.cqc.org.uk/sites/default/files/Inspection_framework_NHS_acute_hospitals_additional_service_Neonatal_services.pdf" TargetMode="External" /><Relationship Id="rId28" Type="http://schemas.openxmlformats.org/officeDocument/2006/relationships/hyperlink" Target="https://bmjopenquality.bmj.com/content/13/1/e002246" TargetMode="External" /><Relationship Id="rId36" Type="http://schemas.openxmlformats.org/officeDocument/2006/relationships/hyperlink" Target="https://www.england.nhs.uk/patient-safety/the-nhs-patient-safety-strategy/nhs-patient-safety-strategy-progress-so-far/" TargetMode="External" /><Relationship Id="rId10" Type="http://schemas.openxmlformats.org/officeDocument/2006/relationships/image" Target="media/image3.png" /><Relationship Id="rId19" Type="http://schemas.openxmlformats.org/officeDocument/2006/relationships/hyperlink" Target="https://search.proquest.com/openview/57e058ddcacf1db055f754899551b0a0/1?pq-origsite=gscholar&amp;cbl=18750&amp;diss=y" TargetMode="External" /><Relationship Id="rId31" Type="http://schemas.openxmlformats.org/officeDocument/2006/relationships/hyperlink" Target="https://link.springer.com/article/10.1186/s12910-023-00922-z" TargetMode="External" /><Relationship Id="rId44" Type="http://schemas.openxmlformats.org/officeDocument/2006/relationships/hyperlink" Target="https://books.google.com/books?hl=en&amp;lr=&amp;id=waMOEQAAQBAJ&amp;oi=fnd&amp;pg=PR7&amp;dq=UK+Regulation+and+quality+improvement.+heathcare+patient+safety+lapses+neonatal+care+services+&amp;ots=4b0wfwTKMc&amp;sig=W0ggtEXpPHNSwU8THnbLXF9xQ0k" TargetMode="Externa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cqc.org.uk/about-us/improving-how-we-work" TargetMode="External" /><Relationship Id="rId27" Type="http://schemas.openxmlformats.org/officeDocument/2006/relationships/hyperlink" Target="https://www.frontiersin.org/journals/medicine/articles/10.3389/fmed.2024.1430853/full" TargetMode="External" /><Relationship Id="rId30" Type="http://schemas.openxmlformats.org/officeDocument/2006/relationships/hyperlink" Target="https://bristoluniversitypressdigital.com/edcollchap/book/9781447368625/ch002.xml'" TargetMode="External" /><Relationship Id="rId35" Type="http://schemas.openxmlformats.org/officeDocument/2006/relationships/hyperlink" Target="https://assets.kingsfund.org.uk/f/256914/x/151509726c/nhs_staffing_shortages_engage_britain_2022.pdf" TargetMode="External" /><Relationship Id="rId43" Type="http://schemas.openxmlformats.org/officeDocument/2006/relationships/hyperlink" Target="https://iris.who.int/bitstream/handle/10665/367048/WHO-UHL-IHS-2023.1-eng.pdf" TargetMode="External" /><Relationship Id="rId48"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1F1A5E-8258-4ED8-8CBA-FD5615A451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5541</Words>
  <Characters>31589</Characters>
  <Application>Microsoft Office Word</Application>
  <DocSecurity>0</DocSecurity>
  <Lines>263</Lines>
  <Paragraphs>74</Paragraphs>
  <ScaleCrop>false</ScaleCrop>
  <Company/>
  <LinksUpToDate>false</LinksUpToDate>
  <CharactersWithSpaces>37056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asha Chowdary</cp:lastModifiedBy>
  <cp:revision>2</cp:revision>
  <dcterms:created xsi:type="dcterms:W3CDTF">2026-04-01T23:17:00Z</dcterms:created>
  <dcterms:modified xsi:type="dcterms:W3CDTF">2026-04-01T23:17:00Z</dcterms:modified>
</cp:coreProperties>
</file>