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jpeg"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5B66D2" w14:textId="77777777" w:rsidR="00861029" w:rsidRDefault="00912D00">
      <w:pPr>
        <w:jc w:val="center"/>
      </w:pPr>
      <w:r>
        <w:rPr>
          <w:b/>
          <w:sz w:val="30"/>
        </w:rPr>
        <w:t>University of Wales Trinity Saint David</w:t>
      </w:r>
    </w:p>
    <w:p w14:paraId="278438A5" w14:textId="77777777" w:rsidR="00861029" w:rsidRDefault="00912D00">
      <w:pPr>
        <w:jc w:val="center"/>
      </w:pPr>
      <w:r>
        <w:rPr>
          <w:sz w:val="26"/>
        </w:rPr>
        <w:t>BSc (Hons) Health and Social Care</w:t>
      </w:r>
    </w:p>
    <w:p w14:paraId="167DC7D1" w14:textId="77777777" w:rsidR="00861029" w:rsidRDefault="00861029"/>
    <w:p w14:paraId="72676767" w14:textId="77777777" w:rsidR="00861029" w:rsidRDefault="00861029"/>
    <w:p w14:paraId="03F6C964" w14:textId="77777777" w:rsidR="00861029" w:rsidRDefault="00912D00">
      <w:pPr>
        <w:jc w:val="center"/>
      </w:pPr>
      <w:r>
        <w:rPr>
          <w:b/>
          <w:sz w:val="28"/>
        </w:rPr>
        <w:t>BMHP6029 - Psychological Classifications and Provisions</w:t>
      </w:r>
    </w:p>
    <w:p w14:paraId="2D98B541" w14:textId="77777777" w:rsidR="00861029" w:rsidRDefault="00912D00">
      <w:pPr>
        <w:jc w:val="center"/>
      </w:pPr>
      <w:r>
        <w:rPr>
          <w:b/>
          <w:sz w:val="30"/>
        </w:rPr>
        <w:t>Component 2: Written Assignment (Report)</w:t>
      </w:r>
    </w:p>
    <w:p w14:paraId="566E53BB" w14:textId="77777777" w:rsidR="00861029" w:rsidRDefault="00912D00">
      <w:pPr>
        <w:jc w:val="center"/>
      </w:pPr>
      <w:r>
        <w:rPr>
          <w:b/>
          <w:sz w:val="32"/>
        </w:rPr>
        <w:t>Attention-Deficit/Hyperactivity Disorder (ADHD): A Critical Examination of Classification, Diagnosis, Treatment and Contemporary Debates</w:t>
      </w:r>
    </w:p>
    <w:p w14:paraId="618F13F5" w14:textId="77777777" w:rsidR="00861029" w:rsidRDefault="00861029"/>
    <w:p w14:paraId="48FD94D7" w14:textId="77777777" w:rsidR="00861029" w:rsidRDefault="00861029"/>
    <w:p w14:paraId="4343D917" w14:textId="77777777" w:rsidR="00861029" w:rsidRDefault="00861029"/>
    <w:p w14:paraId="1CEC3128" w14:textId="77777777" w:rsidR="00861029" w:rsidRDefault="00912D00">
      <w:pPr>
        <w:jc w:val="center"/>
      </w:pPr>
      <w:r>
        <w:rPr>
          <w:b/>
        </w:rPr>
        <w:t xml:space="preserve">Student name: </w:t>
      </w:r>
      <w:r>
        <w:t>Ioan Surdu</w:t>
      </w:r>
    </w:p>
    <w:p w14:paraId="2C26914B" w14:textId="77777777" w:rsidR="00861029" w:rsidRDefault="00912D00">
      <w:pPr>
        <w:jc w:val="center"/>
      </w:pPr>
      <w:r>
        <w:rPr>
          <w:b/>
        </w:rPr>
        <w:t xml:space="preserve">Student number: </w:t>
      </w:r>
      <w:r>
        <w:t>[Insert student number]</w:t>
      </w:r>
    </w:p>
    <w:p w14:paraId="5EA0A1D7" w14:textId="77777777" w:rsidR="00861029" w:rsidRDefault="00912D00">
      <w:pPr>
        <w:jc w:val="center"/>
      </w:pPr>
      <w:r>
        <w:rPr>
          <w:b/>
        </w:rPr>
        <w:t xml:space="preserve">Module code: </w:t>
      </w:r>
      <w:r>
        <w:t>BMHP6029</w:t>
      </w:r>
    </w:p>
    <w:p w14:paraId="536DACC4" w14:textId="77777777" w:rsidR="00861029" w:rsidRDefault="00912D00">
      <w:pPr>
        <w:jc w:val="center"/>
      </w:pPr>
      <w:r>
        <w:rPr>
          <w:b/>
        </w:rPr>
        <w:t xml:space="preserve">Word count: </w:t>
      </w:r>
      <w:r>
        <w:t>1940</w:t>
      </w:r>
    </w:p>
    <w:p w14:paraId="3189B81E" w14:textId="77777777" w:rsidR="00861029" w:rsidRDefault="00912D00">
      <w:r>
        <w:br w:type="page"/>
      </w:r>
    </w:p>
    <w:p w14:paraId="0B69135E" w14:textId="77777777" w:rsidR="00861029" w:rsidRDefault="00912D00">
      <w:pPr>
        <w:pStyle w:val="Heading1"/>
      </w:pPr>
      <w:r>
        <w:t>Introduction</w:t>
      </w:r>
    </w:p>
    <w:p w14:paraId="5918C707" w14:textId="77777777" w:rsidR="00861029" w:rsidRDefault="00912D00">
      <w:pPr>
        <w:jc w:val="both"/>
      </w:pPr>
      <w:r>
        <w:t>Attention-deficit/hyperactivity disorder (ADHD) is classified in ICD-11 as a neurodevelopmental disorder and is characterised by persistent patterns of inattention and/or hyperactivity-impulsivity that are outside the expected range for a person's age and level of intellectual development (World Health Organization, 2024). Although ADHD is commonly associated with childhood, symptoms can continue into adult life. A global meta-analysis estimated persistent adult ADHD at around 2.6%, showing that it is not a</w:t>
      </w:r>
      <w:r>
        <w:t xml:space="preserve"> rare adult condition (Song et al., 2021). This report critically examines how ADHD is classified and diagnosed, how it is treated and managed, and why its increasing recognition has produced debate about neurodiversity, possible underdiagnosis and overdiagnosis, and access to services. The central argument is that ADHD is supported by a substantial evidence base, but diagnosis remains clinically complex because there is no single biological test. Therefore, good practice depends on careful assessment of im</w:t>
      </w:r>
      <w:r>
        <w:t>pairment, developmental history and context rather than simply counting symptoms.</w:t>
      </w:r>
    </w:p>
    <w:p w14:paraId="26983521" w14:textId="77777777" w:rsidR="00861029" w:rsidRDefault="00912D00">
      <w:pPr>
        <w:pStyle w:val="Heading1"/>
      </w:pPr>
      <w:r>
        <w:t>Classification and diagnosis</w:t>
      </w:r>
    </w:p>
    <w:p w14:paraId="383B07CF" w14:textId="77777777" w:rsidR="00861029" w:rsidRDefault="00912D00">
      <w:pPr>
        <w:jc w:val="both"/>
      </w:pPr>
      <w:r>
        <w:t>In ICD-11, ADHD is coded 6A05 within neurodevelopmental disorders. The classification recognises predominantly inattentive, predominantly hyperactive-impulsive and combined presentations. The diagnostic requirements emphasise a persistent pattern of symptoms that begins during the developmental period, is evident across more than one setting and causes significant impairment in personal, family, social, educational or occupational functioning (World Health Organization, 2024). This is important because dist</w:t>
      </w:r>
      <w:r>
        <w:t>ractibility or restlessness on their own are not sufficient for diagnosis. Symptoms need to be excessive in relation to age and development, and alternative explanations must be considered.</w:t>
      </w:r>
    </w:p>
    <w:p w14:paraId="4BA75B5A" w14:textId="77777777" w:rsidR="00861029" w:rsidRDefault="00912D00">
      <w:pPr>
        <w:jc w:val="both"/>
      </w:pPr>
      <w:r>
        <w:t xml:space="preserve">The wording used by ICD-11 is also significant. ADHD remains described as a "disorder", which reflects a medical classification based on clinically significant difficulties and impairment. However, the same traits may be understood by some people through a neurodiversity framework, which views neurological differences as part of natural human variation rather than only as deficits. This creates a genuine tension. Classification can validate difficulties and open access to treatment, educational support and </w:t>
      </w:r>
      <w:r>
        <w:t>reasonable adjustments, but a diagnostic label may also encourage a deficit-focused understanding if individual strengths and environmental barriers are ignored.</w:t>
      </w:r>
    </w:p>
    <w:p w14:paraId="6E686CA6" w14:textId="77777777" w:rsidR="00861029" w:rsidRDefault="00912D00">
      <w:pPr>
        <w:jc w:val="both"/>
      </w:pPr>
      <w:r>
        <w:t>Diagnosis is clinical rather than laboratory based. NICE (2018) recommends that diagnosis should be made by an appropriately trained specialist following a full clinical and psychosocial assessment, developmental and psychiatric history, and observer reports. Rating scales can support assessment, but should not be used as the sole basis for diagnosis. This approach is consistent with recent evidence showing that no biomarker, neuropsychological test or neuroimaging measure currently has enough sensitivity a</w:t>
      </w:r>
      <w:r>
        <w:t>nd specificity to diagnose ADHD independently (Cortese et al., 2025). The absence of a biomarker does not mean the condition lacks validity; many disorders are diagnosed clinically. It does, however, mean that professional judgement and the quality of assessment are crucial.</w:t>
      </w:r>
    </w:p>
    <w:p w14:paraId="371D1E28" w14:textId="77777777" w:rsidR="00861029" w:rsidRDefault="00912D00">
      <w:pPr>
        <w:jc w:val="both"/>
      </w:pPr>
      <w:r>
        <w:t>Differential diagnosis is particularly important because ADHD symptoms overlap with anxiety, depression, autism, sleep problems, trauma, substance use and some physical conditions. Co-occurrence is also common, so clinicians should not assume that one diagnosis excludes another. Faraone et al. (2021) reviewed a large evidence base and concluded that ADHD is associated with substantial functional impairment and has strong genetic and neurobiological evidence, yet individual diagnosis still depends on behavio</w:t>
      </w:r>
      <w:r>
        <w:t>ural and developmental information. The distinction between evidence for a disorder at population level and certainty in one individual case needs to remain clear.</w:t>
      </w:r>
    </w:p>
    <w:p w14:paraId="731AB620" w14:textId="77777777" w:rsidR="00861029" w:rsidRDefault="00912D00">
      <w:pPr>
        <w:jc w:val="both"/>
      </w:pPr>
      <w:r>
        <w:t>Assessment is also affected by the quality of information available. In adults, evidence about childhood symptoms may depend on memory, old school records or relatives who may not be available. Reports from different settings can conflict because symptoms may be more visible in an unstructured environment than in a highly organised one. These difficulties do not make diagnosis arbitrary, but they show why a brief questionnaire cannot replace a full assessment. The Adult ADHD Assessment Quality Assurance Sta</w:t>
      </w:r>
      <w:r>
        <w:t>ndard similarly emphasises a systematic evaluation of symptoms, impairment, developmental history and differential diagnosis rather than reliance on a single score (Young et al., 2024). This is especially important when demand is high, because shortening assessments to increase throughput could reduce diagnostic reliability.</w:t>
      </w:r>
    </w:p>
    <w:p w14:paraId="62C9E268" w14:textId="77777777" w:rsidR="00861029" w:rsidRDefault="00912D00">
      <w:pPr>
        <w:jc w:val="both"/>
      </w:pPr>
      <w:r>
        <w:t>There are also inequalities in recognition. Hinshaw et al. (2022) found that girls and women are more likely to present with less overt hyperactive behaviour and more inattentive or internalising difficulties, which can contribute to missed or delayed diagnosis. Attoe and Climie (2023) similarly reported significant consequences for women diagnosed only in adulthood. Therefore, applying diagnostic criteria mechanically may reproduce bias if clinicians expect the stereotypical presentation of a disruptive yo</w:t>
      </w:r>
      <w:r>
        <w:t>ung boy. A high-quality assessment needs to consider masking, coping strategies, cultural expectations and impairment across the life course.</w:t>
      </w:r>
    </w:p>
    <w:p w14:paraId="75FFA87D" w14:textId="77777777" w:rsidR="00861029" w:rsidRDefault="00912D00">
      <w:pPr>
        <w:pStyle w:val="Heading1"/>
      </w:pPr>
      <w:r>
        <w:t>Treatment and rehabilitation</w:t>
      </w:r>
    </w:p>
    <w:p w14:paraId="6BEFB526" w14:textId="77777777" w:rsidR="00861029" w:rsidRDefault="00912D00">
      <w:pPr>
        <w:jc w:val="both"/>
      </w:pPr>
      <w:r>
        <w:t>ADHD treatment is usually multimodal and should be based on age, severity, impairment, preference and co-existing conditions. NICE (2018) recommends environmental modifications and information or psychoeducation as part of management, while medication is offered when symptoms continue to cause significant impairment. For adults, first-line medication commonly includes lisdexamfetamine or methylphenidate, with atomoxetine used when stimulants are not tolerated or are ineffective. Medication requires monitori</w:t>
      </w:r>
      <w:r>
        <w:t>ng because benefits have to be balanced against adverse effects, cardiovascular considerations, sleep, appetite and the possibility of misuse.</w:t>
      </w:r>
    </w:p>
    <w:p w14:paraId="660568AA" w14:textId="77777777" w:rsidR="00861029" w:rsidRDefault="00912D00">
      <w:pPr>
        <w:jc w:val="both"/>
      </w:pPr>
      <w:r>
        <w:t>The evidence for short-term symptom reduction is strongest for pharmacological treatment. Ostinelli et al. (2025) analysed 113 randomised controlled trials involving 14,887 adults and found that stimulants were supported by evidence of short-term efficacy for core symptoms using both clinician and self-ratings. Atomoxetine also showed benefit, although acceptability and side effects remain relevant to shared decision-making. Importantly, the authors highlighted a lack of robust longer-term evidence. This li</w:t>
      </w:r>
      <w:r>
        <w:t>mits any claim that medication alone is a complete solution, particularly because the outcomes that matter to patients include education, employment, relationships, wellbeing and quality of life, not only symptom scores.</w:t>
      </w:r>
    </w:p>
    <w:p w14:paraId="788D3751" w14:textId="77777777" w:rsidR="00861029" w:rsidRDefault="00912D00">
      <w:pPr>
        <w:jc w:val="both"/>
      </w:pPr>
      <w:r>
        <w:t>Non-pharmacological interventions can be useful but the evidence is more mixed. Cognitive behavioural therapy, psychoeducation, organisational skills and structured psychological support may help people develop strategies for time management, emotional regulation and daily functioning. In the Ostinelli et al. (2025) review, several psychological interventions showed improvements on clinician ratings, but effects were less consistent on patient self-ratings. This does not make them unhelpful; rather, it sugg</w:t>
      </w:r>
      <w:r>
        <w:t>ests that outcomes depend on what is measured and that interventions may target functioning as well as core symptoms.</w:t>
      </w:r>
    </w:p>
    <w:p w14:paraId="5C901E67" w14:textId="77777777" w:rsidR="00861029" w:rsidRDefault="00912D00">
      <w:pPr>
        <w:jc w:val="both"/>
      </w:pPr>
      <w:r>
        <w:t>Good medication practice also involves more than choosing a drug. Baseline assessment and ongoing review are needed to monitor response, adverse effects, blood pressure, pulse, weight and other clinically relevant risks (NICE, 2018). Shared decision-making is particularly important because the balance between benefit and burden differs between individuals. A treatment that improves concentration but causes unacceptable insomnia, appetite loss or emotional effects may not be successful from the patient's per</w:t>
      </w:r>
      <w:r>
        <w:t>spective. Regular review also creates an opportunity to consider whether medication remains necessary, whether the dose is appropriate and whether additional psychological or practical support is required. This supports a person-centred approach rather than treating medication response as the only outcome.</w:t>
      </w:r>
    </w:p>
    <w:p w14:paraId="1FEB388D" w14:textId="77777777" w:rsidR="00861029" w:rsidRDefault="00912D00">
      <w:pPr>
        <w:jc w:val="both"/>
      </w:pPr>
      <w:r>
        <w:t xml:space="preserve">Rehabilitation in ADHD is better understood as supporting participation than as restoring a person to a pre-illness state. ICD-11 provides classification and diagnostic requirements rather than a detailed rehabilitation programme. In practice, rehabilitation can involve school or university adjustments, workplace changes, coaching, routines, assistive technology, family support and treatment of co-existing conditions. This is where a biopsychosocial approach is useful. For example, a person may continue to </w:t>
      </w:r>
      <w:r>
        <w:t>have attentional difficulties but function well when tasks are structured, distractions are reduced and deadlines are made visible. Treatment therefore should not focus solely on changing the individual; reasonable changes to the environment can reduce disability.</w:t>
      </w:r>
    </w:p>
    <w:p w14:paraId="1DE5389D" w14:textId="77777777" w:rsidR="00861029" w:rsidRDefault="00912D00">
      <w:pPr>
        <w:jc w:val="both"/>
      </w:pPr>
      <w:r>
        <w:t>A further limitation is access. Effective interventions have little value if assessment waiting times are extremely long. The 2026 independent government review reported a major rise in ADHD referrals and substantial pressure on services, while also warning that administrative diagnosis figures should not be treated as direct measures of population prevalence (Department of Health and Social Care, 2026). This is a useful distinction. Rising referrals may reflect greater awareness, previously unmet need, cha</w:t>
      </w:r>
      <w:r>
        <w:t>nging expectations and service design as well as any change in underlying prevalence.</w:t>
      </w:r>
    </w:p>
    <w:p w14:paraId="7DB9AC22" w14:textId="77777777" w:rsidR="00861029" w:rsidRDefault="00912D00">
      <w:pPr>
        <w:pStyle w:val="Heading1"/>
      </w:pPr>
      <w:r>
        <w:t>Current debates and emerging issues</w:t>
      </w:r>
    </w:p>
    <w:p w14:paraId="570D9108" w14:textId="77777777" w:rsidR="00861029" w:rsidRDefault="00912D00">
      <w:pPr>
        <w:jc w:val="both"/>
      </w:pPr>
      <w:r>
        <w:t>One of the most visible debates concerns whether ADHD is being overdiagnosed. The increase in referrals and public discussion can create the impression that diagnostic thresholds have simply become too broad. However, the evidence is more complicated. Abdelnour et al. (2022) noted that overdiagnosis and underdiagnosis can occur at the same time in different groups and settings. Some people may receive poor-quality assessments, while others - particularly women, adults and people whose symptoms are less disr</w:t>
      </w:r>
      <w:r>
        <w:t>uptive - can remain unidentified for years. It is therefore not academically defensible to treat rising diagnosis alone as proof of overdiagnosis.</w:t>
      </w:r>
    </w:p>
    <w:p w14:paraId="3E81C356" w14:textId="77777777" w:rsidR="00861029" w:rsidRDefault="00912D00">
      <w:pPr>
        <w:jc w:val="both"/>
      </w:pPr>
      <w:r>
        <w:t>The neurodiversity debate has also changed how ADHD is discussed. A neurodiversity perspective can reduce shame, recognise strengths and place greater attention on environmental barriers. At the same time, an exclusively difference-based account can understate the severe impairment experienced by some people. The clinical and social models do not have to be mutually exclusive. ADHD can be a neurodevelopmental difference and, for some individuals, a disabling condition requiring healthcare and legal protecti</w:t>
      </w:r>
      <w:r>
        <w:t>on. The key issue is whether services respond to actual functional need rather than forcing everyone into the same narrative.</w:t>
      </w:r>
    </w:p>
    <w:p w14:paraId="132F9582" w14:textId="77777777" w:rsidR="00861029" w:rsidRDefault="00912D00">
      <w:pPr>
        <w:jc w:val="both"/>
      </w:pPr>
      <w:r>
        <w:t xml:space="preserve">Reclassification is relevant to this debate. ICD-11 places ADHD within neurodevelopmental disorders and uses the term ADHD rather than the older ICD-10 category of hyperkinetic disorders (World Health Organization, 2024). This change reflects a contemporary diagnostic framework and also brings international terminology closer together. However, reclassification can affect who is recognised, how prevalence is interpreted and how services are commissioned. An apparently technical change in classification can </w:t>
      </w:r>
      <w:r>
        <w:t>therefore have practical consequences. Clinicians and policymakers need to distinguish genuine changes in diagnostic systems from evidence that the underlying population has suddenly changed.</w:t>
      </w:r>
    </w:p>
    <w:p w14:paraId="238758D8" w14:textId="77777777" w:rsidR="00861029" w:rsidRDefault="00912D00">
      <w:pPr>
        <w:jc w:val="both"/>
      </w:pPr>
      <w:r>
        <w:t>Another emerging issue is the role of online information and self-identification. Social media can help people recognise patterns that were previously misunderstood and may encourage appropriate help-seeking. However, brief online content can also flatten complex diagnostic criteria into relatable everyday experiences. The absence of a biomarker increases the importance of comprehensive assessment rather than self-report alone. Current UK policy discussion is moving towards a stronger emphasis on functionin</w:t>
      </w:r>
      <w:r>
        <w:t>g and need alongside diagnosis (Department of Health and Social Care, 2026). This could reduce pressure to obtain a label simply to access support, but it must not become a way of restricting specialist assessment for people who genuinely need it.</w:t>
      </w:r>
    </w:p>
    <w:p w14:paraId="1A682E4A" w14:textId="77777777" w:rsidR="00861029" w:rsidRDefault="00912D00">
      <w:pPr>
        <w:pStyle w:val="Heading1"/>
      </w:pPr>
      <w:r>
        <w:t>Recommendations</w:t>
      </w:r>
    </w:p>
    <w:p w14:paraId="29C47BDD" w14:textId="77777777" w:rsidR="00861029" w:rsidRDefault="00912D00">
      <w:pPr>
        <w:jc w:val="both"/>
      </w:pPr>
      <w:r>
        <w:t xml:space="preserve">First, ADHD assessments should follow a consistent quality standard, including developmental history, evidence from more than one setting, functional impairment, differential diagnosis and co-occurring conditions. This would reduce both missed diagnosis and inappropriate diagnosis. Second, services should improve recognition of less stereotypical presentations, particularly in girls, women and adults, through professional training informed by current evidence (Hinshaw et al., 2022). Third, treatment should </w:t>
      </w:r>
      <w:r>
        <w:t>remain personalised and multimodal. Medication can be highly effective for core symptoms, but psychological strategies, environmental changes and participation-focused support should be offered according to need. Finally, access to educational and workplace adjustments should depend primarily on demonstrated functional difficulty rather than requiring a diagnostic label in every case. This would preserve the value of diagnosis while reducing incentives for people to seek it solely as a gateway to support.</w:t>
      </w:r>
    </w:p>
    <w:p w14:paraId="71D0A2DA" w14:textId="77777777" w:rsidR="00861029" w:rsidRDefault="00912D00">
      <w:pPr>
        <w:pStyle w:val="Heading1"/>
      </w:pPr>
      <w:r>
        <w:t>Conclusion</w:t>
      </w:r>
    </w:p>
    <w:p w14:paraId="6C046FAB" w14:textId="77777777" w:rsidR="00861029" w:rsidRDefault="00912D00">
      <w:pPr>
        <w:jc w:val="both"/>
      </w:pPr>
      <w:r>
        <w:t>ADHD is a well-established neurodevelopmental disorder in ICD-11, but its diagnosis cannot be reduced to a checklist or confirmed by a single biological test. The strongest approach combines diagnostic criteria with developmental history, impairment, context and differential diagnosis. Medication has the clearest evidence for short-term reduction of core symptoms, while psychological and environmental interventions contribute to broader functioning and rehabilitation. Current debates about overdiagnosis, un</w:t>
      </w:r>
      <w:r>
        <w:t>derdiagnosis and neurodiversity show why classification has social as well as clinical consequences. A balanced approach should avoid both unnecessary medicalisation and dismissal of genuine disability. Future policy and practice should therefore focus on high-quality assessment, equitable recognition, shared decision-making and support based on functional need.</w:t>
      </w:r>
    </w:p>
    <w:p w14:paraId="013CD14F" w14:textId="77777777" w:rsidR="00861029" w:rsidRDefault="00912D00">
      <w:pPr>
        <w:pStyle w:val="Heading1"/>
      </w:pPr>
      <w:r>
        <w:t>Reference list</w:t>
      </w:r>
    </w:p>
    <w:p w14:paraId="1536839E" w14:textId="77777777" w:rsidR="00861029" w:rsidRDefault="00912D00">
      <w:pPr>
        <w:spacing w:line="276" w:lineRule="auto"/>
        <w:ind w:left="360" w:hanging="360"/>
      </w:pPr>
      <w:r>
        <w:t>Abdelnour, E., Jansen, M.O. and Gold, J.A. (2022) 'ADHD diagnostic trends: increased recognition or overdiagnosis?', Missouri Medicine, 119(5), pp. 467-473.</w:t>
      </w:r>
    </w:p>
    <w:p w14:paraId="6763F58D" w14:textId="77777777" w:rsidR="00861029" w:rsidRDefault="00912D00">
      <w:pPr>
        <w:spacing w:line="276" w:lineRule="auto"/>
        <w:ind w:left="360" w:hanging="360"/>
      </w:pPr>
      <w:r>
        <w:t>Attoe, D.E. and Climie, E.A. (2023) 'Miss. Diagnosis: A systematic review of ADHD in adult women', Journal of Attention Disorders, 27(7), pp. 645-657. doi: 10.1177/10870547231161533.</w:t>
      </w:r>
    </w:p>
    <w:p w14:paraId="00D00D90" w14:textId="77777777" w:rsidR="00861029" w:rsidRDefault="00912D00">
      <w:pPr>
        <w:spacing w:line="276" w:lineRule="auto"/>
        <w:ind w:left="360" w:hanging="360"/>
      </w:pPr>
      <w:r>
        <w:t>Cortese, S. et al. (2025) 'Attention-deficit/hyperactivity disorder (ADHD) in adults: evidence base, uncertainties and controversies', World Psychiatry. PMID: 40948064.</w:t>
      </w:r>
    </w:p>
    <w:p w14:paraId="48A4F553" w14:textId="77777777" w:rsidR="00861029" w:rsidRDefault="00912D00">
      <w:pPr>
        <w:spacing w:line="276" w:lineRule="auto"/>
        <w:ind w:left="360" w:hanging="360"/>
      </w:pPr>
      <w:r>
        <w:t>Department of Health and Social Care (2026) Independent review into mental health conditions, ADHD and autism: interim report. London: Department of Health and Social Care.</w:t>
      </w:r>
    </w:p>
    <w:p w14:paraId="7B644AD7" w14:textId="77777777" w:rsidR="00861029" w:rsidRDefault="00912D00">
      <w:pPr>
        <w:spacing w:line="276" w:lineRule="auto"/>
        <w:ind w:left="360" w:hanging="360"/>
      </w:pPr>
      <w:r>
        <w:t>Faraone, S.V. et al. (2021) 'The World Federation of ADHD International Consensus Statement: 208 evidence-based conclusions about the disorder', Neuroscience and Biobehavioral Reviews, 128, pp. 789-818.</w:t>
      </w:r>
    </w:p>
    <w:p w14:paraId="51980FAB" w14:textId="77777777" w:rsidR="00861029" w:rsidRDefault="00912D00">
      <w:pPr>
        <w:spacing w:line="276" w:lineRule="auto"/>
        <w:ind w:left="360" w:hanging="360"/>
      </w:pPr>
      <w:r>
        <w:t>Hinshaw, S.P., Nguyen, P.T., O'Grady, S.M. and Rosenthal, E.A. (2022) 'Annual Research Review: Attention-deficit/hyperactivity disorder in girls and women: underrepresentation, longitudinal processes, and key directions', Journal of Child Psychology and Psychiatry, 63(4), pp. 484-496. doi: 10.1111/jcpp.13480.</w:t>
      </w:r>
    </w:p>
    <w:p w14:paraId="519DECCF" w14:textId="77777777" w:rsidR="00861029" w:rsidRDefault="00912D00">
      <w:pPr>
        <w:spacing w:line="276" w:lineRule="auto"/>
        <w:ind w:left="360" w:hanging="360"/>
      </w:pPr>
      <w:r>
        <w:t>Kooij, J.J.S. et al. (2019) 'Updated European Consensus Statement on diagnosis and treatment of adult ADHD', European Psychiatry, 56, pp. 14-34.</w:t>
      </w:r>
    </w:p>
    <w:p w14:paraId="3292AB4C" w14:textId="77777777" w:rsidR="00861029" w:rsidRDefault="00912D00">
      <w:pPr>
        <w:spacing w:line="276" w:lineRule="auto"/>
        <w:ind w:left="360" w:hanging="360"/>
      </w:pPr>
      <w:r>
        <w:t>National Institute for Health and Care Excellence (2018) Attention deficit hyperactivity disorder: diagnosis and management. NICE guideline NG87. London: NICE. Updated with minor changes to May 2025.</w:t>
      </w:r>
    </w:p>
    <w:p w14:paraId="3FC2643E" w14:textId="77777777" w:rsidR="00861029" w:rsidRDefault="00912D00">
      <w:pPr>
        <w:spacing w:line="276" w:lineRule="auto"/>
        <w:ind w:left="360" w:hanging="360"/>
      </w:pPr>
      <w:r>
        <w:t>Ostinelli, E.G. et al. (2025) 'Comparative efficacy and acceptability of pharmacological, psychological, and neurostimulatory interventions for ADHD in adults: a systematic review and component network meta-analysis', The Lancet Psychiatry, 12. doi: 10.1016/S2215-0366(24)00360-2.</w:t>
      </w:r>
    </w:p>
    <w:p w14:paraId="1F8C6C00" w14:textId="77777777" w:rsidR="00861029" w:rsidRDefault="00912D00">
      <w:pPr>
        <w:spacing w:line="276" w:lineRule="auto"/>
        <w:ind w:left="360" w:hanging="360"/>
      </w:pPr>
      <w:r>
        <w:t>Song, P., Zha, M., Yang, Q., Zhang, Y., Li, X. and Rudan, I. (2021) 'The prevalence of adult attention-deficit hyperactivity disorder: a global systematic review and meta-analysis', Journal of Global Health, 11, 04009. doi: 10.7189/jogh.11.04009.</w:t>
      </w:r>
    </w:p>
    <w:p w14:paraId="69180ECB" w14:textId="77777777" w:rsidR="00861029" w:rsidRDefault="00912D00">
      <w:pPr>
        <w:spacing w:line="276" w:lineRule="auto"/>
        <w:ind w:left="360" w:hanging="360"/>
      </w:pPr>
      <w:r>
        <w:t>World Health Organization (2024) Clinical descriptions and diagnostic requirements for ICD-11 mental, behavioural and neurodevelopmental disorders. Geneva: World Health Organization.</w:t>
      </w:r>
    </w:p>
    <w:p w14:paraId="5AFC76EF" w14:textId="77777777" w:rsidR="00861029" w:rsidRDefault="00912D00">
      <w:pPr>
        <w:spacing w:line="276" w:lineRule="auto"/>
        <w:ind w:left="360" w:hanging="360"/>
      </w:pPr>
      <w:r>
        <w:t>Young, S. et al. (2024) 'The adult ADHD assessment quality assurance standard', Frontiers in Psychiatry, 15, 1380410.</w:t>
      </w:r>
    </w:p>
    <w:p w14:paraId="226B8BF6" w14:textId="77777777" w:rsidR="00861029" w:rsidRDefault="00912D00">
      <w:pPr>
        <w:spacing w:line="276" w:lineRule="auto"/>
        <w:ind w:left="360" w:hanging="360"/>
      </w:pPr>
      <w:r>
        <w:t>Zhang, L. et al. (2023) 'Can biomarkers be used to diagnose attention deficit hyperactivity disorder?', Frontiers in Psychiatry, 14, 1026616. doi: 10.3389/fpsyt.2023.1026616.</w:t>
      </w:r>
    </w:p>
    <w:sectPr w:rsidR="00861029" w:rsidSect="00034616">
      <w:footerReference w:type="default" r:id="rId8"/>
      <w:pgSz w:w="12240" w:h="15840"/>
      <w:pgMar w:top="1152" w:right="1296" w:bottom="1152" w:left="129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4087A6" w14:textId="77777777" w:rsidR="00912D00" w:rsidRDefault="00912D00">
      <w:pPr>
        <w:spacing w:after="0" w:line="240" w:lineRule="auto"/>
      </w:pPr>
      <w:r>
        <w:separator/>
      </w:r>
    </w:p>
  </w:endnote>
  <w:endnote w:type="continuationSeparator" w:id="0">
    <w:p w14:paraId="180CA672" w14:textId="77777777" w:rsidR="00912D00" w:rsidRDefault="00912D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3B02D5" w14:textId="77777777" w:rsidR="00861029" w:rsidRDefault="00912D00">
    <w:pPr>
      <w:pStyle w:val="Footer"/>
      <w:jc w:val="center"/>
    </w:pPr>
    <w:r>
      <w:t xml:space="preserve">Page </w:t>
    </w:r>
    <w:r>
      <w:fldChar w:fldCharType="begin"/>
    </w:r>
    <w:r>
      <w:instrText>PAGE</w:instrText>
    </w:r>
    <w:r>
      <w:fldChar w:fldCharType="separate"/>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188F89" w14:textId="77777777" w:rsidR="00912D00" w:rsidRDefault="00912D00">
      <w:pPr>
        <w:spacing w:after="0" w:line="240" w:lineRule="auto"/>
      </w:pPr>
      <w:r>
        <w:separator/>
      </w:r>
    </w:p>
  </w:footnote>
  <w:footnote w:type="continuationSeparator" w:id="0">
    <w:p w14:paraId="7C004BB8" w14:textId="77777777" w:rsidR="00912D00" w:rsidRDefault="00912D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016233553">
    <w:abstractNumId w:val="8"/>
  </w:num>
  <w:num w:numId="2" w16cid:durableId="1595702516">
    <w:abstractNumId w:val="6"/>
  </w:num>
  <w:num w:numId="3" w16cid:durableId="654576627">
    <w:abstractNumId w:val="5"/>
  </w:num>
  <w:num w:numId="4" w16cid:durableId="1788544701">
    <w:abstractNumId w:val="4"/>
  </w:num>
  <w:num w:numId="5" w16cid:durableId="306712692">
    <w:abstractNumId w:val="7"/>
  </w:num>
  <w:num w:numId="6" w16cid:durableId="1714573184">
    <w:abstractNumId w:val="3"/>
  </w:num>
  <w:num w:numId="7" w16cid:durableId="883447172">
    <w:abstractNumId w:val="2"/>
  </w:num>
  <w:num w:numId="8" w16cid:durableId="1970669082">
    <w:abstractNumId w:val="1"/>
  </w:num>
  <w:num w:numId="9" w16cid:durableId="6905684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9"/>
  <w:proofState w:spelling="clean" w:grammar="clean"/>
  <w:revisionView w:inkAnnotations="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861029"/>
    <w:rsid w:val="00912D00"/>
    <w:rsid w:val="00A44DB9"/>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7E5573D"/>
  <w14:defaultImageDpi w14:val="300"/>
  <w15:docId w15:val="{AC35B6A6-63EF-6C44-B347-9CA0D47654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360" w:lineRule="auto"/>
    </w:pPr>
    <w:rPr>
      <w:rFonts w:ascii="Arial" w:eastAsia="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1F4E79"/>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1F4E79"/>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F4E79"/>
      <w:spacing w:val="5"/>
      <w:kern w:val="28"/>
      <w:sz w:val="4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2600</Words>
  <Characters>14826</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17392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Ioan Surdu (2333638)</cp:lastModifiedBy>
  <cp:revision>2</cp:revision>
  <dcterms:created xsi:type="dcterms:W3CDTF">2026-09-26T15:00:00Z</dcterms:created>
  <dcterms:modified xsi:type="dcterms:W3CDTF">2026-09-26T15:00:00Z</dcterms:modified>
  <cp:category/>
</cp:coreProperties>
</file>