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4"/>
        <w:gridCol w:w="1542"/>
        <w:gridCol w:w="597"/>
        <w:gridCol w:w="1598"/>
        <w:gridCol w:w="482"/>
      </w:tblGrid>
      <w:tr w:rsidR="00B2751A" w:rsidRPr="00330917" w14:paraId="1394DC9A" w14:textId="77777777" w:rsidTr="006B0F30">
        <w:trPr>
          <w:trHeight w:val="491"/>
          <w:jc w:val="center"/>
        </w:trPr>
        <w:tc>
          <w:tcPr>
            <w:tcW w:w="5963" w:type="dxa"/>
            <w:vMerge w:val="restart"/>
            <w:tcBorders>
              <w:top w:val="single" w:sz="4" w:space="0" w:color="auto"/>
              <w:left w:val="single" w:sz="4" w:space="0" w:color="auto"/>
              <w:right w:val="single" w:sz="4" w:space="0" w:color="auto"/>
            </w:tcBorders>
            <w:shd w:val="clear" w:color="auto" w:fill="auto"/>
          </w:tcPr>
          <w:p w14:paraId="3125E758" w14:textId="77777777" w:rsidR="00B2751A" w:rsidRPr="00330917" w:rsidRDefault="00B2751A" w:rsidP="006B0F30">
            <w:pPr>
              <w:keepNext/>
              <w:spacing w:after="0" w:line="240" w:lineRule="auto"/>
              <w:jc w:val="center"/>
              <w:rPr>
                <w:rFonts w:ascii="Arial" w:eastAsia="Times New Roman" w:hAnsi="Arial" w:cs="Times New Roman"/>
                <w:b/>
                <w:sz w:val="32"/>
                <w:szCs w:val="32"/>
                <w:lang w:val="en-AU"/>
              </w:rPr>
            </w:pPr>
          </w:p>
          <w:p w14:paraId="1628F257" w14:textId="77777777" w:rsidR="00B2751A" w:rsidRPr="00330917" w:rsidRDefault="00B2751A" w:rsidP="006B0F30">
            <w:pPr>
              <w:keepNext/>
              <w:spacing w:after="0" w:line="240" w:lineRule="auto"/>
              <w:jc w:val="both"/>
              <w:rPr>
                <w:rFonts w:ascii="Arial" w:eastAsia="Times New Roman" w:hAnsi="Arial" w:cs="Times New Roman"/>
                <w:b/>
                <w:sz w:val="28"/>
                <w:szCs w:val="28"/>
                <w:lang w:val="en-AU"/>
              </w:rPr>
            </w:pPr>
            <w:r w:rsidRPr="00C13098">
              <w:rPr>
                <w:noProof/>
                <w:lang w:eastAsia="en-GB"/>
              </w:rPr>
              <w:drawing>
                <wp:inline distT="0" distB="0" distL="0" distR="0" wp14:anchorId="29A8DF2C" wp14:editId="4E865F3E">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sz w:val="32"/>
                <w:szCs w:val="32"/>
                <w:lang w:val="en-AU"/>
              </w:rPr>
              <w:br/>
            </w:r>
          </w:p>
          <w:p w14:paraId="3BE59F24" w14:textId="77777777" w:rsidR="00B2751A" w:rsidRPr="00FF7154" w:rsidRDefault="00B2751A" w:rsidP="006B0F30">
            <w:pPr>
              <w:widowControl w:val="0"/>
              <w:autoSpaceDE w:val="0"/>
              <w:autoSpaceDN w:val="0"/>
              <w:spacing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 </w:t>
            </w:r>
          </w:p>
        </w:tc>
        <w:tc>
          <w:tcPr>
            <w:tcW w:w="1542" w:type="dxa"/>
            <w:tcBorders>
              <w:top w:val="single" w:sz="4" w:space="0" w:color="auto"/>
              <w:left w:val="single" w:sz="4" w:space="0" w:color="auto"/>
              <w:bottom w:val="nil"/>
              <w:right w:val="nil"/>
            </w:tcBorders>
            <w:shd w:val="clear" w:color="auto" w:fill="auto"/>
            <w:vAlign w:val="center"/>
          </w:tcPr>
          <w:p w14:paraId="7316F002" w14:textId="77777777" w:rsidR="00B2751A" w:rsidRPr="00330917" w:rsidRDefault="00B2751A" w:rsidP="006B0F30">
            <w:pPr>
              <w:keepNext/>
              <w:spacing w:before="120" w:after="0" w:line="240" w:lineRule="auto"/>
              <w:rPr>
                <w:rFonts w:ascii="Arial" w:eastAsia="Times New Roman" w:hAnsi="Arial" w:cs="Times New Roman"/>
                <w:b/>
                <w:bCs/>
                <w:sz w:val="20"/>
                <w:szCs w:val="20"/>
                <w:lang w:val="en-AU"/>
              </w:rPr>
            </w:pPr>
            <w:r>
              <w:rPr>
                <w:rFonts w:ascii="Arial" w:eastAsia="Times New Roman" w:hAnsi="Arial" w:cs="Times New Roman"/>
                <w:b/>
                <w:bCs/>
                <w:sz w:val="20"/>
                <w:szCs w:val="20"/>
              </w:rPr>
              <w:t>S</w:t>
            </w:r>
            <w:r w:rsidRPr="00330917">
              <w:rPr>
                <w:rFonts w:ascii="Arial" w:eastAsia="Times New Roman" w:hAnsi="Arial" w:cs="Times New Roman"/>
                <w:b/>
                <w:bCs/>
                <w:sz w:val="20"/>
                <w:szCs w:val="20"/>
              </w:rPr>
              <w:t>tudent No:</w:t>
            </w:r>
          </w:p>
        </w:tc>
        <w:tc>
          <w:tcPr>
            <w:tcW w:w="2195" w:type="dxa"/>
            <w:gridSpan w:val="2"/>
            <w:tcBorders>
              <w:top w:val="single" w:sz="4" w:space="0" w:color="auto"/>
              <w:left w:val="nil"/>
              <w:bottom w:val="dashed" w:sz="4" w:space="0" w:color="auto"/>
              <w:right w:val="nil"/>
            </w:tcBorders>
            <w:shd w:val="clear" w:color="auto" w:fill="auto"/>
            <w:vAlign w:val="center"/>
          </w:tcPr>
          <w:p w14:paraId="520264F3" w14:textId="77777777" w:rsidR="00B2751A" w:rsidRPr="00330917" w:rsidRDefault="00B2751A" w:rsidP="006B0F30">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2127114</w:t>
            </w:r>
          </w:p>
        </w:tc>
        <w:tc>
          <w:tcPr>
            <w:tcW w:w="482" w:type="dxa"/>
            <w:tcBorders>
              <w:top w:val="single" w:sz="4" w:space="0" w:color="auto"/>
              <w:left w:val="nil"/>
              <w:bottom w:val="nil"/>
              <w:right w:val="single" w:sz="4" w:space="0" w:color="auto"/>
            </w:tcBorders>
            <w:shd w:val="clear" w:color="auto" w:fill="auto"/>
            <w:vAlign w:val="center"/>
          </w:tcPr>
          <w:p w14:paraId="40E7B198" w14:textId="77777777" w:rsidR="00B2751A" w:rsidRPr="00330917" w:rsidRDefault="00B2751A" w:rsidP="006B0F30">
            <w:pPr>
              <w:keepNext/>
              <w:spacing w:after="0" w:line="240" w:lineRule="auto"/>
              <w:jc w:val="center"/>
              <w:rPr>
                <w:rFonts w:ascii="Arial" w:eastAsia="Times New Roman" w:hAnsi="Arial" w:cs="Times New Roman"/>
                <w:b/>
                <w:sz w:val="20"/>
                <w:szCs w:val="20"/>
                <w:lang w:val="en-AU"/>
              </w:rPr>
            </w:pPr>
          </w:p>
        </w:tc>
      </w:tr>
      <w:tr w:rsidR="00B2751A" w:rsidRPr="00330917" w14:paraId="32B85377" w14:textId="77777777" w:rsidTr="006B0F30">
        <w:trPr>
          <w:trHeight w:val="550"/>
          <w:jc w:val="center"/>
        </w:trPr>
        <w:tc>
          <w:tcPr>
            <w:tcW w:w="5963" w:type="dxa"/>
            <w:vMerge/>
            <w:tcBorders>
              <w:left w:val="single" w:sz="4" w:space="0" w:color="auto"/>
              <w:right w:val="single" w:sz="4" w:space="0" w:color="auto"/>
            </w:tcBorders>
            <w:shd w:val="clear" w:color="auto" w:fill="auto"/>
          </w:tcPr>
          <w:p w14:paraId="50DFC541" w14:textId="77777777" w:rsidR="00B2751A" w:rsidRPr="00330917" w:rsidRDefault="00B2751A" w:rsidP="006B0F30">
            <w:pPr>
              <w:keepNext/>
              <w:spacing w:after="0" w:line="240" w:lineRule="auto"/>
              <w:jc w:val="center"/>
              <w:rPr>
                <w:rFonts w:ascii="Arial" w:eastAsia="Times New Roman" w:hAnsi="Arial" w:cs="Times New Roman"/>
                <w:b/>
                <w:sz w:val="40"/>
                <w:szCs w:val="20"/>
                <w:lang w:val="en-AU"/>
              </w:rPr>
            </w:pPr>
          </w:p>
        </w:tc>
        <w:tc>
          <w:tcPr>
            <w:tcW w:w="1542" w:type="dxa"/>
            <w:tcBorders>
              <w:top w:val="nil"/>
              <w:left w:val="single" w:sz="4" w:space="0" w:color="auto"/>
              <w:bottom w:val="nil"/>
              <w:right w:val="nil"/>
            </w:tcBorders>
            <w:shd w:val="clear" w:color="auto" w:fill="auto"/>
            <w:vAlign w:val="center"/>
          </w:tcPr>
          <w:p w14:paraId="339F2921" w14:textId="77777777" w:rsidR="00B2751A" w:rsidRPr="00330917" w:rsidRDefault="00B2751A" w:rsidP="006B0F30">
            <w:pPr>
              <w:keepNext/>
              <w:spacing w:after="0" w:line="240" w:lineRule="auto"/>
              <w:rPr>
                <w:rFonts w:ascii="Arial" w:eastAsia="Times New Roman" w:hAnsi="Arial" w:cs="Times New Roman"/>
                <w:sz w:val="20"/>
                <w:szCs w:val="20"/>
                <w:lang w:val="en-AU"/>
              </w:rPr>
            </w:pPr>
          </w:p>
          <w:p w14:paraId="7BF99AA5" w14:textId="77777777" w:rsidR="00B2751A" w:rsidRPr="00330917" w:rsidRDefault="00B2751A" w:rsidP="006B0F30">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 Title:</w:t>
            </w:r>
          </w:p>
        </w:tc>
        <w:tc>
          <w:tcPr>
            <w:tcW w:w="2195" w:type="dxa"/>
            <w:gridSpan w:val="2"/>
            <w:tcBorders>
              <w:top w:val="dashed" w:sz="4" w:space="0" w:color="auto"/>
              <w:left w:val="nil"/>
              <w:bottom w:val="dashed" w:sz="4" w:space="0" w:color="auto"/>
              <w:right w:val="nil"/>
            </w:tcBorders>
            <w:shd w:val="clear" w:color="auto" w:fill="auto"/>
            <w:vAlign w:val="center"/>
          </w:tcPr>
          <w:p w14:paraId="31AEACF8" w14:textId="405BDB71" w:rsidR="00B2751A" w:rsidRPr="00330917" w:rsidRDefault="00B2751A" w:rsidP="006B0F30">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How to retain and engage employees throughout the employee lifecycle</w:t>
            </w:r>
          </w:p>
        </w:tc>
        <w:tc>
          <w:tcPr>
            <w:tcW w:w="482" w:type="dxa"/>
            <w:tcBorders>
              <w:top w:val="nil"/>
              <w:left w:val="nil"/>
              <w:bottom w:val="nil"/>
              <w:right w:val="single" w:sz="4" w:space="0" w:color="auto"/>
            </w:tcBorders>
            <w:shd w:val="clear" w:color="auto" w:fill="auto"/>
            <w:vAlign w:val="center"/>
          </w:tcPr>
          <w:p w14:paraId="152E77D8" w14:textId="77777777" w:rsidR="00B2751A" w:rsidRPr="00330917" w:rsidRDefault="00B2751A" w:rsidP="006B0F30">
            <w:pPr>
              <w:keepNext/>
              <w:spacing w:after="0" w:line="240" w:lineRule="auto"/>
              <w:jc w:val="center"/>
              <w:rPr>
                <w:rFonts w:ascii="Arial" w:eastAsia="Times New Roman" w:hAnsi="Arial" w:cs="Times New Roman"/>
                <w:b/>
                <w:sz w:val="20"/>
                <w:szCs w:val="20"/>
                <w:lang w:val="en-AU"/>
              </w:rPr>
            </w:pPr>
          </w:p>
        </w:tc>
      </w:tr>
      <w:tr w:rsidR="00B2751A" w:rsidRPr="00330917" w14:paraId="03B9A5E8" w14:textId="77777777" w:rsidTr="006B0F30">
        <w:trPr>
          <w:trHeight w:val="550"/>
          <w:jc w:val="center"/>
        </w:trPr>
        <w:tc>
          <w:tcPr>
            <w:tcW w:w="5963" w:type="dxa"/>
            <w:vMerge/>
            <w:tcBorders>
              <w:left w:val="single" w:sz="4" w:space="0" w:color="auto"/>
              <w:right w:val="single" w:sz="4" w:space="0" w:color="auto"/>
            </w:tcBorders>
            <w:shd w:val="clear" w:color="auto" w:fill="auto"/>
          </w:tcPr>
          <w:p w14:paraId="6466C655" w14:textId="77777777" w:rsidR="00B2751A" w:rsidRPr="00330917" w:rsidRDefault="00B2751A" w:rsidP="006B0F30">
            <w:pPr>
              <w:keepNext/>
              <w:spacing w:after="0" w:line="240" w:lineRule="auto"/>
              <w:jc w:val="center"/>
              <w:rPr>
                <w:rFonts w:ascii="Arial" w:eastAsia="Times New Roman" w:hAnsi="Arial" w:cs="Times New Roman"/>
                <w:b/>
                <w:sz w:val="40"/>
                <w:szCs w:val="20"/>
                <w:lang w:val="en-AU"/>
              </w:rPr>
            </w:pPr>
          </w:p>
        </w:tc>
        <w:tc>
          <w:tcPr>
            <w:tcW w:w="1542" w:type="dxa"/>
            <w:tcBorders>
              <w:top w:val="nil"/>
              <w:left w:val="single" w:sz="4" w:space="0" w:color="auto"/>
              <w:bottom w:val="nil"/>
              <w:right w:val="nil"/>
            </w:tcBorders>
            <w:shd w:val="clear" w:color="auto" w:fill="auto"/>
            <w:vAlign w:val="center"/>
          </w:tcPr>
          <w:p w14:paraId="55D39D5E" w14:textId="77777777" w:rsidR="00B2751A" w:rsidRPr="00330917" w:rsidRDefault="00B2751A" w:rsidP="006B0F30">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w:t>
            </w:r>
            <w:r>
              <w:rPr>
                <w:rFonts w:ascii="Arial" w:eastAsia="Times New Roman" w:hAnsi="Arial" w:cs="Times New Roman"/>
                <w:sz w:val="20"/>
                <w:szCs w:val="20"/>
                <w:lang w:val="en-AU"/>
              </w:rPr>
              <w:t xml:space="preserve"> Code:</w:t>
            </w:r>
          </w:p>
        </w:tc>
        <w:tc>
          <w:tcPr>
            <w:tcW w:w="2195" w:type="dxa"/>
            <w:gridSpan w:val="2"/>
            <w:tcBorders>
              <w:top w:val="dashed" w:sz="4" w:space="0" w:color="auto"/>
              <w:left w:val="nil"/>
              <w:bottom w:val="dashed" w:sz="4" w:space="0" w:color="auto"/>
              <w:right w:val="nil"/>
            </w:tcBorders>
            <w:shd w:val="clear" w:color="auto" w:fill="auto"/>
            <w:vAlign w:val="center"/>
          </w:tcPr>
          <w:p w14:paraId="32490DF8" w14:textId="082C4ED6" w:rsidR="00B2751A" w:rsidRPr="00330917" w:rsidRDefault="00B2751A" w:rsidP="006B0F30">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BMIH</w:t>
            </w:r>
            <w:r w:rsidR="00F01212">
              <w:rPr>
                <w:rFonts w:ascii="Arial" w:eastAsia="Times New Roman" w:hAnsi="Arial" w:cs="Times New Roman"/>
                <w:b/>
                <w:sz w:val="20"/>
                <w:szCs w:val="20"/>
                <w:lang w:val="en-AU"/>
              </w:rPr>
              <w:t>5005</w:t>
            </w:r>
          </w:p>
        </w:tc>
        <w:tc>
          <w:tcPr>
            <w:tcW w:w="482" w:type="dxa"/>
            <w:tcBorders>
              <w:top w:val="nil"/>
              <w:left w:val="nil"/>
              <w:bottom w:val="nil"/>
              <w:right w:val="single" w:sz="4" w:space="0" w:color="auto"/>
            </w:tcBorders>
            <w:shd w:val="clear" w:color="auto" w:fill="auto"/>
            <w:vAlign w:val="center"/>
          </w:tcPr>
          <w:p w14:paraId="37A9AF5F" w14:textId="77777777" w:rsidR="00B2751A" w:rsidRPr="00330917" w:rsidRDefault="00B2751A" w:rsidP="006B0F30">
            <w:pPr>
              <w:keepNext/>
              <w:spacing w:after="0" w:line="240" w:lineRule="auto"/>
              <w:jc w:val="center"/>
              <w:rPr>
                <w:rFonts w:ascii="Arial" w:eastAsia="Times New Roman" w:hAnsi="Arial" w:cs="Times New Roman"/>
                <w:b/>
                <w:sz w:val="20"/>
                <w:szCs w:val="20"/>
                <w:lang w:val="en-AU"/>
              </w:rPr>
            </w:pPr>
          </w:p>
        </w:tc>
      </w:tr>
      <w:tr w:rsidR="00B2751A" w:rsidRPr="00330917" w14:paraId="1B67CFA2" w14:textId="77777777" w:rsidTr="006B0F30">
        <w:trPr>
          <w:trHeight w:val="550"/>
          <w:jc w:val="center"/>
        </w:trPr>
        <w:tc>
          <w:tcPr>
            <w:tcW w:w="5963" w:type="dxa"/>
            <w:vMerge/>
            <w:tcBorders>
              <w:left w:val="single" w:sz="4" w:space="0" w:color="auto"/>
              <w:right w:val="single" w:sz="4" w:space="0" w:color="auto"/>
            </w:tcBorders>
            <w:shd w:val="clear" w:color="auto" w:fill="auto"/>
          </w:tcPr>
          <w:p w14:paraId="041E7952" w14:textId="77777777" w:rsidR="00B2751A" w:rsidRPr="00330917" w:rsidRDefault="00B2751A" w:rsidP="006B0F30">
            <w:pPr>
              <w:keepNext/>
              <w:spacing w:after="0" w:line="240" w:lineRule="auto"/>
              <w:jc w:val="center"/>
              <w:rPr>
                <w:rFonts w:ascii="Arial" w:eastAsia="Times New Roman" w:hAnsi="Arial" w:cs="Times New Roman"/>
                <w:b/>
                <w:sz w:val="40"/>
                <w:szCs w:val="20"/>
                <w:lang w:val="en-AU"/>
              </w:rPr>
            </w:pPr>
          </w:p>
        </w:tc>
        <w:tc>
          <w:tcPr>
            <w:tcW w:w="1542" w:type="dxa"/>
            <w:tcBorders>
              <w:top w:val="nil"/>
              <w:left w:val="single" w:sz="4" w:space="0" w:color="auto"/>
              <w:bottom w:val="nil"/>
              <w:right w:val="nil"/>
            </w:tcBorders>
            <w:shd w:val="clear" w:color="auto" w:fill="auto"/>
            <w:vAlign w:val="center"/>
          </w:tcPr>
          <w:p w14:paraId="2020EF92" w14:textId="77777777" w:rsidR="00B2751A" w:rsidRPr="00330917" w:rsidRDefault="00B2751A" w:rsidP="006B0F30">
            <w:pPr>
              <w:keepNext/>
              <w:spacing w:after="0"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Lecturer:</w:t>
            </w:r>
          </w:p>
        </w:tc>
        <w:tc>
          <w:tcPr>
            <w:tcW w:w="2195" w:type="dxa"/>
            <w:gridSpan w:val="2"/>
            <w:tcBorders>
              <w:top w:val="dashed" w:sz="4" w:space="0" w:color="auto"/>
              <w:left w:val="nil"/>
              <w:bottom w:val="dashed" w:sz="4" w:space="0" w:color="auto"/>
              <w:right w:val="nil"/>
            </w:tcBorders>
            <w:shd w:val="clear" w:color="auto" w:fill="auto"/>
            <w:vAlign w:val="center"/>
          </w:tcPr>
          <w:p w14:paraId="2A937108" w14:textId="2D1E345A" w:rsidR="00B2751A" w:rsidRPr="00330917" w:rsidRDefault="00F01212" w:rsidP="006B0F30">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Helen Evans</w:t>
            </w:r>
          </w:p>
        </w:tc>
        <w:tc>
          <w:tcPr>
            <w:tcW w:w="482" w:type="dxa"/>
            <w:tcBorders>
              <w:top w:val="nil"/>
              <w:left w:val="nil"/>
              <w:bottom w:val="nil"/>
              <w:right w:val="single" w:sz="4" w:space="0" w:color="auto"/>
            </w:tcBorders>
            <w:shd w:val="clear" w:color="auto" w:fill="auto"/>
            <w:vAlign w:val="center"/>
          </w:tcPr>
          <w:p w14:paraId="75641433" w14:textId="77777777" w:rsidR="00B2751A" w:rsidRPr="00330917" w:rsidRDefault="00B2751A" w:rsidP="006B0F30">
            <w:pPr>
              <w:keepNext/>
              <w:spacing w:after="0" w:line="240" w:lineRule="auto"/>
              <w:jc w:val="center"/>
              <w:rPr>
                <w:rFonts w:ascii="Arial" w:eastAsia="Times New Roman" w:hAnsi="Arial" w:cs="Times New Roman"/>
                <w:b/>
                <w:sz w:val="20"/>
                <w:szCs w:val="20"/>
                <w:lang w:val="en-AU"/>
              </w:rPr>
            </w:pPr>
          </w:p>
        </w:tc>
      </w:tr>
      <w:tr w:rsidR="00B2751A" w:rsidRPr="00330917" w14:paraId="544D0440" w14:textId="77777777" w:rsidTr="006B0F30">
        <w:trPr>
          <w:trHeight w:val="23"/>
          <w:jc w:val="center"/>
        </w:trPr>
        <w:tc>
          <w:tcPr>
            <w:tcW w:w="5963" w:type="dxa"/>
            <w:vMerge/>
            <w:tcBorders>
              <w:left w:val="single" w:sz="4" w:space="0" w:color="auto"/>
              <w:bottom w:val="single" w:sz="4" w:space="0" w:color="auto"/>
              <w:right w:val="single" w:sz="4" w:space="0" w:color="auto"/>
            </w:tcBorders>
            <w:shd w:val="clear" w:color="auto" w:fill="auto"/>
          </w:tcPr>
          <w:p w14:paraId="78952AED" w14:textId="77777777" w:rsidR="00B2751A" w:rsidRPr="00330917" w:rsidRDefault="00B2751A" w:rsidP="006B0F30">
            <w:pPr>
              <w:keepNext/>
              <w:spacing w:after="0" w:line="240" w:lineRule="auto"/>
              <w:jc w:val="center"/>
              <w:rPr>
                <w:rFonts w:ascii="Arial" w:eastAsia="Times New Roman" w:hAnsi="Arial" w:cs="Times New Roman"/>
                <w:b/>
                <w:sz w:val="40"/>
                <w:szCs w:val="20"/>
                <w:lang w:val="en-AU"/>
              </w:rPr>
            </w:pPr>
          </w:p>
        </w:tc>
        <w:tc>
          <w:tcPr>
            <w:tcW w:w="2139" w:type="dxa"/>
            <w:gridSpan w:val="2"/>
            <w:tcBorders>
              <w:top w:val="nil"/>
              <w:left w:val="single" w:sz="4" w:space="0" w:color="auto"/>
              <w:bottom w:val="single" w:sz="4" w:space="0" w:color="auto"/>
              <w:right w:val="nil"/>
            </w:tcBorders>
            <w:shd w:val="clear" w:color="auto" w:fill="auto"/>
            <w:vAlign w:val="center"/>
          </w:tcPr>
          <w:p w14:paraId="0D9CC554" w14:textId="77777777" w:rsidR="00B2751A" w:rsidRPr="00330917" w:rsidRDefault="00B2751A" w:rsidP="006B0F30">
            <w:pPr>
              <w:keepNext/>
              <w:spacing w:after="0"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24AEB7A" w14:textId="77777777" w:rsidR="00B2751A" w:rsidRPr="00330917" w:rsidRDefault="00B2751A" w:rsidP="006B0F30">
            <w:pPr>
              <w:keepNext/>
              <w:spacing w:after="0" w:line="240" w:lineRule="auto"/>
              <w:rPr>
                <w:rFonts w:ascii="Arial" w:eastAsia="Times New Roman" w:hAnsi="Arial" w:cs="Times New Roman"/>
                <w:b/>
                <w:sz w:val="16"/>
                <w:szCs w:val="16"/>
                <w:lang w:val="en-AU"/>
              </w:rPr>
            </w:pPr>
          </w:p>
        </w:tc>
        <w:tc>
          <w:tcPr>
            <w:tcW w:w="482" w:type="dxa"/>
            <w:tcBorders>
              <w:top w:val="nil"/>
              <w:left w:val="nil"/>
              <w:bottom w:val="single" w:sz="4" w:space="0" w:color="auto"/>
              <w:right w:val="single" w:sz="4" w:space="0" w:color="auto"/>
            </w:tcBorders>
            <w:shd w:val="clear" w:color="auto" w:fill="auto"/>
            <w:vAlign w:val="center"/>
          </w:tcPr>
          <w:p w14:paraId="1F38777F" w14:textId="77777777" w:rsidR="00B2751A" w:rsidRPr="00330917" w:rsidRDefault="00B2751A" w:rsidP="006B0F30">
            <w:pPr>
              <w:keepNext/>
              <w:spacing w:after="0" w:line="240" w:lineRule="auto"/>
              <w:jc w:val="center"/>
              <w:rPr>
                <w:rFonts w:ascii="Arial" w:eastAsia="Times New Roman" w:hAnsi="Arial" w:cs="Times New Roman"/>
                <w:b/>
                <w:sz w:val="40"/>
                <w:szCs w:val="20"/>
                <w:lang w:val="en-AU"/>
              </w:rPr>
            </w:pPr>
          </w:p>
        </w:tc>
      </w:tr>
    </w:tbl>
    <w:p w14:paraId="6876D067" w14:textId="77777777" w:rsidR="00B2751A" w:rsidRDefault="00B2751A" w:rsidP="00FC4D22">
      <w:pPr>
        <w:spacing w:line="360" w:lineRule="auto"/>
        <w:jc w:val="both"/>
        <w:rPr>
          <w:rFonts w:ascii="Arial" w:hAnsi="Arial"/>
          <w:b/>
          <w:bCs/>
          <w:sz w:val="24"/>
        </w:rPr>
      </w:pPr>
    </w:p>
    <w:p w14:paraId="1C3CD17F" w14:textId="77777777" w:rsidR="00B2751A" w:rsidRDefault="00B2751A" w:rsidP="00FC4D22">
      <w:pPr>
        <w:spacing w:line="360" w:lineRule="auto"/>
        <w:jc w:val="both"/>
        <w:rPr>
          <w:rFonts w:ascii="Arial" w:hAnsi="Arial"/>
          <w:b/>
          <w:bCs/>
          <w:sz w:val="24"/>
        </w:rPr>
      </w:pPr>
    </w:p>
    <w:p w14:paraId="2FD01A4C" w14:textId="77777777" w:rsidR="00B2751A" w:rsidRDefault="00B2751A" w:rsidP="00FC4D22">
      <w:pPr>
        <w:spacing w:line="360" w:lineRule="auto"/>
        <w:jc w:val="both"/>
        <w:rPr>
          <w:rFonts w:ascii="Arial" w:hAnsi="Arial"/>
          <w:b/>
          <w:bCs/>
          <w:sz w:val="24"/>
        </w:rPr>
      </w:pPr>
    </w:p>
    <w:p w14:paraId="200C3AE4" w14:textId="77777777" w:rsidR="00B2751A" w:rsidRDefault="00B2751A" w:rsidP="00FC4D22">
      <w:pPr>
        <w:spacing w:line="360" w:lineRule="auto"/>
        <w:jc w:val="both"/>
        <w:rPr>
          <w:rFonts w:ascii="Arial" w:hAnsi="Arial"/>
          <w:b/>
          <w:bCs/>
          <w:sz w:val="24"/>
        </w:rPr>
      </w:pPr>
    </w:p>
    <w:p w14:paraId="689DF990" w14:textId="77777777" w:rsidR="00B2751A" w:rsidRDefault="00B2751A" w:rsidP="00FC4D22">
      <w:pPr>
        <w:spacing w:line="360" w:lineRule="auto"/>
        <w:jc w:val="both"/>
        <w:rPr>
          <w:rFonts w:ascii="Arial" w:hAnsi="Arial"/>
          <w:b/>
          <w:bCs/>
          <w:sz w:val="24"/>
        </w:rPr>
      </w:pPr>
    </w:p>
    <w:p w14:paraId="22B71373" w14:textId="77777777" w:rsidR="00B2751A" w:rsidRDefault="00B2751A" w:rsidP="00FC4D22">
      <w:pPr>
        <w:spacing w:line="360" w:lineRule="auto"/>
        <w:jc w:val="both"/>
        <w:rPr>
          <w:rFonts w:ascii="Arial" w:hAnsi="Arial"/>
          <w:b/>
          <w:bCs/>
          <w:sz w:val="24"/>
        </w:rPr>
      </w:pPr>
    </w:p>
    <w:p w14:paraId="7FD61A88" w14:textId="77777777" w:rsidR="00B2751A" w:rsidRDefault="00B2751A" w:rsidP="00FC4D22">
      <w:pPr>
        <w:spacing w:line="360" w:lineRule="auto"/>
        <w:jc w:val="both"/>
        <w:rPr>
          <w:rFonts w:ascii="Arial" w:hAnsi="Arial"/>
          <w:b/>
          <w:bCs/>
          <w:sz w:val="24"/>
        </w:rPr>
      </w:pPr>
    </w:p>
    <w:p w14:paraId="3D95A06C" w14:textId="77777777" w:rsidR="00B2751A" w:rsidRDefault="00B2751A" w:rsidP="00FC4D22">
      <w:pPr>
        <w:spacing w:line="360" w:lineRule="auto"/>
        <w:jc w:val="both"/>
        <w:rPr>
          <w:rFonts w:ascii="Arial" w:hAnsi="Arial"/>
          <w:b/>
          <w:bCs/>
          <w:sz w:val="24"/>
        </w:rPr>
      </w:pPr>
    </w:p>
    <w:p w14:paraId="73BDC465" w14:textId="77777777" w:rsidR="00B2751A" w:rsidRDefault="00B2751A" w:rsidP="00FC4D22">
      <w:pPr>
        <w:spacing w:line="360" w:lineRule="auto"/>
        <w:jc w:val="both"/>
        <w:rPr>
          <w:rFonts w:ascii="Arial" w:hAnsi="Arial"/>
          <w:b/>
          <w:bCs/>
          <w:sz w:val="24"/>
        </w:rPr>
      </w:pPr>
    </w:p>
    <w:p w14:paraId="53077053" w14:textId="77777777" w:rsidR="00B2751A" w:rsidRDefault="00B2751A" w:rsidP="00FC4D22">
      <w:pPr>
        <w:spacing w:line="360" w:lineRule="auto"/>
        <w:jc w:val="both"/>
        <w:rPr>
          <w:rFonts w:ascii="Arial" w:hAnsi="Arial"/>
          <w:b/>
          <w:bCs/>
          <w:sz w:val="24"/>
        </w:rPr>
      </w:pPr>
    </w:p>
    <w:p w14:paraId="751DDBA8" w14:textId="77777777" w:rsidR="00B2751A" w:rsidRDefault="00B2751A" w:rsidP="00FC4D22">
      <w:pPr>
        <w:spacing w:line="360" w:lineRule="auto"/>
        <w:jc w:val="both"/>
        <w:rPr>
          <w:rFonts w:ascii="Arial" w:hAnsi="Arial"/>
          <w:b/>
          <w:bCs/>
          <w:sz w:val="24"/>
        </w:rPr>
      </w:pPr>
    </w:p>
    <w:p w14:paraId="02DCA859" w14:textId="77777777" w:rsidR="00B2751A" w:rsidRDefault="00B2751A" w:rsidP="00FC4D22">
      <w:pPr>
        <w:spacing w:line="360" w:lineRule="auto"/>
        <w:jc w:val="both"/>
        <w:rPr>
          <w:rFonts w:ascii="Arial" w:hAnsi="Arial"/>
          <w:b/>
          <w:bCs/>
          <w:sz w:val="24"/>
        </w:rPr>
      </w:pPr>
    </w:p>
    <w:p w14:paraId="51C3126A" w14:textId="77777777" w:rsidR="00B2751A" w:rsidRDefault="00B2751A" w:rsidP="00FC4D22">
      <w:pPr>
        <w:spacing w:line="360" w:lineRule="auto"/>
        <w:jc w:val="both"/>
        <w:rPr>
          <w:rFonts w:ascii="Arial" w:hAnsi="Arial"/>
          <w:b/>
          <w:bCs/>
          <w:sz w:val="24"/>
        </w:rPr>
      </w:pPr>
    </w:p>
    <w:p w14:paraId="5D641050" w14:textId="77777777" w:rsidR="00B2751A" w:rsidRDefault="00B2751A" w:rsidP="00FC4D22">
      <w:pPr>
        <w:spacing w:line="360" w:lineRule="auto"/>
        <w:jc w:val="both"/>
        <w:rPr>
          <w:rFonts w:ascii="Arial" w:hAnsi="Arial"/>
          <w:b/>
          <w:bCs/>
          <w:sz w:val="24"/>
        </w:rPr>
      </w:pPr>
    </w:p>
    <w:p w14:paraId="47DAEC43" w14:textId="77777777" w:rsidR="00B2751A" w:rsidRDefault="00B2751A" w:rsidP="00FC4D22">
      <w:pPr>
        <w:spacing w:line="360" w:lineRule="auto"/>
        <w:jc w:val="both"/>
        <w:rPr>
          <w:rFonts w:ascii="Arial" w:hAnsi="Arial"/>
          <w:b/>
          <w:bCs/>
          <w:sz w:val="24"/>
        </w:rPr>
      </w:pPr>
    </w:p>
    <w:p w14:paraId="7505F148" w14:textId="77777777" w:rsidR="00B2751A" w:rsidRDefault="00B2751A" w:rsidP="00FC4D22">
      <w:pPr>
        <w:spacing w:line="360" w:lineRule="auto"/>
        <w:jc w:val="both"/>
        <w:rPr>
          <w:rFonts w:ascii="Arial" w:hAnsi="Arial"/>
          <w:b/>
          <w:bCs/>
          <w:sz w:val="24"/>
        </w:rPr>
      </w:pPr>
    </w:p>
    <w:p w14:paraId="0A7B2267" w14:textId="77777777" w:rsidR="00B2751A" w:rsidRDefault="00B2751A" w:rsidP="00FC4D22">
      <w:pPr>
        <w:spacing w:line="360" w:lineRule="auto"/>
        <w:jc w:val="both"/>
        <w:rPr>
          <w:rFonts w:ascii="Arial" w:hAnsi="Arial"/>
          <w:b/>
          <w:bCs/>
          <w:sz w:val="24"/>
        </w:rPr>
      </w:pPr>
    </w:p>
    <w:p w14:paraId="21B42299" w14:textId="77777777" w:rsidR="00B2751A" w:rsidRDefault="00B2751A" w:rsidP="00FC4D22">
      <w:pPr>
        <w:spacing w:line="360" w:lineRule="auto"/>
        <w:jc w:val="both"/>
        <w:rPr>
          <w:rFonts w:ascii="Arial" w:hAnsi="Arial"/>
          <w:b/>
          <w:bCs/>
          <w:sz w:val="24"/>
        </w:rPr>
      </w:pPr>
    </w:p>
    <w:p w14:paraId="178E0527" w14:textId="77777777" w:rsidR="00B2751A" w:rsidRDefault="00B2751A" w:rsidP="00FC4D22">
      <w:pPr>
        <w:spacing w:line="360" w:lineRule="auto"/>
        <w:jc w:val="both"/>
        <w:rPr>
          <w:rFonts w:ascii="Arial" w:hAnsi="Arial"/>
          <w:b/>
          <w:bCs/>
          <w:sz w:val="24"/>
        </w:rPr>
      </w:pPr>
    </w:p>
    <w:p w14:paraId="4C88347E" w14:textId="16A01D3A" w:rsidR="00FC4D22" w:rsidRDefault="00FC4D22" w:rsidP="00FC4D22">
      <w:pPr>
        <w:spacing w:line="360" w:lineRule="auto"/>
        <w:jc w:val="both"/>
        <w:rPr>
          <w:rFonts w:ascii="Arial" w:hAnsi="Arial"/>
          <w:b/>
          <w:bCs/>
          <w:sz w:val="24"/>
        </w:rPr>
      </w:pPr>
      <w:r w:rsidRPr="00795495">
        <w:rPr>
          <w:rFonts w:ascii="Arial" w:hAnsi="Arial"/>
          <w:b/>
          <w:bCs/>
          <w:sz w:val="24"/>
        </w:rPr>
        <w:lastRenderedPageBreak/>
        <w:t>Introduction:</w:t>
      </w:r>
    </w:p>
    <w:p w14:paraId="2052B199" w14:textId="77777777" w:rsidR="00FC4D22" w:rsidRPr="004E4D4F" w:rsidRDefault="00FC4D22" w:rsidP="00FC4D22">
      <w:pPr>
        <w:pStyle w:val="NormalWeb"/>
        <w:spacing w:line="360" w:lineRule="auto"/>
        <w:jc w:val="both"/>
        <w:rPr>
          <w:rFonts w:ascii="Arial" w:hAnsi="Arial" w:cs="Arial"/>
        </w:rPr>
      </w:pPr>
      <w:r w:rsidRPr="004E4D4F">
        <w:rPr>
          <w:rFonts w:ascii="Arial" w:hAnsi="Arial" w:cs="Arial"/>
        </w:rPr>
        <w:t>Any organisation must have human resource management since it involves looking after its most precious resource—its employees. One of the main purposes of human resource management is to attract, retain, and develop a skilled workforce that can assist an organisation in achieving its goals and objectives. This is done by managing and developing talent. Today's highly competitive business environment makes managing and developing talent essential to an organisation's success because it allows them to gain a competitive edge by building a workforce that is competent, dedicated, and in line with their mission and objectives.</w:t>
      </w:r>
      <w:r>
        <w:rPr>
          <w:rFonts w:ascii="Arial" w:hAnsi="Arial" w:cs="Arial"/>
        </w:rPr>
        <w:t xml:space="preserve"> Armstrong (2021). </w:t>
      </w:r>
    </w:p>
    <w:p w14:paraId="1F73FCAC" w14:textId="77777777" w:rsidR="00FC4D22" w:rsidRPr="00795495" w:rsidRDefault="00FC4D22" w:rsidP="00FC4D22">
      <w:pPr>
        <w:spacing w:line="360" w:lineRule="auto"/>
        <w:jc w:val="both"/>
        <w:rPr>
          <w:rFonts w:ascii="Arial" w:hAnsi="Arial"/>
          <w:sz w:val="24"/>
        </w:rPr>
      </w:pPr>
      <w:r w:rsidRPr="00795495">
        <w:rPr>
          <w:rFonts w:ascii="Arial" w:hAnsi="Arial"/>
          <w:sz w:val="24"/>
        </w:rPr>
        <w:t>Because it requires a lot of manpower, the hospitality sector relies heavily on human resources management. A large hotel's human resources department must engage in a variety of tasks to manage and develop talent over the course of an employee's tenure with the business. In order to manage and develop talent, a large hotel's human resources department must engage in a number of tasks, which are critically evaluated in this essay.</w:t>
      </w:r>
    </w:p>
    <w:p w14:paraId="3FB10DE7" w14:textId="77777777" w:rsidR="00FC4D22" w:rsidRDefault="00FC4D22" w:rsidP="00FC4D22">
      <w:pPr>
        <w:spacing w:line="360" w:lineRule="auto"/>
        <w:jc w:val="both"/>
        <w:rPr>
          <w:rFonts w:ascii="Arial" w:hAnsi="Arial"/>
          <w:b/>
          <w:bCs/>
          <w:sz w:val="24"/>
        </w:rPr>
      </w:pPr>
      <w:r w:rsidRPr="00795495">
        <w:rPr>
          <w:rFonts w:ascii="Arial" w:hAnsi="Arial"/>
          <w:b/>
          <w:bCs/>
          <w:sz w:val="24"/>
        </w:rPr>
        <w:t>The role of human resources in managing and developing talent:</w:t>
      </w:r>
    </w:p>
    <w:p w14:paraId="066F3256" w14:textId="77777777" w:rsidR="00FC4D22" w:rsidRDefault="00FC4D22" w:rsidP="00FC4D22">
      <w:pPr>
        <w:pStyle w:val="NormalWeb"/>
        <w:spacing w:line="360" w:lineRule="auto"/>
        <w:jc w:val="both"/>
      </w:pPr>
      <w:r w:rsidRPr="00DD105A">
        <w:rPr>
          <w:rFonts w:ascii="Arial" w:hAnsi="Arial" w:cs="Arial"/>
        </w:rPr>
        <w:t>The creation and implementation of policies and programmes that draw in, keep, and develop a talented workforce are the responsibilities of human resources in managing and developing talent. The hiring, vetting, and onboarding of employees fall within the purview of human resources departments, which are also in charge of offering staff chances for training and development to advance their knowledge and talents. Performance management, succession planning, and career development are additional responsibilities of human resources departments, which aid in identifying and developing individuals' potential and ensuring that they are in line with the organisation's goals and objectives</w:t>
      </w:r>
      <w:r>
        <w:t>.</w:t>
      </w:r>
    </w:p>
    <w:p w14:paraId="72EAB16E" w14:textId="52F6F8DD" w:rsidR="00FC4D22" w:rsidRPr="00795495" w:rsidRDefault="00FC4D22" w:rsidP="00FC4D22">
      <w:pPr>
        <w:pStyle w:val="NormalWeb"/>
        <w:spacing w:line="360" w:lineRule="auto"/>
        <w:jc w:val="both"/>
        <w:rPr>
          <w:rFonts w:ascii="Arial" w:hAnsi="Arial"/>
        </w:rPr>
      </w:pPr>
      <w:r w:rsidRPr="00795495">
        <w:rPr>
          <w:rFonts w:ascii="Arial" w:hAnsi="Arial"/>
        </w:rPr>
        <w:t xml:space="preserve">For organisations to manage and grow talent in the hospitality sector, human resources management is essential (Jackson &amp; Ruderman, 2012). Attracting, recruiting, onboarding, developing, maintaining, and terminating employees are all parts of </w:t>
      </w:r>
      <w:r w:rsidR="00681CAC">
        <w:rPr>
          <w:rFonts w:ascii="Arial" w:hAnsi="Arial"/>
        </w:rPr>
        <w:t xml:space="preserve">the </w:t>
      </w:r>
      <w:r w:rsidRPr="00795495">
        <w:rPr>
          <w:rFonts w:ascii="Arial" w:hAnsi="Arial"/>
        </w:rPr>
        <w:t xml:space="preserve">human resources' role in managing and growing talent (Parker, 2013). </w:t>
      </w:r>
      <w:r w:rsidRPr="00795495">
        <w:rPr>
          <w:rFonts w:ascii="Arial" w:hAnsi="Arial"/>
        </w:rPr>
        <w:lastRenderedPageBreak/>
        <w:t>Through these actions, the organisation can be certain that the correct individuals are working in the best capacities for them and for the organisation as a whole.</w:t>
      </w:r>
    </w:p>
    <w:p w14:paraId="30A5BEE6" w14:textId="77777777" w:rsidR="00FC4D22" w:rsidRDefault="00FC4D22" w:rsidP="00FC4D22">
      <w:pPr>
        <w:spacing w:line="360" w:lineRule="auto"/>
        <w:jc w:val="both"/>
        <w:rPr>
          <w:rFonts w:ascii="Arial" w:hAnsi="Arial"/>
          <w:b/>
          <w:bCs/>
          <w:sz w:val="24"/>
        </w:rPr>
      </w:pPr>
      <w:r w:rsidRPr="00795495">
        <w:rPr>
          <w:rFonts w:ascii="Arial" w:hAnsi="Arial"/>
          <w:b/>
          <w:bCs/>
          <w:sz w:val="24"/>
        </w:rPr>
        <w:t>Human Resources' Function in Managing and Developing Talent:</w:t>
      </w:r>
    </w:p>
    <w:p w14:paraId="619953CC" w14:textId="77777777" w:rsidR="00FC4D22" w:rsidRPr="008759ED" w:rsidRDefault="00FC4D22" w:rsidP="00FC4D22">
      <w:pPr>
        <w:spacing w:line="360" w:lineRule="auto"/>
        <w:jc w:val="both"/>
        <w:rPr>
          <w:rFonts w:ascii="Arial" w:hAnsi="Arial"/>
          <w:b/>
          <w:bCs/>
          <w:sz w:val="24"/>
        </w:rPr>
      </w:pPr>
      <w:r w:rsidRPr="008759ED">
        <w:t xml:space="preserve"> </w:t>
      </w:r>
      <w:r w:rsidRPr="008759ED">
        <w:rPr>
          <w:rFonts w:ascii="Arial" w:hAnsi="Arial" w:cs="Arial"/>
        </w:rPr>
        <w:br/>
      </w:r>
      <w:r w:rsidRPr="00FC4D22">
        <w:rPr>
          <w:rFonts w:ascii="Arial" w:hAnsi="Arial" w:cs="Arial"/>
          <w:sz w:val="24"/>
          <w:szCs w:val="24"/>
        </w:rPr>
        <w:t>Employee Performance: Employees are more likely to perform their duties successfully when given the required training and growth opportunities. As a result, they produce more work and help the organisation succeed (</w:t>
      </w:r>
      <w:proofErr w:type="spellStart"/>
      <w:r w:rsidRPr="00FC4D22">
        <w:rPr>
          <w:rFonts w:ascii="Arial" w:hAnsi="Arial" w:cs="Arial"/>
          <w:sz w:val="24"/>
          <w:szCs w:val="24"/>
        </w:rPr>
        <w:t>Dessler</w:t>
      </w:r>
      <w:proofErr w:type="spellEnd"/>
      <w:r w:rsidRPr="00FC4D22">
        <w:rPr>
          <w:rFonts w:ascii="Arial" w:hAnsi="Arial" w:cs="Arial"/>
          <w:sz w:val="24"/>
          <w:szCs w:val="24"/>
        </w:rPr>
        <w:t xml:space="preserve"> et al., 2019).</w:t>
      </w:r>
      <w:r w:rsidRPr="008759ED">
        <w:rPr>
          <w:rFonts w:ascii="Arial" w:hAnsi="Arial" w:cs="Arial"/>
        </w:rPr>
        <w:br/>
      </w:r>
      <w:r w:rsidRPr="008759ED">
        <w:rPr>
          <w:rFonts w:ascii="Arial" w:hAnsi="Arial" w:cs="Arial"/>
        </w:rPr>
        <w:br/>
        <w:t>Increased Employee Engagement: Employees are more likely to be engaged and committed to their work when they feel that their efforts are respected and recognised. As a result, they are more satisfied with their jobs, and turnover rates are lower (Armstrong, 2021).</w:t>
      </w:r>
    </w:p>
    <w:p w14:paraId="52309592" w14:textId="77777777" w:rsidR="00FC4D22" w:rsidRPr="008759ED" w:rsidRDefault="00FC4D22" w:rsidP="00FC4D22">
      <w:pPr>
        <w:pStyle w:val="NormalWeb"/>
        <w:spacing w:line="360" w:lineRule="auto"/>
        <w:jc w:val="both"/>
        <w:rPr>
          <w:rFonts w:ascii="Arial" w:hAnsi="Arial" w:cs="Arial"/>
          <w:color w:val="252525"/>
        </w:rPr>
      </w:pPr>
      <w:r w:rsidRPr="008759ED">
        <w:rPr>
          <w:rFonts w:ascii="Arial" w:hAnsi="Arial" w:cs="Arial"/>
          <w:color w:val="252525"/>
        </w:rPr>
        <w:t>Better Succession Planning: Employing talent management and development techniques enables businesses to spot potential leaders and prepare them for future executive positions. This enhances the company's succession planning and guarantees that it has a large pool of qualified candidates (Redman &amp; Wilkinson, 2018).</w:t>
      </w:r>
      <w:r w:rsidRPr="008759ED">
        <w:rPr>
          <w:rFonts w:ascii="Arial" w:hAnsi="Arial" w:cs="Arial"/>
          <w:color w:val="252525"/>
        </w:rPr>
        <w:br/>
      </w:r>
      <w:r w:rsidRPr="008759ED">
        <w:rPr>
          <w:rFonts w:ascii="Arial" w:hAnsi="Arial" w:cs="Arial"/>
          <w:color w:val="252525"/>
        </w:rPr>
        <w:br/>
        <w:t>Employer branding is improved when businesses make investments in the training and development of their staff. This increases the organisation's appeal to top personnel and enhances its standing as an employer of choice (Taylor, 2017).</w:t>
      </w:r>
    </w:p>
    <w:p w14:paraId="2CE6E16D" w14:textId="77777777" w:rsidR="00FC4D22" w:rsidRPr="00795495" w:rsidRDefault="00FC4D22" w:rsidP="00FC4D22">
      <w:pPr>
        <w:pStyle w:val="NormalWeb"/>
        <w:spacing w:line="360" w:lineRule="auto"/>
        <w:jc w:val="both"/>
        <w:rPr>
          <w:rFonts w:ascii="Arial" w:hAnsi="Arial"/>
        </w:rPr>
      </w:pPr>
      <w:r w:rsidRPr="00795495">
        <w:rPr>
          <w:rFonts w:ascii="Arial" w:hAnsi="Arial"/>
        </w:rPr>
        <w:t>The employee lifecycle's initial phase is recruitment. During this phase, prospective employees must be drawn to the company. In order to accomplish this, the human resources department can use channels for recruiting, including job boards and social media, as well as promote the company's brand and culture, offer competitive pay and benefits packages, and more (</w:t>
      </w:r>
      <w:proofErr w:type="spellStart"/>
      <w:r w:rsidRPr="00795495">
        <w:rPr>
          <w:rFonts w:ascii="Arial" w:hAnsi="Arial"/>
        </w:rPr>
        <w:t>Deery</w:t>
      </w:r>
      <w:proofErr w:type="spellEnd"/>
      <w:r w:rsidRPr="00795495">
        <w:rPr>
          <w:rFonts w:ascii="Arial" w:hAnsi="Arial"/>
        </w:rPr>
        <w:t xml:space="preserve"> &amp; </w:t>
      </w:r>
      <w:proofErr w:type="spellStart"/>
      <w:r w:rsidRPr="00795495">
        <w:rPr>
          <w:rFonts w:ascii="Arial" w:hAnsi="Arial"/>
        </w:rPr>
        <w:t>Jago</w:t>
      </w:r>
      <w:proofErr w:type="spellEnd"/>
      <w:r w:rsidRPr="00795495">
        <w:rPr>
          <w:rFonts w:ascii="Arial" w:hAnsi="Arial"/>
        </w:rPr>
        <w:t>, 2015).</w:t>
      </w:r>
    </w:p>
    <w:p w14:paraId="3062CED7" w14:textId="77777777" w:rsidR="00FC4D22" w:rsidRPr="00795495" w:rsidRDefault="00FC4D22" w:rsidP="00FC4D22">
      <w:pPr>
        <w:pStyle w:val="NormalWeb"/>
        <w:spacing w:line="360" w:lineRule="auto"/>
        <w:jc w:val="both"/>
        <w:rPr>
          <w:rFonts w:ascii="Arial" w:hAnsi="Arial"/>
          <w:b/>
          <w:bCs/>
        </w:rPr>
      </w:pPr>
      <w:r w:rsidRPr="00795495">
        <w:rPr>
          <w:rFonts w:ascii="Arial" w:hAnsi="Arial"/>
          <w:b/>
          <w:bCs/>
        </w:rPr>
        <w:t>Attraction</w:t>
      </w:r>
      <w:r>
        <w:rPr>
          <w:rFonts w:ascii="Arial" w:hAnsi="Arial"/>
          <w:b/>
          <w:bCs/>
        </w:rPr>
        <w:t>:</w:t>
      </w:r>
    </w:p>
    <w:p w14:paraId="32DCF2EE" w14:textId="4BDBCCFD" w:rsidR="00C04350" w:rsidRPr="00C04350" w:rsidRDefault="00FC4D22" w:rsidP="00C04350">
      <w:pPr>
        <w:pStyle w:val="NormalWeb"/>
        <w:spacing w:line="360" w:lineRule="auto"/>
        <w:jc w:val="both"/>
        <w:rPr>
          <w:rFonts w:ascii="Arial" w:hAnsi="Arial" w:cs="Arial"/>
          <w:color w:val="252525"/>
        </w:rPr>
      </w:pPr>
      <w:r w:rsidRPr="00795495">
        <w:rPr>
          <w:rFonts w:ascii="Arial" w:hAnsi="Arial"/>
        </w:rPr>
        <w:t xml:space="preserve">The employee lifecycle's initial phase is recruitment. During this phase, prospective employees must be drawn to the company. In order to accomplish this, the human resources department can use channels for recruiting, including job boards and social media, as well as promote the company's brand and culture, offer competitive pay and </w:t>
      </w:r>
      <w:r w:rsidRPr="00795495">
        <w:rPr>
          <w:rFonts w:ascii="Arial" w:hAnsi="Arial"/>
        </w:rPr>
        <w:lastRenderedPageBreak/>
        <w:t>benefits packages, and more (</w:t>
      </w:r>
      <w:proofErr w:type="spellStart"/>
      <w:r w:rsidRPr="00795495">
        <w:rPr>
          <w:rFonts w:ascii="Arial" w:hAnsi="Arial"/>
        </w:rPr>
        <w:t>Deery</w:t>
      </w:r>
      <w:proofErr w:type="spellEnd"/>
      <w:r w:rsidRPr="00795495">
        <w:rPr>
          <w:rFonts w:ascii="Arial" w:hAnsi="Arial"/>
        </w:rPr>
        <w:t xml:space="preserve"> &amp; </w:t>
      </w:r>
      <w:proofErr w:type="spellStart"/>
      <w:r w:rsidRPr="00795495">
        <w:rPr>
          <w:rFonts w:ascii="Arial" w:hAnsi="Arial"/>
        </w:rPr>
        <w:t>Jago</w:t>
      </w:r>
      <w:proofErr w:type="spellEnd"/>
      <w:r w:rsidRPr="00795495">
        <w:rPr>
          <w:rFonts w:ascii="Arial" w:hAnsi="Arial"/>
        </w:rPr>
        <w:t>, 2015).</w:t>
      </w:r>
      <w:r w:rsidR="00C04350" w:rsidRPr="00C04350">
        <w:rPr>
          <w:color w:val="252525"/>
        </w:rPr>
        <w:t xml:space="preserve"> </w:t>
      </w:r>
      <w:r w:rsidR="00C04350" w:rsidRPr="00C04350">
        <w:rPr>
          <w:rFonts w:ascii="Arial" w:hAnsi="Arial" w:cs="Arial"/>
          <w:color w:val="252525"/>
        </w:rPr>
        <w:t>According to Armstrong (2014), the selection procedure should be created to draw in a wide pool of applicants and offer a truthful depiction of the position's requirements. Additionally, it must be economical, effective, and compatible with the law. To guarantee that the best applicant gets recruited for the position, the selection process should be based on objective criteria such as skills, qualifications, and experience.</w:t>
      </w:r>
    </w:p>
    <w:p w14:paraId="59A5E971" w14:textId="616070FF" w:rsidR="00FC4D22" w:rsidRPr="00795495" w:rsidRDefault="00FC4D22" w:rsidP="00FC4D22">
      <w:pPr>
        <w:pStyle w:val="NormalWeb"/>
        <w:spacing w:line="360" w:lineRule="auto"/>
        <w:jc w:val="both"/>
        <w:rPr>
          <w:rFonts w:ascii="Arial" w:hAnsi="Arial"/>
        </w:rPr>
      </w:pPr>
    </w:p>
    <w:p w14:paraId="4CF97E00" w14:textId="77777777" w:rsidR="00FC4D22" w:rsidRDefault="00FC4D22" w:rsidP="00FC4D22">
      <w:pPr>
        <w:pStyle w:val="NormalWeb"/>
        <w:spacing w:line="360" w:lineRule="auto"/>
        <w:jc w:val="both"/>
        <w:rPr>
          <w:rFonts w:ascii="Arial" w:hAnsi="Arial"/>
          <w:b/>
          <w:bCs/>
          <w:color w:val="252525"/>
        </w:rPr>
      </w:pPr>
      <w:r>
        <w:rPr>
          <w:rFonts w:ascii="Arial" w:hAnsi="Arial"/>
          <w:b/>
          <w:bCs/>
          <w:color w:val="252525"/>
        </w:rPr>
        <w:t>Onboarding:</w:t>
      </w:r>
    </w:p>
    <w:p w14:paraId="1A6399B3" w14:textId="41C2C0F7" w:rsidR="00FC4D22" w:rsidRPr="00391A41" w:rsidRDefault="00FC4D22" w:rsidP="00FC4D22">
      <w:pPr>
        <w:pStyle w:val="NormalWeb"/>
        <w:spacing w:line="360" w:lineRule="auto"/>
        <w:jc w:val="both"/>
        <w:rPr>
          <w:rFonts w:ascii="Arial" w:hAnsi="Arial"/>
          <w:b/>
          <w:bCs/>
          <w:color w:val="252525"/>
        </w:rPr>
      </w:pPr>
      <w:r>
        <w:rPr>
          <w:rFonts w:ascii="Arial" w:hAnsi="Arial"/>
          <w:color w:val="252525"/>
        </w:rPr>
        <w:t>O</w:t>
      </w:r>
      <w:r w:rsidRPr="00795495">
        <w:rPr>
          <w:rFonts w:ascii="Arial" w:hAnsi="Arial"/>
          <w:color w:val="252525"/>
        </w:rPr>
        <w:t xml:space="preserve">nboarding, which entails giving new recruits the knowledge, skills, and tools they need to do their jobs well (Noe et al., 2017). This involves providing them with instructions on the hotel's policies and practises, introducing them to their </w:t>
      </w:r>
      <w:r w:rsidR="00681CAC">
        <w:rPr>
          <w:rFonts w:ascii="Arial" w:hAnsi="Arial"/>
          <w:color w:val="252525"/>
        </w:rPr>
        <w:t>co-workers</w:t>
      </w:r>
      <w:r w:rsidRPr="00795495">
        <w:rPr>
          <w:rFonts w:ascii="Arial" w:hAnsi="Arial"/>
          <w:color w:val="252525"/>
        </w:rPr>
        <w:t xml:space="preserve"> and managers, and giving them the tools and technology, they need to do their jobs. Onboarding is essential for assisting new hires in lowering the likelihood of turnover and helping employees adapt to their new workplace.</w:t>
      </w:r>
    </w:p>
    <w:p w14:paraId="7A0C1761" w14:textId="77777777" w:rsidR="00FC4D22" w:rsidRPr="00795495" w:rsidRDefault="00FC4D22" w:rsidP="00FC4D22">
      <w:pPr>
        <w:pStyle w:val="NormalWeb"/>
        <w:spacing w:line="360" w:lineRule="auto"/>
        <w:jc w:val="both"/>
        <w:rPr>
          <w:rFonts w:ascii="Arial" w:hAnsi="Arial"/>
          <w:b/>
          <w:bCs/>
          <w:color w:val="252525"/>
        </w:rPr>
      </w:pPr>
      <w:r w:rsidRPr="00795495">
        <w:rPr>
          <w:rFonts w:ascii="Arial" w:hAnsi="Arial"/>
          <w:b/>
          <w:bCs/>
          <w:color w:val="252525"/>
        </w:rPr>
        <w:t>Development:</w:t>
      </w:r>
    </w:p>
    <w:p w14:paraId="3CE9DCA6" w14:textId="77777777" w:rsidR="00FC4D22" w:rsidRDefault="00FC4D22" w:rsidP="00FC4D22">
      <w:pPr>
        <w:pStyle w:val="NormalWeb"/>
        <w:spacing w:line="360" w:lineRule="auto"/>
        <w:jc w:val="both"/>
      </w:pPr>
      <w:r w:rsidRPr="00795495">
        <w:rPr>
          <w:rFonts w:ascii="Arial" w:hAnsi="Arial"/>
          <w:color w:val="252525"/>
        </w:rPr>
        <w:t xml:space="preserve">The third stage of the employee lifecycle is development, which entails giving staff members continual training and career advancement chances to help them gain new abilities. Training in customer service, leadership development, and cross-functional training are a few examples of this. </w:t>
      </w:r>
      <w:r w:rsidRPr="00795495">
        <w:rPr>
          <w:rFonts w:ascii="Arial" w:hAnsi="Arial"/>
        </w:rPr>
        <w:t>Development is a crucial component of managing talent, according to Milkovich and Newman (2017), and it may help organisations stay competitive by ensuring that their staff members have the skills and knowledge required to do their jobs well.</w:t>
      </w:r>
    </w:p>
    <w:p w14:paraId="72C2A23F" w14:textId="77777777" w:rsidR="00FC4D22" w:rsidRPr="009906D4" w:rsidRDefault="00FC4D22" w:rsidP="00FC4D22">
      <w:pPr>
        <w:pStyle w:val="NormalWeb"/>
        <w:spacing w:line="360" w:lineRule="auto"/>
        <w:jc w:val="both"/>
        <w:rPr>
          <w:rFonts w:ascii="Arial" w:hAnsi="Arial"/>
        </w:rPr>
      </w:pPr>
      <w:r w:rsidRPr="009906D4">
        <w:rPr>
          <w:rFonts w:ascii="Arial" w:hAnsi="Arial" w:cs="Arial"/>
        </w:rPr>
        <w:t>Employing Technology to Support Talent Management: Organisations should employ technology to support their hiring, selection, development, and performance management processes. Utilising applicant tracking systems, learning management systems, and performance management tools are a few examples of how to do this. For instance, Amazon employs artificial intelligence (AI) to evaluate job candidates and spot prospective company leaders (Armstrong, 2021).</w:t>
      </w:r>
    </w:p>
    <w:p w14:paraId="53F3974F" w14:textId="77777777" w:rsidR="00FC4D22" w:rsidRPr="00795495" w:rsidRDefault="00FC4D22" w:rsidP="00FC4D22">
      <w:pPr>
        <w:pStyle w:val="NormalWeb"/>
        <w:spacing w:line="360" w:lineRule="auto"/>
        <w:jc w:val="both"/>
        <w:rPr>
          <w:rFonts w:ascii="Arial" w:hAnsi="Arial"/>
          <w:b/>
          <w:bCs/>
        </w:rPr>
      </w:pPr>
      <w:r w:rsidRPr="00795495">
        <w:rPr>
          <w:rFonts w:ascii="Arial" w:hAnsi="Arial"/>
          <w:b/>
          <w:bCs/>
        </w:rPr>
        <w:t>Retention:</w:t>
      </w:r>
    </w:p>
    <w:p w14:paraId="430092CE" w14:textId="77777777" w:rsidR="00FC4D22" w:rsidRPr="00795495" w:rsidRDefault="00FC4D22" w:rsidP="00FC4D22">
      <w:pPr>
        <w:pStyle w:val="NormalWeb"/>
        <w:spacing w:line="360" w:lineRule="auto"/>
        <w:jc w:val="both"/>
        <w:rPr>
          <w:rFonts w:ascii="Arial" w:hAnsi="Arial"/>
          <w:color w:val="252525"/>
        </w:rPr>
      </w:pPr>
      <w:r w:rsidRPr="00795495">
        <w:rPr>
          <w:rFonts w:ascii="Arial" w:hAnsi="Arial"/>
          <w:color w:val="252525"/>
        </w:rPr>
        <w:lastRenderedPageBreak/>
        <w:t xml:space="preserve">Retention methods are essential to managing and advancing personnel. This entails determining and addressing the causes of employee unhappiness accordingly. The Society for Human Resource Management (SHRM) found that poor management, a lack of recognition and feedback, a lack of possibilities for professional advancement, low pay and benefits, and a poor work-life balance are the most frequent causes of employee discontent (SHRM, 2017). </w:t>
      </w:r>
    </w:p>
    <w:p w14:paraId="080CD244" w14:textId="77777777" w:rsidR="00FC4D22" w:rsidRPr="00795495" w:rsidRDefault="00FC4D22" w:rsidP="00FC4D22">
      <w:pPr>
        <w:pStyle w:val="NormalWeb"/>
        <w:spacing w:line="360" w:lineRule="auto"/>
        <w:jc w:val="both"/>
        <w:rPr>
          <w:rFonts w:ascii="Arial" w:hAnsi="Arial"/>
          <w:color w:val="252525"/>
        </w:rPr>
      </w:pPr>
      <w:r w:rsidRPr="00795495">
        <w:rPr>
          <w:rFonts w:ascii="Arial" w:hAnsi="Arial"/>
          <w:color w:val="252525"/>
        </w:rPr>
        <w:t>HR departments can create initiatives and programmes to encourage employee engagement and work satisfaction in order to address these issues. Additionally, HR divisions can increase employee retention by providing competitive pay and benefits. This includes providing health insurance, retirement programmes, paid time off, and other perks that might enable staff to strike a balance between their personal and professional lives. Employees are more likely to stick with a company if they believe they are paid fairly and have access to great perks, per a Glassdoor survey (Glassdoor, 2021).</w:t>
      </w:r>
    </w:p>
    <w:p w14:paraId="6EEB1D9E" w14:textId="77777777" w:rsidR="00FC4D22" w:rsidRPr="00795495" w:rsidRDefault="00FC4D22" w:rsidP="00FC4D22">
      <w:pPr>
        <w:pStyle w:val="NormalWeb"/>
        <w:spacing w:line="360" w:lineRule="auto"/>
        <w:jc w:val="both"/>
        <w:rPr>
          <w:rFonts w:ascii="Arial" w:hAnsi="Arial"/>
          <w:b/>
          <w:bCs/>
          <w:color w:val="252525"/>
        </w:rPr>
      </w:pPr>
      <w:r w:rsidRPr="00795495">
        <w:rPr>
          <w:rFonts w:ascii="Arial" w:hAnsi="Arial"/>
          <w:b/>
          <w:bCs/>
          <w:color w:val="252525"/>
        </w:rPr>
        <w:t>Separation:</w:t>
      </w:r>
    </w:p>
    <w:p w14:paraId="4CDC28F7" w14:textId="78940F05" w:rsidR="00FC4D22" w:rsidRPr="00795495" w:rsidRDefault="00FC4D22" w:rsidP="00FC4D22">
      <w:pPr>
        <w:pStyle w:val="NormalWeb"/>
        <w:spacing w:line="360" w:lineRule="auto"/>
        <w:jc w:val="both"/>
        <w:rPr>
          <w:rFonts w:ascii="Arial" w:hAnsi="Arial"/>
          <w:color w:val="252525"/>
        </w:rPr>
      </w:pPr>
      <w:r w:rsidRPr="00795495">
        <w:rPr>
          <w:rFonts w:ascii="Arial" w:hAnsi="Arial"/>
          <w:color w:val="252525"/>
        </w:rPr>
        <w:t xml:space="preserve"> The employee lifecycle's last stage is separation. When employees leave the company, either voluntarily or involuntarily, they are managed in this phase. By conducting exit interviews, learn the reasons behind employees' departures and spot areas that might be improved giving feedback to departing employees, and </w:t>
      </w:r>
      <w:r w:rsidR="00681CAC">
        <w:rPr>
          <w:rFonts w:ascii="Arial" w:hAnsi="Arial"/>
          <w:color w:val="252525"/>
        </w:rPr>
        <w:t>make</w:t>
      </w:r>
      <w:r w:rsidRPr="00795495">
        <w:rPr>
          <w:rFonts w:ascii="Arial" w:hAnsi="Arial"/>
          <w:color w:val="252525"/>
        </w:rPr>
        <w:t xml:space="preserve"> sure that all legal and ethical requirements are satisfied, such as giving notice and receiving the appropriate severance pay.</w:t>
      </w:r>
    </w:p>
    <w:p w14:paraId="351C5B3B" w14:textId="09EAFBEB" w:rsidR="00FC4D22" w:rsidRPr="00795495" w:rsidRDefault="00FC4D22" w:rsidP="00FC4D22">
      <w:pPr>
        <w:pStyle w:val="NormalWeb"/>
        <w:spacing w:line="360" w:lineRule="auto"/>
        <w:jc w:val="both"/>
        <w:rPr>
          <w:rFonts w:ascii="Arial" w:hAnsi="Arial"/>
          <w:b/>
          <w:bCs/>
        </w:rPr>
      </w:pPr>
      <w:r w:rsidRPr="00795495">
        <w:rPr>
          <w:rFonts w:ascii="Arial" w:hAnsi="Arial"/>
          <w:b/>
          <w:bCs/>
        </w:rPr>
        <w:t xml:space="preserve">Best </w:t>
      </w:r>
      <w:r w:rsidR="00681CAC">
        <w:rPr>
          <w:rFonts w:ascii="Arial" w:hAnsi="Arial"/>
          <w:b/>
          <w:bCs/>
        </w:rPr>
        <w:t>practices</w:t>
      </w:r>
      <w:r w:rsidRPr="00795495">
        <w:rPr>
          <w:rFonts w:ascii="Arial" w:hAnsi="Arial"/>
          <w:b/>
          <w:bCs/>
        </w:rPr>
        <w:t xml:space="preserve"> for managing talent:</w:t>
      </w:r>
    </w:p>
    <w:p w14:paraId="1BE4B58F" w14:textId="0EA30D89" w:rsidR="00FC4D22" w:rsidRPr="00795495" w:rsidRDefault="00FC4D22" w:rsidP="00FC4D22">
      <w:pPr>
        <w:pStyle w:val="NormalWeb"/>
        <w:spacing w:line="360" w:lineRule="auto"/>
        <w:jc w:val="both"/>
        <w:rPr>
          <w:rFonts w:ascii="Arial" w:hAnsi="Arial"/>
        </w:rPr>
      </w:pPr>
      <w:proofErr w:type="gramStart"/>
      <w:r w:rsidRPr="00795495">
        <w:rPr>
          <w:rFonts w:ascii="Arial" w:hAnsi="Arial"/>
        </w:rPr>
        <w:t>In order to</w:t>
      </w:r>
      <w:proofErr w:type="gramEnd"/>
      <w:r w:rsidRPr="00795495">
        <w:rPr>
          <w:rFonts w:ascii="Arial" w:hAnsi="Arial"/>
        </w:rPr>
        <w:t xml:space="preserve"> ensure that the organisation attracts, develops, and retains the best people possible, best </w:t>
      </w:r>
      <w:r w:rsidR="00681CAC">
        <w:rPr>
          <w:rFonts w:ascii="Arial" w:hAnsi="Arial"/>
        </w:rPr>
        <w:t>practices</w:t>
      </w:r>
      <w:r w:rsidRPr="00795495">
        <w:rPr>
          <w:rFonts w:ascii="Arial" w:hAnsi="Arial"/>
        </w:rPr>
        <w:t xml:space="preserve"> in talent management involve putting effective methods into </w:t>
      </w:r>
      <w:r w:rsidR="00681CAC">
        <w:rPr>
          <w:rFonts w:ascii="Arial" w:hAnsi="Arial"/>
        </w:rPr>
        <w:t>practice</w:t>
      </w:r>
      <w:r w:rsidRPr="00795495">
        <w:rPr>
          <w:rFonts w:ascii="Arial" w:hAnsi="Arial"/>
        </w:rPr>
        <w:t xml:space="preserve">. The application of data-driven talent management is one such best </w:t>
      </w:r>
      <w:r w:rsidR="00681CAC">
        <w:rPr>
          <w:rFonts w:ascii="Arial" w:hAnsi="Arial"/>
        </w:rPr>
        <w:t>practice</w:t>
      </w:r>
      <w:r w:rsidRPr="00795495">
        <w:rPr>
          <w:rFonts w:ascii="Arial" w:hAnsi="Arial"/>
        </w:rPr>
        <w:t>. This entails analysing performance, identifying high-potential personnel, and creating customised development plans using data (Mello, 2015).</w:t>
      </w:r>
    </w:p>
    <w:p w14:paraId="30160199" w14:textId="22A33DD0" w:rsidR="00FC4D22" w:rsidRPr="00795495" w:rsidRDefault="00FC4D22" w:rsidP="00FC4D22">
      <w:pPr>
        <w:pStyle w:val="NormalWeb"/>
        <w:spacing w:after="240" w:afterAutospacing="0" w:line="360" w:lineRule="auto"/>
        <w:jc w:val="both"/>
        <w:rPr>
          <w:rFonts w:ascii="Arial" w:hAnsi="Arial"/>
        </w:rPr>
      </w:pPr>
      <w:r w:rsidRPr="00795495">
        <w:rPr>
          <w:rFonts w:ascii="Arial" w:hAnsi="Arial"/>
        </w:rPr>
        <w:t xml:space="preserve">Utilising diversity and inclusion in talent management is another effective </w:t>
      </w:r>
      <w:r w:rsidR="00681CAC">
        <w:rPr>
          <w:rFonts w:ascii="Arial" w:hAnsi="Arial"/>
        </w:rPr>
        <w:t>practice</w:t>
      </w:r>
      <w:r w:rsidRPr="00795495">
        <w:rPr>
          <w:rFonts w:ascii="Arial" w:hAnsi="Arial"/>
        </w:rPr>
        <w:t xml:space="preserve">. This entails making sure that the company's talent management procedures are fair to all </w:t>
      </w:r>
      <w:r w:rsidRPr="00795495">
        <w:rPr>
          <w:rFonts w:ascii="Arial" w:hAnsi="Arial"/>
        </w:rPr>
        <w:lastRenderedPageBreak/>
        <w:t>employees and do not bias against any particular group. To foster innovation and creativity at work, diversity is also encouraged (Parry &amp; Tyson, 2011).</w:t>
      </w:r>
    </w:p>
    <w:p w14:paraId="57480B78" w14:textId="77777777" w:rsidR="00FC4D22" w:rsidRDefault="00FC4D22" w:rsidP="00FC4D22">
      <w:pPr>
        <w:pStyle w:val="NormalWeb"/>
        <w:spacing w:after="240" w:afterAutospacing="0" w:line="360" w:lineRule="auto"/>
        <w:jc w:val="both"/>
        <w:rPr>
          <w:rFonts w:ascii="Arial" w:hAnsi="Arial"/>
        </w:rPr>
      </w:pPr>
      <w:r w:rsidRPr="00795495">
        <w:rPr>
          <w:rFonts w:ascii="Arial" w:hAnsi="Arial"/>
        </w:rPr>
        <w:br/>
      </w:r>
      <w:r>
        <w:rPr>
          <w:rFonts w:ascii="Arial" w:hAnsi="Arial"/>
        </w:rPr>
        <w:t>U</w:t>
      </w:r>
      <w:r w:rsidRPr="00795495">
        <w:rPr>
          <w:rFonts w:ascii="Arial" w:hAnsi="Arial"/>
        </w:rPr>
        <w:t xml:space="preserve">tilising employee engagement surveys to gauge levels of employee satisfaction and engagement. In order to boost engagement and lower turnover rates, the organisation can use this information to pinpoint areas for development and create focused interventions (Robinson, Perryman, &amp; </w:t>
      </w:r>
      <w:proofErr w:type="spellStart"/>
      <w:r w:rsidRPr="00795495">
        <w:rPr>
          <w:rFonts w:ascii="Arial" w:hAnsi="Arial"/>
        </w:rPr>
        <w:t>Hayday</w:t>
      </w:r>
      <w:proofErr w:type="spellEnd"/>
      <w:r w:rsidRPr="00795495">
        <w:rPr>
          <w:rFonts w:ascii="Arial" w:hAnsi="Arial"/>
        </w:rPr>
        <w:t>, 2004).</w:t>
      </w:r>
    </w:p>
    <w:p w14:paraId="01ECDFFA" w14:textId="77777777" w:rsidR="00FC4D22" w:rsidRDefault="00FC4D22" w:rsidP="00FC4D22">
      <w:pPr>
        <w:pStyle w:val="NormalWeb"/>
        <w:spacing w:line="360" w:lineRule="auto"/>
        <w:jc w:val="both"/>
        <w:rPr>
          <w:rFonts w:ascii="Arial" w:hAnsi="Arial" w:cs="Arial"/>
          <w:color w:val="252525"/>
        </w:rPr>
      </w:pPr>
      <w:r w:rsidRPr="00E55487">
        <w:rPr>
          <w:rFonts w:ascii="Arial" w:hAnsi="Arial" w:cs="Arial"/>
          <w:color w:val="252525"/>
        </w:rPr>
        <w:t>Provide Regular Feedback and Appreciation: Businesses should regularly compliment staff members' work and acknowledge their efforts. Employee engagement and job satisfaction increase as a result. For instance, Airbnb</w:t>
      </w:r>
      <w:r>
        <w:rPr>
          <w:rFonts w:ascii="Arial" w:hAnsi="Arial" w:cs="Arial"/>
          <w:color w:val="252525"/>
        </w:rPr>
        <w:t xml:space="preserve"> has a program which</w:t>
      </w:r>
      <w:r w:rsidRPr="00E55487">
        <w:rPr>
          <w:rFonts w:ascii="Arial" w:hAnsi="Arial" w:cs="Arial"/>
          <w:color w:val="252525"/>
        </w:rPr>
        <w:t xml:space="preserve"> allows staff members to send thank-you cards to their co-workers, which are then shared with the entire business (Redman &amp; Wilkinson, 2018).</w:t>
      </w:r>
    </w:p>
    <w:p w14:paraId="77592414" w14:textId="77777777" w:rsidR="00FC4D22" w:rsidRPr="00E55487" w:rsidRDefault="00FC4D22" w:rsidP="00FC4D22">
      <w:pPr>
        <w:pStyle w:val="NormalWeb"/>
        <w:spacing w:line="360" w:lineRule="auto"/>
        <w:jc w:val="both"/>
        <w:rPr>
          <w:rFonts w:ascii="Arial" w:hAnsi="Arial" w:cs="Arial"/>
        </w:rPr>
      </w:pPr>
      <w:r w:rsidRPr="00E55487">
        <w:rPr>
          <w:rFonts w:ascii="Arial" w:hAnsi="Arial" w:cs="Arial"/>
        </w:rPr>
        <w:t>Encourage employees to take responsibility for their own growth by giving them the resources and skills they need to do so in order to promote a culture of learning and development inside their organisations. For instance, Lynda.com, a learning portal owned by LinkedIn, gives staff members access to hundreds of courses and training opportunities (Taylor, 2017).</w:t>
      </w:r>
    </w:p>
    <w:p w14:paraId="31C9FE31" w14:textId="77777777" w:rsidR="00FC4D22" w:rsidRPr="00795495" w:rsidRDefault="00FC4D22" w:rsidP="00FC4D22">
      <w:pPr>
        <w:pStyle w:val="NormalWeb"/>
        <w:spacing w:after="240" w:afterAutospacing="0" w:line="360" w:lineRule="auto"/>
        <w:jc w:val="both"/>
        <w:rPr>
          <w:rFonts w:ascii="Arial" w:hAnsi="Arial"/>
        </w:rPr>
      </w:pPr>
      <w:r w:rsidRPr="00795495">
        <w:rPr>
          <w:rFonts w:ascii="Arial" w:hAnsi="Arial"/>
        </w:rPr>
        <w:t>Marriott International is a prime example of good talent management in the sector. Identifying high-potential employees, offering specialised development opportunities, and fostering diversity and inclusion at work are all parts of the company's extensive personnel management strategy (Marriott International, 2021).</w:t>
      </w:r>
    </w:p>
    <w:p w14:paraId="2D297000" w14:textId="77777777" w:rsidR="00FC4D22" w:rsidRPr="00795495" w:rsidRDefault="00FC4D22" w:rsidP="00FC4D22">
      <w:pPr>
        <w:pStyle w:val="NormalWeb"/>
        <w:spacing w:after="240" w:afterAutospacing="0" w:line="360" w:lineRule="auto"/>
        <w:jc w:val="both"/>
        <w:rPr>
          <w:rFonts w:ascii="Arial" w:hAnsi="Arial"/>
        </w:rPr>
      </w:pPr>
      <w:r w:rsidRPr="00795495">
        <w:rPr>
          <w:rFonts w:ascii="Arial" w:hAnsi="Arial"/>
        </w:rPr>
        <w:t>Another company that uses efficient talent management is Hilton Worldwide. The business offers extensive job rotations, classroom and online training, and mentoring programmes as part of its staff development strategy. To entice and keep elite people, the organisation also provides attractive remuneration and benefits packages (Hilton Worldwide, 2021).</w:t>
      </w:r>
    </w:p>
    <w:p w14:paraId="29BA6D71" w14:textId="77777777" w:rsidR="00FC4D22" w:rsidRPr="005C238C" w:rsidRDefault="00FC4D22" w:rsidP="00FC4D22">
      <w:pPr>
        <w:pStyle w:val="NormalWeb"/>
        <w:spacing w:after="240" w:afterAutospacing="0" w:line="360" w:lineRule="auto"/>
        <w:jc w:val="both"/>
        <w:rPr>
          <w:rFonts w:ascii="Arial" w:hAnsi="Arial"/>
          <w:b/>
          <w:bCs/>
        </w:rPr>
      </w:pPr>
      <w:r w:rsidRPr="005C238C">
        <w:rPr>
          <w:rFonts w:ascii="Arial" w:hAnsi="Arial"/>
          <w:b/>
          <w:bCs/>
        </w:rPr>
        <w:t>Conclusion:</w:t>
      </w:r>
    </w:p>
    <w:p w14:paraId="70055FCA" w14:textId="77777777" w:rsidR="00FC4D22" w:rsidRPr="00795495" w:rsidRDefault="00FC4D22" w:rsidP="00FC4D22">
      <w:pPr>
        <w:pStyle w:val="NormalWeb"/>
        <w:spacing w:line="360" w:lineRule="auto"/>
        <w:jc w:val="both"/>
        <w:rPr>
          <w:rFonts w:ascii="Arial" w:hAnsi="Arial"/>
          <w:color w:val="252525"/>
        </w:rPr>
      </w:pPr>
      <w:r w:rsidRPr="00795495">
        <w:rPr>
          <w:rFonts w:ascii="Arial" w:hAnsi="Arial"/>
          <w:color w:val="252525"/>
        </w:rPr>
        <w:t xml:space="preserve">The management and advancement of talent are crucial in the hospitality sector. In order to make sure that the company has the right people in the proper positions and </w:t>
      </w:r>
      <w:r w:rsidRPr="00795495">
        <w:rPr>
          <w:rFonts w:ascii="Arial" w:hAnsi="Arial"/>
          <w:color w:val="252525"/>
        </w:rPr>
        <w:lastRenderedPageBreak/>
        <w:t>that these individuals are operating at their peak ability, the human resources department of a big hotel must carry out a variety of tasks over the course of an employee's lifespan. The use of data-driven talent management, diversity and inclusion in talent management, and employee engagement surveys are examples of best practises in talent management.</w:t>
      </w:r>
      <w:r>
        <w:rPr>
          <w:color w:val="252525"/>
        </w:rPr>
        <w:t xml:space="preserve"> </w:t>
      </w:r>
      <w:r w:rsidRPr="00376B59">
        <w:rPr>
          <w:rFonts w:ascii="Arial" w:hAnsi="Arial" w:cs="Arial"/>
          <w:color w:val="252525"/>
        </w:rPr>
        <w:t>organisations must effectively manage and develop their talent if they are to succeed in the fiercely competitive business world of today. HR is essential to managing the employee lifecycle, from hiring and selecting employees to fostering career growth and succession planning. By boosting employee productivity, engagement, and retention, as well as the company's reputation as an employer of choice, effective talent management can improve team and organisational performance. Creating a thorough talent management strategy, providing staff training and development opportunities, giving regular feedback and recognition, utilising technology to support talent management, and encouraging a culture of learning and growth are all examples of best practises in talent management. Examples of good talent management in the business world include IBM's people management approach, Cisco's training and development initiatives, and Airbnb's Love Letters initiative.</w:t>
      </w:r>
      <w:r w:rsidRPr="00376B59">
        <w:rPr>
          <w:rFonts w:ascii="Arial" w:hAnsi="Arial" w:cs="Arial"/>
        </w:rPr>
        <w:t xml:space="preserve"> AI talent management at Amazon and LinkedIn's learning platform. Organisations may enhance their talent management procedures and build a solid pipeline of people to meet their future requirements by implementing these best practises and gaining insight from industry examples</w:t>
      </w:r>
      <w:r>
        <w:t>.</w:t>
      </w:r>
      <w:r w:rsidRPr="00795495">
        <w:rPr>
          <w:rFonts w:ascii="Arial" w:hAnsi="Arial"/>
          <w:color w:val="252525"/>
        </w:rPr>
        <w:t xml:space="preserve"> Hilton Worldwide and Marriott International are two good examples from the business world. The human resources division may boost team and organisational performance, raise retention rates, and guarantee the company's success by putting these tactics into practise.</w:t>
      </w:r>
    </w:p>
    <w:p w14:paraId="24247AF7" w14:textId="77777777" w:rsidR="00C04350" w:rsidRDefault="00C04350"/>
    <w:p w14:paraId="373F8BA9" w14:textId="77777777" w:rsidR="00C04350" w:rsidRDefault="00C04350"/>
    <w:p w14:paraId="21BDD020" w14:textId="77777777" w:rsidR="00C04350" w:rsidRDefault="00C04350"/>
    <w:p w14:paraId="5EC93179" w14:textId="77777777" w:rsidR="00C04350" w:rsidRDefault="00C04350"/>
    <w:p w14:paraId="12770FEC" w14:textId="77777777" w:rsidR="00C04350" w:rsidRDefault="00C04350"/>
    <w:p w14:paraId="37118119" w14:textId="77777777" w:rsidR="00C04350" w:rsidRDefault="00C04350"/>
    <w:p w14:paraId="4C4A4CDC" w14:textId="77777777" w:rsidR="00C04350" w:rsidRDefault="00C04350"/>
    <w:p w14:paraId="3A18FC9A" w14:textId="77777777" w:rsidR="00C04350" w:rsidRDefault="00C04350"/>
    <w:p w14:paraId="5F12F112" w14:textId="77777777" w:rsidR="00C04350" w:rsidRDefault="00C04350"/>
    <w:p w14:paraId="75CA5F2C" w14:textId="6B9F7330" w:rsidR="009E7D7C" w:rsidRDefault="00C04350" w:rsidP="00C04350">
      <w:r>
        <w:lastRenderedPageBreak/>
        <w:t>References:</w:t>
      </w:r>
    </w:p>
    <w:p w14:paraId="6EE30F4B" w14:textId="77777777" w:rsidR="00C04350" w:rsidRDefault="00C04350" w:rsidP="00C04350">
      <w:pPr>
        <w:rPr>
          <w:rFonts w:ascii="Segoe UI" w:hAnsi="Segoe UI" w:cs="Segoe UI"/>
          <w:color w:val="374151"/>
          <w:shd w:val="clear" w:color="auto" w:fill="F7F7F8"/>
        </w:rPr>
      </w:pPr>
      <w:r>
        <w:rPr>
          <w:rFonts w:ascii="Segoe UI" w:hAnsi="Segoe UI" w:cs="Segoe UI"/>
          <w:color w:val="374151"/>
          <w:shd w:val="clear" w:color="auto" w:fill="F7F7F8"/>
        </w:rPr>
        <w:t>Armstrong, M. (2021). Armstrong's handbook of human resource management practice. Kogan Page Publishers.</w:t>
      </w:r>
    </w:p>
    <w:p w14:paraId="17CE90E8" w14:textId="77777777" w:rsidR="00C04350" w:rsidRDefault="00C04350" w:rsidP="00C04350">
      <w:pPr>
        <w:rPr>
          <w:rFonts w:ascii="Segoe UI" w:hAnsi="Segoe UI" w:cs="Segoe UI"/>
          <w:color w:val="374151"/>
          <w:shd w:val="clear" w:color="auto" w:fill="F7F7F8"/>
        </w:rPr>
      </w:pPr>
      <w:r>
        <w:rPr>
          <w:rFonts w:ascii="Segoe UI" w:hAnsi="Segoe UI" w:cs="Segoe UI"/>
          <w:color w:val="374151"/>
          <w:shd w:val="clear" w:color="auto" w:fill="F7F7F8"/>
        </w:rPr>
        <w:t>Taylor, S. (2017). Human resource management. Routledge.</w:t>
      </w:r>
    </w:p>
    <w:p w14:paraId="6A99D40B" w14:textId="77777777" w:rsidR="00C04350" w:rsidRPr="00795495" w:rsidRDefault="00C04350" w:rsidP="00C04350">
      <w:pPr>
        <w:rPr>
          <w:rFonts w:cs="Segoe UI"/>
          <w:color w:val="374151"/>
        </w:rPr>
      </w:pPr>
      <w:r w:rsidRPr="00795495">
        <w:rPr>
          <w:rFonts w:cs="Segoe UI"/>
          <w:color w:val="374151"/>
        </w:rPr>
        <w:t xml:space="preserve">Jackson, S. E., &amp; Ruderman, M. (2012). HRM and talent management in the hospitality industry: a review of current approaches. International Journal of Hospitality Management, 31(2), 219-228. </w:t>
      </w:r>
      <w:hyperlink r:id="rId5" w:tgtFrame="_new" w:history="1">
        <w:r w:rsidRPr="00795495">
          <w:rPr>
            <w:rStyle w:val="Hyperlink"/>
            <w:rFonts w:ascii="Arial" w:hAnsi="Arial" w:cs="Segoe UI"/>
            <w:sz w:val="24"/>
            <w:bdr w:val="single" w:sz="2" w:space="0" w:color="D9D9E3" w:frame="1"/>
          </w:rPr>
          <w:t>https://doi.org/10.1016/j.ijhm.2011.05.005</w:t>
        </w:r>
      </w:hyperlink>
    </w:p>
    <w:p w14:paraId="2A6899F1" w14:textId="77777777" w:rsidR="00C04350" w:rsidRDefault="00C04350" w:rsidP="00C04350">
      <w:pPr>
        <w:rPr>
          <w:rStyle w:val="Hyperlink"/>
          <w:rFonts w:ascii="Arial" w:hAnsi="Arial" w:cs="Segoe UI"/>
          <w:bdr w:val="single" w:sz="2" w:space="0" w:color="D9D9E3" w:frame="1"/>
        </w:rPr>
      </w:pPr>
      <w:r w:rsidRPr="00795495">
        <w:rPr>
          <w:rFonts w:cs="Segoe UI"/>
          <w:color w:val="374151"/>
        </w:rPr>
        <w:t xml:space="preserve">Parker, S. K. (2013). Beyond motivation: Job and work design for development, health, ambidexterity, and more. Annual Review of Psychology, 64, 135-168. </w:t>
      </w:r>
      <w:hyperlink r:id="rId6" w:tgtFrame="_new" w:history="1">
        <w:r w:rsidRPr="00795495">
          <w:rPr>
            <w:rStyle w:val="Hyperlink"/>
            <w:rFonts w:ascii="Arial" w:hAnsi="Arial" w:cs="Segoe UI"/>
            <w:sz w:val="24"/>
            <w:bdr w:val="single" w:sz="2" w:space="0" w:color="D9D9E3" w:frame="1"/>
          </w:rPr>
          <w:t>https://doi.org/10.1146/annurev-psych-113011-143807</w:t>
        </w:r>
      </w:hyperlink>
    </w:p>
    <w:p w14:paraId="09E67444" w14:textId="77777777" w:rsidR="00C04350" w:rsidRPr="00795495" w:rsidRDefault="00C04350" w:rsidP="00C04350">
      <w:pPr>
        <w:rPr>
          <w:rFonts w:cs="Segoe UI"/>
          <w:color w:val="374151"/>
        </w:rPr>
      </w:pPr>
    </w:p>
    <w:p w14:paraId="690713A4" w14:textId="77777777" w:rsidR="00C04350" w:rsidRDefault="00C04350" w:rsidP="00C04350">
      <w:pPr>
        <w:rPr>
          <w:rFonts w:ascii="Segoe UI" w:hAnsi="Segoe UI" w:cs="Segoe UI"/>
          <w:color w:val="374151"/>
          <w:shd w:val="clear" w:color="auto" w:fill="F7F7F8"/>
        </w:rPr>
      </w:pPr>
      <w:proofErr w:type="spellStart"/>
      <w:r>
        <w:rPr>
          <w:rFonts w:ascii="Segoe UI" w:hAnsi="Segoe UI" w:cs="Segoe UI"/>
          <w:color w:val="374151"/>
          <w:shd w:val="clear" w:color="auto" w:fill="F7F7F8"/>
        </w:rPr>
        <w:t>Dessler</w:t>
      </w:r>
      <w:proofErr w:type="spellEnd"/>
      <w:r>
        <w:rPr>
          <w:rFonts w:ascii="Segoe UI" w:hAnsi="Segoe UI" w:cs="Segoe UI"/>
          <w:color w:val="374151"/>
          <w:shd w:val="clear" w:color="auto" w:fill="F7F7F8"/>
        </w:rPr>
        <w:t xml:space="preserve">, G., </w:t>
      </w:r>
      <w:proofErr w:type="spellStart"/>
      <w:r>
        <w:rPr>
          <w:rFonts w:ascii="Segoe UI" w:hAnsi="Segoe UI" w:cs="Segoe UI"/>
          <w:color w:val="374151"/>
          <w:shd w:val="clear" w:color="auto" w:fill="F7F7F8"/>
        </w:rPr>
        <w:t>Chhinzer</w:t>
      </w:r>
      <w:proofErr w:type="spellEnd"/>
      <w:r>
        <w:rPr>
          <w:rFonts w:ascii="Segoe UI" w:hAnsi="Segoe UI" w:cs="Segoe UI"/>
          <w:color w:val="374151"/>
          <w:shd w:val="clear" w:color="auto" w:fill="F7F7F8"/>
        </w:rPr>
        <w:t>, N., &amp; Cole, N. D. (2019). Fundamentals of human resource management: Managing people at work. Pearson Education.</w:t>
      </w:r>
    </w:p>
    <w:p w14:paraId="4F896A98" w14:textId="77777777" w:rsidR="00C04350" w:rsidRDefault="00C04350" w:rsidP="00C04350">
      <w:pPr>
        <w:rPr>
          <w:rFonts w:cs="Segoe UI"/>
          <w:color w:val="374151"/>
          <w:shd w:val="clear" w:color="auto" w:fill="F7F7F8"/>
        </w:rPr>
      </w:pPr>
      <w:r w:rsidRPr="00795495">
        <w:rPr>
          <w:rFonts w:cs="Segoe UI"/>
          <w:color w:val="374151"/>
          <w:shd w:val="clear" w:color="auto" w:fill="F7F7F8"/>
        </w:rPr>
        <w:t>Armstrong, M., &amp; Taylor, S. (2014). Armstrong's handbook of human resource management practice. Kogan Page Publishers.</w:t>
      </w:r>
    </w:p>
    <w:p w14:paraId="65CB3843" w14:textId="77777777" w:rsidR="00C04350" w:rsidRPr="00795495" w:rsidRDefault="00C04350" w:rsidP="00C04350">
      <w:pPr>
        <w:rPr>
          <w:rFonts w:cs="Segoe UI"/>
          <w:color w:val="374151"/>
          <w:shd w:val="clear" w:color="auto" w:fill="F7F7F8"/>
        </w:rPr>
      </w:pPr>
      <w:r>
        <w:rPr>
          <w:rFonts w:ascii="Segoe UI" w:hAnsi="Segoe UI" w:cs="Segoe UI"/>
          <w:color w:val="374151"/>
          <w:shd w:val="clear" w:color="auto" w:fill="F7F7F8"/>
        </w:rPr>
        <w:t>Redman, T., &amp; Wilkinson, A. (2018). Contemporary human resource management: Text and cases. Pearson Education.</w:t>
      </w:r>
    </w:p>
    <w:p w14:paraId="403A4386" w14:textId="77777777" w:rsidR="00C04350" w:rsidRPr="00795495" w:rsidRDefault="00C04350" w:rsidP="00C04350">
      <w:pPr>
        <w:rPr>
          <w:rFonts w:cs="Segoe UI"/>
          <w:color w:val="374151"/>
        </w:rPr>
      </w:pPr>
      <w:r w:rsidRPr="00795495">
        <w:rPr>
          <w:rFonts w:cs="Segoe UI"/>
          <w:color w:val="374151"/>
        </w:rPr>
        <w:t>Barrow, C., &amp; Mosley, R. W. (2005). The employer brand. John Wiley &amp; Sons.</w:t>
      </w:r>
    </w:p>
    <w:p w14:paraId="163D35B6" w14:textId="77777777" w:rsidR="00C04350" w:rsidRPr="00795495" w:rsidRDefault="00C04350" w:rsidP="00C04350">
      <w:pPr>
        <w:rPr>
          <w:rFonts w:cs="Segoe UI"/>
          <w:color w:val="374151"/>
        </w:rPr>
      </w:pPr>
      <w:proofErr w:type="spellStart"/>
      <w:r w:rsidRPr="00795495">
        <w:rPr>
          <w:rFonts w:cs="Segoe UI"/>
          <w:color w:val="374151"/>
          <w:shd w:val="clear" w:color="auto" w:fill="F7F7F8"/>
        </w:rPr>
        <w:t>Deery</w:t>
      </w:r>
      <w:proofErr w:type="spellEnd"/>
      <w:r w:rsidRPr="00795495">
        <w:rPr>
          <w:rFonts w:cs="Segoe UI"/>
          <w:color w:val="374151"/>
          <w:shd w:val="clear" w:color="auto" w:fill="F7F7F8"/>
        </w:rPr>
        <w:t>, M., &amp; Jago, L. (2015). Revisiting talent management, work-life balance, and retention strategies. International Journal of Contemporary Hospitality Management, 27(3), 453-472.</w:t>
      </w:r>
    </w:p>
    <w:p w14:paraId="45424C47" w14:textId="77777777" w:rsidR="00C04350" w:rsidRPr="00795495" w:rsidRDefault="00C04350" w:rsidP="00C04350">
      <w:pPr>
        <w:rPr>
          <w:rFonts w:cs="Segoe UI"/>
          <w:color w:val="374151"/>
        </w:rPr>
      </w:pPr>
      <w:r w:rsidRPr="00795495">
        <w:rPr>
          <w:rFonts w:cs="Segoe UI"/>
          <w:color w:val="374151"/>
        </w:rPr>
        <w:t>Noe, R. A., Hollenbeck, J. R., Gerhart, B., &amp; Wright, P. M. (2017). Human resource management: Gaining a competitive advantage. McGraw-Hill Education.</w:t>
      </w:r>
    </w:p>
    <w:p w14:paraId="1B750C5F" w14:textId="77777777" w:rsidR="00C04350" w:rsidRPr="00795495" w:rsidRDefault="00C04350" w:rsidP="00C04350">
      <w:pPr>
        <w:rPr>
          <w:rFonts w:cs="Segoe UI"/>
          <w:color w:val="374151"/>
          <w:shd w:val="clear" w:color="auto" w:fill="F7F7F8"/>
        </w:rPr>
      </w:pPr>
      <w:r w:rsidRPr="00795495">
        <w:rPr>
          <w:rFonts w:cs="Segoe UI"/>
          <w:color w:val="374151"/>
          <w:shd w:val="clear" w:color="auto" w:fill="F7F7F8"/>
        </w:rPr>
        <w:t>Milkovich, G. T., &amp; Newman, J. M. (2017). Compensation. McGraw-Hill Education.</w:t>
      </w:r>
    </w:p>
    <w:p w14:paraId="74686469" w14:textId="77777777" w:rsidR="00C04350" w:rsidRPr="00795495" w:rsidRDefault="00C04350" w:rsidP="00C04350">
      <w:pPr>
        <w:rPr>
          <w:rFonts w:cs="Segoe UI"/>
          <w:color w:val="374151"/>
        </w:rPr>
      </w:pPr>
      <w:r w:rsidRPr="00795495">
        <w:rPr>
          <w:rFonts w:cs="Segoe UI"/>
          <w:color w:val="374151"/>
        </w:rPr>
        <w:t xml:space="preserve">Society for Human Resource Management (SHRM). (2017). Employee Job Satisfaction and Engagement: The Road to Economic Recovery. Retrieved from </w:t>
      </w:r>
      <w:hyperlink r:id="rId7" w:tgtFrame="_new" w:history="1">
        <w:r w:rsidRPr="00795495">
          <w:rPr>
            <w:rStyle w:val="Hyperlink"/>
            <w:rFonts w:ascii="Arial" w:hAnsi="Arial" w:cs="Segoe UI"/>
            <w:sz w:val="24"/>
            <w:bdr w:val="single" w:sz="2" w:space="0" w:color="D9D9E3" w:frame="1"/>
          </w:rPr>
          <w:t>https://www.shrm.org/hr-today/trends-and-forecasting/research-and-surveys/Documents/2017%20Employee%20Job%20Satisfaction%20and%20Engagement%20Report.pdf</w:t>
        </w:r>
      </w:hyperlink>
    </w:p>
    <w:p w14:paraId="63E1106B" w14:textId="77777777" w:rsidR="00C04350" w:rsidRPr="00795495" w:rsidRDefault="00C04350" w:rsidP="00C04350">
      <w:pPr>
        <w:rPr>
          <w:rFonts w:cs="Segoe UI"/>
          <w:color w:val="374151"/>
        </w:rPr>
      </w:pPr>
      <w:r w:rsidRPr="00795495">
        <w:rPr>
          <w:rFonts w:cs="Segoe UI"/>
          <w:color w:val="374151"/>
        </w:rPr>
        <w:t xml:space="preserve">Glassdoor. (2021). How to Design a Competitive Benefits Package. Retrieved from </w:t>
      </w:r>
      <w:hyperlink r:id="rId8" w:tgtFrame="_new" w:history="1">
        <w:r w:rsidRPr="00795495">
          <w:rPr>
            <w:rStyle w:val="Hyperlink"/>
            <w:rFonts w:ascii="Arial" w:hAnsi="Arial" w:cs="Segoe UI"/>
            <w:sz w:val="24"/>
            <w:bdr w:val="single" w:sz="2" w:space="0" w:color="D9D9E3" w:frame="1"/>
          </w:rPr>
          <w:t>https://www.glassdoor.com/employers/blog/how-to-design-a-competitive-benefits-package/</w:t>
        </w:r>
      </w:hyperlink>
      <w:r w:rsidRPr="00795495">
        <w:rPr>
          <w:rFonts w:cs="Segoe UI"/>
          <w:color w:val="374151"/>
        </w:rPr>
        <w:t>Huselid, M. A., &amp; Becker, B. E. (2011). Bridging micro and macro domains: Workforce differentiation and strategic human resource management. Journal of Management, 37(2), 421-428.</w:t>
      </w:r>
    </w:p>
    <w:p w14:paraId="4C3FD7E0" w14:textId="77777777" w:rsidR="00C04350" w:rsidRPr="00795495" w:rsidRDefault="00C04350" w:rsidP="00C04350">
      <w:pPr>
        <w:rPr>
          <w:rFonts w:cs="Segoe UI"/>
          <w:color w:val="374151"/>
        </w:rPr>
      </w:pPr>
      <w:r w:rsidRPr="00795495">
        <w:rPr>
          <w:rFonts w:cs="Segoe UI"/>
          <w:color w:val="374151"/>
        </w:rPr>
        <w:t>Mello, J. A. (2015). Strategic human resource management. Nelson Education.</w:t>
      </w:r>
    </w:p>
    <w:p w14:paraId="484981A5" w14:textId="77777777" w:rsidR="00C04350" w:rsidRPr="00795495" w:rsidRDefault="00C04350" w:rsidP="00C04350">
      <w:pPr>
        <w:rPr>
          <w:rFonts w:cs="Segoe UI"/>
          <w:color w:val="374151"/>
        </w:rPr>
      </w:pPr>
      <w:r w:rsidRPr="00795495">
        <w:rPr>
          <w:rFonts w:cs="Segoe UI"/>
          <w:color w:val="374151"/>
        </w:rPr>
        <w:t>Parry, E., &amp; Tyson, S. (2011). Desired goals and actual outcomes of diversity management in hospitality organisations. International Journal of Contemporary Hospitality Management, 23(7), 908-926.</w:t>
      </w:r>
    </w:p>
    <w:p w14:paraId="46FF658B" w14:textId="77777777" w:rsidR="00C04350" w:rsidRPr="00795495" w:rsidRDefault="00C04350" w:rsidP="00C04350">
      <w:pPr>
        <w:rPr>
          <w:rFonts w:cs="Segoe UI"/>
          <w:color w:val="374151"/>
        </w:rPr>
      </w:pPr>
      <w:r w:rsidRPr="00795495">
        <w:rPr>
          <w:rFonts w:cs="Segoe UI"/>
          <w:color w:val="374151"/>
        </w:rPr>
        <w:lastRenderedPageBreak/>
        <w:t xml:space="preserve">Robinson, D., Perryman, S., &amp; </w:t>
      </w:r>
      <w:proofErr w:type="spellStart"/>
      <w:r w:rsidRPr="00795495">
        <w:rPr>
          <w:rFonts w:cs="Segoe UI"/>
          <w:color w:val="374151"/>
        </w:rPr>
        <w:t>Hayday</w:t>
      </w:r>
      <w:proofErr w:type="spellEnd"/>
      <w:r w:rsidRPr="00795495">
        <w:rPr>
          <w:rFonts w:cs="Segoe UI"/>
          <w:color w:val="374151"/>
        </w:rPr>
        <w:t>, S. (2004). The drivers of employee engagement. Institute for Employment Studies.</w:t>
      </w:r>
    </w:p>
    <w:p w14:paraId="4EE74DBA" w14:textId="77777777" w:rsidR="00C04350" w:rsidRPr="00795495" w:rsidRDefault="00C04350" w:rsidP="00C04350">
      <w:pPr>
        <w:rPr>
          <w:rFonts w:cs="Calibri"/>
          <w:color w:val="000000"/>
          <w:szCs w:val="27"/>
        </w:rPr>
      </w:pPr>
      <w:r w:rsidRPr="00795495">
        <w:rPr>
          <w:rFonts w:cs="Calibri"/>
          <w:color w:val="000000"/>
          <w:szCs w:val="27"/>
        </w:rPr>
        <w:t>Marriott International (2021) </w:t>
      </w:r>
      <w:r w:rsidRPr="00795495">
        <w:rPr>
          <w:rFonts w:cs="Calibri"/>
          <w:i/>
          <w:iCs/>
          <w:color w:val="000000"/>
          <w:szCs w:val="27"/>
        </w:rPr>
        <w:t>Diversity &amp; Inclusion</w:t>
      </w:r>
      <w:r w:rsidRPr="00795495">
        <w:rPr>
          <w:rFonts w:cs="Calibri"/>
          <w:color w:val="000000"/>
          <w:szCs w:val="27"/>
        </w:rPr>
        <w:t>, </w:t>
      </w:r>
      <w:r w:rsidRPr="00795495">
        <w:rPr>
          <w:rFonts w:cs="Calibri"/>
          <w:i/>
          <w:iCs/>
          <w:color w:val="000000"/>
          <w:szCs w:val="27"/>
        </w:rPr>
        <w:t>Marriott.com</w:t>
      </w:r>
      <w:r w:rsidRPr="00795495">
        <w:rPr>
          <w:rFonts w:cs="Calibri"/>
          <w:color w:val="000000"/>
          <w:szCs w:val="27"/>
        </w:rPr>
        <w:t xml:space="preserve">. Marriott International. Available at: </w:t>
      </w:r>
      <w:hyperlink r:id="rId9" w:history="1">
        <w:r w:rsidRPr="00795495">
          <w:rPr>
            <w:rStyle w:val="Hyperlink"/>
            <w:rFonts w:ascii="Arial" w:hAnsi="Arial" w:cs="Calibri"/>
            <w:sz w:val="24"/>
            <w:szCs w:val="27"/>
          </w:rPr>
          <w:t>https://www.marriott.com/diversity/diversity-and-inclusion.mi</w:t>
        </w:r>
      </w:hyperlink>
      <w:r w:rsidRPr="00795495">
        <w:rPr>
          <w:rFonts w:cs="Calibri"/>
          <w:color w:val="000000"/>
          <w:szCs w:val="27"/>
        </w:rPr>
        <w:t>.</w:t>
      </w:r>
    </w:p>
    <w:p w14:paraId="1A9DB64F" w14:textId="77777777" w:rsidR="00C04350" w:rsidRPr="00795495" w:rsidRDefault="00C04350" w:rsidP="00C04350">
      <w:pPr>
        <w:rPr>
          <w:rFonts w:cs="Calibri"/>
          <w:color w:val="000000"/>
          <w:szCs w:val="27"/>
        </w:rPr>
      </w:pPr>
    </w:p>
    <w:p w14:paraId="2F67B118" w14:textId="77777777" w:rsidR="00C04350" w:rsidRPr="00795495" w:rsidRDefault="00C04350" w:rsidP="00C04350">
      <w:pPr>
        <w:rPr>
          <w:rFonts w:cs="Calibri"/>
          <w:color w:val="000000"/>
          <w:szCs w:val="27"/>
        </w:rPr>
      </w:pPr>
      <w:r w:rsidRPr="00795495">
        <w:rPr>
          <w:rFonts w:cs="Calibri"/>
          <w:i/>
          <w:iCs/>
          <w:color w:val="000000"/>
          <w:szCs w:val="27"/>
        </w:rPr>
        <w:t>Hilton Diversity &amp; Inclusion</w:t>
      </w:r>
      <w:r w:rsidRPr="00795495">
        <w:rPr>
          <w:rFonts w:cs="Calibri"/>
          <w:color w:val="000000"/>
          <w:szCs w:val="27"/>
        </w:rPr>
        <w:t> (2021) </w:t>
      </w:r>
      <w:r w:rsidRPr="00795495">
        <w:rPr>
          <w:rFonts w:cs="Calibri"/>
          <w:i/>
          <w:iCs/>
          <w:color w:val="000000"/>
          <w:szCs w:val="27"/>
        </w:rPr>
        <w:t>jobs.hilton.com</w:t>
      </w:r>
      <w:r w:rsidRPr="00795495">
        <w:rPr>
          <w:rFonts w:cs="Calibri"/>
          <w:color w:val="000000"/>
          <w:szCs w:val="27"/>
        </w:rPr>
        <w:t xml:space="preserve">. Available at: </w:t>
      </w:r>
      <w:hyperlink r:id="rId10" w:history="1">
        <w:r w:rsidRPr="00795495">
          <w:rPr>
            <w:rStyle w:val="Hyperlink"/>
            <w:rFonts w:ascii="Arial" w:hAnsi="Arial" w:cs="Calibri"/>
            <w:sz w:val="24"/>
            <w:szCs w:val="27"/>
          </w:rPr>
          <w:t>https://jobs.hilton.com/diversity</w:t>
        </w:r>
      </w:hyperlink>
      <w:r w:rsidRPr="00795495">
        <w:rPr>
          <w:rFonts w:cs="Calibri"/>
          <w:color w:val="000000"/>
          <w:szCs w:val="27"/>
        </w:rPr>
        <w:t xml:space="preserve">. </w:t>
      </w:r>
    </w:p>
    <w:p w14:paraId="3801A8A1" w14:textId="77777777" w:rsidR="00C04350" w:rsidRPr="00795495" w:rsidRDefault="00C04350" w:rsidP="00C04350">
      <w:pPr>
        <w:rPr>
          <w:rFonts w:cs="Calibri"/>
          <w:color w:val="000000"/>
          <w:szCs w:val="27"/>
        </w:rPr>
      </w:pPr>
      <w:r w:rsidRPr="00795495">
        <w:rPr>
          <w:rFonts w:cs="Calibri"/>
          <w:color w:val="000000"/>
          <w:szCs w:val="27"/>
        </w:rPr>
        <w:t>‌</w:t>
      </w:r>
    </w:p>
    <w:p w14:paraId="37DE86B8" w14:textId="77777777" w:rsidR="00C04350" w:rsidRDefault="00C04350" w:rsidP="00C04350"/>
    <w:sectPr w:rsidR="00C043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D22"/>
    <w:rsid w:val="00681CAC"/>
    <w:rsid w:val="009345C2"/>
    <w:rsid w:val="009E7D7C"/>
    <w:rsid w:val="00B2751A"/>
    <w:rsid w:val="00C04350"/>
    <w:rsid w:val="00F01212"/>
    <w:rsid w:val="00FC4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B835"/>
  <w15:chartTrackingRefBased/>
  <w15:docId w15:val="{6E4E0101-AE45-4B4B-A14F-E187CE5A6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D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4D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043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72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employers/blog/how-to-design-a-competitive-benefits-package/" TargetMode="External"/><Relationship Id="rId3" Type="http://schemas.openxmlformats.org/officeDocument/2006/relationships/webSettings" Target="webSettings.xml"/><Relationship Id="rId7" Type="http://schemas.openxmlformats.org/officeDocument/2006/relationships/hyperlink" Target="https://www.shrm.org/hr-today/trends-and-forecasting/research-and-surveys/Documents/2017%20Employee%20Job%20Satisfaction%20and%20Engagement%20Report.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46/annurev-psych-113011-143807" TargetMode="External"/><Relationship Id="rId11" Type="http://schemas.openxmlformats.org/officeDocument/2006/relationships/fontTable" Target="fontTable.xml"/><Relationship Id="rId5" Type="http://schemas.openxmlformats.org/officeDocument/2006/relationships/hyperlink" Target="https://doi.org/10.1016/j.ijhm.2011.05.005" TargetMode="External"/><Relationship Id="rId10" Type="http://schemas.openxmlformats.org/officeDocument/2006/relationships/hyperlink" Target="https://jobs.hilton.com/diversity" TargetMode="External"/><Relationship Id="rId4" Type="http://schemas.openxmlformats.org/officeDocument/2006/relationships/image" Target="media/image1.png"/><Relationship Id="rId9" Type="http://schemas.openxmlformats.org/officeDocument/2006/relationships/hyperlink" Target="https://www.marriott.com/diversity/diversity-and-inclusion.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2346</Words>
  <Characters>13374</Characters>
  <Application>Microsoft Office Word</Application>
  <DocSecurity>0</DocSecurity>
  <Lines>111</Lines>
  <Paragraphs>31</Paragraphs>
  <ScaleCrop>false</ScaleCrop>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dc:creator>
  <cp:keywords/>
  <dc:description/>
  <cp:lastModifiedBy>Christopher Setalsingh (2127114)</cp:lastModifiedBy>
  <cp:revision>5</cp:revision>
  <dcterms:created xsi:type="dcterms:W3CDTF">2023-05-08T18:02:00Z</dcterms:created>
  <dcterms:modified xsi:type="dcterms:W3CDTF">2023-05-26T18:42:00Z</dcterms:modified>
</cp:coreProperties>
</file>