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A8667" w14:textId="683073AD" w:rsidR="006E4565" w:rsidRDefault="006E4565" w:rsidP="00A570AD">
      <w:pPr>
        <w:jc w:val="center"/>
        <w:rPr>
          <w:rFonts w:ascii="Arial" w:hAnsi="Arial" w:cs="Arial"/>
          <w:b/>
          <w:bCs/>
          <w:sz w:val="72"/>
          <w:szCs w:val="72"/>
        </w:rPr>
      </w:pPr>
    </w:p>
    <w:p w14:paraId="5D9AD46E" w14:textId="17D466FD" w:rsidR="00A570AD" w:rsidRDefault="00A570AD" w:rsidP="00A570AD">
      <w:pPr>
        <w:jc w:val="center"/>
        <w:rPr>
          <w:rFonts w:ascii="Arial" w:hAnsi="Arial" w:cs="Arial"/>
          <w:b/>
          <w:bCs/>
          <w:sz w:val="72"/>
          <w:szCs w:val="72"/>
        </w:rPr>
      </w:pPr>
    </w:p>
    <w:p w14:paraId="301E08A1" w14:textId="77777777" w:rsidR="00A570AD" w:rsidRDefault="00A570AD" w:rsidP="00A570AD">
      <w:pPr>
        <w:jc w:val="center"/>
        <w:rPr>
          <w:rFonts w:ascii="Arial" w:hAnsi="Arial" w:cs="Arial"/>
          <w:b/>
          <w:bCs/>
          <w:sz w:val="72"/>
          <w:szCs w:val="72"/>
        </w:rPr>
      </w:pPr>
    </w:p>
    <w:p w14:paraId="0B21ED85" w14:textId="77777777" w:rsidR="00A570AD" w:rsidRDefault="00A570AD" w:rsidP="00A570AD">
      <w:pPr>
        <w:jc w:val="center"/>
        <w:rPr>
          <w:rFonts w:ascii="Arial" w:hAnsi="Arial" w:cs="Arial"/>
          <w:b/>
          <w:bCs/>
          <w:sz w:val="72"/>
          <w:szCs w:val="72"/>
        </w:rPr>
      </w:pPr>
    </w:p>
    <w:p w14:paraId="4A7FC862" w14:textId="39339683" w:rsidR="00A570AD" w:rsidRDefault="00A570AD" w:rsidP="00A570AD">
      <w:pPr>
        <w:jc w:val="center"/>
        <w:rPr>
          <w:rFonts w:ascii="Arial" w:hAnsi="Arial" w:cs="Arial"/>
          <w:b/>
          <w:bCs/>
          <w:sz w:val="72"/>
          <w:szCs w:val="72"/>
        </w:rPr>
      </w:pPr>
      <w:r>
        <w:rPr>
          <w:rFonts w:ascii="Arial" w:hAnsi="Arial" w:cs="Arial"/>
          <w:b/>
          <w:bCs/>
          <w:sz w:val="72"/>
          <w:szCs w:val="72"/>
        </w:rPr>
        <w:t>Tort Law – Assignment 1: Negligence</w:t>
      </w:r>
    </w:p>
    <w:p w14:paraId="0396A1F0" w14:textId="77D2E228" w:rsidR="00A570AD" w:rsidRDefault="00A570AD" w:rsidP="00A570AD">
      <w:pPr>
        <w:jc w:val="center"/>
        <w:rPr>
          <w:rFonts w:ascii="Arial" w:hAnsi="Arial" w:cs="Arial"/>
          <w:sz w:val="36"/>
          <w:szCs w:val="36"/>
        </w:rPr>
      </w:pPr>
    </w:p>
    <w:p w14:paraId="703B131C" w14:textId="14F2B9F0" w:rsidR="00A570AD" w:rsidRDefault="00A570AD" w:rsidP="00A570AD">
      <w:pPr>
        <w:jc w:val="center"/>
        <w:rPr>
          <w:rFonts w:ascii="Arial" w:hAnsi="Arial" w:cs="Arial"/>
          <w:sz w:val="36"/>
          <w:szCs w:val="36"/>
        </w:rPr>
      </w:pPr>
      <w:r>
        <w:rPr>
          <w:rFonts w:ascii="Arial" w:hAnsi="Arial" w:cs="Arial"/>
          <w:sz w:val="36"/>
          <w:szCs w:val="36"/>
        </w:rPr>
        <w:t>By George Lovering</w:t>
      </w:r>
    </w:p>
    <w:p w14:paraId="4CC14F8B" w14:textId="77777777" w:rsidR="009903E1" w:rsidRDefault="009903E1" w:rsidP="00D01665">
      <w:pPr>
        <w:rPr>
          <w:rFonts w:ascii="Arial" w:hAnsi="Arial" w:cs="Arial"/>
          <w:sz w:val="36"/>
          <w:szCs w:val="36"/>
        </w:rPr>
      </w:pPr>
    </w:p>
    <w:p w14:paraId="64A8365E" w14:textId="77777777" w:rsidR="009903E1" w:rsidRDefault="009903E1" w:rsidP="00D01665">
      <w:pPr>
        <w:rPr>
          <w:rFonts w:ascii="Arial" w:hAnsi="Arial" w:cs="Arial"/>
          <w:sz w:val="36"/>
          <w:szCs w:val="36"/>
        </w:rPr>
      </w:pPr>
    </w:p>
    <w:p w14:paraId="76040D77" w14:textId="77777777" w:rsidR="009903E1" w:rsidRDefault="009903E1" w:rsidP="00D01665">
      <w:pPr>
        <w:rPr>
          <w:rFonts w:ascii="Arial" w:hAnsi="Arial" w:cs="Arial"/>
          <w:sz w:val="36"/>
          <w:szCs w:val="36"/>
        </w:rPr>
      </w:pPr>
    </w:p>
    <w:p w14:paraId="632BE4B1" w14:textId="77777777" w:rsidR="009903E1" w:rsidRDefault="009903E1" w:rsidP="00D01665">
      <w:pPr>
        <w:rPr>
          <w:rFonts w:ascii="Arial" w:hAnsi="Arial" w:cs="Arial"/>
          <w:sz w:val="36"/>
          <w:szCs w:val="36"/>
        </w:rPr>
      </w:pPr>
    </w:p>
    <w:p w14:paraId="34C59415" w14:textId="77777777" w:rsidR="009903E1" w:rsidRDefault="009903E1" w:rsidP="00D01665">
      <w:pPr>
        <w:rPr>
          <w:rFonts w:ascii="Arial" w:hAnsi="Arial" w:cs="Arial"/>
          <w:sz w:val="36"/>
          <w:szCs w:val="36"/>
        </w:rPr>
      </w:pPr>
    </w:p>
    <w:p w14:paraId="086D0CEF" w14:textId="77777777" w:rsidR="009903E1" w:rsidRDefault="009903E1" w:rsidP="00D01665">
      <w:pPr>
        <w:rPr>
          <w:rFonts w:ascii="Arial" w:hAnsi="Arial" w:cs="Arial"/>
          <w:sz w:val="36"/>
          <w:szCs w:val="36"/>
        </w:rPr>
      </w:pPr>
    </w:p>
    <w:p w14:paraId="43DBCF5C" w14:textId="77777777" w:rsidR="009903E1" w:rsidRDefault="009903E1" w:rsidP="00D01665">
      <w:pPr>
        <w:rPr>
          <w:rFonts w:ascii="Arial" w:hAnsi="Arial" w:cs="Arial"/>
          <w:sz w:val="36"/>
          <w:szCs w:val="36"/>
        </w:rPr>
      </w:pPr>
    </w:p>
    <w:p w14:paraId="671F885D" w14:textId="77777777" w:rsidR="009903E1" w:rsidRDefault="009903E1" w:rsidP="00D01665">
      <w:pPr>
        <w:rPr>
          <w:rFonts w:ascii="Arial" w:hAnsi="Arial" w:cs="Arial"/>
          <w:sz w:val="36"/>
          <w:szCs w:val="36"/>
        </w:rPr>
      </w:pPr>
    </w:p>
    <w:p w14:paraId="2A1DFC67" w14:textId="77777777" w:rsidR="009903E1" w:rsidRDefault="009903E1" w:rsidP="00D01665">
      <w:pPr>
        <w:rPr>
          <w:rFonts w:ascii="Arial" w:hAnsi="Arial" w:cs="Arial"/>
          <w:sz w:val="36"/>
          <w:szCs w:val="36"/>
        </w:rPr>
      </w:pPr>
    </w:p>
    <w:p w14:paraId="371A7370" w14:textId="77777777" w:rsidR="009903E1" w:rsidRDefault="009903E1" w:rsidP="00D01665">
      <w:pPr>
        <w:rPr>
          <w:rFonts w:ascii="Arial" w:hAnsi="Arial" w:cs="Arial"/>
          <w:sz w:val="36"/>
          <w:szCs w:val="36"/>
        </w:rPr>
      </w:pPr>
    </w:p>
    <w:p w14:paraId="7A09E167" w14:textId="33CC13A5" w:rsidR="00F507A4" w:rsidRPr="009903E1" w:rsidRDefault="00F507A4" w:rsidP="009903E1">
      <w:pPr>
        <w:spacing w:line="480" w:lineRule="auto"/>
        <w:rPr>
          <w:rFonts w:ascii="Arial" w:hAnsi="Arial" w:cs="Arial"/>
          <w:sz w:val="36"/>
          <w:szCs w:val="36"/>
        </w:rPr>
      </w:pPr>
      <w:r>
        <w:rPr>
          <w:rFonts w:ascii="Arial" w:hAnsi="Arial" w:cs="Arial"/>
          <w:sz w:val="24"/>
          <w:szCs w:val="24"/>
        </w:rPr>
        <w:lastRenderedPageBreak/>
        <w:t xml:space="preserve">As with most areas of law, legal precedent and case law helps establish a solid foundation to start from when discussing them, tort law is no different </w:t>
      </w:r>
      <w:r w:rsidR="00945314">
        <w:rPr>
          <w:rFonts w:ascii="Arial" w:hAnsi="Arial" w:cs="Arial"/>
          <w:sz w:val="24"/>
          <w:szCs w:val="24"/>
        </w:rPr>
        <w:t xml:space="preserve">regarding </w:t>
      </w:r>
      <w:r>
        <w:rPr>
          <w:rFonts w:ascii="Arial" w:hAnsi="Arial" w:cs="Arial"/>
          <w:sz w:val="24"/>
          <w:szCs w:val="24"/>
        </w:rPr>
        <w:t xml:space="preserve">this observation. So, in order to critically analyse specific aspects of tort, as is the objective here, relevant </w:t>
      </w:r>
      <w:r w:rsidR="00CB1FFE">
        <w:rPr>
          <w:rFonts w:ascii="Arial" w:hAnsi="Arial" w:cs="Arial"/>
          <w:sz w:val="24"/>
          <w:szCs w:val="24"/>
        </w:rPr>
        <w:t xml:space="preserve">cases can be looked at in order to support arguments. Negligence is a factor of tort </w:t>
      </w:r>
      <w:r w:rsidR="00945314">
        <w:rPr>
          <w:rFonts w:ascii="Arial" w:hAnsi="Arial" w:cs="Arial"/>
          <w:sz w:val="24"/>
          <w:szCs w:val="24"/>
        </w:rPr>
        <w:t>law,</w:t>
      </w:r>
      <w:r w:rsidR="00CB1FFE">
        <w:rPr>
          <w:rFonts w:ascii="Arial" w:hAnsi="Arial" w:cs="Arial"/>
          <w:sz w:val="24"/>
          <w:szCs w:val="24"/>
        </w:rPr>
        <w:t xml:space="preserve"> and the case law is vast, cases such as </w:t>
      </w:r>
      <w:r w:rsidR="00CB1FFE" w:rsidRPr="00CB1FFE">
        <w:rPr>
          <w:rFonts w:ascii="Arial" w:hAnsi="Arial" w:cs="Arial"/>
          <w:bCs/>
          <w:sz w:val="24"/>
          <w:szCs w:val="24"/>
        </w:rPr>
        <w:t>Bolam v Friern HMC (1957)</w:t>
      </w:r>
      <w:r w:rsidR="00CB1FFE">
        <w:rPr>
          <w:rFonts w:ascii="Arial" w:hAnsi="Arial" w:cs="Arial"/>
          <w:bCs/>
          <w:sz w:val="24"/>
          <w:szCs w:val="24"/>
        </w:rPr>
        <w:t xml:space="preserve">, </w:t>
      </w:r>
      <w:r w:rsidR="00CB1FFE" w:rsidRPr="00CB1FFE">
        <w:rPr>
          <w:rFonts w:ascii="Arial" w:hAnsi="Arial" w:cs="Arial"/>
          <w:bCs/>
          <w:sz w:val="24"/>
          <w:szCs w:val="24"/>
        </w:rPr>
        <w:t>Mansfield v Weetabix (1998)</w:t>
      </w:r>
      <w:r w:rsidR="00CB1FFE">
        <w:rPr>
          <w:rFonts w:ascii="Arial" w:hAnsi="Arial" w:cs="Arial"/>
          <w:bCs/>
          <w:sz w:val="24"/>
          <w:szCs w:val="24"/>
        </w:rPr>
        <w:t xml:space="preserve"> and </w:t>
      </w:r>
      <w:r w:rsidR="00CB1FFE" w:rsidRPr="00CB1FFE">
        <w:rPr>
          <w:rFonts w:ascii="Arial" w:hAnsi="Arial" w:cs="Arial"/>
          <w:bCs/>
          <w:sz w:val="24"/>
          <w:szCs w:val="24"/>
        </w:rPr>
        <w:t>Nettleship v Weston (1971)</w:t>
      </w:r>
      <w:r w:rsidR="001A16CB">
        <w:rPr>
          <w:rFonts w:ascii="Arial" w:hAnsi="Arial" w:cs="Arial"/>
          <w:bCs/>
          <w:sz w:val="24"/>
          <w:szCs w:val="24"/>
        </w:rPr>
        <w:t xml:space="preserve">, just to name a few that will be addressed throughout. </w:t>
      </w:r>
      <w:r w:rsidR="00A73650">
        <w:rPr>
          <w:rFonts w:ascii="Arial" w:hAnsi="Arial" w:cs="Arial"/>
          <w:bCs/>
          <w:sz w:val="24"/>
          <w:szCs w:val="24"/>
        </w:rPr>
        <w:t xml:space="preserve">These cases serve a variety of purposes </w:t>
      </w:r>
      <w:r w:rsidR="003C7AC9">
        <w:rPr>
          <w:rFonts w:ascii="Arial" w:hAnsi="Arial" w:cs="Arial"/>
          <w:bCs/>
          <w:sz w:val="24"/>
          <w:szCs w:val="24"/>
        </w:rPr>
        <w:t>in</w:t>
      </w:r>
      <w:r w:rsidR="00A73650">
        <w:rPr>
          <w:rFonts w:ascii="Arial" w:hAnsi="Arial" w:cs="Arial"/>
          <w:bCs/>
          <w:sz w:val="24"/>
          <w:szCs w:val="24"/>
        </w:rPr>
        <w:t xml:space="preserve"> this discussion, but also hold significance in tort as they serve as important examples of negligence, the standard of the duty of care, determining if that duty</w:t>
      </w:r>
      <w:r w:rsidR="004021E4">
        <w:rPr>
          <w:rFonts w:ascii="Arial" w:hAnsi="Arial" w:cs="Arial"/>
          <w:bCs/>
          <w:sz w:val="24"/>
          <w:szCs w:val="24"/>
        </w:rPr>
        <w:t xml:space="preserve"> of care</w:t>
      </w:r>
      <w:r w:rsidR="00A73650">
        <w:rPr>
          <w:rFonts w:ascii="Arial" w:hAnsi="Arial" w:cs="Arial"/>
          <w:bCs/>
          <w:sz w:val="24"/>
          <w:szCs w:val="24"/>
        </w:rPr>
        <w:t xml:space="preserve"> is breached </w:t>
      </w:r>
      <w:r w:rsidR="004021E4">
        <w:rPr>
          <w:rFonts w:ascii="Arial" w:hAnsi="Arial" w:cs="Arial"/>
          <w:bCs/>
          <w:sz w:val="24"/>
          <w:szCs w:val="24"/>
        </w:rPr>
        <w:t>and what are the conditions required for this to happen in order for liability</w:t>
      </w:r>
      <w:r w:rsidR="009A7FD8">
        <w:rPr>
          <w:rFonts w:ascii="Arial" w:hAnsi="Arial" w:cs="Arial"/>
          <w:bCs/>
          <w:sz w:val="24"/>
          <w:szCs w:val="24"/>
        </w:rPr>
        <w:t xml:space="preserve"> to be imposed</w:t>
      </w:r>
      <w:r w:rsidR="004021E4">
        <w:rPr>
          <w:rFonts w:ascii="Arial" w:hAnsi="Arial" w:cs="Arial"/>
          <w:bCs/>
          <w:sz w:val="24"/>
          <w:szCs w:val="24"/>
        </w:rPr>
        <w:t xml:space="preserve">. </w:t>
      </w:r>
      <w:r w:rsidR="00D77776">
        <w:rPr>
          <w:rFonts w:ascii="Arial" w:hAnsi="Arial" w:cs="Arial"/>
          <w:bCs/>
          <w:sz w:val="24"/>
          <w:szCs w:val="24"/>
        </w:rPr>
        <w:t xml:space="preserve">Using this information, it is then possible to critically analyse whether the standards that are currently in place are fair to the parties </w:t>
      </w:r>
      <w:r w:rsidR="00945314">
        <w:rPr>
          <w:rFonts w:ascii="Arial" w:hAnsi="Arial" w:cs="Arial"/>
          <w:bCs/>
          <w:sz w:val="24"/>
          <w:szCs w:val="24"/>
        </w:rPr>
        <w:t>involved,</w:t>
      </w:r>
      <w:r w:rsidR="00D77776">
        <w:rPr>
          <w:rFonts w:ascii="Arial" w:hAnsi="Arial" w:cs="Arial"/>
          <w:bCs/>
          <w:sz w:val="24"/>
          <w:szCs w:val="24"/>
        </w:rPr>
        <w:t xml:space="preserve"> both the claimants and the defendants.</w:t>
      </w:r>
      <w:r w:rsidR="003C7AC9">
        <w:rPr>
          <w:rFonts w:ascii="Arial" w:hAnsi="Arial" w:cs="Arial"/>
          <w:bCs/>
          <w:sz w:val="24"/>
          <w:szCs w:val="24"/>
        </w:rPr>
        <w:t xml:space="preserve"> </w:t>
      </w:r>
    </w:p>
    <w:p w14:paraId="3619031C" w14:textId="4E2CD3C1" w:rsidR="00A85398" w:rsidRDefault="00F71EAF" w:rsidP="009903E1">
      <w:pPr>
        <w:spacing w:line="480" w:lineRule="auto"/>
        <w:rPr>
          <w:rFonts w:ascii="Arial" w:hAnsi="Arial" w:cs="Arial"/>
          <w:sz w:val="24"/>
          <w:szCs w:val="24"/>
          <w:shd w:val="clear" w:color="auto" w:fill="FFFFFF"/>
        </w:rPr>
      </w:pPr>
      <w:r>
        <w:rPr>
          <w:rFonts w:ascii="Arial" w:hAnsi="Arial" w:cs="Arial"/>
          <w:sz w:val="24"/>
          <w:szCs w:val="24"/>
        </w:rPr>
        <w:t xml:space="preserve">Firstly, </w:t>
      </w:r>
      <w:r w:rsidR="00173409" w:rsidRPr="002A6BB7">
        <w:rPr>
          <w:rFonts w:ascii="Arial" w:hAnsi="Arial" w:cs="Arial"/>
          <w:i/>
          <w:iCs/>
          <w:sz w:val="24"/>
          <w:szCs w:val="24"/>
        </w:rPr>
        <w:t>Stewart</w:t>
      </w:r>
      <w:r w:rsidR="00173409">
        <w:rPr>
          <w:rFonts w:ascii="Arial" w:hAnsi="Arial" w:cs="Arial"/>
          <w:sz w:val="24"/>
          <w:szCs w:val="24"/>
        </w:rPr>
        <w:t xml:space="preserve"> (2006) defines duty of care as </w:t>
      </w:r>
      <w:r w:rsidR="00173409">
        <w:t>“</w:t>
      </w:r>
      <w:r w:rsidR="005C7DD0">
        <w:rPr>
          <w:rFonts w:ascii="Arial" w:hAnsi="Arial" w:cs="Arial"/>
          <w:sz w:val="24"/>
          <w:szCs w:val="24"/>
        </w:rPr>
        <w:t>A</w:t>
      </w:r>
      <w:r w:rsidR="00173409" w:rsidRPr="00173409">
        <w:rPr>
          <w:rFonts w:ascii="Arial" w:hAnsi="Arial" w:cs="Arial"/>
          <w:sz w:val="24"/>
          <w:szCs w:val="24"/>
        </w:rPr>
        <w:t xml:space="preserve"> requirement that a person act toward others and the public with</w:t>
      </w:r>
      <w:r w:rsidR="00173409">
        <w:rPr>
          <w:rFonts w:ascii="Arial" w:hAnsi="Arial" w:cs="Arial"/>
          <w:sz w:val="24"/>
          <w:szCs w:val="24"/>
        </w:rPr>
        <w:t xml:space="preserve"> </w:t>
      </w:r>
      <w:r w:rsidR="00173409" w:rsidRPr="00173409">
        <w:rPr>
          <w:rFonts w:ascii="Arial" w:hAnsi="Arial" w:cs="Arial"/>
          <w:sz w:val="24"/>
          <w:szCs w:val="24"/>
        </w:rPr>
        <w:t>watchfulness</w:t>
      </w:r>
      <w:r w:rsidR="00173409">
        <w:rPr>
          <w:rFonts w:ascii="Arial" w:hAnsi="Arial" w:cs="Arial"/>
          <w:sz w:val="24"/>
          <w:szCs w:val="24"/>
        </w:rPr>
        <w:t xml:space="preserve">, </w:t>
      </w:r>
      <w:r w:rsidR="00173409" w:rsidRPr="00173409">
        <w:rPr>
          <w:rFonts w:ascii="Arial" w:hAnsi="Arial" w:cs="Arial"/>
          <w:sz w:val="24"/>
          <w:szCs w:val="24"/>
        </w:rPr>
        <w:t>attention, caution and prudence that a reasonable person in the</w:t>
      </w:r>
      <w:r w:rsidR="00173409">
        <w:rPr>
          <w:rFonts w:ascii="Arial" w:hAnsi="Arial" w:cs="Arial"/>
          <w:sz w:val="24"/>
          <w:szCs w:val="24"/>
        </w:rPr>
        <w:t xml:space="preserve"> </w:t>
      </w:r>
      <w:r w:rsidR="00173409" w:rsidRPr="00173409">
        <w:rPr>
          <w:rFonts w:ascii="Arial" w:hAnsi="Arial" w:cs="Arial"/>
          <w:sz w:val="24"/>
          <w:szCs w:val="24"/>
        </w:rPr>
        <w:t xml:space="preserve">circumstances would.” </w:t>
      </w:r>
      <w:r w:rsidR="00173409">
        <w:rPr>
          <w:rFonts w:ascii="Arial" w:hAnsi="Arial" w:cs="Arial"/>
          <w:sz w:val="24"/>
          <w:szCs w:val="24"/>
        </w:rPr>
        <w:t xml:space="preserve">Expanding on Stewart’s definition, </w:t>
      </w:r>
      <w:r w:rsidR="005C7DD0">
        <w:rPr>
          <w:rFonts w:ascii="Arial" w:hAnsi="Arial" w:cs="Arial"/>
          <w:sz w:val="24"/>
          <w:szCs w:val="24"/>
        </w:rPr>
        <w:t>the next logical step is to look at what constitutes a breach of duty.</w:t>
      </w:r>
      <w:r w:rsidR="00173409">
        <w:rPr>
          <w:rFonts w:ascii="Arial" w:hAnsi="Arial" w:cs="Arial"/>
          <w:sz w:val="24"/>
          <w:szCs w:val="24"/>
        </w:rPr>
        <w:t xml:space="preserve"> </w:t>
      </w:r>
      <w:r w:rsidR="005C7DD0">
        <w:rPr>
          <w:rFonts w:ascii="Arial" w:hAnsi="Arial" w:cs="Arial"/>
          <w:sz w:val="24"/>
          <w:szCs w:val="24"/>
        </w:rPr>
        <w:t>I</w:t>
      </w:r>
      <w:r>
        <w:rPr>
          <w:rFonts w:ascii="Arial" w:hAnsi="Arial" w:cs="Arial"/>
          <w:sz w:val="24"/>
          <w:szCs w:val="24"/>
        </w:rPr>
        <w:t xml:space="preserve">n order to understand if there has been a breach in the duty of care, the standard of care must be established first so that it can clearly be determined if a breach has occurred. </w:t>
      </w:r>
      <w:r w:rsidR="007D4BEE">
        <w:rPr>
          <w:rFonts w:ascii="Arial" w:hAnsi="Arial" w:cs="Arial"/>
          <w:sz w:val="24"/>
          <w:szCs w:val="24"/>
        </w:rPr>
        <w:t>When attempting to put a definition on a ‘breach of duty’</w:t>
      </w:r>
      <w:r w:rsidR="009335C3">
        <w:rPr>
          <w:rFonts w:ascii="Arial" w:hAnsi="Arial" w:cs="Arial"/>
          <w:sz w:val="24"/>
          <w:szCs w:val="24"/>
        </w:rPr>
        <w:t xml:space="preserve">, </w:t>
      </w:r>
      <w:r w:rsidR="00EB6B8E">
        <w:rPr>
          <w:rFonts w:ascii="Arial" w:hAnsi="Arial" w:cs="Arial"/>
          <w:sz w:val="24"/>
          <w:szCs w:val="24"/>
        </w:rPr>
        <w:t>the standard for a reasonable person</w:t>
      </w:r>
      <w:r w:rsidR="009335C3">
        <w:rPr>
          <w:rFonts w:ascii="Arial" w:hAnsi="Arial" w:cs="Arial"/>
          <w:sz w:val="24"/>
          <w:szCs w:val="24"/>
        </w:rPr>
        <w:t xml:space="preserve"> can be found </w:t>
      </w:r>
      <w:r w:rsidR="00EB6B8E">
        <w:rPr>
          <w:rFonts w:ascii="Arial" w:hAnsi="Arial" w:cs="Arial"/>
          <w:sz w:val="24"/>
          <w:szCs w:val="24"/>
        </w:rPr>
        <w:t>using the ‘objective test’ and in</w:t>
      </w:r>
      <w:r w:rsidR="009335C3">
        <w:rPr>
          <w:rFonts w:ascii="Arial" w:hAnsi="Arial" w:cs="Arial"/>
          <w:sz w:val="24"/>
          <w:szCs w:val="24"/>
        </w:rPr>
        <w:t xml:space="preserve"> case law</w:t>
      </w:r>
      <w:r w:rsidR="00EB6B8E">
        <w:rPr>
          <w:rFonts w:ascii="Arial" w:hAnsi="Arial" w:cs="Arial"/>
          <w:sz w:val="24"/>
          <w:szCs w:val="24"/>
        </w:rPr>
        <w:t>, however,</w:t>
      </w:r>
      <w:r w:rsidR="009335C3">
        <w:rPr>
          <w:rFonts w:ascii="Arial" w:hAnsi="Arial" w:cs="Arial"/>
          <w:sz w:val="24"/>
          <w:szCs w:val="24"/>
        </w:rPr>
        <w:t xml:space="preserve"> there are different </w:t>
      </w:r>
      <w:r w:rsidR="00EB6B8E">
        <w:rPr>
          <w:rFonts w:ascii="Arial" w:hAnsi="Arial" w:cs="Arial"/>
          <w:sz w:val="24"/>
          <w:szCs w:val="24"/>
        </w:rPr>
        <w:t>factors and outcomes surrounding this concept</w:t>
      </w:r>
      <w:r w:rsidR="009335C3">
        <w:rPr>
          <w:rFonts w:ascii="Arial" w:hAnsi="Arial" w:cs="Arial"/>
          <w:sz w:val="24"/>
          <w:szCs w:val="24"/>
        </w:rPr>
        <w:t xml:space="preserve">, </w:t>
      </w:r>
      <w:r w:rsidR="001D4FBE">
        <w:rPr>
          <w:rFonts w:ascii="Arial" w:hAnsi="Arial" w:cs="Arial"/>
          <w:i/>
          <w:iCs/>
          <w:sz w:val="24"/>
          <w:szCs w:val="24"/>
        </w:rPr>
        <w:t xml:space="preserve">Hylton </w:t>
      </w:r>
      <w:r w:rsidR="001D4FBE">
        <w:rPr>
          <w:rFonts w:ascii="Arial" w:hAnsi="Arial" w:cs="Arial"/>
          <w:sz w:val="24"/>
          <w:szCs w:val="24"/>
        </w:rPr>
        <w:t>(2016) explains “</w:t>
      </w:r>
      <w:r w:rsidR="001D4FBE" w:rsidRPr="001D4FBE">
        <w:rPr>
          <w:rFonts w:ascii="Arial" w:hAnsi="Arial" w:cs="Arial"/>
          <w:sz w:val="24"/>
          <w:szCs w:val="24"/>
          <w:shd w:val="clear" w:color="auto" w:fill="FFFFFF"/>
        </w:rPr>
        <w:t>The reasonable person standard, we will see in this chapter, is </w:t>
      </w:r>
      <w:r w:rsidR="001D4FBE" w:rsidRPr="001D4FBE">
        <w:rPr>
          <w:rStyle w:val="italic"/>
          <w:rFonts w:ascii="Arial" w:hAnsi="Arial" w:cs="Arial"/>
          <w:i/>
          <w:iCs/>
          <w:sz w:val="24"/>
          <w:szCs w:val="24"/>
          <w:bdr w:val="none" w:sz="0" w:space="0" w:color="auto" w:frame="1"/>
          <w:shd w:val="clear" w:color="auto" w:fill="FFFFFF"/>
        </w:rPr>
        <w:t>objective</w:t>
      </w:r>
      <w:r w:rsidR="001D4FBE" w:rsidRPr="001D4FBE">
        <w:rPr>
          <w:rFonts w:ascii="Arial" w:hAnsi="Arial" w:cs="Arial"/>
          <w:sz w:val="24"/>
          <w:szCs w:val="24"/>
          <w:shd w:val="clear" w:color="auto" w:fill="FFFFFF"/>
        </w:rPr>
        <w:t xml:space="preserve">, in the sense that it does not depend on the particular preferences or idiosyncratic psychological features of the defendant before the court. And although it is objective, </w:t>
      </w:r>
      <w:r w:rsidR="001D4FBE" w:rsidRPr="001D4FBE">
        <w:rPr>
          <w:rFonts w:ascii="Arial" w:hAnsi="Arial" w:cs="Arial"/>
          <w:sz w:val="24"/>
          <w:szCs w:val="24"/>
          <w:shd w:val="clear" w:color="auto" w:fill="FFFFFF"/>
        </w:rPr>
        <w:lastRenderedPageBreak/>
        <w:t>it is not easily summarized in the form of a simple cost-benefit test.</w:t>
      </w:r>
      <w:r w:rsidR="001D4FBE">
        <w:rPr>
          <w:rFonts w:ascii="Arial" w:hAnsi="Arial" w:cs="Arial"/>
          <w:sz w:val="24"/>
          <w:szCs w:val="24"/>
          <w:shd w:val="clear" w:color="auto" w:fill="FFFFFF"/>
        </w:rPr>
        <w:t>”</w:t>
      </w:r>
      <w:r w:rsidR="00CA775C">
        <w:rPr>
          <w:rFonts w:ascii="Arial" w:hAnsi="Arial" w:cs="Arial"/>
          <w:sz w:val="24"/>
          <w:szCs w:val="24"/>
          <w:shd w:val="clear" w:color="auto" w:fill="FFFFFF"/>
        </w:rPr>
        <w:t xml:space="preserve"> </w:t>
      </w:r>
      <w:r w:rsidR="00445EEE">
        <w:rPr>
          <w:rFonts w:ascii="Arial" w:hAnsi="Arial" w:cs="Arial"/>
          <w:sz w:val="24"/>
          <w:szCs w:val="24"/>
          <w:shd w:val="clear" w:color="auto" w:fill="FFFFFF"/>
        </w:rPr>
        <w:t>Touching</w:t>
      </w:r>
      <w:r w:rsidR="00CA775C">
        <w:rPr>
          <w:rFonts w:ascii="Arial" w:hAnsi="Arial" w:cs="Arial"/>
          <w:sz w:val="24"/>
          <w:szCs w:val="24"/>
          <w:shd w:val="clear" w:color="auto" w:fill="FFFFFF"/>
        </w:rPr>
        <w:t xml:space="preserve"> on </w:t>
      </w:r>
      <w:r w:rsidR="00015460">
        <w:rPr>
          <w:rFonts w:ascii="Arial" w:hAnsi="Arial" w:cs="Arial"/>
          <w:sz w:val="24"/>
          <w:szCs w:val="24"/>
          <w:shd w:val="clear" w:color="auto" w:fill="FFFFFF"/>
        </w:rPr>
        <w:t xml:space="preserve">this statement, Hylton </w:t>
      </w:r>
      <w:r w:rsidR="00030341">
        <w:rPr>
          <w:rFonts w:ascii="Arial" w:hAnsi="Arial" w:cs="Arial"/>
          <w:sz w:val="24"/>
          <w:szCs w:val="24"/>
          <w:shd w:val="clear" w:color="auto" w:fill="FFFFFF"/>
        </w:rPr>
        <w:t>emphasizes that the standard is objective, which is supported by case law</w:t>
      </w:r>
      <w:r w:rsidR="00706745">
        <w:rPr>
          <w:rFonts w:ascii="Arial" w:hAnsi="Arial" w:cs="Arial"/>
          <w:sz w:val="24"/>
          <w:szCs w:val="24"/>
          <w:shd w:val="clear" w:color="auto" w:fill="FFFFFF"/>
        </w:rPr>
        <w:t xml:space="preserve"> with an ‘objective test’ to accommodate </w:t>
      </w:r>
      <w:r w:rsidR="00CC1468">
        <w:rPr>
          <w:rFonts w:ascii="Arial" w:hAnsi="Arial" w:cs="Arial"/>
          <w:sz w:val="24"/>
          <w:szCs w:val="24"/>
          <w:shd w:val="clear" w:color="auto" w:fill="FFFFFF"/>
        </w:rPr>
        <w:t xml:space="preserve">determinations but acknowledges some of the other factors that may </w:t>
      </w:r>
      <w:r w:rsidR="0050616D">
        <w:rPr>
          <w:rFonts w:ascii="Arial" w:hAnsi="Arial" w:cs="Arial"/>
          <w:sz w:val="24"/>
          <w:szCs w:val="24"/>
          <w:shd w:val="clear" w:color="auto" w:fill="FFFFFF"/>
        </w:rPr>
        <w:t>come along with</w:t>
      </w:r>
      <w:r w:rsidR="00CC1468">
        <w:rPr>
          <w:rFonts w:ascii="Arial" w:hAnsi="Arial" w:cs="Arial"/>
          <w:sz w:val="24"/>
          <w:szCs w:val="24"/>
          <w:shd w:val="clear" w:color="auto" w:fill="FFFFFF"/>
        </w:rPr>
        <w:t xml:space="preserve"> this</w:t>
      </w:r>
      <w:r w:rsidR="00030341">
        <w:rPr>
          <w:rFonts w:ascii="Arial" w:hAnsi="Arial" w:cs="Arial"/>
          <w:sz w:val="24"/>
          <w:szCs w:val="24"/>
          <w:shd w:val="clear" w:color="auto" w:fill="FFFFFF"/>
        </w:rPr>
        <w:t xml:space="preserve">. </w:t>
      </w:r>
    </w:p>
    <w:p w14:paraId="62E62055" w14:textId="72ABB37E" w:rsidR="00133104" w:rsidRDefault="003D5703"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Although it has already been established that the standard is objective and the defendant is expected to meet the standard of a reasonable person, case law displays that this can depend on the circumstances surrounding a case and the defendant</w:t>
      </w:r>
      <w:r w:rsidR="00CE0200">
        <w:rPr>
          <w:rFonts w:ascii="Arial" w:hAnsi="Arial" w:cs="Arial"/>
          <w:sz w:val="24"/>
          <w:szCs w:val="24"/>
          <w:shd w:val="clear" w:color="auto" w:fill="FFFFFF"/>
        </w:rPr>
        <w:t xml:space="preserve"> in terms of how the standard of care differs from person to person</w:t>
      </w:r>
      <w:r w:rsidR="0000346D">
        <w:rPr>
          <w:rFonts w:ascii="Arial" w:hAnsi="Arial" w:cs="Arial"/>
          <w:sz w:val="24"/>
          <w:szCs w:val="24"/>
          <w:shd w:val="clear" w:color="auto" w:fill="FFFFFF"/>
        </w:rPr>
        <w:t xml:space="preserve">. The case of </w:t>
      </w:r>
      <w:r w:rsidR="0000346D">
        <w:rPr>
          <w:rFonts w:ascii="Arial" w:hAnsi="Arial" w:cs="Arial"/>
          <w:i/>
          <w:iCs/>
          <w:sz w:val="24"/>
          <w:szCs w:val="24"/>
          <w:shd w:val="clear" w:color="auto" w:fill="FFFFFF"/>
        </w:rPr>
        <w:t xml:space="preserve">Wilsher v Essex </w:t>
      </w:r>
      <w:r w:rsidR="0000346D">
        <w:rPr>
          <w:rFonts w:ascii="Arial" w:hAnsi="Arial" w:cs="Arial"/>
          <w:sz w:val="24"/>
          <w:szCs w:val="24"/>
          <w:shd w:val="clear" w:color="auto" w:fill="FFFFFF"/>
        </w:rPr>
        <w:t xml:space="preserve">(1988) </w:t>
      </w:r>
      <w:r w:rsidR="00C77B08">
        <w:rPr>
          <w:rFonts w:ascii="Arial" w:hAnsi="Arial" w:cs="Arial"/>
          <w:sz w:val="24"/>
          <w:szCs w:val="24"/>
          <w:shd w:val="clear" w:color="auto" w:fill="FFFFFF"/>
        </w:rPr>
        <w:t xml:space="preserve">shows </w:t>
      </w:r>
      <w:r w:rsidR="00177B6B">
        <w:rPr>
          <w:rFonts w:ascii="Arial" w:hAnsi="Arial" w:cs="Arial"/>
          <w:sz w:val="24"/>
          <w:szCs w:val="24"/>
          <w:shd w:val="clear" w:color="auto" w:fill="FFFFFF"/>
        </w:rPr>
        <w:t xml:space="preserve">the </w:t>
      </w:r>
      <w:r w:rsidR="004E2BAE">
        <w:rPr>
          <w:rFonts w:ascii="Arial" w:hAnsi="Arial" w:cs="Arial"/>
          <w:sz w:val="24"/>
          <w:szCs w:val="24"/>
          <w:shd w:val="clear" w:color="auto" w:fill="FFFFFF"/>
        </w:rPr>
        <w:t>that the standards for medical professionals are held higher in cases where clinical negligence has been alleged</w:t>
      </w:r>
      <w:r w:rsidR="001F2376">
        <w:rPr>
          <w:rFonts w:ascii="Arial" w:hAnsi="Arial" w:cs="Arial"/>
          <w:sz w:val="24"/>
          <w:szCs w:val="24"/>
          <w:shd w:val="clear" w:color="auto" w:fill="FFFFFF"/>
        </w:rPr>
        <w:t>, even for junior doctors in this case</w:t>
      </w:r>
      <w:r w:rsidR="004E2BAE">
        <w:rPr>
          <w:rFonts w:ascii="Arial" w:hAnsi="Arial" w:cs="Arial"/>
          <w:sz w:val="24"/>
          <w:szCs w:val="24"/>
          <w:shd w:val="clear" w:color="auto" w:fill="FFFFFF"/>
        </w:rPr>
        <w:t xml:space="preserve">. In Wilsher v Essex, </w:t>
      </w:r>
      <w:r w:rsidR="00551599">
        <w:rPr>
          <w:rFonts w:ascii="Arial" w:hAnsi="Arial" w:cs="Arial"/>
          <w:sz w:val="24"/>
          <w:szCs w:val="24"/>
          <w:shd w:val="clear" w:color="auto" w:fill="FFFFFF"/>
        </w:rPr>
        <w:t xml:space="preserve">a premature baby was given too much oxygen which was then followed by the child losing vision in one eye, although it was argued that the blindness could have been caused by other factors apart from the junior doctor administrating to much oxygen, the defendant was still deemed negligent. </w:t>
      </w:r>
      <w:r w:rsidR="00A8625F">
        <w:rPr>
          <w:rFonts w:ascii="Arial" w:hAnsi="Arial" w:cs="Arial"/>
          <w:sz w:val="24"/>
          <w:szCs w:val="24"/>
          <w:shd w:val="clear" w:color="auto" w:fill="FFFFFF"/>
        </w:rPr>
        <w:t>Wilsher v Essex was a landmark case in clinical negligence specifically because it was determined that regardless of whether or not the doctor was a junior doctor, junior doctors still hold the same standard of care as a fully qualified doctor would</w:t>
      </w:r>
      <w:r w:rsidR="00465E12">
        <w:rPr>
          <w:rFonts w:ascii="Arial" w:hAnsi="Arial" w:cs="Arial"/>
          <w:sz w:val="24"/>
          <w:szCs w:val="24"/>
          <w:shd w:val="clear" w:color="auto" w:fill="FFFFFF"/>
        </w:rPr>
        <w:t xml:space="preserve">, additionally, </w:t>
      </w:r>
      <w:r w:rsidR="00465E12">
        <w:rPr>
          <w:rFonts w:ascii="Arial" w:hAnsi="Arial" w:cs="Arial"/>
          <w:i/>
          <w:iCs/>
          <w:sz w:val="24"/>
          <w:szCs w:val="24"/>
          <w:shd w:val="clear" w:color="auto" w:fill="FFFFFF"/>
        </w:rPr>
        <w:t xml:space="preserve">Timms </w:t>
      </w:r>
      <w:r w:rsidR="00465E12">
        <w:rPr>
          <w:rFonts w:ascii="Arial" w:hAnsi="Arial" w:cs="Arial"/>
          <w:sz w:val="24"/>
          <w:szCs w:val="24"/>
          <w:shd w:val="clear" w:color="auto" w:fill="FFFFFF"/>
        </w:rPr>
        <w:t xml:space="preserve">(2019) states </w:t>
      </w:r>
      <w:r w:rsidR="00465E12" w:rsidRPr="00465E12">
        <w:rPr>
          <w:rFonts w:ascii="Arial" w:hAnsi="Arial" w:cs="Arial"/>
          <w:sz w:val="24"/>
          <w:szCs w:val="24"/>
          <w:shd w:val="clear" w:color="auto" w:fill="FFFFFF"/>
        </w:rPr>
        <w:t>“The decision of this case highlights the standard of care doctors are to comply with when administering care. This standard in relation to history-taking is the same regardless of the area of medicine, the seniority of the doctor, or their level of experience.</w:t>
      </w:r>
      <w:r w:rsidR="00465E12">
        <w:rPr>
          <w:rFonts w:ascii="Arial" w:hAnsi="Arial" w:cs="Arial"/>
          <w:sz w:val="24"/>
          <w:szCs w:val="24"/>
          <w:shd w:val="clear" w:color="auto" w:fill="FFFFFF"/>
        </w:rPr>
        <w:t>”</w:t>
      </w:r>
      <w:r w:rsidR="002B61B4">
        <w:rPr>
          <w:rFonts w:ascii="Arial" w:hAnsi="Arial" w:cs="Arial"/>
          <w:sz w:val="24"/>
          <w:szCs w:val="24"/>
          <w:shd w:val="clear" w:color="auto" w:fill="FFFFFF"/>
        </w:rPr>
        <w:t xml:space="preserve"> Although it could be argued that the standards of ca</w:t>
      </w:r>
      <w:r w:rsidR="00133104">
        <w:rPr>
          <w:rFonts w:ascii="Arial" w:hAnsi="Arial" w:cs="Arial"/>
          <w:sz w:val="24"/>
          <w:szCs w:val="24"/>
          <w:shd w:val="clear" w:color="auto" w:fill="FFFFFF"/>
        </w:rPr>
        <w:t xml:space="preserve">re established for junior doctors hinders them in these cases and could be off-putting for people wanting to get in this field, there is a case and a test derived from said case that can assist defendants in similar cases. </w:t>
      </w:r>
      <w:r w:rsidR="00AD40FA">
        <w:rPr>
          <w:rFonts w:ascii="Arial" w:hAnsi="Arial" w:cs="Arial"/>
          <w:i/>
          <w:iCs/>
          <w:sz w:val="24"/>
          <w:szCs w:val="24"/>
          <w:shd w:val="clear" w:color="auto" w:fill="FFFFFF"/>
        </w:rPr>
        <w:t xml:space="preserve">Bolam v Friern HMC </w:t>
      </w:r>
      <w:r w:rsidR="00AD40FA">
        <w:rPr>
          <w:rFonts w:ascii="Arial" w:hAnsi="Arial" w:cs="Arial"/>
          <w:sz w:val="24"/>
          <w:szCs w:val="24"/>
          <w:shd w:val="clear" w:color="auto" w:fill="FFFFFF"/>
        </w:rPr>
        <w:t>(1957)</w:t>
      </w:r>
      <w:r w:rsidR="006F6917">
        <w:rPr>
          <w:rFonts w:ascii="Arial" w:hAnsi="Arial" w:cs="Arial"/>
          <w:sz w:val="24"/>
          <w:szCs w:val="24"/>
          <w:shd w:val="clear" w:color="auto" w:fill="FFFFFF"/>
        </w:rPr>
        <w:t xml:space="preserve"> is responsible for the inception of the ‘Bolam test’ in tort </w:t>
      </w:r>
      <w:r w:rsidR="006F6917">
        <w:rPr>
          <w:rFonts w:ascii="Arial" w:hAnsi="Arial" w:cs="Arial"/>
          <w:sz w:val="24"/>
          <w:szCs w:val="24"/>
          <w:shd w:val="clear" w:color="auto" w:fill="FFFFFF"/>
        </w:rPr>
        <w:lastRenderedPageBreak/>
        <w:t>due to the ruling of the case, the defendant who was a doctor was found not guilty of negligence, it was stated</w:t>
      </w:r>
      <w:r w:rsidR="008B488D">
        <w:rPr>
          <w:rFonts w:ascii="Arial" w:hAnsi="Arial" w:cs="Arial"/>
          <w:sz w:val="24"/>
          <w:szCs w:val="24"/>
          <w:shd w:val="clear" w:color="auto" w:fill="FFFFFF"/>
        </w:rPr>
        <w:t xml:space="preserve"> by the House of Lords</w:t>
      </w:r>
      <w:r w:rsidR="006F6917">
        <w:rPr>
          <w:rFonts w:ascii="Arial" w:hAnsi="Arial" w:cs="Arial"/>
          <w:sz w:val="24"/>
          <w:szCs w:val="24"/>
          <w:shd w:val="clear" w:color="auto" w:fill="FFFFFF"/>
        </w:rPr>
        <w:t xml:space="preserve"> </w:t>
      </w:r>
      <w:r w:rsidR="006F6917" w:rsidRPr="006F6917">
        <w:rPr>
          <w:rFonts w:ascii="Arial" w:hAnsi="Arial" w:cs="Arial"/>
          <w:sz w:val="24"/>
          <w:szCs w:val="24"/>
          <w:shd w:val="clear" w:color="auto" w:fill="FFFFFF"/>
        </w:rPr>
        <w:t>"</w:t>
      </w:r>
      <w:r w:rsidR="009F7058">
        <w:rPr>
          <w:rFonts w:ascii="Arial" w:hAnsi="Arial" w:cs="Arial"/>
          <w:sz w:val="24"/>
          <w:szCs w:val="24"/>
          <w:shd w:val="clear" w:color="auto" w:fill="FFFFFF"/>
        </w:rPr>
        <w:t>A</w:t>
      </w:r>
      <w:r w:rsidR="006F6917" w:rsidRPr="006F6917">
        <w:rPr>
          <w:rFonts w:ascii="Arial" w:hAnsi="Arial" w:cs="Arial"/>
          <w:sz w:val="24"/>
          <w:szCs w:val="24"/>
          <w:shd w:val="clear" w:color="auto" w:fill="FFFFFF"/>
        </w:rPr>
        <w:t xml:space="preserve"> medical professional is not guilty of negligence if he has acted in accordance with a practice accepted as proper by a responsible body of medical men skilled in that particular art</w:t>
      </w:r>
      <w:r w:rsidR="00B7075E">
        <w:rPr>
          <w:rFonts w:ascii="Arial" w:hAnsi="Arial" w:cs="Arial"/>
          <w:sz w:val="24"/>
          <w:szCs w:val="24"/>
          <w:shd w:val="clear" w:color="auto" w:fill="FFFFFF"/>
        </w:rPr>
        <w:t xml:space="preserve">… </w:t>
      </w:r>
      <w:r w:rsidR="006F6917" w:rsidRPr="006F6917">
        <w:rPr>
          <w:rFonts w:ascii="Arial" w:hAnsi="Arial" w:cs="Arial"/>
          <w:sz w:val="24"/>
          <w:szCs w:val="24"/>
          <w:shd w:val="clear" w:color="auto" w:fill="FFFFFF"/>
        </w:rPr>
        <w:t>Putting it the other way round, a man is not negligent, if he is acting in accordance with such a practice, merely because there is a body of opinion who would take a contrary view."</w:t>
      </w:r>
      <w:r w:rsidR="00123E25">
        <w:rPr>
          <w:rFonts w:ascii="Arial" w:hAnsi="Arial" w:cs="Arial"/>
          <w:sz w:val="24"/>
          <w:szCs w:val="24"/>
          <w:shd w:val="clear" w:color="auto" w:fill="FFFFFF"/>
        </w:rPr>
        <w:t xml:space="preserve"> To expand on this statement from the case, a definition provided by </w:t>
      </w:r>
      <w:r w:rsidR="00123E25">
        <w:rPr>
          <w:rFonts w:ascii="Arial" w:hAnsi="Arial" w:cs="Arial"/>
          <w:i/>
          <w:iCs/>
          <w:sz w:val="24"/>
          <w:szCs w:val="24"/>
          <w:shd w:val="clear" w:color="auto" w:fill="FFFFFF"/>
        </w:rPr>
        <w:t xml:space="preserve">Martin </w:t>
      </w:r>
      <w:r w:rsidR="00123E25">
        <w:rPr>
          <w:rFonts w:ascii="Arial" w:hAnsi="Arial" w:cs="Arial"/>
          <w:sz w:val="24"/>
          <w:szCs w:val="24"/>
          <w:shd w:val="clear" w:color="auto" w:fill="FFFFFF"/>
        </w:rPr>
        <w:t xml:space="preserve">(2010) on the Bolam test states </w:t>
      </w:r>
      <w:r w:rsidR="00123E25" w:rsidRPr="00123E25">
        <w:rPr>
          <w:rFonts w:ascii="Arial" w:hAnsi="Arial" w:cs="Arial"/>
          <w:sz w:val="24"/>
          <w:szCs w:val="24"/>
          <w:shd w:val="clear" w:color="auto" w:fill="FFFFFF"/>
        </w:rPr>
        <w:t>“</w:t>
      </w:r>
      <w:r w:rsidR="00123E25" w:rsidRPr="00123E25">
        <w:rPr>
          <w:rFonts w:ascii="Arial" w:hAnsi="Arial" w:cs="Arial"/>
          <w:color w:val="000000"/>
          <w:sz w:val="24"/>
          <w:szCs w:val="24"/>
          <w:shd w:val="clear" w:color="auto" w:fill="FFFFFF"/>
        </w:rPr>
        <w:t>where clinical </w:t>
      </w:r>
      <w:r w:rsidR="00123E25" w:rsidRPr="00123E25">
        <w:rPr>
          <w:rFonts w:ascii="Arial" w:hAnsi="Arial" w:cs="Arial"/>
          <w:sz w:val="24"/>
          <w:szCs w:val="24"/>
          <w:shd w:val="clear" w:color="auto" w:fill="FFFFFF"/>
        </w:rPr>
        <w:t>negligence</w:t>
      </w:r>
      <w:r w:rsidR="00123E25" w:rsidRPr="00123E25">
        <w:rPr>
          <w:rFonts w:ascii="Arial" w:hAnsi="Arial" w:cs="Arial"/>
          <w:color w:val="000000"/>
          <w:sz w:val="24"/>
          <w:szCs w:val="24"/>
          <w:shd w:val="clear" w:color="auto" w:fill="FFFFFF"/>
        </w:rPr>
        <w:t xml:space="preserve"> is claimed, a test used to determine the standard of care owed by professionals to those whom they serve, </w:t>
      </w:r>
      <w:proofErr w:type="gramStart"/>
      <w:r w:rsidR="00123E25" w:rsidRPr="00123E25">
        <w:rPr>
          <w:rFonts w:ascii="Arial" w:hAnsi="Arial" w:cs="Arial"/>
          <w:color w:val="000000"/>
          <w:sz w:val="24"/>
          <w:szCs w:val="24"/>
          <w:shd w:val="clear" w:color="auto" w:fill="FFFFFF"/>
        </w:rPr>
        <w:t>e.g.</w:t>
      </w:r>
      <w:proofErr w:type="gramEnd"/>
      <w:r w:rsidR="00123E25" w:rsidRPr="00123E25">
        <w:rPr>
          <w:rFonts w:ascii="Arial" w:hAnsi="Arial" w:cs="Arial"/>
          <w:color w:val="000000"/>
          <w:sz w:val="24"/>
          <w:szCs w:val="24"/>
          <w:shd w:val="clear" w:color="auto" w:fill="FFFFFF"/>
        </w:rPr>
        <w:t xml:space="preserve"> the standards of care provided to patients by doctors. The case </w:t>
      </w:r>
      <w:r w:rsidR="00123E25" w:rsidRPr="00123E25">
        <w:rPr>
          <w:rFonts w:ascii="Arial" w:hAnsi="Arial" w:cs="Arial"/>
          <w:i/>
          <w:iCs/>
          <w:color w:val="000000"/>
          <w:sz w:val="24"/>
          <w:szCs w:val="24"/>
          <w:shd w:val="clear" w:color="auto" w:fill="FFFFFF"/>
        </w:rPr>
        <w:t>Bolam v Friern Hospital Management Committee</w:t>
      </w:r>
      <w:r w:rsidR="00123E25" w:rsidRPr="00123E25">
        <w:rPr>
          <w:rFonts w:ascii="Arial" w:hAnsi="Arial" w:cs="Arial"/>
          <w:color w:val="000000"/>
          <w:sz w:val="24"/>
          <w:szCs w:val="24"/>
          <w:shd w:val="clear" w:color="auto" w:fill="FFFFFF"/>
        </w:rPr>
        <w:t> (1957) established that if a doctor acts in accordance with a responsible body of medical opinion, he or she will not be negligent.</w:t>
      </w:r>
      <w:r w:rsidR="00123E25">
        <w:rPr>
          <w:rFonts w:ascii="Arial" w:hAnsi="Arial" w:cs="Arial"/>
          <w:sz w:val="24"/>
          <w:szCs w:val="24"/>
          <w:shd w:val="clear" w:color="auto" w:fill="FFFFFF"/>
        </w:rPr>
        <w:t xml:space="preserve">” </w:t>
      </w:r>
    </w:p>
    <w:p w14:paraId="796A78BA" w14:textId="70EC7858" w:rsidR="00907189" w:rsidRPr="00907189" w:rsidRDefault="00907189"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Another landmark case involving clinical negligence was the case of </w:t>
      </w:r>
      <w:r>
        <w:rPr>
          <w:rFonts w:ascii="Arial" w:hAnsi="Arial" w:cs="Arial"/>
          <w:i/>
          <w:iCs/>
          <w:sz w:val="24"/>
          <w:szCs w:val="24"/>
          <w:shd w:val="clear" w:color="auto" w:fill="FFFFFF"/>
        </w:rPr>
        <w:t xml:space="preserve">Roe v Minister of Health </w:t>
      </w:r>
      <w:r>
        <w:rPr>
          <w:rFonts w:ascii="Arial" w:hAnsi="Arial" w:cs="Arial"/>
          <w:sz w:val="24"/>
          <w:szCs w:val="24"/>
          <w:shd w:val="clear" w:color="auto" w:fill="FFFFFF"/>
        </w:rPr>
        <w:t xml:space="preserve">(1954), in this case two patients were administered contaminated anaesthetics which resulted in them both becoming permanently paralysed. </w:t>
      </w:r>
      <w:r w:rsidR="00565F7D">
        <w:rPr>
          <w:rFonts w:ascii="Arial" w:hAnsi="Arial" w:cs="Arial"/>
          <w:sz w:val="24"/>
          <w:szCs w:val="24"/>
          <w:shd w:val="clear" w:color="auto" w:fill="FFFFFF"/>
        </w:rPr>
        <w:t xml:space="preserve">The main reason why Roe v Minister of Health was a significant case in this area was because of the ruling, due to the storage containers for the anaesthetics having cracks in them not visible to the human eye, this swayed the court to determine that there wasn’t a breach of duty by the defendant </w:t>
      </w:r>
      <w:r w:rsidR="00F82489">
        <w:rPr>
          <w:rFonts w:ascii="Arial" w:hAnsi="Arial" w:cs="Arial"/>
          <w:sz w:val="24"/>
          <w:szCs w:val="24"/>
          <w:shd w:val="clear" w:color="auto" w:fill="FFFFFF"/>
        </w:rPr>
        <w:t xml:space="preserve">due to the risk not being foreseeable, the specific reason for this circumstance was that it was unknown at the time that the risks were there.  </w:t>
      </w:r>
    </w:p>
    <w:p w14:paraId="69EB688D" w14:textId="6424BBDE" w:rsidR="00907189" w:rsidRDefault="00C25191"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When examining the facts in Bolam v Friern HMC and dissecting the Bolam test, it displays</w:t>
      </w:r>
      <w:r w:rsidR="00044034">
        <w:rPr>
          <w:rFonts w:ascii="Arial" w:hAnsi="Arial" w:cs="Arial"/>
          <w:sz w:val="24"/>
          <w:szCs w:val="24"/>
          <w:shd w:val="clear" w:color="auto" w:fill="FFFFFF"/>
        </w:rPr>
        <w:t xml:space="preserve"> </w:t>
      </w:r>
      <w:r w:rsidR="00743FCD">
        <w:rPr>
          <w:rFonts w:ascii="Arial" w:hAnsi="Arial" w:cs="Arial"/>
          <w:sz w:val="24"/>
          <w:szCs w:val="24"/>
          <w:shd w:val="clear" w:color="auto" w:fill="FFFFFF"/>
        </w:rPr>
        <w:t>that these professionals</w:t>
      </w:r>
      <w:r>
        <w:rPr>
          <w:rFonts w:ascii="Arial" w:hAnsi="Arial" w:cs="Arial"/>
          <w:sz w:val="24"/>
          <w:szCs w:val="24"/>
          <w:shd w:val="clear" w:color="auto" w:fill="FFFFFF"/>
        </w:rPr>
        <w:t xml:space="preserve"> in various fields, </w:t>
      </w:r>
      <w:r w:rsidR="00044034">
        <w:rPr>
          <w:rFonts w:ascii="Arial" w:hAnsi="Arial" w:cs="Arial"/>
          <w:sz w:val="24"/>
          <w:szCs w:val="24"/>
          <w:shd w:val="clear" w:color="auto" w:fill="FFFFFF"/>
        </w:rPr>
        <w:t xml:space="preserve">in this case doctors specifically; </w:t>
      </w:r>
      <w:r>
        <w:rPr>
          <w:rFonts w:ascii="Arial" w:hAnsi="Arial" w:cs="Arial"/>
          <w:sz w:val="24"/>
          <w:szCs w:val="24"/>
          <w:shd w:val="clear" w:color="auto" w:fill="FFFFFF"/>
        </w:rPr>
        <w:t>although they are held to higher standards</w:t>
      </w:r>
      <w:r w:rsidR="00EF70CF">
        <w:rPr>
          <w:rFonts w:ascii="Arial" w:hAnsi="Arial" w:cs="Arial"/>
          <w:sz w:val="24"/>
          <w:szCs w:val="24"/>
          <w:shd w:val="clear" w:color="auto" w:fill="FFFFFF"/>
        </w:rPr>
        <w:t xml:space="preserve"> as shown in Wilsher v Essex</w:t>
      </w:r>
      <w:r>
        <w:rPr>
          <w:rFonts w:ascii="Arial" w:hAnsi="Arial" w:cs="Arial"/>
          <w:sz w:val="24"/>
          <w:szCs w:val="24"/>
          <w:shd w:val="clear" w:color="auto" w:fill="FFFFFF"/>
        </w:rPr>
        <w:t xml:space="preserve">, if there is a claim against them and it is found that the defendant in question followed the </w:t>
      </w:r>
      <w:r>
        <w:rPr>
          <w:rFonts w:ascii="Arial" w:hAnsi="Arial" w:cs="Arial"/>
          <w:sz w:val="24"/>
          <w:szCs w:val="24"/>
          <w:shd w:val="clear" w:color="auto" w:fill="FFFFFF"/>
        </w:rPr>
        <w:lastRenderedPageBreak/>
        <w:t>standard practice of that profession, then the defendant wouldn’t be held liable as they were not deemed to be negligent, which is what happened in Bolam v Friern HMC.</w:t>
      </w:r>
      <w:r w:rsidR="00044034">
        <w:rPr>
          <w:rFonts w:ascii="Arial" w:hAnsi="Arial" w:cs="Arial"/>
          <w:sz w:val="24"/>
          <w:szCs w:val="24"/>
          <w:shd w:val="clear" w:color="auto" w:fill="FFFFFF"/>
        </w:rPr>
        <w:t xml:space="preserve"> </w:t>
      </w:r>
      <w:r w:rsidR="00012D33">
        <w:rPr>
          <w:rFonts w:ascii="Arial" w:hAnsi="Arial" w:cs="Arial"/>
          <w:sz w:val="24"/>
          <w:szCs w:val="24"/>
          <w:shd w:val="clear" w:color="auto" w:fill="FFFFFF"/>
        </w:rPr>
        <w:t xml:space="preserve">Alternatively, a similar principle to what was applied in Wilsher v Essex, was applied in a case outside of </w:t>
      </w:r>
      <w:r w:rsidR="00442355">
        <w:rPr>
          <w:rFonts w:ascii="Arial" w:hAnsi="Arial" w:cs="Arial"/>
          <w:sz w:val="24"/>
          <w:szCs w:val="24"/>
          <w:shd w:val="clear" w:color="auto" w:fill="FFFFFF"/>
        </w:rPr>
        <w:t>an</w:t>
      </w:r>
      <w:r w:rsidR="00012D33">
        <w:rPr>
          <w:rFonts w:ascii="Arial" w:hAnsi="Arial" w:cs="Arial"/>
          <w:sz w:val="24"/>
          <w:szCs w:val="24"/>
          <w:shd w:val="clear" w:color="auto" w:fill="FFFFFF"/>
        </w:rPr>
        <w:t xml:space="preserve"> occupational or professional context, this was the case of </w:t>
      </w:r>
      <w:r w:rsidR="000255A1" w:rsidRPr="000255A1">
        <w:rPr>
          <w:rFonts w:ascii="Arial" w:hAnsi="Arial" w:cs="Arial"/>
          <w:i/>
          <w:iCs/>
          <w:sz w:val="24"/>
          <w:szCs w:val="24"/>
          <w:shd w:val="clear" w:color="auto" w:fill="FFFFFF"/>
        </w:rPr>
        <w:t>Nettleship v West</w:t>
      </w:r>
      <w:r w:rsidR="000255A1">
        <w:rPr>
          <w:rFonts w:ascii="Arial" w:hAnsi="Arial" w:cs="Arial"/>
          <w:i/>
          <w:iCs/>
          <w:sz w:val="24"/>
          <w:szCs w:val="24"/>
          <w:shd w:val="clear" w:color="auto" w:fill="FFFFFF"/>
        </w:rPr>
        <w:t xml:space="preserve">on </w:t>
      </w:r>
      <w:r w:rsidR="00442355">
        <w:rPr>
          <w:rFonts w:ascii="Arial" w:hAnsi="Arial" w:cs="Arial"/>
          <w:sz w:val="24"/>
          <w:szCs w:val="24"/>
          <w:shd w:val="clear" w:color="auto" w:fill="FFFFFF"/>
        </w:rPr>
        <w:t xml:space="preserve">(1971). In Nettleship v Weston, </w:t>
      </w:r>
      <w:r w:rsidR="00A75E23">
        <w:rPr>
          <w:rFonts w:ascii="Arial" w:hAnsi="Arial" w:cs="Arial"/>
          <w:sz w:val="24"/>
          <w:szCs w:val="24"/>
          <w:shd w:val="clear" w:color="auto" w:fill="FFFFFF"/>
        </w:rPr>
        <w:t xml:space="preserve">the defendant, who was a learner driver </w:t>
      </w:r>
      <w:r w:rsidR="00CA139C">
        <w:rPr>
          <w:rFonts w:ascii="Arial" w:hAnsi="Arial" w:cs="Arial"/>
          <w:sz w:val="24"/>
          <w:szCs w:val="24"/>
          <w:shd w:val="clear" w:color="auto" w:fill="FFFFFF"/>
        </w:rPr>
        <w:t xml:space="preserve">crashed the claimant’s vehicle which resulted in damage to the claimant’s vehicle and a fractured knee for the claimant. </w:t>
      </w:r>
      <w:r w:rsidR="00795D3A">
        <w:rPr>
          <w:rFonts w:ascii="Arial" w:hAnsi="Arial" w:cs="Arial"/>
          <w:sz w:val="24"/>
          <w:szCs w:val="24"/>
          <w:shd w:val="clear" w:color="auto" w:fill="FFFFFF"/>
        </w:rPr>
        <w:t>The verdict was that the learner driver should be held to the same standard as a fully qualified driver.</w:t>
      </w:r>
      <w:r w:rsidR="004D74AC">
        <w:rPr>
          <w:rFonts w:ascii="Arial" w:hAnsi="Arial" w:cs="Arial"/>
          <w:sz w:val="24"/>
          <w:szCs w:val="24"/>
          <w:shd w:val="clear" w:color="auto" w:fill="FFFFFF"/>
        </w:rPr>
        <w:t xml:space="preserve"> To quote </w:t>
      </w:r>
      <w:r w:rsidR="004D74AC">
        <w:rPr>
          <w:rFonts w:ascii="Arial" w:hAnsi="Arial" w:cs="Arial"/>
          <w:i/>
          <w:iCs/>
          <w:sz w:val="24"/>
          <w:szCs w:val="24"/>
          <w:shd w:val="clear" w:color="auto" w:fill="FFFFFF"/>
        </w:rPr>
        <w:t xml:space="preserve">Rogers </w:t>
      </w:r>
      <w:r w:rsidR="004D74AC">
        <w:rPr>
          <w:rFonts w:ascii="Arial" w:hAnsi="Arial" w:cs="Arial"/>
          <w:sz w:val="24"/>
          <w:szCs w:val="24"/>
          <w:shd w:val="clear" w:color="auto" w:fill="FFFFFF"/>
        </w:rPr>
        <w:t xml:space="preserve">(1972), “The limitations of a note prevent consideration of many of the implications of Nettleship v Weston. Among these are: the contrast which it provides between its refusal to accept varying standards on liability and the current readiness to accept just such standards for the purposes of contributory negligence.” </w:t>
      </w:r>
      <w:r w:rsidR="00BB22EF">
        <w:rPr>
          <w:rFonts w:ascii="Arial" w:hAnsi="Arial" w:cs="Arial"/>
          <w:sz w:val="24"/>
          <w:szCs w:val="24"/>
          <w:shd w:val="clear" w:color="auto" w:fill="FFFFFF"/>
        </w:rPr>
        <w:t xml:space="preserve">As mentioned by Rogers, </w:t>
      </w:r>
      <w:r w:rsidR="00B86E21">
        <w:rPr>
          <w:rFonts w:ascii="Arial" w:hAnsi="Arial" w:cs="Arial"/>
          <w:sz w:val="24"/>
          <w:szCs w:val="24"/>
          <w:shd w:val="clear" w:color="auto" w:fill="FFFFFF"/>
        </w:rPr>
        <w:t xml:space="preserve">Nettleship v Weston wasn’t just a significant case in tort because of the standard for a learner </w:t>
      </w:r>
      <w:r w:rsidR="00F826C7">
        <w:rPr>
          <w:rFonts w:ascii="Arial" w:hAnsi="Arial" w:cs="Arial"/>
          <w:sz w:val="24"/>
          <w:szCs w:val="24"/>
          <w:shd w:val="clear" w:color="auto" w:fill="FFFFFF"/>
        </w:rPr>
        <w:t>driver but</w:t>
      </w:r>
      <w:r w:rsidR="00B86E21">
        <w:rPr>
          <w:rFonts w:ascii="Arial" w:hAnsi="Arial" w:cs="Arial"/>
          <w:sz w:val="24"/>
          <w:szCs w:val="24"/>
          <w:shd w:val="clear" w:color="auto" w:fill="FFFFFF"/>
        </w:rPr>
        <w:t xml:space="preserve"> was also </w:t>
      </w:r>
      <w:r w:rsidR="00BB22EF">
        <w:rPr>
          <w:rFonts w:ascii="Arial" w:hAnsi="Arial" w:cs="Arial"/>
          <w:sz w:val="24"/>
          <w:szCs w:val="24"/>
          <w:shd w:val="clear" w:color="auto" w:fill="FFFFFF"/>
        </w:rPr>
        <w:t>an important piece of case law</w:t>
      </w:r>
      <w:r w:rsidR="00B86E21">
        <w:rPr>
          <w:rFonts w:ascii="Arial" w:hAnsi="Arial" w:cs="Arial"/>
          <w:sz w:val="24"/>
          <w:szCs w:val="24"/>
          <w:shd w:val="clear" w:color="auto" w:fill="FFFFFF"/>
        </w:rPr>
        <w:t xml:space="preserve"> </w:t>
      </w:r>
      <w:r w:rsidR="00BB22EF">
        <w:rPr>
          <w:rFonts w:ascii="Arial" w:hAnsi="Arial" w:cs="Arial"/>
          <w:sz w:val="24"/>
          <w:szCs w:val="24"/>
          <w:shd w:val="clear" w:color="auto" w:fill="FFFFFF"/>
        </w:rPr>
        <w:t>for</w:t>
      </w:r>
      <w:r w:rsidR="00737402">
        <w:rPr>
          <w:rFonts w:ascii="Arial" w:hAnsi="Arial" w:cs="Arial"/>
          <w:sz w:val="24"/>
          <w:szCs w:val="24"/>
          <w:shd w:val="clear" w:color="auto" w:fill="FFFFFF"/>
        </w:rPr>
        <w:t xml:space="preserve"> the development of</w:t>
      </w:r>
      <w:r w:rsidR="00B86E21">
        <w:rPr>
          <w:rFonts w:ascii="Arial" w:hAnsi="Arial" w:cs="Arial"/>
          <w:sz w:val="24"/>
          <w:szCs w:val="24"/>
          <w:shd w:val="clear" w:color="auto" w:fill="FFFFFF"/>
        </w:rPr>
        <w:t xml:space="preserve"> “contributory negligence. </w:t>
      </w:r>
      <w:r w:rsidR="00AA6F6B">
        <w:rPr>
          <w:rFonts w:ascii="Arial" w:hAnsi="Arial" w:cs="Arial"/>
          <w:sz w:val="24"/>
          <w:szCs w:val="24"/>
          <w:shd w:val="clear" w:color="auto" w:fill="FFFFFF"/>
        </w:rPr>
        <w:t xml:space="preserve">Nettleship v Weston outlines what happens where claimants </w:t>
      </w:r>
      <w:r w:rsidR="00841B5E">
        <w:rPr>
          <w:rFonts w:ascii="Arial" w:hAnsi="Arial" w:cs="Arial"/>
          <w:sz w:val="24"/>
          <w:szCs w:val="24"/>
          <w:shd w:val="clear" w:color="auto" w:fill="FFFFFF"/>
        </w:rPr>
        <w:t>participate in an activity where the risk is deemed to be foreseeable by the court,</w:t>
      </w:r>
      <w:r w:rsidR="00E41B36">
        <w:rPr>
          <w:rFonts w:ascii="Arial" w:hAnsi="Arial" w:cs="Arial"/>
          <w:sz w:val="24"/>
          <w:szCs w:val="24"/>
          <w:shd w:val="clear" w:color="auto" w:fill="FFFFFF"/>
        </w:rPr>
        <w:t xml:space="preserve"> the damages owed to the claimant were reduced by 50% due to contributory negligence.</w:t>
      </w:r>
    </w:p>
    <w:p w14:paraId="641BAB72" w14:textId="0F5138CD" w:rsidR="00354696" w:rsidRDefault="00165EB9"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Addressing the relevant legislation when it comes to negligence, the Social Action, Responsibility and Heroism Act 2015 is a</w:t>
      </w:r>
      <w:r w:rsidR="006536EF">
        <w:rPr>
          <w:rFonts w:ascii="Arial" w:hAnsi="Arial" w:cs="Arial"/>
          <w:sz w:val="24"/>
          <w:szCs w:val="24"/>
          <w:shd w:val="clear" w:color="auto" w:fill="FFFFFF"/>
        </w:rPr>
        <w:t xml:space="preserve">n act that encourages people in society to intervene or help when </w:t>
      </w:r>
      <w:r w:rsidR="001F2FE9">
        <w:rPr>
          <w:rFonts w:ascii="Arial" w:hAnsi="Arial" w:cs="Arial"/>
          <w:sz w:val="24"/>
          <w:szCs w:val="24"/>
          <w:shd w:val="clear" w:color="auto" w:fill="FFFFFF"/>
        </w:rPr>
        <w:t>the situation calls for it</w:t>
      </w:r>
      <w:r w:rsidR="00273E2B">
        <w:rPr>
          <w:rFonts w:ascii="Arial" w:hAnsi="Arial" w:cs="Arial"/>
          <w:sz w:val="24"/>
          <w:szCs w:val="24"/>
          <w:shd w:val="clear" w:color="auto" w:fill="FFFFFF"/>
        </w:rPr>
        <w:t xml:space="preserve">. </w:t>
      </w:r>
      <w:r w:rsidR="005276C0">
        <w:rPr>
          <w:rFonts w:ascii="Arial" w:hAnsi="Arial" w:cs="Arial"/>
          <w:sz w:val="24"/>
          <w:szCs w:val="24"/>
          <w:shd w:val="clear" w:color="auto" w:fill="FFFFFF"/>
        </w:rPr>
        <w:t xml:space="preserve">Regarding the motivation behind the introduction of the act, </w:t>
      </w:r>
      <w:r w:rsidR="008B0469">
        <w:rPr>
          <w:rFonts w:ascii="Arial" w:hAnsi="Arial" w:cs="Arial"/>
          <w:sz w:val="24"/>
          <w:szCs w:val="24"/>
          <w:shd w:val="clear" w:color="auto" w:fill="FFFFFF"/>
        </w:rPr>
        <w:t>it is apparent when examining what the then Lord Chancellor said, quoting them “</w:t>
      </w:r>
      <w:r w:rsidR="008B0469" w:rsidRPr="008B0469">
        <w:rPr>
          <w:rFonts w:ascii="Arial" w:hAnsi="Arial" w:cs="Arial"/>
          <w:sz w:val="24"/>
          <w:szCs w:val="24"/>
          <w:shd w:val="clear" w:color="auto" w:fill="FFFFFF"/>
        </w:rPr>
        <w:t xml:space="preserve">I want people to feel confident about participating in activities that benefit others without worrying about what might happen if, despite their best efforts, something goes wrong and they find themselves defending a negligence </w:t>
      </w:r>
      <w:r w:rsidR="008B0469" w:rsidRPr="008B0469">
        <w:rPr>
          <w:rFonts w:ascii="Arial" w:hAnsi="Arial" w:cs="Arial"/>
          <w:sz w:val="24"/>
          <w:szCs w:val="24"/>
          <w:shd w:val="clear" w:color="auto" w:fill="FFFFFF"/>
        </w:rPr>
        <w:lastRenderedPageBreak/>
        <w:t>claim. [Section] 2, on social action, provides valuable reassurance that if that does happen, the court, when reaching a decision on liability, will take careful and thorough account of the contexts of the defendant’s actions and the fact that he or she was acting for the benefit of societ</w:t>
      </w:r>
      <w:r w:rsidR="008B0469">
        <w:rPr>
          <w:rFonts w:ascii="Arial" w:hAnsi="Arial" w:cs="Arial"/>
          <w:sz w:val="24"/>
          <w:szCs w:val="24"/>
          <w:shd w:val="clear" w:color="auto" w:fill="FFFFFF"/>
        </w:rPr>
        <w:t xml:space="preserve">y.” </w:t>
      </w:r>
      <w:r w:rsidR="00DB3F8B">
        <w:rPr>
          <w:rFonts w:ascii="Arial" w:hAnsi="Arial" w:cs="Arial"/>
          <w:sz w:val="24"/>
          <w:szCs w:val="24"/>
          <w:shd w:val="clear" w:color="auto" w:fill="FFFFFF"/>
        </w:rPr>
        <w:t xml:space="preserve"> Although the act could protect and assist people in cases, </w:t>
      </w:r>
      <w:r w:rsidR="00C61F86">
        <w:rPr>
          <w:rFonts w:ascii="Arial" w:hAnsi="Arial" w:cs="Arial"/>
          <w:sz w:val="24"/>
          <w:szCs w:val="24"/>
          <w:shd w:val="clear" w:color="auto" w:fill="FFFFFF"/>
        </w:rPr>
        <w:t xml:space="preserve">it is important to look at some of the potential issues and shortcomings of the act, </w:t>
      </w:r>
      <w:r w:rsidR="006A3CFB">
        <w:rPr>
          <w:rFonts w:ascii="Arial" w:hAnsi="Arial" w:cs="Arial"/>
          <w:i/>
          <w:iCs/>
          <w:sz w:val="24"/>
          <w:szCs w:val="24"/>
          <w:shd w:val="clear" w:color="auto" w:fill="FFFFFF"/>
        </w:rPr>
        <w:t>Goudkamp</w:t>
      </w:r>
      <w:r w:rsidR="00C61F86">
        <w:rPr>
          <w:rFonts w:ascii="Arial" w:hAnsi="Arial" w:cs="Arial"/>
          <w:i/>
          <w:iCs/>
          <w:sz w:val="24"/>
          <w:szCs w:val="24"/>
          <w:shd w:val="clear" w:color="auto" w:fill="FFFFFF"/>
        </w:rPr>
        <w:t xml:space="preserve"> </w:t>
      </w:r>
      <w:r w:rsidR="00C61F86">
        <w:rPr>
          <w:rFonts w:ascii="Arial" w:hAnsi="Arial" w:cs="Arial"/>
          <w:sz w:val="24"/>
          <w:szCs w:val="24"/>
          <w:shd w:val="clear" w:color="auto" w:fill="FFFFFF"/>
        </w:rPr>
        <w:t>(201</w:t>
      </w:r>
      <w:r w:rsidR="006A3CFB">
        <w:rPr>
          <w:rFonts w:ascii="Arial" w:hAnsi="Arial" w:cs="Arial"/>
          <w:sz w:val="24"/>
          <w:szCs w:val="24"/>
          <w:shd w:val="clear" w:color="auto" w:fill="FFFFFF"/>
        </w:rPr>
        <w:t>7</w:t>
      </w:r>
      <w:r w:rsidR="00C61F86">
        <w:rPr>
          <w:rFonts w:ascii="Arial" w:hAnsi="Arial" w:cs="Arial"/>
          <w:sz w:val="24"/>
          <w:szCs w:val="24"/>
          <w:shd w:val="clear" w:color="auto" w:fill="FFFFFF"/>
        </w:rPr>
        <w:t xml:space="preserve">) states that there are various problems with the act, eight to be exact, paraphrasing </w:t>
      </w:r>
      <w:r w:rsidR="006A3CFB">
        <w:rPr>
          <w:rFonts w:ascii="Arial" w:hAnsi="Arial" w:cs="Arial"/>
          <w:sz w:val="24"/>
          <w:szCs w:val="24"/>
          <w:shd w:val="clear" w:color="auto" w:fill="FFFFFF"/>
        </w:rPr>
        <w:t>Goudkamp</w:t>
      </w:r>
      <w:r w:rsidR="00C61F86">
        <w:rPr>
          <w:rFonts w:ascii="Arial" w:hAnsi="Arial" w:cs="Arial"/>
          <w:sz w:val="24"/>
          <w:szCs w:val="24"/>
          <w:shd w:val="clear" w:color="auto" w:fill="FFFFFF"/>
        </w:rPr>
        <w:t xml:space="preserve">, the act is vague in regards to how much weight the court should give to a defendant if it was deemed that they were acting in the benefit of society. Another key issue pointed out by </w:t>
      </w:r>
      <w:r w:rsidR="006A3CFB">
        <w:rPr>
          <w:rFonts w:ascii="Arial" w:hAnsi="Arial" w:cs="Arial"/>
          <w:sz w:val="24"/>
          <w:szCs w:val="24"/>
          <w:shd w:val="clear" w:color="auto" w:fill="FFFFFF"/>
        </w:rPr>
        <w:t>Goudkamp</w:t>
      </w:r>
      <w:r w:rsidR="00C61F86">
        <w:rPr>
          <w:rFonts w:ascii="Arial" w:hAnsi="Arial" w:cs="Arial"/>
          <w:sz w:val="24"/>
          <w:szCs w:val="24"/>
          <w:shd w:val="clear" w:color="auto" w:fill="FFFFFF"/>
        </w:rPr>
        <w:t xml:space="preserve"> is </w:t>
      </w:r>
      <w:r w:rsidR="00103442">
        <w:rPr>
          <w:rFonts w:ascii="Arial" w:hAnsi="Arial" w:cs="Arial"/>
          <w:sz w:val="24"/>
          <w:szCs w:val="24"/>
          <w:shd w:val="clear" w:color="auto" w:fill="FFFFFF"/>
        </w:rPr>
        <w:t>that it is unclear as to what exactly would constitute an act that is beneficial to society</w:t>
      </w:r>
      <w:r w:rsidR="00247FA1">
        <w:rPr>
          <w:rFonts w:ascii="Arial" w:hAnsi="Arial" w:cs="Arial"/>
          <w:sz w:val="24"/>
          <w:szCs w:val="24"/>
          <w:shd w:val="clear" w:color="auto" w:fill="FFFFFF"/>
        </w:rPr>
        <w:t xml:space="preserve"> in the context of the act. </w:t>
      </w:r>
    </w:p>
    <w:p w14:paraId="78A98681" w14:textId="1FA998FC" w:rsidR="00960AA2" w:rsidRDefault="00960AA2"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Another key piece of legislation is the Compensation Act 2006</w:t>
      </w:r>
      <w:r w:rsidR="00035D3A">
        <w:rPr>
          <w:rFonts w:ascii="Arial" w:hAnsi="Arial" w:cs="Arial"/>
          <w:sz w:val="24"/>
          <w:szCs w:val="24"/>
          <w:shd w:val="clear" w:color="auto" w:fill="FFFFFF"/>
        </w:rPr>
        <w:t xml:space="preserve">. </w:t>
      </w:r>
      <w:r w:rsidR="002A0266">
        <w:rPr>
          <w:rFonts w:ascii="Arial" w:hAnsi="Arial" w:cs="Arial"/>
          <w:sz w:val="24"/>
          <w:szCs w:val="24"/>
          <w:shd w:val="clear" w:color="auto" w:fill="FFFFFF"/>
        </w:rPr>
        <w:t xml:space="preserve">To cite </w:t>
      </w:r>
      <w:r w:rsidR="002A0266" w:rsidRPr="002A0266">
        <w:rPr>
          <w:rFonts w:ascii="Arial" w:hAnsi="Arial" w:cs="Arial"/>
          <w:i/>
          <w:iCs/>
          <w:sz w:val="24"/>
          <w:szCs w:val="24"/>
          <w:shd w:val="clear" w:color="auto" w:fill="FFFFFF"/>
        </w:rPr>
        <w:t>Quittance</w:t>
      </w:r>
      <w:r w:rsidR="002A0266">
        <w:rPr>
          <w:rFonts w:ascii="Arial" w:hAnsi="Arial" w:cs="Arial"/>
          <w:sz w:val="24"/>
          <w:szCs w:val="24"/>
          <w:shd w:val="clear" w:color="auto" w:fill="FFFFFF"/>
        </w:rPr>
        <w:t xml:space="preserve"> (2015)</w:t>
      </w:r>
      <w:r w:rsidR="00C84131">
        <w:rPr>
          <w:rFonts w:ascii="Arial" w:hAnsi="Arial" w:cs="Arial"/>
          <w:sz w:val="24"/>
          <w:szCs w:val="24"/>
          <w:shd w:val="clear" w:color="auto" w:fill="FFFFFF"/>
        </w:rPr>
        <w:t>, the compensation act is “expands and clarifies personal injury law” and is also significant when it comes to asbestos related claims</w:t>
      </w:r>
      <w:r w:rsidR="007413E4">
        <w:rPr>
          <w:rFonts w:ascii="Arial" w:hAnsi="Arial" w:cs="Arial"/>
          <w:sz w:val="24"/>
          <w:szCs w:val="24"/>
          <w:shd w:val="clear" w:color="auto" w:fill="FFFFFF"/>
        </w:rPr>
        <w:t xml:space="preserve"> in the sense of helping to identify a valid asbestos related claim due to there being a large number of them. </w:t>
      </w:r>
      <w:r w:rsidR="00981A86">
        <w:rPr>
          <w:rFonts w:ascii="Arial" w:hAnsi="Arial" w:cs="Arial"/>
          <w:sz w:val="24"/>
          <w:szCs w:val="24"/>
          <w:shd w:val="clear" w:color="auto" w:fill="FFFFFF"/>
        </w:rPr>
        <w:t xml:space="preserve">The Ministry of Justice assessed the act and concluded that it had achieved the objectives set out when the legislation was introduced. </w:t>
      </w:r>
    </w:p>
    <w:p w14:paraId="2E184C39" w14:textId="77777777" w:rsidR="00E31159" w:rsidRDefault="00F77318"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Analysing the extent to which the law assists defendants, this can be seen in the case of </w:t>
      </w:r>
      <w:r w:rsidR="00924BDC">
        <w:rPr>
          <w:rFonts w:ascii="Arial" w:hAnsi="Arial" w:cs="Arial"/>
          <w:i/>
          <w:iCs/>
          <w:sz w:val="24"/>
          <w:szCs w:val="24"/>
          <w:shd w:val="clear" w:color="auto" w:fill="FFFFFF"/>
        </w:rPr>
        <w:t xml:space="preserve">Blake v Galloway </w:t>
      </w:r>
      <w:r w:rsidR="00924BDC">
        <w:rPr>
          <w:rFonts w:ascii="Arial" w:hAnsi="Arial" w:cs="Arial"/>
          <w:sz w:val="24"/>
          <w:szCs w:val="24"/>
          <w:shd w:val="clear" w:color="auto" w:fill="FFFFFF"/>
        </w:rPr>
        <w:t>(1954)</w:t>
      </w:r>
      <w:r w:rsidR="00564CCF">
        <w:rPr>
          <w:rFonts w:ascii="Arial" w:hAnsi="Arial" w:cs="Arial"/>
          <w:sz w:val="24"/>
          <w:szCs w:val="24"/>
          <w:shd w:val="clear" w:color="auto" w:fill="FFFFFF"/>
        </w:rPr>
        <w:t xml:space="preserve">, cases like this involve what’s known as ‘horseplay’, in these cases it can be viewed as more challenging to find if there has been negligence, </w:t>
      </w:r>
      <w:r w:rsidR="00564CCF">
        <w:rPr>
          <w:rFonts w:ascii="Arial" w:hAnsi="Arial" w:cs="Arial"/>
          <w:i/>
          <w:iCs/>
          <w:sz w:val="24"/>
          <w:szCs w:val="24"/>
          <w:shd w:val="clear" w:color="auto" w:fill="FFFFFF"/>
        </w:rPr>
        <w:t xml:space="preserve">Nolan </w:t>
      </w:r>
      <w:r w:rsidR="00564CCF">
        <w:rPr>
          <w:rFonts w:ascii="Arial" w:hAnsi="Arial" w:cs="Arial"/>
          <w:sz w:val="24"/>
          <w:szCs w:val="24"/>
          <w:shd w:val="clear" w:color="auto" w:fill="FFFFFF"/>
        </w:rPr>
        <w:t xml:space="preserve">(2013) states </w:t>
      </w:r>
      <w:r w:rsidR="00564CCF" w:rsidRPr="00564CCF">
        <w:rPr>
          <w:rFonts w:ascii="Arial" w:hAnsi="Arial" w:cs="Arial"/>
          <w:sz w:val="24"/>
          <w:szCs w:val="24"/>
          <w:shd w:val="clear" w:color="auto" w:fill="FFFFFF"/>
        </w:rPr>
        <w:t xml:space="preserve">“While these examples are straightforward, other types of case are less so. Consider for instance the standard of care applied to those taking part in sport and related physical activities, such as “horseplay”. The nature of these activities is such that, when one participant injures another (or a spectator), it can be difficult to decide whether to attribute the injury to negligence, or to the </w:t>
      </w:r>
      <w:r w:rsidR="00564CCF" w:rsidRPr="00564CCF">
        <w:rPr>
          <w:rFonts w:ascii="Arial" w:hAnsi="Arial" w:cs="Arial"/>
          <w:sz w:val="24"/>
          <w:szCs w:val="24"/>
          <w:shd w:val="clear" w:color="auto" w:fill="FFFFFF"/>
        </w:rPr>
        <w:lastRenderedPageBreak/>
        <w:t>inherent risks of the activity in question. The courts' response to this difficulty has typically been to stipulate that in such cases liability will not be imposed for a mere error of judgment or lapse of skill, but only where the defendant's conduct was such as to evince a reckless disregard of the claimant's safety.</w:t>
      </w:r>
      <w:r w:rsidR="000B3D98">
        <w:rPr>
          <w:rFonts w:ascii="Arial" w:hAnsi="Arial" w:cs="Arial"/>
          <w:sz w:val="24"/>
          <w:szCs w:val="24"/>
          <w:shd w:val="clear" w:color="auto" w:fill="FFFFFF"/>
        </w:rPr>
        <w:t xml:space="preserve">” Expanding on this, </w:t>
      </w:r>
      <w:r w:rsidR="003A3C4D">
        <w:rPr>
          <w:rFonts w:ascii="Arial" w:hAnsi="Arial" w:cs="Arial"/>
          <w:sz w:val="24"/>
          <w:szCs w:val="24"/>
          <w:shd w:val="clear" w:color="auto" w:fill="FFFFFF"/>
        </w:rPr>
        <w:t xml:space="preserve">Nolan outlines why in these cases it can be complicated to impose liability as a result of negligence with the particular reason for this being that the court must deem that the defendant’s conduct </w:t>
      </w:r>
      <w:r w:rsidR="00B21214">
        <w:rPr>
          <w:rFonts w:ascii="Arial" w:hAnsi="Arial" w:cs="Arial"/>
          <w:sz w:val="24"/>
          <w:szCs w:val="24"/>
          <w:shd w:val="clear" w:color="auto" w:fill="FFFFFF"/>
        </w:rPr>
        <w:t>was such that there was recklessness or a blatant disregard displayed for the claimant’s safety.</w:t>
      </w:r>
    </w:p>
    <w:p w14:paraId="77310B91" w14:textId="233ED2CA" w:rsidR="00C50C53" w:rsidRDefault="00C50C53" w:rsidP="009903E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To sum up and dissect </w:t>
      </w:r>
      <w:r w:rsidR="00717C32">
        <w:rPr>
          <w:rFonts w:ascii="Arial" w:hAnsi="Arial" w:cs="Arial"/>
          <w:sz w:val="24"/>
          <w:szCs w:val="24"/>
          <w:shd w:val="clear" w:color="auto" w:fill="FFFFFF"/>
        </w:rPr>
        <w:t>the entirety of</w:t>
      </w:r>
      <w:r>
        <w:rPr>
          <w:rFonts w:ascii="Arial" w:hAnsi="Arial" w:cs="Arial"/>
          <w:sz w:val="24"/>
          <w:szCs w:val="24"/>
          <w:shd w:val="clear" w:color="auto" w:fill="FFFFFF"/>
        </w:rPr>
        <w:t xml:space="preserve"> the information that has already been presented so far, </w:t>
      </w:r>
      <w:r w:rsidR="00581127">
        <w:rPr>
          <w:rFonts w:ascii="Arial" w:hAnsi="Arial" w:cs="Arial"/>
          <w:sz w:val="24"/>
          <w:szCs w:val="24"/>
          <w:shd w:val="clear" w:color="auto" w:fill="FFFFFF"/>
        </w:rPr>
        <w:t xml:space="preserve">it is fair to </w:t>
      </w:r>
      <w:r w:rsidR="00F673C4">
        <w:rPr>
          <w:rFonts w:ascii="Arial" w:hAnsi="Arial" w:cs="Arial"/>
          <w:sz w:val="24"/>
          <w:szCs w:val="24"/>
          <w:shd w:val="clear" w:color="auto" w:fill="FFFFFF"/>
        </w:rPr>
        <w:t xml:space="preserve">state that the duty of care has been well established through the case law that has been looked at, also, the conditions needed for a breach of duty have been presented looking at the case law and past judgements by the court. The objective test and the Bolam test display some of ways in which standards could vary and assist professionals. </w:t>
      </w:r>
      <w:r w:rsidR="00775765">
        <w:rPr>
          <w:rFonts w:ascii="Arial" w:hAnsi="Arial" w:cs="Arial"/>
          <w:sz w:val="24"/>
          <w:szCs w:val="24"/>
          <w:shd w:val="clear" w:color="auto" w:fill="FFFFFF"/>
        </w:rPr>
        <w:t xml:space="preserve">However, an observation that has seemed to grow more apparent throughout this essay is that a lot of occasions where a </w:t>
      </w:r>
      <w:r w:rsidR="00356B7E">
        <w:rPr>
          <w:rFonts w:ascii="Arial" w:hAnsi="Arial" w:cs="Arial"/>
          <w:sz w:val="24"/>
          <w:szCs w:val="24"/>
          <w:shd w:val="clear" w:color="auto" w:fill="FFFFFF"/>
        </w:rPr>
        <w:t xml:space="preserve">breach of </w:t>
      </w:r>
      <w:r w:rsidR="00775765">
        <w:rPr>
          <w:rFonts w:ascii="Arial" w:hAnsi="Arial" w:cs="Arial"/>
          <w:sz w:val="24"/>
          <w:szCs w:val="24"/>
          <w:shd w:val="clear" w:color="auto" w:fill="FFFFFF"/>
        </w:rPr>
        <w:t xml:space="preserve">duty has been claimed in cases involving clinical negligence, the case law seems to heavily favour the defendants, a lot of cases it is arguable that the outcome could be deemed ‘fair’, but in a case such as </w:t>
      </w:r>
      <w:r w:rsidR="00421D12">
        <w:rPr>
          <w:rFonts w:ascii="Arial" w:hAnsi="Arial" w:cs="Arial"/>
          <w:sz w:val="24"/>
          <w:szCs w:val="24"/>
          <w:shd w:val="clear" w:color="auto" w:fill="FFFFFF"/>
        </w:rPr>
        <w:t>Roe v Minister of Health, the two claimants who were left paralysed due to unforeseen risks</w:t>
      </w:r>
      <w:r w:rsidR="007E7F36">
        <w:rPr>
          <w:rFonts w:ascii="Arial" w:hAnsi="Arial" w:cs="Arial"/>
          <w:sz w:val="24"/>
          <w:szCs w:val="24"/>
          <w:shd w:val="clear" w:color="auto" w:fill="FFFFFF"/>
        </w:rPr>
        <w:t xml:space="preserve"> and then told that there was no breach of duty</w:t>
      </w:r>
      <w:r w:rsidR="005530F4">
        <w:rPr>
          <w:rFonts w:ascii="Arial" w:hAnsi="Arial" w:cs="Arial"/>
          <w:sz w:val="24"/>
          <w:szCs w:val="24"/>
          <w:shd w:val="clear" w:color="auto" w:fill="FFFFFF"/>
        </w:rPr>
        <w:t>. When you frame the facts of Roe v Minister of Health case in the context of current day medical practices and standards, it is reasonable to pose the question</w:t>
      </w:r>
      <w:r w:rsidR="00D4136E">
        <w:rPr>
          <w:rFonts w:ascii="Arial" w:hAnsi="Arial" w:cs="Arial"/>
          <w:sz w:val="24"/>
          <w:szCs w:val="24"/>
          <w:shd w:val="clear" w:color="auto" w:fill="FFFFFF"/>
        </w:rPr>
        <w:t>:</w:t>
      </w:r>
      <w:r w:rsidR="005530F4">
        <w:rPr>
          <w:rFonts w:ascii="Arial" w:hAnsi="Arial" w:cs="Arial"/>
          <w:sz w:val="24"/>
          <w:szCs w:val="24"/>
          <w:shd w:val="clear" w:color="auto" w:fill="FFFFFF"/>
        </w:rPr>
        <w:t xml:space="preserve"> would the same outcome have happened? </w:t>
      </w:r>
      <w:r w:rsidR="00EA0D6D">
        <w:rPr>
          <w:rFonts w:ascii="Arial" w:hAnsi="Arial" w:cs="Arial"/>
          <w:sz w:val="24"/>
          <w:szCs w:val="24"/>
          <w:shd w:val="clear" w:color="auto" w:fill="FFFFFF"/>
        </w:rPr>
        <w:t xml:space="preserve">The Bolam test has been showed to be invaluable for defendants who are doctors, but not every case where there has been an alleged breach of duty can be simplified by a test, which was pointed out by Hylton regarding the use of the objective test previously. </w:t>
      </w:r>
      <w:r w:rsidR="00712494">
        <w:rPr>
          <w:rFonts w:ascii="Arial" w:hAnsi="Arial" w:cs="Arial"/>
          <w:sz w:val="24"/>
          <w:szCs w:val="24"/>
          <w:shd w:val="clear" w:color="auto" w:fill="FFFFFF"/>
        </w:rPr>
        <w:t xml:space="preserve">When </w:t>
      </w:r>
      <w:r w:rsidR="00712494">
        <w:rPr>
          <w:rFonts w:ascii="Arial" w:hAnsi="Arial" w:cs="Arial"/>
          <w:sz w:val="24"/>
          <w:szCs w:val="24"/>
          <w:shd w:val="clear" w:color="auto" w:fill="FFFFFF"/>
        </w:rPr>
        <w:lastRenderedPageBreak/>
        <w:t xml:space="preserve">asking the question whether or not the law is flexible to both claimants and defendants, legislation such as </w:t>
      </w:r>
      <w:r w:rsidR="00712494">
        <w:rPr>
          <w:rFonts w:ascii="Arial" w:hAnsi="Arial" w:cs="Arial"/>
          <w:sz w:val="24"/>
          <w:szCs w:val="24"/>
          <w:shd w:val="clear" w:color="auto" w:fill="FFFFFF"/>
        </w:rPr>
        <w:t>Social Action, Responsibility and Heroism Act 2015</w:t>
      </w:r>
      <w:r w:rsidR="00712494">
        <w:rPr>
          <w:rFonts w:ascii="Arial" w:hAnsi="Arial" w:cs="Arial"/>
          <w:sz w:val="24"/>
          <w:szCs w:val="24"/>
          <w:shd w:val="clear" w:color="auto" w:fill="FFFFFF"/>
        </w:rPr>
        <w:t xml:space="preserve"> and the Compensation Act 2006 are two acts one can point to </w:t>
      </w:r>
      <w:r w:rsidR="00793A83">
        <w:rPr>
          <w:rFonts w:ascii="Arial" w:hAnsi="Arial" w:cs="Arial"/>
          <w:sz w:val="24"/>
          <w:szCs w:val="24"/>
          <w:shd w:val="clear" w:color="auto" w:fill="FFFFFF"/>
        </w:rPr>
        <w:t xml:space="preserve">regarding this. </w:t>
      </w:r>
      <w:r w:rsidR="00273E2B">
        <w:rPr>
          <w:rFonts w:ascii="Arial" w:hAnsi="Arial" w:cs="Arial"/>
          <w:sz w:val="24"/>
          <w:szCs w:val="24"/>
          <w:shd w:val="clear" w:color="auto" w:fill="FFFFFF"/>
        </w:rPr>
        <w:t xml:space="preserve">It has already been established that the Compensation Act was assessed by the Ministry of Justice and deemed to be a success, however the Social Action, Responsibility and Heroism Act </w:t>
      </w:r>
      <w:r w:rsidR="005B6798">
        <w:rPr>
          <w:rFonts w:ascii="Arial" w:hAnsi="Arial" w:cs="Arial"/>
          <w:sz w:val="24"/>
          <w:szCs w:val="24"/>
          <w:shd w:val="clear" w:color="auto" w:fill="FFFFFF"/>
        </w:rPr>
        <w:t xml:space="preserve">was thoroughly examined by Goudkamp where some of the issues with it were brought forward. </w:t>
      </w:r>
      <w:r w:rsidR="00B65E22">
        <w:rPr>
          <w:rFonts w:ascii="Arial" w:hAnsi="Arial" w:cs="Arial"/>
          <w:sz w:val="24"/>
          <w:szCs w:val="24"/>
          <w:shd w:val="clear" w:color="auto" w:fill="FFFFFF"/>
        </w:rPr>
        <w:t xml:space="preserve">In conclusion, revisiting what was previously stated, it is arguable that the standard of care isn’t exactly as flexible as it could be, the </w:t>
      </w:r>
      <w:r w:rsidR="006A4CCD">
        <w:rPr>
          <w:rFonts w:ascii="Arial" w:hAnsi="Arial" w:cs="Arial"/>
          <w:sz w:val="24"/>
          <w:szCs w:val="24"/>
          <w:shd w:val="clear" w:color="auto" w:fill="FFFFFF"/>
        </w:rPr>
        <w:t xml:space="preserve">main reason for this being that the outcomes of the case law that has been looked at seems one sided in favour of defendants, but with that being said, factors such as contributary negligence must be taken into account which was seen in Nettleship v Weston, this is due to the fact that it is arguable with a reduction in damages the court has taken everything into account and distributed the blame equally. </w:t>
      </w:r>
    </w:p>
    <w:p w14:paraId="1E9887BC" w14:textId="77777777" w:rsidR="00A66486" w:rsidRPr="00841B5E" w:rsidRDefault="00A66486" w:rsidP="00D01665">
      <w:pPr>
        <w:rPr>
          <w:rFonts w:ascii="Arial" w:hAnsi="Arial" w:cs="Arial"/>
          <w:sz w:val="24"/>
          <w:szCs w:val="24"/>
          <w:shd w:val="clear" w:color="auto" w:fill="FFFFFF"/>
        </w:rPr>
      </w:pPr>
    </w:p>
    <w:p w14:paraId="473D8BE8" w14:textId="0A33478F" w:rsidR="009903E1" w:rsidRDefault="009903E1">
      <w:pPr>
        <w:rPr>
          <w:rFonts w:ascii="Arial" w:hAnsi="Arial" w:cs="Arial"/>
          <w:sz w:val="24"/>
          <w:szCs w:val="24"/>
          <w:shd w:val="clear" w:color="auto" w:fill="FFFFFF"/>
        </w:rPr>
      </w:pPr>
      <w:r>
        <w:rPr>
          <w:rFonts w:ascii="Arial" w:hAnsi="Arial" w:cs="Arial"/>
          <w:sz w:val="24"/>
          <w:szCs w:val="24"/>
          <w:shd w:val="clear" w:color="auto" w:fill="FFFFFF"/>
        </w:rPr>
        <w:br w:type="page"/>
      </w:r>
    </w:p>
    <w:p w14:paraId="5A54848E" w14:textId="77777777" w:rsidR="00FE3210" w:rsidRDefault="00FE3210" w:rsidP="00FE3210">
      <w:pPr>
        <w:rPr>
          <w:rFonts w:ascii="Arial" w:hAnsi="Arial" w:cs="Arial"/>
          <w:sz w:val="24"/>
          <w:szCs w:val="24"/>
          <w:u w:val="single"/>
        </w:rPr>
      </w:pPr>
      <w:r>
        <w:rPr>
          <w:rFonts w:ascii="Arial" w:hAnsi="Arial" w:cs="Arial"/>
          <w:sz w:val="24"/>
          <w:szCs w:val="24"/>
          <w:u w:val="single"/>
        </w:rPr>
        <w:lastRenderedPageBreak/>
        <w:t>References</w:t>
      </w:r>
    </w:p>
    <w:p w14:paraId="776E1546" w14:textId="77777777" w:rsidR="00FE3210" w:rsidRPr="00653D8F" w:rsidRDefault="00FE3210" w:rsidP="00FE3210">
      <w:pPr>
        <w:pStyle w:val="NormalWeb"/>
        <w:rPr>
          <w:rFonts w:ascii="Arial" w:hAnsi="Arial" w:cs="Arial"/>
        </w:rPr>
      </w:pPr>
      <w:r w:rsidRPr="00EC3B3D">
        <w:rPr>
          <w:rFonts w:ascii="Arial" w:hAnsi="Arial" w:cs="Arial"/>
        </w:rPr>
        <w:t>Goudkamp, J. (2017). Restating the Common Law? The Social Action, Responsibility and Heroism Act 2015. </w:t>
      </w:r>
      <w:r w:rsidRPr="00EC3B3D">
        <w:rPr>
          <w:rFonts w:ascii="Arial" w:hAnsi="Arial" w:cs="Arial"/>
          <w:i/>
          <w:iCs/>
        </w:rPr>
        <w:t>Oxford Legal Studies Research Paper</w:t>
      </w:r>
      <w:r w:rsidRPr="00EC3B3D">
        <w:rPr>
          <w:rFonts w:ascii="Arial" w:hAnsi="Arial" w:cs="Arial"/>
        </w:rPr>
        <w:t>. 55 (1), pp18-19.</w:t>
      </w:r>
    </w:p>
    <w:p w14:paraId="553316EA" w14:textId="77777777" w:rsidR="00FE3210" w:rsidRDefault="00FE3210" w:rsidP="00FE3210">
      <w:pPr>
        <w:rPr>
          <w:rFonts w:ascii="Arial" w:hAnsi="Arial" w:cs="Arial"/>
          <w:color w:val="181817"/>
          <w:sz w:val="24"/>
          <w:szCs w:val="24"/>
          <w:shd w:val="clear" w:color="auto" w:fill="FFFFFF"/>
        </w:rPr>
      </w:pPr>
      <w:r w:rsidRPr="00216C47">
        <w:rPr>
          <w:rFonts w:ascii="Arial" w:hAnsi="Arial" w:cs="Arial"/>
          <w:color w:val="181817"/>
          <w:sz w:val="24"/>
          <w:szCs w:val="24"/>
          <w:shd w:val="clear" w:color="auto" w:fill="FFFFFF"/>
        </w:rPr>
        <w:t>Hylton, K. N. (2016) “The Reasonable Person,” In </w:t>
      </w:r>
      <w:r w:rsidRPr="00216C47">
        <w:rPr>
          <w:rFonts w:ascii="Arial" w:hAnsi="Arial" w:cs="Arial"/>
          <w:i/>
          <w:iCs/>
          <w:color w:val="181817"/>
          <w:sz w:val="24"/>
          <w:szCs w:val="24"/>
          <w:bdr w:val="none" w:sz="0" w:space="0" w:color="auto" w:frame="1"/>
          <w:shd w:val="clear" w:color="auto" w:fill="FFFFFF"/>
        </w:rPr>
        <w:t>Tort Law: A Modern Perspective</w:t>
      </w:r>
      <w:r w:rsidRPr="00216C47">
        <w:rPr>
          <w:rFonts w:ascii="Arial" w:hAnsi="Arial" w:cs="Arial"/>
          <w:color w:val="181817"/>
          <w:sz w:val="24"/>
          <w:szCs w:val="24"/>
          <w:shd w:val="clear" w:color="auto" w:fill="FFFFFF"/>
        </w:rPr>
        <w:t xml:space="preserve">, chapter, Cambridge, Cambridge University Press, pp. 102–121. </w:t>
      </w:r>
    </w:p>
    <w:p w14:paraId="2402EBD9" w14:textId="77777777" w:rsidR="00FE3210" w:rsidRDefault="00FE3210" w:rsidP="00FE3210">
      <w:pPr>
        <w:rPr>
          <w:rFonts w:ascii="Arial" w:hAnsi="Arial" w:cs="Arial"/>
          <w:sz w:val="24"/>
          <w:szCs w:val="24"/>
        </w:rPr>
      </w:pPr>
      <w:r w:rsidRPr="00BB3118">
        <w:rPr>
          <w:rFonts w:ascii="Arial" w:hAnsi="Arial" w:cs="Arial"/>
          <w:sz w:val="24"/>
          <w:szCs w:val="24"/>
        </w:rPr>
        <w:t>Stewart, J. (2006</w:t>
      </w:r>
      <w:proofErr w:type="gramStart"/>
      <w:r w:rsidRPr="00BB3118">
        <w:rPr>
          <w:rFonts w:ascii="Arial" w:hAnsi="Arial" w:cs="Arial"/>
          <w:sz w:val="24"/>
          <w:szCs w:val="24"/>
        </w:rPr>
        <w:t>).Duty</w:t>
      </w:r>
      <w:proofErr w:type="gramEnd"/>
      <w:r w:rsidRPr="00BB3118">
        <w:rPr>
          <w:rFonts w:ascii="Arial" w:hAnsi="Arial" w:cs="Arial"/>
          <w:sz w:val="24"/>
          <w:szCs w:val="24"/>
        </w:rPr>
        <w:t xml:space="preserve"> of care.Available:https://legal-dictionary.thefreedictionary.com/duty+of+care.Last accessed 1st November 202</w:t>
      </w:r>
      <w:r>
        <w:rPr>
          <w:rFonts w:ascii="Arial" w:hAnsi="Arial" w:cs="Arial"/>
          <w:sz w:val="24"/>
          <w:szCs w:val="24"/>
        </w:rPr>
        <w:t>1</w:t>
      </w:r>
      <w:r w:rsidRPr="00BB3118">
        <w:rPr>
          <w:rFonts w:ascii="Arial" w:hAnsi="Arial" w:cs="Arial"/>
          <w:sz w:val="24"/>
          <w:szCs w:val="24"/>
        </w:rPr>
        <w:t>.</w:t>
      </w:r>
    </w:p>
    <w:p w14:paraId="1F1E9955" w14:textId="77777777" w:rsidR="00FE3210" w:rsidRDefault="00FE3210" w:rsidP="00FE3210">
      <w:pPr>
        <w:rPr>
          <w:rFonts w:ascii="Arial" w:hAnsi="Arial" w:cs="Arial"/>
          <w:sz w:val="24"/>
          <w:szCs w:val="24"/>
        </w:rPr>
      </w:pPr>
      <w:r w:rsidRPr="000A6291">
        <w:rPr>
          <w:rFonts w:ascii="Arial" w:hAnsi="Arial" w:cs="Arial"/>
          <w:color w:val="000000"/>
          <w:sz w:val="24"/>
          <w:szCs w:val="24"/>
        </w:rPr>
        <w:t>Martin, E (2010). </w:t>
      </w:r>
      <w:r w:rsidRPr="000A6291">
        <w:rPr>
          <w:rFonts w:ascii="Arial" w:hAnsi="Arial" w:cs="Arial"/>
          <w:i/>
          <w:iCs/>
          <w:color w:val="000000"/>
          <w:sz w:val="24"/>
          <w:szCs w:val="24"/>
        </w:rPr>
        <w:t>Concise Medical Dictionary.</w:t>
      </w:r>
      <w:r w:rsidRPr="000A6291">
        <w:rPr>
          <w:rFonts w:ascii="Arial" w:hAnsi="Arial" w:cs="Arial"/>
          <w:color w:val="000000"/>
          <w:sz w:val="24"/>
          <w:szCs w:val="24"/>
        </w:rPr>
        <w:t xml:space="preserve"> 8th ed. Oxford: Oxford University Press. p66</w:t>
      </w:r>
    </w:p>
    <w:p w14:paraId="73ED1FE0" w14:textId="77777777" w:rsidR="00FE3210" w:rsidRDefault="00FE3210" w:rsidP="00FE3210">
      <w:pPr>
        <w:rPr>
          <w:rFonts w:ascii="Arial" w:hAnsi="Arial" w:cs="Arial"/>
          <w:sz w:val="24"/>
          <w:szCs w:val="24"/>
        </w:rPr>
      </w:pPr>
      <w:r w:rsidRPr="000C1E58">
        <w:rPr>
          <w:rFonts w:ascii="Arial" w:hAnsi="Arial" w:cs="Arial"/>
          <w:sz w:val="24"/>
          <w:szCs w:val="24"/>
        </w:rPr>
        <w:t xml:space="preserve">Mullis A., Oliphant </w:t>
      </w:r>
      <w:proofErr w:type="gramStart"/>
      <w:r w:rsidRPr="000C1E58">
        <w:rPr>
          <w:rFonts w:ascii="Arial" w:hAnsi="Arial" w:cs="Arial"/>
          <w:sz w:val="24"/>
          <w:szCs w:val="24"/>
        </w:rPr>
        <w:t>K..</w:t>
      </w:r>
      <w:proofErr w:type="gramEnd"/>
      <w:r w:rsidRPr="000C1E58">
        <w:rPr>
          <w:rFonts w:ascii="Arial" w:hAnsi="Arial" w:cs="Arial"/>
          <w:sz w:val="24"/>
          <w:szCs w:val="24"/>
        </w:rPr>
        <w:t xml:space="preserve"> (1997). Torts. In: Mullis A., Oliphant K. </w:t>
      </w:r>
      <w:r w:rsidRPr="000C1E58">
        <w:rPr>
          <w:rFonts w:ascii="Arial" w:hAnsi="Arial" w:cs="Arial"/>
          <w:i/>
          <w:iCs/>
          <w:sz w:val="24"/>
          <w:szCs w:val="24"/>
        </w:rPr>
        <w:t>Breach of the Duty of Care</w:t>
      </w:r>
      <w:r w:rsidRPr="000C1E58">
        <w:rPr>
          <w:rFonts w:ascii="Arial" w:hAnsi="Arial" w:cs="Arial"/>
          <w:sz w:val="24"/>
          <w:szCs w:val="24"/>
        </w:rPr>
        <w:t>. 2nd ed. London: Palgrave, London. pp98-106.</w:t>
      </w:r>
    </w:p>
    <w:p w14:paraId="6AECD7F2" w14:textId="77777777" w:rsidR="00FE3210" w:rsidRDefault="00FE3210" w:rsidP="00FE3210">
      <w:pPr>
        <w:pStyle w:val="NormalWeb"/>
        <w:rPr>
          <w:rFonts w:ascii="Arial" w:hAnsi="Arial" w:cs="Arial"/>
        </w:rPr>
      </w:pPr>
      <w:r w:rsidRPr="004D0E14">
        <w:rPr>
          <w:rFonts w:ascii="Arial" w:hAnsi="Arial" w:cs="Arial"/>
        </w:rPr>
        <w:t>Nolan, D. (2013). VARYING THE STANDARD OF CARE IN NEGLIGENCE. </w:t>
      </w:r>
      <w:r w:rsidRPr="004D0E14">
        <w:rPr>
          <w:rFonts w:ascii="Arial" w:hAnsi="Arial" w:cs="Arial"/>
          <w:i/>
          <w:iCs/>
        </w:rPr>
        <w:t xml:space="preserve">The Cambridge Law </w:t>
      </w:r>
      <w:proofErr w:type="gramStart"/>
      <w:r w:rsidRPr="004D0E14">
        <w:rPr>
          <w:rFonts w:ascii="Arial" w:hAnsi="Arial" w:cs="Arial"/>
          <w:i/>
          <w:iCs/>
        </w:rPr>
        <w:t>Journal </w:t>
      </w:r>
      <w:r w:rsidRPr="004D0E14">
        <w:rPr>
          <w:rFonts w:ascii="Arial" w:hAnsi="Arial" w:cs="Arial"/>
        </w:rPr>
        <w:t>.</w:t>
      </w:r>
      <w:proofErr w:type="gramEnd"/>
      <w:r w:rsidRPr="004D0E14">
        <w:rPr>
          <w:rFonts w:ascii="Arial" w:hAnsi="Arial" w:cs="Arial"/>
        </w:rPr>
        <w:t xml:space="preserve"> 72 (3), pp651-688.</w:t>
      </w:r>
    </w:p>
    <w:p w14:paraId="1B255D9F" w14:textId="77777777" w:rsidR="00FE3210" w:rsidRDefault="00FE3210" w:rsidP="00FE3210">
      <w:pPr>
        <w:pStyle w:val="NormalWeb"/>
        <w:rPr>
          <w:rFonts w:ascii="Arial" w:hAnsi="Arial" w:cs="Arial"/>
        </w:rPr>
      </w:pPr>
      <w:r>
        <w:rPr>
          <w:rFonts w:ascii="Arial" w:hAnsi="Arial" w:cs="Arial"/>
          <w:color w:val="000000"/>
        </w:rPr>
        <w:t xml:space="preserve">Quittance. </w:t>
      </w:r>
      <w:r w:rsidRPr="00F7467B">
        <w:rPr>
          <w:rFonts w:ascii="Arial" w:hAnsi="Arial" w:cs="Arial"/>
          <w:color w:val="000000"/>
        </w:rPr>
        <w:t>(2015). </w:t>
      </w:r>
      <w:r w:rsidRPr="00F7467B">
        <w:rPr>
          <w:rFonts w:ascii="Arial" w:hAnsi="Arial" w:cs="Arial"/>
          <w:i/>
          <w:iCs/>
          <w:color w:val="000000"/>
        </w:rPr>
        <w:t>Injury compensation claims and the Compensation Act 2006.</w:t>
      </w:r>
      <w:r w:rsidRPr="00F7467B">
        <w:rPr>
          <w:rFonts w:ascii="Arial" w:hAnsi="Arial" w:cs="Arial"/>
          <w:color w:val="000000"/>
        </w:rPr>
        <w:t xml:space="preserve"> Available: </w:t>
      </w:r>
      <w:hyperlink r:id="rId4" w:history="1">
        <w:r w:rsidRPr="003858FB">
          <w:rPr>
            <w:rStyle w:val="Hyperlink"/>
            <w:rFonts w:ascii="Arial" w:hAnsi="Arial" w:cs="Arial"/>
          </w:rPr>
          <w:t>https://www.quittance.co.uk/personal-injury/advice/general/injury-claims-under-the-compensation-act-2006</w:t>
        </w:r>
      </w:hyperlink>
      <w:r w:rsidRPr="00F7467B">
        <w:rPr>
          <w:rFonts w:ascii="Arial" w:hAnsi="Arial" w:cs="Arial"/>
          <w:color w:val="000000"/>
        </w:rPr>
        <w:t>.</w:t>
      </w:r>
      <w:r>
        <w:rPr>
          <w:rFonts w:ascii="Arial" w:hAnsi="Arial" w:cs="Arial"/>
          <w:color w:val="000000"/>
        </w:rPr>
        <w:t xml:space="preserve"> </w:t>
      </w:r>
      <w:r w:rsidRPr="00F7467B">
        <w:rPr>
          <w:rFonts w:ascii="Arial" w:hAnsi="Arial" w:cs="Arial"/>
          <w:color w:val="000000"/>
        </w:rPr>
        <w:t>Last accessed 5th Nov 2021.</w:t>
      </w:r>
    </w:p>
    <w:p w14:paraId="0385563C" w14:textId="77777777" w:rsidR="00FE3210" w:rsidRDefault="00FE3210" w:rsidP="00FE3210">
      <w:pPr>
        <w:rPr>
          <w:rFonts w:ascii="Arial" w:hAnsi="Arial" w:cs="Arial"/>
          <w:sz w:val="24"/>
          <w:szCs w:val="24"/>
        </w:rPr>
      </w:pPr>
      <w:r w:rsidRPr="0017491F">
        <w:rPr>
          <w:rFonts w:ascii="Arial" w:hAnsi="Arial" w:cs="Arial"/>
          <w:sz w:val="24"/>
          <w:szCs w:val="24"/>
        </w:rPr>
        <w:t>Rogers, H. (1972). Trouble with Learners. </w:t>
      </w:r>
      <w:r w:rsidRPr="0017491F">
        <w:rPr>
          <w:rFonts w:ascii="Arial" w:hAnsi="Arial" w:cs="Arial"/>
          <w:i/>
          <w:iCs/>
          <w:sz w:val="24"/>
          <w:szCs w:val="24"/>
        </w:rPr>
        <w:t xml:space="preserve">The Cambridge Law </w:t>
      </w:r>
      <w:proofErr w:type="gramStart"/>
      <w:r w:rsidRPr="0017491F">
        <w:rPr>
          <w:rFonts w:ascii="Arial" w:hAnsi="Arial" w:cs="Arial"/>
          <w:i/>
          <w:iCs/>
          <w:sz w:val="24"/>
          <w:szCs w:val="24"/>
        </w:rPr>
        <w:t>Journal </w:t>
      </w:r>
      <w:r w:rsidRPr="0017491F">
        <w:rPr>
          <w:rFonts w:ascii="Arial" w:hAnsi="Arial" w:cs="Arial"/>
          <w:sz w:val="24"/>
          <w:szCs w:val="24"/>
        </w:rPr>
        <w:t>.</w:t>
      </w:r>
      <w:proofErr w:type="gramEnd"/>
      <w:r w:rsidRPr="0017491F">
        <w:rPr>
          <w:rFonts w:ascii="Arial" w:hAnsi="Arial" w:cs="Arial"/>
          <w:sz w:val="24"/>
          <w:szCs w:val="24"/>
        </w:rPr>
        <w:t xml:space="preserve"> 30 (1), pp24-27.</w:t>
      </w:r>
    </w:p>
    <w:p w14:paraId="2D49FB7D" w14:textId="77777777" w:rsidR="00FE3210" w:rsidRDefault="00FE3210" w:rsidP="00FE3210">
      <w:pPr>
        <w:rPr>
          <w:rFonts w:ascii="Arial" w:hAnsi="Arial" w:cs="Arial"/>
          <w:sz w:val="24"/>
          <w:szCs w:val="24"/>
        </w:rPr>
      </w:pPr>
      <w:r w:rsidRPr="002929E2">
        <w:rPr>
          <w:rFonts w:ascii="Arial" w:hAnsi="Arial" w:cs="Arial"/>
          <w:sz w:val="24"/>
          <w:szCs w:val="24"/>
        </w:rPr>
        <w:t>Timms, S. (2019). </w:t>
      </w:r>
      <w:r w:rsidRPr="002929E2">
        <w:rPr>
          <w:rFonts w:ascii="Arial" w:hAnsi="Arial" w:cs="Arial"/>
          <w:i/>
          <w:iCs/>
          <w:sz w:val="24"/>
          <w:szCs w:val="24"/>
        </w:rPr>
        <w:t xml:space="preserve">Is There a Difference in the Standard of Care Required from Doctors Depending on their </w:t>
      </w:r>
      <w:proofErr w:type="gramStart"/>
      <w:r w:rsidRPr="002929E2">
        <w:rPr>
          <w:rFonts w:ascii="Arial" w:hAnsi="Arial" w:cs="Arial"/>
          <w:i/>
          <w:iCs/>
          <w:sz w:val="24"/>
          <w:szCs w:val="24"/>
        </w:rPr>
        <w:t>Seniority?.</w:t>
      </w:r>
      <w:proofErr w:type="gramEnd"/>
      <w:r w:rsidRPr="002929E2">
        <w:rPr>
          <w:rFonts w:ascii="Arial" w:hAnsi="Arial" w:cs="Arial"/>
          <w:sz w:val="24"/>
          <w:szCs w:val="24"/>
        </w:rPr>
        <w:t xml:space="preserve"> Available: </w:t>
      </w:r>
      <w:hyperlink r:id="rId5" w:history="1">
        <w:r w:rsidRPr="00753E8E">
          <w:rPr>
            <w:rStyle w:val="Hyperlink"/>
            <w:rFonts w:ascii="Arial" w:hAnsi="Arial" w:cs="Arial"/>
            <w:sz w:val="24"/>
            <w:szCs w:val="24"/>
          </w:rPr>
          <w:t>https://www.truthlegal.com/is-there-a-difference-in-the-standard-of-care-required-from-doctors-depending-on-their-seniority/</w:t>
        </w:r>
      </w:hyperlink>
      <w:r w:rsidRPr="002929E2">
        <w:rPr>
          <w:rFonts w:ascii="Arial" w:hAnsi="Arial" w:cs="Arial"/>
          <w:sz w:val="24"/>
          <w:szCs w:val="24"/>
        </w:rPr>
        <w:t>.</w:t>
      </w:r>
      <w:r>
        <w:rPr>
          <w:rFonts w:ascii="Arial" w:hAnsi="Arial" w:cs="Arial"/>
          <w:sz w:val="24"/>
          <w:szCs w:val="24"/>
        </w:rPr>
        <w:t xml:space="preserve"> </w:t>
      </w:r>
      <w:r w:rsidRPr="002929E2">
        <w:rPr>
          <w:rFonts w:ascii="Arial" w:hAnsi="Arial" w:cs="Arial"/>
          <w:sz w:val="24"/>
          <w:szCs w:val="24"/>
        </w:rPr>
        <w:t>Last accessed 3rd Nov 2021.</w:t>
      </w:r>
    </w:p>
    <w:p w14:paraId="0A41AD06" w14:textId="77777777" w:rsidR="00FE3210" w:rsidRDefault="00FE3210" w:rsidP="00FE3210">
      <w:pPr>
        <w:pStyle w:val="NormalWeb"/>
        <w:rPr>
          <w:rFonts w:ascii="Arial" w:hAnsi="Arial" w:cs="Arial"/>
        </w:rPr>
      </w:pPr>
      <w:r w:rsidRPr="00965F17">
        <w:rPr>
          <w:rFonts w:ascii="Arial" w:hAnsi="Arial" w:cs="Arial"/>
        </w:rPr>
        <w:t>Usher, A. (1970). Forensic Medicine—The Sheffield Pattern. </w:t>
      </w:r>
      <w:r w:rsidRPr="00965F17">
        <w:rPr>
          <w:rFonts w:ascii="Arial" w:hAnsi="Arial" w:cs="Arial"/>
          <w:i/>
          <w:iCs/>
        </w:rPr>
        <w:t>Medicine, Science &amp; Law</w:t>
      </w:r>
      <w:r w:rsidRPr="00965F17">
        <w:rPr>
          <w:rFonts w:ascii="Arial" w:hAnsi="Arial" w:cs="Arial"/>
        </w:rPr>
        <w:t>. 10 (4), pp243-247.</w:t>
      </w:r>
    </w:p>
    <w:p w14:paraId="14978504" w14:textId="77777777" w:rsidR="00FE3210" w:rsidRPr="00653D8F" w:rsidRDefault="00FE3210" w:rsidP="00FE3210">
      <w:pPr>
        <w:rPr>
          <w:rFonts w:ascii="Arial" w:hAnsi="Arial" w:cs="Arial"/>
          <w:sz w:val="24"/>
          <w:szCs w:val="24"/>
        </w:rPr>
      </w:pPr>
      <w:r w:rsidRPr="002442A2">
        <w:rPr>
          <w:rFonts w:ascii="Arial" w:hAnsi="Arial" w:cs="Arial"/>
          <w:sz w:val="24"/>
          <w:szCs w:val="24"/>
        </w:rPr>
        <w:t>Wade, L. (2020). </w:t>
      </w:r>
      <w:r w:rsidRPr="002442A2">
        <w:rPr>
          <w:rFonts w:ascii="Arial" w:hAnsi="Arial" w:cs="Arial"/>
          <w:i/>
          <w:iCs/>
          <w:sz w:val="24"/>
          <w:szCs w:val="24"/>
        </w:rPr>
        <w:t>Landmark Clinical Negligence Cases.</w:t>
      </w:r>
      <w:r w:rsidRPr="002442A2">
        <w:rPr>
          <w:rFonts w:ascii="Arial" w:hAnsi="Arial" w:cs="Arial"/>
          <w:sz w:val="24"/>
          <w:szCs w:val="24"/>
        </w:rPr>
        <w:t xml:space="preserve"> Available: </w:t>
      </w:r>
      <w:hyperlink r:id="rId6" w:history="1">
        <w:r w:rsidRPr="005C13A0">
          <w:rPr>
            <w:rStyle w:val="Hyperlink"/>
            <w:rFonts w:ascii="Arial" w:hAnsi="Arial" w:cs="Arial"/>
            <w:sz w:val="24"/>
            <w:szCs w:val="24"/>
          </w:rPr>
          <w:t>https://www.thelawyerportal.com/blog/interesting-clinical-negligence-court-cases/</w:t>
        </w:r>
      </w:hyperlink>
      <w:r w:rsidRPr="002442A2">
        <w:rPr>
          <w:rFonts w:ascii="Arial" w:hAnsi="Arial" w:cs="Arial"/>
          <w:sz w:val="24"/>
          <w:szCs w:val="24"/>
        </w:rPr>
        <w:t>.</w:t>
      </w:r>
      <w:r>
        <w:rPr>
          <w:rFonts w:ascii="Arial" w:hAnsi="Arial" w:cs="Arial"/>
          <w:sz w:val="24"/>
          <w:szCs w:val="24"/>
        </w:rPr>
        <w:t xml:space="preserve"> </w:t>
      </w:r>
      <w:r w:rsidRPr="002442A2">
        <w:rPr>
          <w:rFonts w:ascii="Arial" w:hAnsi="Arial" w:cs="Arial"/>
          <w:sz w:val="24"/>
          <w:szCs w:val="24"/>
        </w:rPr>
        <w:t>Last accessed 1st Nov 2021.</w:t>
      </w:r>
    </w:p>
    <w:p w14:paraId="13D6A905" w14:textId="77777777" w:rsidR="00FE3210" w:rsidRDefault="00FE3210" w:rsidP="00FE3210">
      <w:pPr>
        <w:rPr>
          <w:rFonts w:ascii="Arial" w:hAnsi="Arial" w:cs="Arial"/>
          <w:color w:val="000000"/>
          <w:sz w:val="24"/>
          <w:szCs w:val="24"/>
        </w:rPr>
      </w:pPr>
      <w:r w:rsidRPr="00BB11B4">
        <w:rPr>
          <w:rFonts w:ascii="Arial" w:hAnsi="Arial" w:cs="Arial"/>
          <w:color w:val="000000"/>
          <w:sz w:val="24"/>
          <w:szCs w:val="24"/>
        </w:rPr>
        <w:t>Watt, J. (1997). Wilsher v Essex Area Health Authority. </w:t>
      </w:r>
      <w:r w:rsidRPr="00BB11B4">
        <w:rPr>
          <w:rFonts w:ascii="Arial" w:hAnsi="Arial" w:cs="Arial"/>
          <w:i/>
          <w:iCs/>
          <w:color w:val="000000"/>
          <w:sz w:val="24"/>
          <w:szCs w:val="24"/>
        </w:rPr>
        <w:t xml:space="preserve">AVMA Medical &amp; Legal </w:t>
      </w:r>
      <w:proofErr w:type="gramStart"/>
      <w:r w:rsidRPr="00BB11B4">
        <w:rPr>
          <w:rFonts w:ascii="Arial" w:hAnsi="Arial" w:cs="Arial"/>
          <w:i/>
          <w:iCs/>
          <w:color w:val="000000"/>
          <w:sz w:val="24"/>
          <w:szCs w:val="24"/>
        </w:rPr>
        <w:t>Journal </w:t>
      </w:r>
      <w:r w:rsidRPr="00BB11B4">
        <w:rPr>
          <w:rFonts w:ascii="Arial" w:hAnsi="Arial" w:cs="Arial"/>
          <w:color w:val="000000"/>
          <w:sz w:val="24"/>
          <w:szCs w:val="24"/>
        </w:rPr>
        <w:t>.</w:t>
      </w:r>
      <w:proofErr w:type="gramEnd"/>
      <w:r w:rsidRPr="00BB11B4">
        <w:rPr>
          <w:rFonts w:ascii="Arial" w:hAnsi="Arial" w:cs="Arial"/>
          <w:color w:val="000000"/>
          <w:sz w:val="24"/>
          <w:szCs w:val="24"/>
        </w:rPr>
        <w:t xml:space="preserve"> 3 (2), pp67-68.</w:t>
      </w:r>
    </w:p>
    <w:p w14:paraId="2D1EF1FE" w14:textId="77777777" w:rsidR="00FE3210" w:rsidRDefault="00FE3210" w:rsidP="00FE3210">
      <w:pPr>
        <w:rPr>
          <w:rFonts w:ascii="Arial" w:hAnsi="Arial" w:cs="Arial"/>
          <w:sz w:val="24"/>
          <w:szCs w:val="24"/>
          <w:shd w:val="clear" w:color="auto" w:fill="FFFFFF"/>
        </w:rPr>
      </w:pPr>
    </w:p>
    <w:p w14:paraId="17367A90" w14:textId="77777777" w:rsidR="00FE3210" w:rsidRDefault="00FE3210" w:rsidP="00FE3210">
      <w:pPr>
        <w:rPr>
          <w:rFonts w:ascii="Arial" w:hAnsi="Arial" w:cs="Arial"/>
          <w:sz w:val="24"/>
          <w:szCs w:val="24"/>
          <w:shd w:val="clear" w:color="auto" w:fill="FFFFFF"/>
        </w:rPr>
      </w:pPr>
    </w:p>
    <w:p w14:paraId="20089F43" w14:textId="77777777" w:rsidR="00FE3210" w:rsidRDefault="00FE3210" w:rsidP="00FE3210">
      <w:pPr>
        <w:rPr>
          <w:rFonts w:ascii="Arial" w:hAnsi="Arial" w:cs="Arial"/>
          <w:sz w:val="24"/>
          <w:szCs w:val="24"/>
          <w:shd w:val="clear" w:color="auto" w:fill="FFFFFF"/>
        </w:rPr>
      </w:pPr>
    </w:p>
    <w:p w14:paraId="05D2829E" w14:textId="77777777" w:rsidR="00FE3210" w:rsidRPr="0017491F" w:rsidRDefault="00FE3210" w:rsidP="00FE3210">
      <w:pPr>
        <w:rPr>
          <w:rFonts w:ascii="Arial" w:hAnsi="Arial" w:cs="Arial"/>
          <w:sz w:val="24"/>
          <w:szCs w:val="24"/>
          <w:shd w:val="clear" w:color="auto" w:fill="FFFFFF"/>
        </w:rPr>
      </w:pPr>
    </w:p>
    <w:p w14:paraId="1DFB1646" w14:textId="77777777" w:rsidR="00FE3210" w:rsidRDefault="00FE3210" w:rsidP="00FE3210">
      <w:pPr>
        <w:rPr>
          <w:rFonts w:ascii="Arial" w:hAnsi="Arial" w:cs="Arial"/>
          <w:color w:val="181817"/>
          <w:sz w:val="24"/>
          <w:szCs w:val="24"/>
          <w:u w:val="single"/>
          <w:shd w:val="clear" w:color="auto" w:fill="FFFFFF"/>
        </w:rPr>
      </w:pPr>
    </w:p>
    <w:p w14:paraId="77E9A07E" w14:textId="6C15CA26" w:rsidR="00FE3210" w:rsidRDefault="00FE3210" w:rsidP="00FE3210">
      <w:pPr>
        <w:rPr>
          <w:rFonts w:ascii="Arial" w:hAnsi="Arial" w:cs="Arial"/>
          <w:color w:val="181817"/>
          <w:sz w:val="24"/>
          <w:szCs w:val="24"/>
          <w:u w:val="single"/>
          <w:shd w:val="clear" w:color="auto" w:fill="FFFFFF"/>
        </w:rPr>
      </w:pPr>
      <w:r>
        <w:rPr>
          <w:rFonts w:ascii="Arial" w:hAnsi="Arial" w:cs="Arial"/>
          <w:color w:val="181817"/>
          <w:sz w:val="24"/>
          <w:szCs w:val="24"/>
          <w:u w:val="single"/>
          <w:shd w:val="clear" w:color="auto" w:fill="FFFFFF"/>
        </w:rPr>
        <w:lastRenderedPageBreak/>
        <w:t>Case List</w:t>
      </w:r>
    </w:p>
    <w:p w14:paraId="1AF91535" w14:textId="73B7C454" w:rsidR="007A40A5" w:rsidRPr="007A40A5" w:rsidRDefault="007A40A5" w:rsidP="00FE3210">
      <w:pPr>
        <w:rPr>
          <w:rFonts w:ascii="Arial" w:hAnsi="Arial" w:cs="Arial"/>
          <w:b/>
          <w:bCs/>
          <w:i/>
          <w:iCs/>
          <w:sz w:val="24"/>
          <w:szCs w:val="24"/>
        </w:rPr>
      </w:pPr>
      <w:r w:rsidRPr="0068780C">
        <w:rPr>
          <w:rStyle w:val="Emphasis"/>
          <w:rFonts w:ascii="Arial" w:hAnsi="Arial" w:cs="Arial"/>
          <w:sz w:val="24"/>
          <w:szCs w:val="24"/>
          <w:shd w:val="clear" w:color="auto" w:fill="FFFFFF"/>
        </w:rPr>
        <w:t>Blake v Galloway</w:t>
      </w:r>
      <w:r w:rsidRPr="0068780C">
        <w:rPr>
          <w:rStyle w:val="Strong"/>
          <w:rFonts w:ascii="Arial" w:hAnsi="Arial" w:cs="Arial"/>
          <w:sz w:val="24"/>
          <w:szCs w:val="24"/>
          <w:shd w:val="clear" w:color="auto" w:fill="FFFFFF"/>
        </w:rPr>
        <w:t> </w:t>
      </w:r>
      <w:r w:rsidRPr="00FE3210">
        <w:rPr>
          <w:rStyle w:val="Strong"/>
          <w:rFonts w:ascii="Arial" w:hAnsi="Arial" w:cs="Arial"/>
          <w:b w:val="0"/>
          <w:bCs w:val="0"/>
          <w:sz w:val="24"/>
          <w:szCs w:val="24"/>
          <w:shd w:val="clear" w:color="auto" w:fill="FFFFFF"/>
        </w:rPr>
        <w:t>[2004] 3 All ER 315</w:t>
      </w:r>
    </w:p>
    <w:p w14:paraId="62D9A0EA" w14:textId="0227ED02" w:rsidR="007A40A5" w:rsidRDefault="007A40A5" w:rsidP="00FE3210">
      <w:pPr>
        <w:rPr>
          <w:rStyle w:val="Strong"/>
          <w:rFonts w:ascii="Arial" w:hAnsi="Arial" w:cs="Arial"/>
          <w:b w:val="0"/>
          <w:bCs w:val="0"/>
          <w:sz w:val="24"/>
          <w:szCs w:val="24"/>
          <w:shd w:val="clear" w:color="auto" w:fill="FFFFFF"/>
        </w:rPr>
      </w:pPr>
      <w:r w:rsidRPr="00791D92">
        <w:rPr>
          <w:rFonts w:ascii="Arial" w:hAnsi="Arial" w:cs="Arial"/>
          <w:bCs/>
          <w:i/>
          <w:iCs/>
          <w:sz w:val="24"/>
          <w:szCs w:val="24"/>
        </w:rPr>
        <w:t xml:space="preserve">Bolam v Friern HMC </w:t>
      </w:r>
      <w:r>
        <w:rPr>
          <w:rFonts w:ascii="Arial" w:hAnsi="Arial" w:cs="Arial"/>
          <w:bCs/>
          <w:sz w:val="24"/>
          <w:szCs w:val="24"/>
        </w:rPr>
        <w:t xml:space="preserve">[1957] </w:t>
      </w:r>
      <w:r w:rsidRPr="00A951D3">
        <w:rPr>
          <w:rStyle w:val="Strong"/>
          <w:rFonts w:ascii="Arial" w:hAnsi="Arial" w:cs="Arial"/>
          <w:b w:val="0"/>
          <w:bCs w:val="0"/>
          <w:sz w:val="24"/>
          <w:szCs w:val="24"/>
          <w:shd w:val="clear" w:color="auto" w:fill="FFFFFF"/>
        </w:rPr>
        <w:t>1 WLR 583</w:t>
      </w:r>
    </w:p>
    <w:p w14:paraId="50BC0A84" w14:textId="7C02BF22" w:rsidR="007A40A5" w:rsidRPr="007A40A5" w:rsidRDefault="007A40A5" w:rsidP="00FE3210">
      <w:pPr>
        <w:rPr>
          <w:rFonts w:ascii="Arial" w:hAnsi="Arial" w:cs="Arial"/>
          <w:bCs/>
          <w:i/>
          <w:iCs/>
          <w:sz w:val="24"/>
          <w:szCs w:val="24"/>
        </w:rPr>
      </w:pPr>
      <w:r w:rsidRPr="00791D92">
        <w:rPr>
          <w:rFonts w:ascii="Arial" w:hAnsi="Arial" w:cs="Arial"/>
          <w:bCs/>
          <w:i/>
          <w:iCs/>
          <w:sz w:val="24"/>
          <w:szCs w:val="24"/>
        </w:rPr>
        <w:t xml:space="preserve">Mansfield v Weetabix </w:t>
      </w:r>
      <w:r>
        <w:rPr>
          <w:rFonts w:ascii="Arial" w:hAnsi="Arial" w:cs="Arial"/>
          <w:bCs/>
          <w:sz w:val="24"/>
          <w:szCs w:val="24"/>
        </w:rPr>
        <w:t>[</w:t>
      </w:r>
      <w:r w:rsidRPr="00AD1C78">
        <w:rPr>
          <w:rFonts w:ascii="Arial" w:hAnsi="Arial" w:cs="Arial"/>
          <w:bCs/>
          <w:sz w:val="24"/>
          <w:szCs w:val="24"/>
        </w:rPr>
        <w:t>1998</w:t>
      </w:r>
      <w:r>
        <w:rPr>
          <w:rFonts w:ascii="Arial" w:hAnsi="Arial" w:cs="Arial"/>
          <w:bCs/>
          <w:sz w:val="24"/>
          <w:szCs w:val="24"/>
        </w:rPr>
        <w:t>]</w:t>
      </w:r>
      <w:r>
        <w:rPr>
          <w:rFonts w:ascii="Arial" w:hAnsi="Arial" w:cs="Arial"/>
          <w:bCs/>
          <w:i/>
          <w:iCs/>
          <w:sz w:val="24"/>
          <w:szCs w:val="24"/>
        </w:rPr>
        <w:t xml:space="preserve"> </w:t>
      </w:r>
      <w:r w:rsidRPr="00AD1C78">
        <w:rPr>
          <w:rStyle w:val="Strong"/>
          <w:rFonts w:ascii="Arial" w:hAnsi="Arial" w:cs="Arial"/>
          <w:b w:val="0"/>
          <w:bCs w:val="0"/>
          <w:sz w:val="24"/>
          <w:szCs w:val="24"/>
          <w:shd w:val="clear" w:color="auto" w:fill="FFFFFF"/>
        </w:rPr>
        <w:t>EWCA Civ 1352</w:t>
      </w:r>
    </w:p>
    <w:p w14:paraId="58BEEB59" w14:textId="5DFEDDD4" w:rsidR="00FE3210" w:rsidRDefault="00FE3210" w:rsidP="00FE3210">
      <w:pPr>
        <w:rPr>
          <w:rStyle w:val="Strong"/>
          <w:rFonts w:ascii="Arial" w:hAnsi="Arial" w:cs="Arial"/>
          <w:b w:val="0"/>
          <w:bCs w:val="0"/>
          <w:sz w:val="24"/>
          <w:szCs w:val="24"/>
          <w:shd w:val="clear" w:color="auto" w:fill="FFFFFF"/>
        </w:rPr>
      </w:pPr>
      <w:r w:rsidRPr="00791D92">
        <w:rPr>
          <w:rFonts w:ascii="Arial" w:hAnsi="Arial" w:cs="Arial"/>
          <w:bCs/>
          <w:i/>
          <w:iCs/>
          <w:sz w:val="24"/>
          <w:szCs w:val="24"/>
        </w:rPr>
        <w:t xml:space="preserve">Nettleship v Weston </w:t>
      </w:r>
      <w:r>
        <w:rPr>
          <w:rFonts w:ascii="Arial" w:hAnsi="Arial" w:cs="Arial"/>
          <w:bCs/>
          <w:sz w:val="24"/>
          <w:szCs w:val="24"/>
        </w:rPr>
        <w:t>[</w:t>
      </w:r>
      <w:r w:rsidRPr="00036835">
        <w:rPr>
          <w:rFonts w:ascii="Arial" w:hAnsi="Arial" w:cs="Arial"/>
          <w:bCs/>
          <w:sz w:val="24"/>
          <w:szCs w:val="24"/>
        </w:rPr>
        <w:t>1971</w:t>
      </w:r>
      <w:r>
        <w:rPr>
          <w:rFonts w:ascii="Arial" w:hAnsi="Arial" w:cs="Arial"/>
          <w:bCs/>
          <w:sz w:val="24"/>
          <w:szCs w:val="24"/>
        </w:rPr>
        <w:t>]</w:t>
      </w:r>
      <w:r>
        <w:rPr>
          <w:rFonts w:ascii="Arial" w:hAnsi="Arial" w:cs="Arial"/>
          <w:bCs/>
          <w:i/>
          <w:iCs/>
          <w:sz w:val="24"/>
          <w:szCs w:val="24"/>
        </w:rPr>
        <w:t xml:space="preserve"> </w:t>
      </w:r>
      <w:r w:rsidRPr="00FE3210">
        <w:rPr>
          <w:rStyle w:val="Strong"/>
          <w:rFonts w:ascii="Arial" w:hAnsi="Arial" w:cs="Arial"/>
          <w:b w:val="0"/>
          <w:bCs w:val="0"/>
          <w:sz w:val="24"/>
          <w:szCs w:val="24"/>
          <w:shd w:val="clear" w:color="auto" w:fill="FFFFFF"/>
        </w:rPr>
        <w:t>3 WLR 370</w:t>
      </w:r>
    </w:p>
    <w:p w14:paraId="1590FEDC" w14:textId="419D4342" w:rsidR="007A40A5" w:rsidRPr="007A40A5" w:rsidRDefault="007A40A5" w:rsidP="00FE3210">
      <w:pPr>
        <w:rPr>
          <w:rFonts w:ascii="Arial" w:hAnsi="Arial" w:cs="Arial"/>
          <w:b/>
          <w:bCs/>
          <w:sz w:val="24"/>
          <w:szCs w:val="24"/>
          <w:shd w:val="clear" w:color="auto" w:fill="FFFFFF"/>
        </w:rPr>
      </w:pPr>
      <w:r w:rsidRPr="00BB2DDB">
        <w:rPr>
          <w:rStyle w:val="Emphasis"/>
          <w:rFonts w:ascii="Arial" w:hAnsi="Arial" w:cs="Arial"/>
          <w:sz w:val="24"/>
          <w:szCs w:val="24"/>
          <w:shd w:val="clear" w:color="auto" w:fill="FFFFFF"/>
        </w:rPr>
        <w:t>Roe v Minister of Health</w:t>
      </w:r>
      <w:r w:rsidRPr="00BB2DDB">
        <w:rPr>
          <w:rStyle w:val="Strong"/>
          <w:rFonts w:ascii="Arial" w:hAnsi="Arial" w:cs="Arial"/>
          <w:sz w:val="24"/>
          <w:szCs w:val="24"/>
          <w:shd w:val="clear" w:color="auto" w:fill="FFFFFF"/>
        </w:rPr>
        <w:t> </w:t>
      </w:r>
      <w:r w:rsidRPr="00BB2DDB">
        <w:rPr>
          <w:rStyle w:val="Strong"/>
          <w:rFonts w:ascii="Arial" w:hAnsi="Arial" w:cs="Arial"/>
          <w:b w:val="0"/>
          <w:bCs w:val="0"/>
          <w:sz w:val="24"/>
          <w:szCs w:val="24"/>
          <w:shd w:val="clear" w:color="auto" w:fill="FFFFFF"/>
        </w:rPr>
        <w:t>[1954] 2 WLR 915</w:t>
      </w:r>
    </w:p>
    <w:p w14:paraId="2F578CA0" w14:textId="77777777" w:rsidR="00FE3210" w:rsidRPr="0028267C" w:rsidRDefault="00FE3210" w:rsidP="00FE3210">
      <w:pPr>
        <w:rPr>
          <w:rFonts w:ascii="Arial" w:hAnsi="Arial" w:cs="Arial"/>
          <w:b/>
          <w:bCs/>
          <w:i/>
          <w:iCs/>
          <w:sz w:val="24"/>
          <w:szCs w:val="24"/>
        </w:rPr>
      </w:pPr>
      <w:r w:rsidRPr="00791D92">
        <w:rPr>
          <w:rFonts w:ascii="Arial" w:hAnsi="Arial" w:cs="Arial"/>
          <w:bCs/>
          <w:i/>
          <w:iCs/>
          <w:sz w:val="24"/>
          <w:szCs w:val="24"/>
        </w:rPr>
        <w:t xml:space="preserve">Wilsher v Essex </w:t>
      </w:r>
      <w:r>
        <w:rPr>
          <w:rFonts w:ascii="Arial" w:hAnsi="Arial" w:cs="Arial"/>
          <w:bCs/>
          <w:sz w:val="24"/>
          <w:szCs w:val="24"/>
        </w:rPr>
        <w:t>[</w:t>
      </w:r>
      <w:r w:rsidRPr="00036835">
        <w:rPr>
          <w:rFonts w:ascii="Arial" w:hAnsi="Arial" w:cs="Arial"/>
          <w:bCs/>
          <w:sz w:val="24"/>
          <w:szCs w:val="24"/>
        </w:rPr>
        <w:t>1986</w:t>
      </w:r>
      <w:r>
        <w:rPr>
          <w:rFonts w:ascii="Arial" w:hAnsi="Arial" w:cs="Arial"/>
          <w:bCs/>
          <w:sz w:val="24"/>
          <w:szCs w:val="24"/>
        </w:rPr>
        <w:t>]</w:t>
      </w:r>
      <w:r w:rsidRPr="00036835">
        <w:rPr>
          <w:rFonts w:ascii="Arial" w:hAnsi="Arial" w:cs="Arial"/>
          <w:bCs/>
          <w:sz w:val="24"/>
          <w:szCs w:val="24"/>
        </w:rPr>
        <w:t xml:space="preserve"> </w:t>
      </w:r>
      <w:r w:rsidRPr="0028267C">
        <w:rPr>
          <w:rStyle w:val="Strong"/>
          <w:rFonts w:ascii="Arial" w:hAnsi="Arial" w:cs="Arial"/>
          <w:b w:val="0"/>
          <w:bCs w:val="0"/>
          <w:color w:val="000000"/>
          <w:sz w:val="24"/>
          <w:szCs w:val="24"/>
          <w:shd w:val="clear" w:color="auto" w:fill="FFFFFF"/>
        </w:rPr>
        <w:t>1 AC 1074</w:t>
      </w:r>
    </w:p>
    <w:p w14:paraId="3B8E4B13" w14:textId="2B93BE78" w:rsidR="00FE3210" w:rsidRPr="007A40A5" w:rsidRDefault="00FE3210" w:rsidP="00FE3210">
      <w:pPr>
        <w:rPr>
          <w:rFonts w:ascii="Arial" w:hAnsi="Arial" w:cs="Arial"/>
          <w:b/>
          <w:bCs/>
          <w:sz w:val="24"/>
          <w:szCs w:val="24"/>
          <w:shd w:val="clear" w:color="auto" w:fill="FFFFFF"/>
        </w:rPr>
      </w:pPr>
      <w:r w:rsidRPr="00232497">
        <w:rPr>
          <w:rStyle w:val="Emphasis"/>
          <w:rFonts w:ascii="Arial" w:hAnsi="Arial" w:cs="Arial"/>
          <w:sz w:val="24"/>
          <w:szCs w:val="24"/>
          <w:shd w:val="clear" w:color="auto" w:fill="FFFFFF"/>
        </w:rPr>
        <w:t>Watt v Hertfordshire</w:t>
      </w:r>
      <w:r w:rsidRPr="00232497">
        <w:rPr>
          <w:rStyle w:val="apple-converted-space"/>
          <w:rFonts w:ascii="Arial" w:hAnsi="Arial" w:cs="Arial"/>
          <w:sz w:val="24"/>
          <w:szCs w:val="24"/>
          <w:shd w:val="clear" w:color="auto" w:fill="FFFFFF"/>
        </w:rPr>
        <w:t> </w:t>
      </w:r>
      <w:r w:rsidRPr="00FE3210">
        <w:rPr>
          <w:rStyle w:val="Strong"/>
          <w:rFonts w:ascii="Arial" w:hAnsi="Arial" w:cs="Arial"/>
          <w:b w:val="0"/>
          <w:bCs w:val="0"/>
          <w:sz w:val="24"/>
          <w:szCs w:val="24"/>
          <w:shd w:val="clear" w:color="auto" w:fill="FFFFFF"/>
        </w:rPr>
        <w:t>[1954] 1 WLR 835</w:t>
      </w:r>
    </w:p>
    <w:p w14:paraId="6C4CEC93" w14:textId="77777777" w:rsidR="00B86E21" w:rsidRPr="000255A1" w:rsidRDefault="00B86E21" w:rsidP="00D01665">
      <w:pPr>
        <w:rPr>
          <w:rFonts w:ascii="Arial" w:hAnsi="Arial" w:cs="Arial"/>
          <w:sz w:val="24"/>
          <w:szCs w:val="24"/>
          <w:shd w:val="clear" w:color="auto" w:fill="FFFFFF"/>
        </w:rPr>
      </w:pPr>
    </w:p>
    <w:sectPr w:rsidR="00B86E21" w:rsidRPr="000255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729"/>
    <w:rsid w:val="0000346D"/>
    <w:rsid w:val="00012D33"/>
    <w:rsid w:val="00015460"/>
    <w:rsid w:val="000255A1"/>
    <w:rsid w:val="000261DA"/>
    <w:rsid w:val="000278FA"/>
    <w:rsid w:val="00030341"/>
    <w:rsid w:val="00035D3A"/>
    <w:rsid w:val="00044034"/>
    <w:rsid w:val="000777E6"/>
    <w:rsid w:val="000B3D98"/>
    <w:rsid w:val="00103442"/>
    <w:rsid w:val="0011458E"/>
    <w:rsid w:val="00123E25"/>
    <w:rsid w:val="00133104"/>
    <w:rsid w:val="00165EB9"/>
    <w:rsid w:val="00173409"/>
    <w:rsid w:val="00177B6B"/>
    <w:rsid w:val="001A16CB"/>
    <w:rsid w:val="001A1954"/>
    <w:rsid w:val="001D4FBE"/>
    <w:rsid w:val="001D7928"/>
    <w:rsid w:val="001F2376"/>
    <w:rsid w:val="001F2FE9"/>
    <w:rsid w:val="00247FA1"/>
    <w:rsid w:val="002665C5"/>
    <w:rsid w:val="00273E2B"/>
    <w:rsid w:val="002A0266"/>
    <w:rsid w:val="002A6BB7"/>
    <w:rsid w:val="002B61B4"/>
    <w:rsid w:val="0031534D"/>
    <w:rsid w:val="00327061"/>
    <w:rsid w:val="00354696"/>
    <w:rsid w:val="00356B7E"/>
    <w:rsid w:val="003A3C4D"/>
    <w:rsid w:val="003A7B69"/>
    <w:rsid w:val="003C29DC"/>
    <w:rsid w:val="003C7AC9"/>
    <w:rsid w:val="003D0E77"/>
    <w:rsid w:val="003D5703"/>
    <w:rsid w:val="003E75D2"/>
    <w:rsid w:val="004021E4"/>
    <w:rsid w:val="00421D12"/>
    <w:rsid w:val="00442355"/>
    <w:rsid w:val="00445EEE"/>
    <w:rsid w:val="00465E12"/>
    <w:rsid w:val="00473F12"/>
    <w:rsid w:val="004A0497"/>
    <w:rsid w:val="004D3020"/>
    <w:rsid w:val="004D74AC"/>
    <w:rsid w:val="004E2BAE"/>
    <w:rsid w:val="0050616D"/>
    <w:rsid w:val="005276C0"/>
    <w:rsid w:val="00551599"/>
    <w:rsid w:val="005520B8"/>
    <w:rsid w:val="005530F4"/>
    <w:rsid w:val="00564CCF"/>
    <w:rsid w:val="00565F7D"/>
    <w:rsid w:val="00581013"/>
    <w:rsid w:val="00581127"/>
    <w:rsid w:val="005A37E6"/>
    <w:rsid w:val="005B537B"/>
    <w:rsid w:val="005B6798"/>
    <w:rsid w:val="005C7DD0"/>
    <w:rsid w:val="00602717"/>
    <w:rsid w:val="006168C4"/>
    <w:rsid w:val="006536EF"/>
    <w:rsid w:val="00675AB4"/>
    <w:rsid w:val="006932D7"/>
    <w:rsid w:val="006A3CFB"/>
    <w:rsid w:val="006A4CCD"/>
    <w:rsid w:val="006B1701"/>
    <w:rsid w:val="006E4565"/>
    <w:rsid w:val="006F6917"/>
    <w:rsid w:val="00706745"/>
    <w:rsid w:val="00712494"/>
    <w:rsid w:val="00717C32"/>
    <w:rsid w:val="007208A3"/>
    <w:rsid w:val="00737402"/>
    <w:rsid w:val="007413E4"/>
    <w:rsid w:val="00743FCD"/>
    <w:rsid w:val="00744BE4"/>
    <w:rsid w:val="00765DAC"/>
    <w:rsid w:val="00775765"/>
    <w:rsid w:val="00783333"/>
    <w:rsid w:val="00793A83"/>
    <w:rsid w:val="00795D3A"/>
    <w:rsid w:val="007A40A5"/>
    <w:rsid w:val="007C51BB"/>
    <w:rsid w:val="007D4BEE"/>
    <w:rsid w:val="007E2A6B"/>
    <w:rsid w:val="007E7F36"/>
    <w:rsid w:val="008112D8"/>
    <w:rsid w:val="0081410E"/>
    <w:rsid w:val="00841B5E"/>
    <w:rsid w:val="0084589C"/>
    <w:rsid w:val="008B0469"/>
    <w:rsid w:val="008B488D"/>
    <w:rsid w:val="008E1482"/>
    <w:rsid w:val="008F0C0D"/>
    <w:rsid w:val="00907189"/>
    <w:rsid w:val="00924BDC"/>
    <w:rsid w:val="009273D4"/>
    <w:rsid w:val="00930EE2"/>
    <w:rsid w:val="009335C3"/>
    <w:rsid w:val="00945314"/>
    <w:rsid w:val="00960AA2"/>
    <w:rsid w:val="00972EAB"/>
    <w:rsid w:val="00981A86"/>
    <w:rsid w:val="009903E1"/>
    <w:rsid w:val="009A7FD8"/>
    <w:rsid w:val="009C194C"/>
    <w:rsid w:val="009C5B34"/>
    <w:rsid w:val="009F7058"/>
    <w:rsid w:val="00A570AD"/>
    <w:rsid w:val="00A62E66"/>
    <w:rsid w:val="00A66486"/>
    <w:rsid w:val="00A73650"/>
    <w:rsid w:val="00A75E23"/>
    <w:rsid w:val="00A85398"/>
    <w:rsid w:val="00A8625F"/>
    <w:rsid w:val="00AA6F6B"/>
    <w:rsid w:val="00AB51B7"/>
    <w:rsid w:val="00AD40FA"/>
    <w:rsid w:val="00AF7911"/>
    <w:rsid w:val="00B14ED0"/>
    <w:rsid w:val="00B17484"/>
    <w:rsid w:val="00B21214"/>
    <w:rsid w:val="00B65E22"/>
    <w:rsid w:val="00B7075E"/>
    <w:rsid w:val="00B86E21"/>
    <w:rsid w:val="00BA7108"/>
    <w:rsid w:val="00BB0F39"/>
    <w:rsid w:val="00BB22EF"/>
    <w:rsid w:val="00BE01C7"/>
    <w:rsid w:val="00C25191"/>
    <w:rsid w:val="00C50C53"/>
    <w:rsid w:val="00C61F86"/>
    <w:rsid w:val="00C77B08"/>
    <w:rsid w:val="00C83313"/>
    <w:rsid w:val="00C84131"/>
    <w:rsid w:val="00CA139C"/>
    <w:rsid w:val="00CA775C"/>
    <w:rsid w:val="00CB1F28"/>
    <w:rsid w:val="00CB1FFE"/>
    <w:rsid w:val="00CC1468"/>
    <w:rsid w:val="00CE0200"/>
    <w:rsid w:val="00CF78DD"/>
    <w:rsid w:val="00D01665"/>
    <w:rsid w:val="00D26729"/>
    <w:rsid w:val="00D4136E"/>
    <w:rsid w:val="00D57AB6"/>
    <w:rsid w:val="00D77776"/>
    <w:rsid w:val="00D92000"/>
    <w:rsid w:val="00DB3F8B"/>
    <w:rsid w:val="00DE4904"/>
    <w:rsid w:val="00E21E6E"/>
    <w:rsid w:val="00E31159"/>
    <w:rsid w:val="00E41B36"/>
    <w:rsid w:val="00E53FD1"/>
    <w:rsid w:val="00EA0D6D"/>
    <w:rsid w:val="00EB1D23"/>
    <w:rsid w:val="00EB6B8E"/>
    <w:rsid w:val="00EE0219"/>
    <w:rsid w:val="00EE1674"/>
    <w:rsid w:val="00EF70CF"/>
    <w:rsid w:val="00F31212"/>
    <w:rsid w:val="00F507A4"/>
    <w:rsid w:val="00F673C4"/>
    <w:rsid w:val="00F71EAF"/>
    <w:rsid w:val="00F77318"/>
    <w:rsid w:val="00F7797F"/>
    <w:rsid w:val="00F82489"/>
    <w:rsid w:val="00F826C7"/>
    <w:rsid w:val="00FE32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79A8A"/>
  <w15:chartTrackingRefBased/>
  <w15:docId w15:val="{D2750526-6DE3-4A7A-9CA8-AD75302CD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talic">
    <w:name w:val="italic"/>
    <w:basedOn w:val="DefaultParagraphFont"/>
    <w:rsid w:val="001D4FBE"/>
  </w:style>
  <w:style w:type="character" w:styleId="Hyperlink">
    <w:name w:val="Hyperlink"/>
    <w:basedOn w:val="DefaultParagraphFont"/>
    <w:uiPriority w:val="99"/>
    <w:semiHidden/>
    <w:unhideWhenUsed/>
    <w:rsid w:val="00123E25"/>
    <w:rPr>
      <w:color w:val="0000FF"/>
      <w:u w:val="single"/>
    </w:rPr>
  </w:style>
  <w:style w:type="character" w:styleId="Strong">
    <w:name w:val="Strong"/>
    <w:basedOn w:val="DefaultParagraphFont"/>
    <w:uiPriority w:val="22"/>
    <w:qFormat/>
    <w:rsid w:val="00FE3210"/>
    <w:rPr>
      <w:b/>
      <w:bCs/>
    </w:rPr>
  </w:style>
  <w:style w:type="paragraph" w:styleId="NormalWeb">
    <w:name w:val="Normal (Web)"/>
    <w:basedOn w:val="Normal"/>
    <w:uiPriority w:val="99"/>
    <w:unhideWhenUsed/>
    <w:rsid w:val="00FE321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E3210"/>
    <w:rPr>
      <w:i/>
      <w:iCs/>
    </w:rPr>
  </w:style>
  <w:style w:type="character" w:customStyle="1" w:styleId="apple-converted-space">
    <w:name w:val="apple-converted-space"/>
    <w:basedOn w:val="DefaultParagraphFont"/>
    <w:rsid w:val="00FE3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lawyerportal.com/blog/interesting-clinical-negligence-court-cases/" TargetMode="External"/><Relationship Id="rId5" Type="http://schemas.openxmlformats.org/officeDocument/2006/relationships/hyperlink" Target="https://www.truthlegal.com/is-there-a-difference-in-the-standard-of-care-required-from-doctors-depending-on-their-seniority/" TargetMode="External"/><Relationship Id="rId4" Type="http://schemas.openxmlformats.org/officeDocument/2006/relationships/hyperlink" Target="https://www.quittance.co.uk/personal-injury/advice/general/injury-claims-under-the-compensation-act-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10</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George Lovering (1810890)</dc:creator>
  <cp:keywords/>
  <dc:description/>
  <cp:lastModifiedBy>Kirsty Spencer</cp:lastModifiedBy>
  <cp:revision>553</cp:revision>
  <dcterms:created xsi:type="dcterms:W3CDTF">2021-10-26T12:17:00Z</dcterms:created>
  <dcterms:modified xsi:type="dcterms:W3CDTF">2021-11-05T20:33:00Z</dcterms:modified>
</cp:coreProperties>
</file>