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207AE" w14:textId="77777777" w:rsidR="00000D2B" w:rsidRDefault="00000D2B" w:rsidP="00000D2B">
      <w:pPr>
        <w:pStyle w:val="Default"/>
      </w:pPr>
    </w:p>
    <w:p w14:paraId="51B897E5" w14:textId="77777777" w:rsidR="0098053B" w:rsidRDefault="0098053B" w:rsidP="00000D2B">
      <w:pPr>
        <w:pStyle w:val="Title"/>
      </w:pPr>
    </w:p>
    <w:p w14:paraId="15E5339E" w14:textId="77777777" w:rsidR="0098053B" w:rsidRDefault="0098053B" w:rsidP="00000D2B">
      <w:pPr>
        <w:pStyle w:val="Title"/>
      </w:pPr>
    </w:p>
    <w:p w14:paraId="51611822" w14:textId="77777777" w:rsidR="0098053B" w:rsidRDefault="0098053B" w:rsidP="00000D2B">
      <w:pPr>
        <w:pStyle w:val="Title"/>
      </w:pPr>
    </w:p>
    <w:p w14:paraId="18955329" w14:textId="77777777" w:rsidR="0098053B" w:rsidRDefault="0098053B" w:rsidP="00000D2B">
      <w:pPr>
        <w:pStyle w:val="Title"/>
      </w:pPr>
    </w:p>
    <w:p w14:paraId="122D6F10" w14:textId="33A41DCB" w:rsidR="00000D2B" w:rsidRDefault="00000D2B" w:rsidP="00000D2B">
      <w:pPr>
        <w:pStyle w:val="Title"/>
      </w:pPr>
      <w:r w:rsidRPr="00000D2B">
        <w:t>Financial Management for the Hotel Industry</w:t>
      </w:r>
    </w:p>
    <w:p w14:paraId="3A17BCAE" w14:textId="1192C265" w:rsidR="0098053B" w:rsidRPr="0098053B" w:rsidRDefault="0098053B" w:rsidP="0098053B">
      <w:pPr>
        <w:rPr>
          <w:sz w:val="48"/>
          <w:szCs w:val="48"/>
        </w:rPr>
      </w:pPr>
      <w:r>
        <w:t xml:space="preserve">                                               </w:t>
      </w:r>
      <w:r w:rsidRPr="0098053B">
        <w:rPr>
          <w:sz w:val="48"/>
          <w:szCs w:val="48"/>
        </w:rPr>
        <w:t>(BMIH5007)</w:t>
      </w:r>
    </w:p>
    <w:p w14:paraId="740A6BE9" w14:textId="77777777" w:rsidR="00000D2B" w:rsidRPr="0098053B" w:rsidRDefault="00000D2B" w:rsidP="00000D2B">
      <w:pPr>
        <w:pStyle w:val="Title"/>
        <w:rPr>
          <w:sz w:val="40"/>
          <w:szCs w:val="40"/>
        </w:rPr>
      </w:pPr>
      <w:r w:rsidRPr="0098053B">
        <w:rPr>
          <w:sz w:val="40"/>
          <w:szCs w:val="40"/>
        </w:rPr>
        <w:t>Assignment 1:  Grand Hotel Budget Planner</w:t>
      </w:r>
    </w:p>
    <w:p w14:paraId="1A824049" w14:textId="77777777" w:rsidR="0098053B" w:rsidRDefault="0098053B" w:rsidP="0098053B">
      <w:pPr>
        <w:widowControl/>
        <w:autoSpaceDE/>
        <w:autoSpaceDN/>
        <w:spacing w:after="160" w:line="259" w:lineRule="auto"/>
        <w:jc w:val="center"/>
        <w:rPr>
          <w:sz w:val="32"/>
          <w:szCs w:val="32"/>
        </w:rPr>
      </w:pPr>
    </w:p>
    <w:p w14:paraId="31793D0A" w14:textId="77777777" w:rsidR="0098053B" w:rsidRDefault="0098053B" w:rsidP="0098053B">
      <w:pPr>
        <w:widowControl/>
        <w:autoSpaceDE/>
        <w:autoSpaceDN/>
        <w:spacing w:after="160" w:line="259" w:lineRule="auto"/>
        <w:jc w:val="center"/>
        <w:rPr>
          <w:sz w:val="32"/>
          <w:szCs w:val="32"/>
        </w:rPr>
      </w:pPr>
    </w:p>
    <w:p w14:paraId="4EDAC533" w14:textId="1CAE892D" w:rsidR="00140181" w:rsidRPr="0098053B" w:rsidRDefault="0098053B" w:rsidP="0098053B">
      <w:pPr>
        <w:widowControl/>
        <w:autoSpaceDE/>
        <w:autoSpaceDN/>
        <w:spacing w:after="160" w:line="259" w:lineRule="auto"/>
        <w:jc w:val="center"/>
        <w:rPr>
          <w:sz w:val="32"/>
          <w:szCs w:val="32"/>
        </w:rPr>
      </w:pPr>
      <w:r w:rsidRPr="0098053B">
        <w:rPr>
          <w:sz w:val="32"/>
          <w:szCs w:val="32"/>
        </w:rPr>
        <w:t xml:space="preserve">Student </w:t>
      </w:r>
      <w:r w:rsidR="00140181" w:rsidRPr="0098053B">
        <w:rPr>
          <w:sz w:val="32"/>
          <w:szCs w:val="32"/>
        </w:rPr>
        <w:t xml:space="preserve">Name: </w:t>
      </w:r>
      <w:r w:rsidRPr="0098053B">
        <w:rPr>
          <w:sz w:val="32"/>
          <w:szCs w:val="32"/>
        </w:rPr>
        <w:t>Mohibur</w:t>
      </w:r>
      <w:r w:rsidR="009B4A33">
        <w:rPr>
          <w:sz w:val="32"/>
          <w:szCs w:val="32"/>
        </w:rPr>
        <w:t xml:space="preserve"> Rahman</w:t>
      </w:r>
      <w:r w:rsidRPr="0098053B">
        <w:rPr>
          <w:sz w:val="32"/>
          <w:szCs w:val="32"/>
        </w:rPr>
        <w:t xml:space="preserve"> Chowdhury</w:t>
      </w:r>
    </w:p>
    <w:p w14:paraId="480FB25E" w14:textId="20F987F7" w:rsidR="0098053B" w:rsidRPr="0098053B" w:rsidRDefault="0098053B" w:rsidP="0098053B">
      <w:pPr>
        <w:widowControl/>
        <w:autoSpaceDE/>
        <w:autoSpaceDN/>
        <w:spacing w:after="160" w:line="259" w:lineRule="auto"/>
        <w:jc w:val="center"/>
        <w:rPr>
          <w:sz w:val="32"/>
          <w:szCs w:val="32"/>
        </w:rPr>
      </w:pPr>
      <w:r w:rsidRPr="0098053B">
        <w:rPr>
          <w:sz w:val="32"/>
          <w:szCs w:val="32"/>
        </w:rPr>
        <w:t xml:space="preserve">Student </w:t>
      </w:r>
      <w:r w:rsidR="00F1182A">
        <w:rPr>
          <w:sz w:val="32"/>
          <w:szCs w:val="32"/>
        </w:rPr>
        <w:t>Number</w:t>
      </w:r>
      <w:r w:rsidR="00140181" w:rsidRPr="0098053B">
        <w:rPr>
          <w:sz w:val="32"/>
          <w:szCs w:val="32"/>
        </w:rPr>
        <w:t>:</w:t>
      </w:r>
      <w:r w:rsidR="009B4A33">
        <w:rPr>
          <w:sz w:val="32"/>
          <w:szCs w:val="32"/>
        </w:rPr>
        <w:t xml:space="preserve"> 1911447</w:t>
      </w:r>
    </w:p>
    <w:p w14:paraId="39CC2399" w14:textId="20C58D9C" w:rsidR="00000D2B" w:rsidRDefault="0098053B" w:rsidP="0098053B">
      <w:pPr>
        <w:widowControl/>
        <w:autoSpaceDE/>
        <w:autoSpaceDN/>
        <w:spacing w:after="160" w:line="259" w:lineRule="auto"/>
        <w:jc w:val="center"/>
      </w:pPr>
      <w:r w:rsidRPr="0098053B">
        <w:rPr>
          <w:sz w:val="32"/>
          <w:szCs w:val="32"/>
        </w:rPr>
        <w:t xml:space="preserve">Lecturer Name: </w:t>
      </w:r>
      <w:r w:rsidR="00F1182A">
        <w:rPr>
          <w:sz w:val="32"/>
          <w:szCs w:val="32"/>
        </w:rPr>
        <w:t>Christopher Wilkins</w:t>
      </w:r>
      <w:r w:rsidR="00000D2B">
        <w:br w:type="page"/>
      </w:r>
    </w:p>
    <w:p w14:paraId="3F97D943" w14:textId="77777777" w:rsidR="0098053B" w:rsidRDefault="0098053B">
      <w:pPr>
        <w:widowControl/>
        <w:autoSpaceDE/>
        <w:autoSpaceDN/>
        <w:spacing w:after="160" w:line="259" w:lineRule="auto"/>
        <w:jc w:val="left"/>
      </w:pPr>
    </w:p>
    <w:sdt>
      <w:sdtPr>
        <w:rPr>
          <w:rFonts w:ascii="Times New Roman" w:eastAsia="Times New Roman" w:hAnsi="Times New Roman" w:cs="Times New Roman"/>
          <w:color w:val="auto"/>
          <w:sz w:val="24"/>
          <w:szCs w:val="22"/>
          <w:lang w:val="en-GB"/>
        </w:rPr>
        <w:id w:val="1616634859"/>
        <w:docPartObj>
          <w:docPartGallery w:val="Table of Contents"/>
          <w:docPartUnique/>
        </w:docPartObj>
      </w:sdtPr>
      <w:sdtEndPr>
        <w:rPr>
          <w:b/>
          <w:bCs/>
          <w:noProof/>
        </w:rPr>
      </w:sdtEndPr>
      <w:sdtContent>
        <w:p w14:paraId="677E77E6" w14:textId="77777777" w:rsidR="00000D2B" w:rsidRDefault="00000D2B">
          <w:pPr>
            <w:pStyle w:val="TOCHeading"/>
          </w:pPr>
          <w:r>
            <w:t>Table of Contents</w:t>
          </w:r>
        </w:p>
        <w:p w14:paraId="79CAB228" w14:textId="77777777" w:rsidR="008B302D" w:rsidRDefault="00000D2B">
          <w:pPr>
            <w:pStyle w:val="TOC1"/>
            <w:tabs>
              <w:tab w:val="right" w:leader="dot" w:pos="9350"/>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117698393" w:history="1">
            <w:r w:rsidR="008B302D" w:rsidRPr="004F794F">
              <w:rPr>
                <w:rStyle w:val="Hyperlink"/>
                <w:noProof/>
              </w:rPr>
              <w:t>Introduction</w:t>
            </w:r>
            <w:r w:rsidR="008B302D">
              <w:rPr>
                <w:noProof/>
                <w:webHidden/>
              </w:rPr>
              <w:tab/>
            </w:r>
            <w:r w:rsidR="008B302D">
              <w:rPr>
                <w:noProof/>
                <w:webHidden/>
              </w:rPr>
              <w:fldChar w:fldCharType="begin"/>
            </w:r>
            <w:r w:rsidR="008B302D">
              <w:rPr>
                <w:noProof/>
                <w:webHidden/>
              </w:rPr>
              <w:instrText xml:space="preserve"> PAGEREF _Toc117698393 \h </w:instrText>
            </w:r>
            <w:r w:rsidR="008B302D">
              <w:rPr>
                <w:noProof/>
                <w:webHidden/>
              </w:rPr>
            </w:r>
            <w:r w:rsidR="008B302D">
              <w:rPr>
                <w:noProof/>
                <w:webHidden/>
              </w:rPr>
              <w:fldChar w:fldCharType="separate"/>
            </w:r>
            <w:r w:rsidR="008B302D">
              <w:rPr>
                <w:noProof/>
                <w:webHidden/>
              </w:rPr>
              <w:t>3</w:t>
            </w:r>
            <w:r w:rsidR="008B302D">
              <w:rPr>
                <w:noProof/>
                <w:webHidden/>
              </w:rPr>
              <w:fldChar w:fldCharType="end"/>
            </w:r>
          </w:hyperlink>
        </w:p>
        <w:p w14:paraId="70218F2E" w14:textId="77777777" w:rsidR="008B302D" w:rsidRDefault="00000000">
          <w:pPr>
            <w:pStyle w:val="TOC1"/>
            <w:tabs>
              <w:tab w:val="right" w:leader="dot" w:pos="9350"/>
            </w:tabs>
            <w:rPr>
              <w:rFonts w:asciiTheme="minorHAnsi" w:eastAsiaTheme="minorEastAsia" w:hAnsiTheme="minorHAnsi" w:cstheme="minorBidi"/>
              <w:noProof/>
              <w:sz w:val="22"/>
              <w:lang w:eastAsia="en-GB"/>
            </w:rPr>
          </w:pPr>
          <w:hyperlink w:anchor="_Toc117698394" w:history="1">
            <w:r w:rsidR="008B302D" w:rsidRPr="004F794F">
              <w:rPr>
                <w:rStyle w:val="Hyperlink"/>
                <w:noProof/>
              </w:rPr>
              <w:t>Task 1</w:t>
            </w:r>
            <w:r w:rsidR="008B302D">
              <w:rPr>
                <w:noProof/>
                <w:webHidden/>
              </w:rPr>
              <w:tab/>
            </w:r>
            <w:r w:rsidR="008B302D">
              <w:rPr>
                <w:noProof/>
                <w:webHidden/>
              </w:rPr>
              <w:fldChar w:fldCharType="begin"/>
            </w:r>
            <w:r w:rsidR="008B302D">
              <w:rPr>
                <w:noProof/>
                <w:webHidden/>
              </w:rPr>
              <w:instrText xml:space="preserve"> PAGEREF _Toc117698394 \h </w:instrText>
            </w:r>
            <w:r w:rsidR="008B302D">
              <w:rPr>
                <w:noProof/>
                <w:webHidden/>
              </w:rPr>
            </w:r>
            <w:r w:rsidR="008B302D">
              <w:rPr>
                <w:noProof/>
                <w:webHidden/>
              </w:rPr>
              <w:fldChar w:fldCharType="separate"/>
            </w:r>
            <w:r w:rsidR="008B302D">
              <w:rPr>
                <w:noProof/>
                <w:webHidden/>
              </w:rPr>
              <w:t>4</w:t>
            </w:r>
            <w:r w:rsidR="008B302D">
              <w:rPr>
                <w:noProof/>
                <w:webHidden/>
              </w:rPr>
              <w:fldChar w:fldCharType="end"/>
            </w:r>
          </w:hyperlink>
        </w:p>
        <w:p w14:paraId="527ED238" w14:textId="77777777" w:rsidR="008B302D" w:rsidRDefault="00000000">
          <w:pPr>
            <w:pStyle w:val="TOC1"/>
            <w:tabs>
              <w:tab w:val="right" w:leader="dot" w:pos="9350"/>
            </w:tabs>
            <w:rPr>
              <w:rFonts w:asciiTheme="minorHAnsi" w:eastAsiaTheme="minorEastAsia" w:hAnsiTheme="minorHAnsi" w:cstheme="minorBidi"/>
              <w:noProof/>
              <w:sz w:val="22"/>
              <w:lang w:eastAsia="en-GB"/>
            </w:rPr>
          </w:pPr>
          <w:hyperlink w:anchor="_Toc117698395" w:history="1">
            <w:r w:rsidR="008B302D" w:rsidRPr="004F794F">
              <w:rPr>
                <w:rStyle w:val="Hyperlink"/>
                <w:noProof/>
              </w:rPr>
              <w:t>Task 2</w:t>
            </w:r>
            <w:r w:rsidR="008B302D">
              <w:rPr>
                <w:noProof/>
                <w:webHidden/>
              </w:rPr>
              <w:tab/>
            </w:r>
            <w:r w:rsidR="008B302D">
              <w:rPr>
                <w:noProof/>
                <w:webHidden/>
              </w:rPr>
              <w:fldChar w:fldCharType="begin"/>
            </w:r>
            <w:r w:rsidR="008B302D">
              <w:rPr>
                <w:noProof/>
                <w:webHidden/>
              </w:rPr>
              <w:instrText xml:space="preserve"> PAGEREF _Toc117698395 \h </w:instrText>
            </w:r>
            <w:r w:rsidR="008B302D">
              <w:rPr>
                <w:noProof/>
                <w:webHidden/>
              </w:rPr>
            </w:r>
            <w:r w:rsidR="008B302D">
              <w:rPr>
                <w:noProof/>
                <w:webHidden/>
              </w:rPr>
              <w:fldChar w:fldCharType="separate"/>
            </w:r>
            <w:r w:rsidR="008B302D">
              <w:rPr>
                <w:noProof/>
                <w:webHidden/>
              </w:rPr>
              <w:t>5</w:t>
            </w:r>
            <w:r w:rsidR="008B302D">
              <w:rPr>
                <w:noProof/>
                <w:webHidden/>
              </w:rPr>
              <w:fldChar w:fldCharType="end"/>
            </w:r>
          </w:hyperlink>
        </w:p>
        <w:p w14:paraId="66538795" w14:textId="77777777" w:rsidR="008B302D" w:rsidRDefault="00000000">
          <w:pPr>
            <w:pStyle w:val="TOC2"/>
            <w:tabs>
              <w:tab w:val="right" w:leader="dot" w:pos="9350"/>
            </w:tabs>
            <w:rPr>
              <w:rFonts w:asciiTheme="minorHAnsi" w:eastAsiaTheme="minorEastAsia" w:hAnsiTheme="minorHAnsi" w:cstheme="minorBidi"/>
              <w:noProof/>
              <w:sz w:val="22"/>
              <w:lang w:eastAsia="en-GB"/>
            </w:rPr>
          </w:pPr>
          <w:hyperlink w:anchor="_Toc117698396" w:history="1">
            <w:r w:rsidR="008B302D" w:rsidRPr="004F794F">
              <w:rPr>
                <w:rStyle w:val="Hyperlink"/>
                <w:noProof/>
              </w:rPr>
              <w:t>(a) Importance of budgeting</w:t>
            </w:r>
            <w:r w:rsidR="008B302D">
              <w:rPr>
                <w:noProof/>
                <w:webHidden/>
              </w:rPr>
              <w:tab/>
            </w:r>
            <w:r w:rsidR="008B302D">
              <w:rPr>
                <w:noProof/>
                <w:webHidden/>
              </w:rPr>
              <w:fldChar w:fldCharType="begin"/>
            </w:r>
            <w:r w:rsidR="008B302D">
              <w:rPr>
                <w:noProof/>
                <w:webHidden/>
              </w:rPr>
              <w:instrText xml:space="preserve"> PAGEREF _Toc117698396 \h </w:instrText>
            </w:r>
            <w:r w:rsidR="008B302D">
              <w:rPr>
                <w:noProof/>
                <w:webHidden/>
              </w:rPr>
            </w:r>
            <w:r w:rsidR="008B302D">
              <w:rPr>
                <w:noProof/>
                <w:webHidden/>
              </w:rPr>
              <w:fldChar w:fldCharType="separate"/>
            </w:r>
            <w:r w:rsidR="008B302D">
              <w:rPr>
                <w:noProof/>
                <w:webHidden/>
              </w:rPr>
              <w:t>5</w:t>
            </w:r>
            <w:r w:rsidR="008B302D">
              <w:rPr>
                <w:noProof/>
                <w:webHidden/>
              </w:rPr>
              <w:fldChar w:fldCharType="end"/>
            </w:r>
          </w:hyperlink>
        </w:p>
        <w:p w14:paraId="2D8545C8" w14:textId="77777777" w:rsidR="008B302D" w:rsidRDefault="00000000">
          <w:pPr>
            <w:pStyle w:val="TOC2"/>
            <w:tabs>
              <w:tab w:val="right" w:leader="dot" w:pos="9350"/>
            </w:tabs>
            <w:rPr>
              <w:rFonts w:asciiTheme="minorHAnsi" w:eastAsiaTheme="minorEastAsia" w:hAnsiTheme="minorHAnsi" w:cstheme="minorBidi"/>
              <w:noProof/>
              <w:sz w:val="22"/>
              <w:lang w:eastAsia="en-GB"/>
            </w:rPr>
          </w:pPr>
          <w:hyperlink w:anchor="_Toc117698397" w:history="1">
            <w:r w:rsidR="008B302D" w:rsidRPr="004F794F">
              <w:rPr>
                <w:rStyle w:val="Hyperlink"/>
                <w:noProof/>
              </w:rPr>
              <w:t>(b) Understanding different types of budgeting</w:t>
            </w:r>
            <w:r w:rsidR="008B302D">
              <w:rPr>
                <w:noProof/>
                <w:webHidden/>
              </w:rPr>
              <w:tab/>
            </w:r>
            <w:r w:rsidR="008B302D">
              <w:rPr>
                <w:noProof/>
                <w:webHidden/>
              </w:rPr>
              <w:fldChar w:fldCharType="begin"/>
            </w:r>
            <w:r w:rsidR="008B302D">
              <w:rPr>
                <w:noProof/>
                <w:webHidden/>
              </w:rPr>
              <w:instrText xml:space="preserve"> PAGEREF _Toc117698397 \h </w:instrText>
            </w:r>
            <w:r w:rsidR="008B302D">
              <w:rPr>
                <w:noProof/>
                <w:webHidden/>
              </w:rPr>
            </w:r>
            <w:r w:rsidR="008B302D">
              <w:rPr>
                <w:noProof/>
                <w:webHidden/>
              </w:rPr>
              <w:fldChar w:fldCharType="separate"/>
            </w:r>
            <w:r w:rsidR="008B302D">
              <w:rPr>
                <w:noProof/>
                <w:webHidden/>
              </w:rPr>
              <w:t>6</w:t>
            </w:r>
            <w:r w:rsidR="008B302D">
              <w:rPr>
                <w:noProof/>
                <w:webHidden/>
              </w:rPr>
              <w:fldChar w:fldCharType="end"/>
            </w:r>
          </w:hyperlink>
        </w:p>
        <w:p w14:paraId="6CD2DDA6" w14:textId="77777777" w:rsidR="008B302D" w:rsidRDefault="00000000">
          <w:pPr>
            <w:pStyle w:val="TOC2"/>
            <w:tabs>
              <w:tab w:val="right" w:leader="dot" w:pos="9350"/>
            </w:tabs>
            <w:rPr>
              <w:rFonts w:asciiTheme="minorHAnsi" w:eastAsiaTheme="minorEastAsia" w:hAnsiTheme="minorHAnsi" w:cstheme="minorBidi"/>
              <w:noProof/>
              <w:sz w:val="22"/>
              <w:lang w:eastAsia="en-GB"/>
            </w:rPr>
          </w:pPr>
          <w:hyperlink w:anchor="_Toc117698398" w:history="1">
            <w:r w:rsidR="008B302D" w:rsidRPr="004F794F">
              <w:rPr>
                <w:rStyle w:val="Hyperlink"/>
                <w:noProof/>
              </w:rPr>
              <w:t>(c) Outlining how budgeting control can support sustainability</w:t>
            </w:r>
            <w:r w:rsidR="008B302D">
              <w:rPr>
                <w:noProof/>
                <w:webHidden/>
              </w:rPr>
              <w:tab/>
            </w:r>
            <w:r w:rsidR="008B302D">
              <w:rPr>
                <w:noProof/>
                <w:webHidden/>
              </w:rPr>
              <w:fldChar w:fldCharType="begin"/>
            </w:r>
            <w:r w:rsidR="008B302D">
              <w:rPr>
                <w:noProof/>
                <w:webHidden/>
              </w:rPr>
              <w:instrText xml:space="preserve"> PAGEREF _Toc117698398 \h </w:instrText>
            </w:r>
            <w:r w:rsidR="008B302D">
              <w:rPr>
                <w:noProof/>
                <w:webHidden/>
              </w:rPr>
            </w:r>
            <w:r w:rsidR="008B302D">
              <w:rPr>
                <w:noProof/>
                <w:webHidden/>
              </w:rPr>
              <w:fldChar w:fldCharType="separate"/>
            </w:r>
            <w:r w:rsidR="008B302D">
              <w:rPr>
                <w:noProof/>
                <w:webHidden/>
              </w:rPr>
              <w:t>7</w:t>
            </w:r>
            <w:r w:rsidR="008B302D">
              <w:rPr>
                <w:noProof/>
                <w:webHidden/>
              </w:rPr>
              <w:fldChar w:fldCharType="end"/>
            </w:r>
          </w:hyperlink>
        </w:p>
        <w:p w14:paraId="708E1AE5" w14:textId="77777777" w:rsidR="008B302D" w:rsidRDefault="00000000">
          <w:pPr>
            <w:pStyle w:val="TOC1"/>
            <w:tabs>
              <w:tab w:val="right" w:leader="dot" w:pos="9350"/>
            </w:tabs>
            <w:rPr>
              <w:rFonts w:asciiTheme="minorHAnsi" w:eastAsiaTheme="minorEastAsia" w:hAnsiTheme="minorHAnsi" w:cstheme="minorBidi"/>
              <w:noProof/>
              <w:sz w:val="22"/>
              <w:lang w:eastAsia="en-GB"/>
            </w:rPr>
          </w:pPr>
          <w:hyperlink w:anchor="_Toc117698399" w:history="1">
            <w:r w:rsidR="008B302D" w:rsidRPr="004F794F">
              <w:rPr>
                <w:rStyle w:val="Hyperlink"/>
                <w:noProof/>
              </w:rPr>
              <w:t>Conclusion</w:t>
            </w:r>
            <w:r w:rsidR="008B302D">
              <w:rPr>
                <w:noProof/>
                <w:webHidden/>
              </w:rPr>
              <w:tab/>
            </w:r>
            <w:r w:rsidR="008B302D">
              <w:rPr>
                <w:noProof/>
                <w:webHidden/>
              </w:rPr>
              <w:fldChar w:fldCharType="begin"/>
            </w:r>
            <w:r w:rsidR="008B302D">
              <w:rPr>
                <w:noProof/>
                <w:webHidden/>
              </w:rPr>
              <w:instrText xml:space="preserve"> PAGEREF _Toc117698399 \h </w:instrText>
            </w:r>
            <w:r w:rsidR="008B302D">
              <w:rPr>
                <w:noProof/>
                <w:webHidden/>
              </w:rPr>
            </w:r>
            <w:r w:rsidR="008B302D">
              <w:rPr>
                <w:noProof/>
                <w:webHidden/>
              </w:rPr>
              <w:fldChar w:fldCharType="separate"/>
            </w:r>
            <w:r w:rsidR="008B302D">
              <w:rPr>
                <w:noProof/>
                <w:webHidden/>
              </w:rPr>
              <w:t>9</w:t>
            </w:r>
            <w:r w:rsidR="008B302D">
              <w:rPr>
                <w:noProof/>
                <w:webHidden/>
              </w:rPr>
              <w:fldChar w:fldCharType="end"/>
            </w:r>
          </w:hyperlink>
        </w:p>
        <w:p w14:paraId="16AAAB1F" w14:textId="77777777" w:rsidR="008B302D" w:rsidRDefault="00000000">
          <w:pPr>
            <w:pStyle w:val="TOC1"/>
            <w:tabs>
              <w:tab w:val="right" w:leader="dot" w:pos="9350"/>
            </w:tabs>
            <w:rPr>
              <w:rFonts w:asciiTheme="minorHAnsi" w:eastAsiaTheme="minorEastAsia" w:hAnsiTheme="minorHAnsi" w:cstheme="minorBidi"/>
              <w:noProof/>
              <w:sz w:val="22"/>
              <w:lang w:eastAsia="en-GB"/>
            </w:rPr>
          </w:pPr>
          <w:hyperlink w:anchor="_Toc117698400" w:history="1">
            <w:r w:rsidR="008B302D" w:rsidRPr="004F794F">
              <w:rPr>
                <w:rStyle w:val="Hyperlink"/>
                <w:noProof/>
              </w:rPr>
              <w:t>References</w:t>
            </w:r>
            <w:r w:rsidR="008B302D">
              <w:rPr>
                <w:noProof/>
                <w:webHidden/>
              </w:rPr>
              <w:tab/>
            </w:r>
            <w:r w:rsidR="008B302D">
              <w:rPr>
                <w:noProof/>
                <w:webHidden/>
              </w:rPr>
              <w:fldChar w:fldCharType="begin"/>
            </w:r>
            <w:r w:rsidR="008B302D">
              <w:rPr>
                <w:noProof/>
                <w:webHidden/>
              </w:rPr>
              <w:instrText xml:space="preserve"> PAGEREF _Toc117698400 \h </w:instrText>
            </w:r>
            <w:r w:rsidR="008B302D">
              <w:rPr>
                <w:noProof/>
                <w:webHidden/>
              </w:rPr>
            </w:r>
            <w:r w:rsidR="008B302D">
              <w:rPr>
                <w:noProof/>
                <w:webHidden/>
              </w:rPr>
              <w:fldChar w:fldCharType="separate"/>
            </w:r>
            <w:r w:rsidR="008B302D">
              <w:rPr>
                <w:noProof/>
                <w:webHidden/>
              </w:rPr>
              <w:t>10</w:t>
            </w:r>
            <w:r w:rsidR="008B302D">
              <w:rPr>
                <w:noProof/>
                <w:webHidden/>
              </w:rPr>
              <w:fldChar w:fldCharType="end"/>
            </w:r>
          </w:hyperlink>
        </w:p>
        <w:p w14:paraId="2C737557" w14:textId="77777777" w:rsidR="008B302D" w:rsidRDefault="00000000">
          <w:pPr>
            <w:pStyle w:val="TOC1"/>
            <w:tabs>
              <w:tab w:val="right" w:leader="dot" w:pos="9350"/>
            </w:tabs>
            <w:rPr>
              <w:rFonts w:asciiTheme="minorHAnsi" w:eastAsiaTheme="minorEastAsia" w:hAnsiTheme="minorHAnsi" w:cstheme="minorBidi"/>
              <w:noProof/>
              <w:sz w:val="22"/>
              <w:lang w:eastAsia="en-GB"/>
            </w:rPr>
          </w:pPr>
          <w:hyperlink w:anchor="_Toc117698401" w:history="1">
            <w:r w:rsidR="008B302D" w:rsidRPr="004F794F">
              <w:rPr>
                <w:rStyle w:val="Hyperlink"/>
                <w:noProof/>
              </w:rPr>
              <w:t>Appendix</w:t>
            </w:r>
            <w:r w:rsidR="008B302D">
              <w:rPr>
                <w:noProof/>
                <w:webHidden/>
              </w:rPr>
              <w:tab/>
            </w:r>
            <w:r w:rsidR="008B302D">
              <w:rPr>
                <w:noProof/>
                <w:webHidden/>
              </w:rPr>
              <w:fldChar w:fldCharType="begin"/>
            </w:r>
            <w:r w:rsidR="008B302D">
              <w:rPr>
                <w:noProof/>
                <w:webHidden/>
              </w:rPr>
              <w:instrText xml:space="preserve"> PAGEREF _Toc117698401 \h </w:instrText>
            </w:r>
            <w:r w:rsidR="008B302D">
              <w:rPr>
                <w:noProof/>
                <w:webHidden/>
              </w:rPr>
            </w:r>
            <w:r w:rsidR="008B302D">
              <w:rPr>
                <w:noProof/>
                <w:webHidden/>
              </w:rPr>
              <w:fldChar w:fldCharType="separate"/>
            </w:r>
            <w:r w:rsidR="008B302D">
              <w:rPr>
                <w:noProof/>
                <w:webHidden/>
              </w:rPr>
              <w:t>12</w:t>
            </w:r>
            <w:r w:rsidR="008B302D">
              <w:rPr>
                <w:noProof/>
                <w:webHidden/>
              </w:rPr>
              <w:fldChar w:fldCharType="end"/>
            </w:r>
          </w:hyperlink>
        </w:p>
        <w:p w14:paraId="64696378" w14:textId="77777777" w:rsidR="008B302D" w:rsidRDefault="00000000">
          <w:pPr>
            <w:pStyle w:val="TOC2"/>
            <w:tabs>
              <w:tab w:val="right" w:leader="dot" w:pos="9350"/>
            </w:tabs>
            <w:rPr>
              <w:rFonts w:asciiTheme="minorHAnsi" w:eastAsiaTheme="minorEastAsia" w:hAnsiTheme="minorHAnsi" w:cstheme="minorBidi"/>
              <w:noProof/>
              <w:sz w:val="22"/>
              <w:lang w:eastAsia="en-GB"/>
            </w:rPr>
          </w:pPr>
          <w:hyperlink w:anchor="_Toc117698402" w:history="1">
            <w:r w:rsidR="008B302D" w:rsidRPr="004F794F">
              <w:rPr>
                <w:rStyle w:val="Hyperlink"/>
                <w:noProof/>
              </w:rPr>
              <w:t>Worksheet</w:t>
            </w:r>
            <w:r w:rsidR="008B302D">
              <w:rPr>
                <w:noProof/>
                <w:webHidden/>
              </w:rPr>
              <w:tab/>
            </w:r>
            <w:r w:rsidR="008B302D">
              <w:rPr>
                <w:noProof/>
                <w:webHidden/>
              </w:rPr>
              <w:fldChar w:fldCharType="begin"/>
            </w:r>
            <w:r w:rsidR="008B302D">
              <w:rPr>
                <w:noProof/>
                <w:webHidden/>
              </w:rPr>
              <w:instrText xml:space="preserve"> PAGEREF _Toc117698402 \h </w:instrText>
            </w:r>
            <w:r w:rsidR="008B302D">
              <w:rPr>
                <w:noProof/>
                <w:webHidden/>
              </w:rPr>
            </w:r>
            <w:r w:rsidR="008B302D">
              <w:rPr>
                <w:noProof/>
                <w:webHidden/>
              </w:rPr>
              <w:fldChar w:fldCharType="separate"/>
            </w:r>
            <w:r w:rsidR="008B302D">
              <w:rPr>
                <w:noProof/>
                <w:webHidden/>
              </w:rPr>
              <w:t>12</w:t>
            </w:r>
            <w:r w:rsidR="008B302D">
              <w:rPr>
                <w:noProof/>
                <w:webHidden/>
              </w:rPr>
              <w:fldChar w:fldCharType="end"/>
            </w:r>
          </w:hyperlink>
        </w:p>
        <w:p w14:paraId="3A19DCC5" w14:textId="77777777" w:rsidR="00000D2B" w:rsidRDefault="00000D2B">
          <w:r>
            <w:rPr>
              <w:b/>
              <w:bCs/>
              <w:noProof/>
            </w:rPr>
            <w:fldChar w:fldCharType="end"/>
          </w:r>
        </w:p>
      </w:sdtContent>
    </w:sdt>
    <w:p w14:paraId="0D3733CE" w14:textId="77777777" w:rsidR="00000D2B" w:rsidRDefault="00000D2B">
      <w:pPr>
        <w:widowControl/>
        <w:autoSpaceDE/>
        <w:autoSpaceDN/>
        <w:spacing w:after="160" w:line="259" w:lineRule="auto"/>
        <w:jc w:val="left"/>
      </w:pPr>
      <w:r>
        <w:br w:type="page"/>
      </w:r>
    </w:p>
    <w:p w14:paraId="19CB2F32" w14:textId="77777777" w:rsidR="00CA524E" w:rsidRDefault="00CA524E" w:rsidP="00000D2B">
      <w:pPr>
        <w:pStyle w:val="Heading1"/>
      </w:pPr>
      <w:bookmarkStart w:id="0" w:name="_Toc117698393"/>
      <w:r>
        <w:lastRenderedPageBreak/>
        <w:t>Introduction</w:t>
      </w:r>
      <w:bookmarkEnd w:id="0"/>
    </w:p>
    <w:p w14:paraId="22DE3DF9" w14:textId="77777777" w:rsidR="00000D2B" w:rsidRDefault="009A4FB6">
      <w:r>
        <w:t xml:space="preserve">Every business needs to focus on budgeting. </w:t>
      </w:r>
      <w:r w:rsidRPr="009A4FB6">
        <w:t>Because it allows a company to predict what the company will be doing in the future, budgeting is one of the most crucial aspects of a corporation</w:t>
      </w:r>
      <w:r w:rsidR="00DC3842">
        <w:t xml:space="preserve"> </w:t>
      </w:r>
      <w:r w:rsidR="00DC3842" w:rsidRPr="00DC3842">
        <w:t>(Wilson, 2018)</w:t>
      </w:r>
      <w:r w:rsidRPr="009A4FB6">
        <w:t>. This task's objective is to evaluate the significance of budgeting, with a particular focus on the various approaches to budgeting as well as the mechanism by which budgeting can help assure sustainability. In the first task, the cash flow forecast for the Grant Hotel will be analysed.</w:t>
      </w:r>
    </w:p>
    <w:p w14:paraId="42FC44C3" w14:textId="77777777" w:rsidR="00000D2B" w:rsidRDefault="00000D2B"/>
    <w:p w14:paraId="62E6B55E" w14:textId="77777777" w:rsidR="00000D2B" w:rsidRDefault="00000D2B"/>
    <w:p w14:paraId="47C8D0C2" w14:textId="77777777" w:rsidR="00000D2B" w:rsidRDefault="00000D2B"/>
    <w:p w14:paraId="7DFD74BF" w14:textId="77777777" w:rsidR="00000D2B" w:rsidRDefault="00000D2B"/>
    <w:p w14:paraId="7F74AE28" w14:textId="77777777" w:rsidR="00000D2B" w:rsidRDefault="00000D2B"/>
    <w:p w14:paraId="3A4A2E97" w14:textId="77777777" w:rsidR="00000D2B" w:rsidRDefault="00000D2B"/>
    <w:p w14:paraId="4AEA2CA6" w14:textId="77777777" w:rsidR="00000D2B" w:rsidRDefault="00000D2B"/>
    <w:p w14:paraId="14BFB553" w14:textId="77777777" w:rsidR="00000D2B" w:rsidRDefault="00000D2B"/>
    <w:p w14:paraId="199BDC8A" w14:textId="77777777" w:rsidR="00000D2B" w:rsidRDefault="00000D2B"/>
    <w:p w14:paraId="0B685421" w14:textId="77777777" w:rsidR="00000D2B" w:rsidRDefault="00000D2B"/>
    <w:p w14:paraId="3C704018" w14:textId="77777777" w:rsidR="00000D2B" w:rsidRDefault="00000D2B"/>
    <w:p w14:paraId="3957A4D9" w14:textId="77777777" w:rsidR="00000D2B" w:rsidRDefault="00000D2B"/>
    <w:p w14:paraId="725BE149" w14:textId="77777777" w:rsidR="00000D2B" w:rsidRDefault="00000D2B"/>
    <w:p w14:paraId="49DEA029" w14:textId="77777777" w:rsidR="00000D2B" w:rsidRDefault="00000D2B"/>
    <w:p w14:paraId="7CB31B6F" w14:textId="77777777" w:rsidR="00000D2B" w:rsidRDefault="00000D2B"/>
    <w:p w14:paraId="7E3069A8" w14:textId="77777777" w:rsidR="00000D2B" w:rsidRDefault="00000D2B"/>
    <w:p w14:paraId="22524772" w14:textId="77777777" w:rsidR="00000D2B" w:rsidRDefault="00000D2B"/>
    <w:p w14:paraId="498BAC2B" w14:textId="77777777" w:rsidR="00000D2B" w:rsidRDefault="00000D2B"/>
    <w:p w14:paraId="0E58B99A" w14:textId="77777777" w:rsidR="00000D2B" w:rsidRDefault="00000D2B"/>
    <w:p w14:paraId="7CD50376" w14:textId="77777777" w:rsidR="00000D2B" w:rsidRDefault="00000D2B"/>
    <w:p w14:paraId="12F2C0C1" w14:textId="77777777" w:rsidR="00000D2B" w:rsidRDefault="00000D2B"/>
    <w:p w14:paraId="05D95B66" w14:textId="77777777" w:rsidR="00000D2B" w:rsidRDefault="00000D2B"/>
    <w:p w14:paraId="7E93FCC4" w14:textId="77777777" w:rsidR="00000D2B" w:rsidRDefault="00000D2B"/>
    <w:p w14:paraId="0E54EB8F" w14:textId="77777777" w:rsidR="00000D2B" w:rsidRDefault="00000D2B"/>
    <w:p w14:paraId="6ADD8644" w14:textId="77777777" w:rsidR="00DD0663" w:rsidRDefault="00DD0663" w:rsidP="00000D2B">
      <w:pPr>
        <w:pStyle w:val="Heading1"/>
      </w:pPr>
      <w:bookmarkStart w:id="1" w:name="_Toc117698394"/>
      <w:r>
        <w:lastRenderedPageBreak/>
        <w:t>T</w:t>
      </w:r>
      <w:r w:rsidR="00BD04F1">
        <w:t>ask 1</w:t>
      </w:r>
      <w:bookmarkEnd w:id="1"/>
    </w:p>
    <w:p w14:paraId="4F74DD2E" w14:textId="77777777" w:rsidR="009A4FB6" w:rsidRDefault="009A4FB6">
      <w:r w:rsidRPr="009A4FB6">
        <w:t xml:space="preserve">The quantity of money that will flow into and out of a business at any given time is estimated by a cash flow projection </w:t>
      </w:r>
      <w:r w:rsidR="00DC3842" w:rsidRPr="00DC3842">
        <w:t>(Pandey, 2015)</w:t>
      </w:r>
      <w:r w:rsidRPr="009A4FB6">
        <w:t xml:space="preserve">. Using the data in the module, a cash flow prediction has been made for the Grant hotel. Although a cash flow projection can be made for any time frame, it is most often done for a year. The time frame for Grant Hotel was from April 2022 until March 2023. It is wise to include a proportion </w:t>
      </w:r>
      <w:r w:rsidR="00E871A5">
        <w:t>of</w:t>
      </w:r>
      <w:r w:rsidRPr="009A4FB6">
        <w:t xml:space="preserve"> expenses that are not yet known in addition to all projected income and known expenses. For instance, the organization's overtime costs are unclear, but it is predicted that they will be 3400 pounds. Failure on the part of the firm and its finances results from management or the owner of a small business failing to create a cash flow forecast </w:t>
      </w:r>
      <w:r w:rsidR="00DC3842" w:rsidRPr="00DC3842">
        <w:t>(Madura and Hoque, 2018)</w:t>
      </w:r>
      <w:r w:rsidRPr="009A4FB6">
        <w:t>. They might struggle to pay their bills, maintain their income, or even afford to acquire the supplies they require. A manager must therefore have a firm understanding of how cash flow might affect a company</w:t>
      </w:r>
      <w:r w:rsidR="00DC3842">
        <w:t xml:space="preserve"> </w:t>
      </w:r>
      <w:r w:rsidR="00DC3842" w:rsidRPr="00DC3842">
        <w:t>(Correia et al., 2015)</w:t>
      </w:r>
      <w:r w:rsidRPr="009A4FB6">
        <w:t>. If they are unable to comprehend this, the business can wind up making a bad financial choice that could have an impact on the entire business. Businesses frequently neglect to create a cash flow projection, and when this happens, the owners are unaware of a problem until it is too late.</w:t>
      </w:r>
    </w:p>
    <w:p w14:paraId="51561EED" w14:textId="77777777" w:rsidR="009A4FB6" w:rsidRDefault="009A4FB6">
      <w:r w:rsidRPr="009A4FB6">
        <w:t>The cash prediction shows that the Grant hotel will turn a profit every month for the following 12 months. Cash sales and the mini</w:t>
      </w:r>
      <w:r w:rsidR="00E871A5">
        <w:t>-</w:t>
      </w:r>
      <w:r w:rsidRPr="009A4FB6">
        <w:t xml:space="preserve">bar will also be included in the organization's primary sources of income, which will be paid </w:t>
      </w:r>
      <w:r w:rsidR="00E871A5">
        <w:t>into</w:t>
      </w:r>
      <w:r w:rsidRPr="009A4FB6">
        <w:t xml:space="preserve"> the bank account simultaneously. In April 2022, the organization's total revenue will be 194305, whil</w:t>
      </w:r>
      <w:r>
        <w:t>e its total costs will be 110015</w:t>
      </w:r>
      <w:r w:rsidRPr="009A4FB6">
        <w:t xml:space="preserve">. Accordingly, the company will have a net cash flow of </w:t>
      </w:r>
      <w:r>
        <w:t>84290</w:t>
      </w:r>
      <w:r w:rsidRPr="009A4FB6">
        <w:t xml:space="preserve">. Wages for employees, meals out, overtime pay, rates, etc., will be the key expenses. June 2022 appears to be the strongest month for business among the other twelve, while July could be a challenge. The organization's monthly receipt total was a major contributing factor </w:t>
      </w:r>
      <w:r w:rsidR="00E871A5">
        <w:t>to</w:t>
      </w:r>
      <w:r w:rsidRPr="009A4FB6">
        <w:t xml:space="preserve"> that. The number of receipts has decreased even if expenses have not</w:t>
      </w:r>
      <w:r w:rsidR="00DC3842">
        <w:t xml:space="preserve"> </w:t>
      </w:r>
      <w:r w:rsidR="00DC3842" w:rsidRPr="00DC3842">
        <w:t>(Britain, 2013)</w:t>
      </w:r>
      <w:r w:rsidRPr="009A4FB6">
        <w:t>. Overall, the Grant Hotel's cash flow prediction indicates that the company will have a successful year in terms of cash inflow and outflow.</w:t>
      </w:r>
      <w:r>
        <w:t xml:space="preserve"> The decision</w:t>
      </w:r>
      <w:r w:rsidR="00E871A5">
        <w:t>-</w:t>
      </w:r>
      <w:r>
        <w:t xml:space="preserve">making process of the business might be easier because of this cash flow forecast and the management of the business needs to focus on that. </w:t>
      </w:r>
    </w:p>
    <w:p w14:paraId="6FED558B" w14:textId="77777777" w:rsidR="00BD04F1" w:rsidRDefault="00BD04F1"/>
    <w:p w14:paraId="7EF7A177" w14:textId="77777777" w:rsidR="00000D2B" w:rsidRDefault="00000D2B"/>
    <w:p w14:paraId="7CFA48B0" w14:textId="77777777" w:rsidR="00000D2B" w:rsidRDefault="00000D2B"/>
    <w:p w14:paraId="28C38EE3" w14:textId="77777777" w:rsidR="00000D2B" w:rsidRDefault="00000D2B"/>
    <w:p w14:paraId="714D532F" w14:textId="77777777" w:rsidR="0050177B" w:rsidRPr="000D46BF" w:rsidRDefault="005431D1" w:rsidP="00000D2B">
      <w:pPr>
        <w:pStyle w:val="Heading1"/>
      </w:pPr>
      <w:bookmarkStart w:id="2" w:name="_Toc117698395"/>
      <w:r w:rsidRPr="000D46BF">
        <w:lastRenderedPageBreak/>
        <w:t>Task 2</w:t>
      </w:r>
      <w:bookmarkEnd w:id="2"/>
    </w:p>
    <w:p w14:paraId="3E7D1F2C" w14:textId="77777777" w:rsidR="005431D1" w:rsidRPr="000D46BF" w:rsidRDefault="005431D1" w:rsidP="00000D2B">
      <w:pPr>
        <w:pStyle w:val="Heading2"/>
      </w:pPr>
      <w:bookmarkStart w:id="3" w:name="_Toc117698396"/>
      <w:r w:rsidRPr="000D46BF">
        <w:t>(a) Importance of budgeting</w:t>
      </w:r>
      <w:bookmarkEnd w:id="3"/>
      <w:r w:rsidRPr="000D46BF">
        <w:t xml:space="preserve"> </w:t>
      </w:r>
    </w:p>
    <w:p w14:paraId="6121A071" w14:textId="77777777" w:rsidR="009A4FB6" w:rsidRDefault="009A4FB6" w:rsidP="009A4FB6">
      <w:r>
        <w:t xml:space="preserve">Budgeting, in its broadest meaning, refers to the process of creating a plan for distributing one's available financial resources </w:t>
      </w:r>
      <w:r w:rsidR="00DC3842" w:rsidRPr="00DC3842">
        <w:t>(Patty, 2019)</w:t>
      </w:r>
      <w:r>
        <w:t>. The word given to this spending strategy is a budget. By creating this spending plan, you will be able to determine in advance if you will have enough money to carry out the tasks that are needed of you or that you would like to complete. Getting your income and expenses in line with one another is all it takes to create a budget.</w:t>
      </w:r>
    </w:p>
    <w:p w14:paraId="6214F780" w14:textId="77777777" w:rsidR="00000D2B" w:rsidRDefault="009A4FB6" w:rsidP="009A4FB6">
      <w:r>
        <w:t xml:space="preserve">Due to the fact that budgeting helps a business to develop a strategy for the distribution of the business resources, the practise ensures that the firm will always have enough money to buy those things that are both important to the business and necessary to run it </w:t>
      </w:r>
      <w:r w:rsidR="00DC3842" w:rsidRPr="00DC3842">
        <w:t>(</w:t>
      </w:r>
      <w:proofErr w:type="spellStart"/>
      <w:r w:rsidR="00DC3842" w:rsidRPr="00DC3842">
        <w:t>Kravets</w:t>
      </w:r>
      <w:proofErr w:type="spellEnd"/>
      <w:r w:rsidR="00DC3842" w:rsidRPr="00DC3842">
        <w:t>, 2019)</w:t>
      </w:r>
      <w:r>
        <w:t xml:space="preserve">. Maintaining a spending plan or budget will help Grant Hotel avoid getting into debt in the first place and make it simpler for them to get out of it if they are currently in it </w:t>
      </w:r>
      <w:r w:rsidR="00DC3842" w:rsidRPr="00DC3842">
        <w:t>(Di Francesco and Alford, 2016)</w:t>
      </w:r>
      <w:r>
        <w:t xml:space="preserve">. The simplest definition of a budget is an itemised summary of expected income and expenses for a given time period. It gives Grant Hotel the knowledge required to choose between eating at Grant Hotel </w:t>
      </w:r>
      <w:r w:rsidR="00DC3842">
        <w:t>and</w:t>
      </w:r>
      <w:r>
        <w:t xml:space="preserve"> returning home for a cup of soup. It is frequently created with the aid of a spreadsheet and provides a precise, systematic, and easy-to-understand analysis of how much money Grant Hotel is making and how much money Grant Hotel is losing. Regardless of the amount of money Grant Hotel has available, it is a fantastic tool that may help Grant Hotel prioritise Grant Hotel spending and manage Grant Hotel money </w:t>
      </w:r>
      <w:r w:rsidR="00DC3842" w:rsidRPr="00DC3842">
        <w:t>(Belousov and Timofeeva, 2021)</w:t>
      </w:r>
      <w:r>
        <w:t>. Careful planning and monitoring of the Grant Hotel budget will make it easier to spot wasteful expenditure</w:t>
      </w:r>
      <w:r w:rsidR="00E871A5">
        <w:t>s</w:t>
      </w:r>
      <w:r>
        <w:t xml:space="preserve">, be able to act quickly when the financial situation changes, and achieve financial goals. It's possible that Grant Hotel will be surprised by what Grant Hotel discovers when Grant Hotel examines the breakdown of Grant Hotel's spending; yet, Grant Hotel must take this step in order to fully understand how expenses might add up to a substantial sum </w:t>
      </w:r>
      <w:r w:rsidR="00DC3842" w:rsidRPr="00DC3842">
        <w:t xml:space="preserve">(Abel </w:t>
      </w:r>
      <w:proofErr w:type="spellStart"/>
      <w:r w:rsidR="00DC3842" w:rsidRPr="00DC3842">
        <w:t>Molocwa</w:t>
      </w:r>
      <w:proofErr w:type="spellEnd"/>
      <w:r w:rsidR="00DC3842" w:rsidRPr="00DC3842">
        <w:t xml:space="preserve">, </w:t>
      </w:r>
      <w:proofErr w:type="spellStart"/>
      <w:r w:rsidR="00DC3842" w:rsidRPr="00DC3842">
        <w:t>Khamfula</w:t>
      </w:r>
      <w:proofErr w:type="spellEnd"/>
      <w:r w:rsidR="00DC3842" w:rsidRPr="00DC3842">
        <w:t xml:space="preserve"> and </w:t>
      </w:r>
      <w:proofErr w:type="spellStart"/>
      <w:r w:rsidR="00DC3842" w:rsidRPr="00DC3842">
        <w:t>Cheteni</w:t>
      </w:r>
      <w:proofErr w:type="spellEnd"/>
      <w:r w:rsidR="00DC3842" w:rsidRPr="00DC3842">
        <w:t>, 2018)</w:t>
      </w:r>
      <w:r>
        <w:t>. As a result of having a budget, the Grant Hotel will experience less stress because they will have a tool for decision-making.</w:t>
      </w:r>
    </w:p>
    <w:p w14:paraId="5967CB48" w14:textId="77777777" w:rsidR="009A4FB6" w:rsidRDefault="009A4FB6" w:rsidP="009A4FB6"/>
    <w:p w14:paraId="7DEE6491" w14:textId="77777777" w:rsidR="009A4FB6" w:rsidRDefault="009A4FB6" w:rsidP="009A4FB6"/>
    <w:p w14:paraId="3D94FF98" w14:textId="77777777" w:rsidR="009A4FB6" w:rsidRDefault="009A4FB6" w:rsidP="009A4FB6"/>
    <w:p w14:paraId="181E39DF" w14:textId="77777777" w:rsidR="000D46BF" w:rsidRDefault="000D46BF" w:rsidP="00000D2B">
      <w:pPr>
        <w:pStyle w:val="Heading2"/>
      </w:pPr>
      <w:bookmarkStart w:id="4" w:name="_Toc117698397"/>
      <w:r>
        <w:lastRenderedPageBreak/>
        <w:t xml:space="preserve">(b) </w:t>
      </w:r>
      <w:r w:rsidR="00E871A5">
        <w:t>Understanding d</w:t>
      </w:r>
      <w:r>
        <w:t>ifferent types of budgeting</w:t>
      </w:r>
      <w:bookmarkEnd w:id="4"/>
      <w:r>
        <w:t xml:space="preserve"> </w:t>
      </w:r>
    </w:p>
    <w:p w14:paraId="5A9ED6B5" w14:textId="77777777" w:rsidR="000D46BF" w:rsidRDefault="000D46BF">
      <w:r>
        <w:t xml:space="preserve">A business can follow different types of budgets. Four of them will be analysed here: </w:t>
      </w:r>
    </w:p>
    <w:p w14:paraId="1A9FCE86" w14:textId="77777777" w:rsidR="00140181" w:rsidRDefault="00140181" w:rsidP="00140181">
      <w:r>
        <w:rPr>
          <w:noProof/>
          <w:lang w:eastAsia="en-GB"/>
        </w:rPr>
        <w:drawing>
          <wp:inline distT="0" distB="0" distL="0" distR="0" wp14:anchorId="1E7C706C" wp14:editId="26F1AC90">
            <wp:extent cx="5486400" cy="3200400"/>
            <wp:effectExtent l="57150" t="38100" r="7620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FC2AC50" w14:textId="77777777" w:rsidR="00140181" w:rsidRDefault="00140181" w:rsidP="00140181">
      <w:pPr>
        <w:jc w:val="center"/>
      </w:pPr>
      <w:r>
        <w:t xml:space="preserve">Figure: Budgeting techniques </w:t>
      </w:r>
    </w:p>
    <w:p w14:paraId="6A597DC2" w14:textId="77777777" w:rsidR="00140181" w:rsidRDefault="00140181" w:rsidP="00140181">
      <w:pPr>
        <w:jc w:val="center"/>
      </w:pPr>
      <w:r>
        <w:t xml:space="preserve">Source: </w:t>
      </w:r>
      <w:r w:rsidRPr="00DC3842">
        <w:t>(Ho, 2018)</w:t>
      </w:r>
    </w:p>
    <w:p w14:paraId="063A6FB2" w14:textId="77777777" w:rsidR="009A4FB6" w:rsidRDefault="000D46BF">
      <w:r w:rsidRPr="00000D2B">
        <w:rPr>
          <w:b/>
        </w:rPr>
        <w:t>Incremental budget:</w:t>
      </w:r>
      <w:r>
        <w:t xml:space="preserve"> </w:t>
      </w:r>
      <w:r w:rsidR="009A4FB6" w:rsidRPr="009A4FB6">
        <w:t xml:space="preserve">The incremental budgeting approach begins with the budget from the prior year, and any necessary revisions are then made for the year that follows </w:t>
      </w:r>
      <w:r w:rsidR="00DC3842" w:rsidRPr="00DC3842">
        <w:t xml:space="preserve">(Barr and </w:t>
      </w:r>
      <w:proofErr w:type="spellStart"/>
      <w:r w:rsidR="00DC3842" w:rsidRPr="00DC3842">
        <w:t>Mcclellan</w:t>
      </w:r>
      <w:proofErr w:type="spellEnd"/>
      <w:r w:rsidR="00DC3842" w:rsidRPr="00DC3842">
        <w:t>, 2018)</w:t>
      </w:r>
      <w:r w:rsidR="009A4FB6" w:rsidRPr="009A4FB6">
        <w:t xml:space="preserve">. Many businesses that operate in very competitive markets may have plans in place to lower annual expense budgets for departments while raising annual sales budgets for those departments. As a result, many workers are under increased pressure to increase their output. Incremental budgeting does not account for unforeseen circumstances </w:t>
      </w:r>
      <w:r w:rsidR="00DC3842" w:rsidRPr="00DC3842">
        <w:t>(</w:t>
      </w:r>
      <w:proofErr w:type="spellStart"/>
      <w:r w:rsidR="00DC3842" w:rsidRPr="00DC3842">
        <w:t>Menifield</w:t>
      </w:r>
      <w:proofErr w:type="spellEnd"/>
      <w:r w:rsidR="00DC3842" w:rsidRPr="00DC3842">
        <w:t>, 2021)</w:t>
      </w:r>
      <w:r w:rsidR="009A4FB6" w:rsidRPr="009A4FB6">
        <w:t>. If the amount from the prior year is chosen as the starting point, then each department's budget for the following year must justify just the change from the prior year, often known as the "increment."</w:t>
      </w:r>
    </w:p>
    <w:p w14:paraId="0ADBA894" w14:textId="77777777" w:rsidR="009A4FB6" w:rsidRDefault="000D46BF">
      <w:r w:rsidRPr="00000D2B">
        <w:rPr>
          <w:b/>
        </w:rPr>
        <w:t>Activity</w:t>
      </w:r>
      <w:r w:rsidR="00000D2B" w:rsidRPr="00000D2B">
        <w:rPr>
          <w:b/>
        </w:rPr>
        <w:t>-</w:t>
      </w:r>
      <w:r w:rsidRPr="00000D2B">
        <w:rPr>
          <w:b/>
        </w:rPr>
        <w:t>based budget:</w:t>
      </w:r>
      <w:r>
        <w:t xml:space="preserve"> </w:t>
      </w:r>
      <w:r w:rsidR="009A4FB6" w:rsidRPr="009A4FB6">
        <w:t xml:space="preserve">The purpose of using an approach to budgeting known as activity-based accounting is to ascertain not only the costs that are connected to each and every activity that takes place inside an organisation but also the connections that exist between those activities </w:t>
      </w:r>
      <w:r w:rsidR="00DC3842" w:rsidRPr="00DC3842">
        <w:t>(Bragg, 2018)</w:t>
      </w:r>
      <w:r w:rsidR="009A4FB6" w:rsidRPr="009A4FB6">
        <w:t xml:space="preserve">. This method of budgeting is referred to by its technical name, activity-based costing. When using a budgeting method known as activity-based budgeting, funds are allotted to individual activities on the basis of how much it will cost to successfully complete those activities. It is more </w:t>
      </w:r>
      <w:r w:rsidR="009A4FB6" w:rsidRPr="009A4FB6">
        <w:lastRenderedPageBreak/>
        <w:t xml:space="preserve">concerned with what actions or activities are being carried out within the organisation and how they function together </w:t>
      </w:r>
      <w:r w:rsidR="00DC3842" w:rsidRPr="00DC3842">
        <w:t>(David, 2022)</w:t>
      </w:r>
      <w:r w:rsidR="009A4FB6" w:rsidRPr="009A4FB6">
        <w:t>. The data collected from those activities and how they are related to one another are used to define organisational goals, which in turn allow the organisation to advance.</w:t>
      </w:r>
    </w:p>
    <w:p w14:paraId="27DEEFFD" w14:textId="77777777" w:rsidR="009A4FB6" w:rsidRDefault="000D46BF">
      <w:r w:rsidRPr="00000D2B">
        <w:rPr>
          <w:b/>
        </w:rPr>
        <w:t>Value proposition budget:</w:t>
      </w:r>
      <w:r w:rsidRPr="000D46BF">
        <w:t xml:space="preserve"> </w:t>
      </w:r>
      <w:r w:rsidR="009A4FB6" w:rsidRPr="009A4FB6">
        <w:t xml:space="preserve">"Value proposition budgeting" places a premium on value-based spending </w:t>
      </w:r>
      <w:r w:rsidR="00DC3842" w:rsidRPr="00DC3842">
        <w:t>(Divvy, 2022)</w:t>
      </w:r>
      <w:r w:rsidR="009A4FB6" w:rsidRPr="009A4FB6">
        <w:t xml:space="preserve">. Cost is one of many budget line items that is thoroughly reviewed to establish its importance to the company, its stakeholders, and its customers. Budgets must be visualised and rationalised to assure value for the firm, preventing costs that later do not add value and utilising the budget in ways that produce significant results </w:t>
      </w:r>
      <w:r w:rsidR="00DC3842" w:rsidRPr="00DC3842">
        <w:t>(Ho, 2018)</w:t>
      </w:r>
      <w:r w:rsidR="009A4FB6" w:rsidRPr="009A4FB6">
        <w:t xml:space="preserve">. Value proposition budgeting can be applied to both large and small businesses, in contrast to other budgeting strategies like activity-based budgeting. The quantity of inputs needed to support the goals or outcomes is taken into consideration by a top-down budgeting technique called "activity-based budgeting." Large budgets may be required inside a firm to perform value proposition budgeting in order to validate </w:t>
      </w:r>
      <w:r w:rsidR="00E871A5">
        <w:t>its</w:t>
      </w:r>
      <w:r w:rsidR="009A4FB6" w:rsidRPr="009A4FB6">
        <w:t xml:space="preserve"> expenditure strategy </w:t>
      </w:r>
      <w:r w:rsidR="000A7E32" w:rsidRPr="000A7E32">
        <w:t>(Britain, 2013)</w:t>
      </w:r>
      <w:r w:rsidR="009A4FB6" w:rsidRPr="009A4FB6">
        <w:t>. Budgeting based on value propositions may be used by the firm across the board. The value given to various business units or activities, however, may change quickly and estimates might be difficult.</w:t>
      </w:r>
    </w:p>
    <w:p w14:paraId="2EA9758F" w14:textId="77777777" w:rsidR="009A4FB6" w:rsidRPr="009A4FB6" w:rsidRDefault="000D46BF">
      <w:r w:rsidRPr="00000D2B">
        <w:rPr>
          <w:b/>
        </w:rPr>
        <w:t xml:space="preserve">Zero-based budgeting: </w:t>
      </w:r>
      <w:r w:rsidR="009A4FB6" w:rsidRPr="009A4FB6">
        <w:t>The practi</w:t>
      </w:r>
      <w:r w:rsidR="00E871A5">
        <w:t>c</w:t>
      </w:r>
      <w:r w:rsidR="009A4FB6" w:rsidRPr="009A4FB6">
        <w:t xml:space="preserve">e of beginning the process of budgeting for an organization's expenditures at the level zero level is referred to as zero-based budgeting, and it has to do with the processes involved </w:t>
      </w:r>
      <w:r w:rsidR="000A7E32" w:rsidRPr="000A7E32">
        <w:t>(</w:t>
      </w:r>
      <w:proofErr w:type="spellStart"/>
      <w:r w:rsidR="000A7E32" w:rsidRPr="000A7E32">
        <w:t>Kazar</w:t>
      </w:r>
      <w:proofErr w:type="spellEnd"/>
      <w:r w:rsidR="000A7E32" w:rsidRPr="000A7E32">
        <w:t xml:space="preserve">, </w:t>
      </w:r>
      <w:proofErr w:type="spellStart"/>
      <w:r w:rsidR="000A7E32" w:rsidRPr="000A7E32">
        <w:t>Mutlu</w:t>
      </w:r>
      <w:proofErr w:type="spellEnd"/>
      <w:r w:rsidR="000A7E32" w:rsidRPr="000A7E32">
        <w:t xml:space="preserve"> and </w:t>
      </w:r>
      <w:proofErr w:type="spellStart"/>
      <w:r w:rsidR="000A7E32" w:rsidRPr="000A7E32">
        <w:t>Tokdemir</w:t>
      </w:r>
      <w:proofErr w:type="spellEnd"/>
      <w:r w:rsidR="000A7E32" w:rsidRPr="000A7E32">
        <w:t>, 2022)</w:t>
      </w:r>
      <w:r w:rsidR="009A4FB6" w:rsidRPr="009A4FB6">
        <w:t xml:space="preserve">. When you utilise a style of budgeting known as zero-based budgeting, the expenses for each year are budgeted according to the level of need and cost connected with those spending decisions; these expenses are not forecasted using any base year. Therefore, in zero-based budgeting, the projected cost of products is derived by taking into consideration not only the cost of the items themselves but also the requirements for those items </w:t>
      </w:r>
      <w:r w:rsidR="000A7E32" w:rsidRPr="000A7E32">
        <w:t>(Ogden, 2018)</w:t>
      </w:r>
      <w:r w:rsidR="009A4FB6" w:rsidRPr="009A4FB6">
        <w:t>. Using this method, the cost of each item is computed based on newly collected information; historical data are not taken into consideration in any manner throughout the process of estimating.</w:t>
      </w:r>
    </w:p>
    <w:p w14:paraId="360FAEB7" w14:textId="77777777" w:rsidR="000D46BF" w:rsidRPr="00E871A5" w:rsidRDefault="000D46BF" w:rsidP="00E871A5">
      <w:pPr>
        <w:pStyle w:val="Heading2"/>
        <w:rPr>
          <w:rFonts w:ascii="Arial" w:hAnsi="Arial" w:cs="Arial"/>
        </w:rPr>
      </w:pPr>
      <w:bookmarkStart w:id="5" w:name="_Toc117698398"/>
      <w:r>
        <w:t xml:space="preserve">(c) </w:t>
      </w:r>
      <w:r w:rsidR="00E871A5" w:rsidRPr="00E871A5">
        <w:t>Outlining how budgeting control can support sustainability</w:t>
      </w:r>
      <w:bookmarkEnd w:id="5"/>
      <w:r w:rsidR="00E871A5" w:rsidRPr="00E871A5">
        <w:t xml:space="preserve"> </w:t>
      </w:r>
    </w:p>
    <w:p w14:paraId="12AE6C10" w14:textId="77777777" w:rsidR="001708F8" w:rsidRDefault="001708F8" w:rsidP="001708F8">
      <w:r>
        <w:t>The effectiveness of the organization's budget control can contribute to the sustainability of the organisation in a number of different ways, including the following:</w:t>
      </w:r>
    </w:p>
    <w:p w14:paraId="48746386" w14:textId="77777777" w:rsidR="001708F8" w:rsidRDefault="001708F8" w:rsidP="001708F8">
      <w:r>
        <w:t xml:space="preserve">The formulation of realistic goals and objectives in relation </w:t>
      </w:r>
      <w:r w:rsidR="00E871A5">
        <w:t>to</w:t>
      </w:r>
      <w:r>
        <w:t xml:space="preserve"> the protection of the environment.</w:t>
      </w:r>
    </w:p>
    <w:p w14:paraId="341AF0FC" w14:textId="77777777" w:rsidR="001708F8" w:rsidRDefault="001708F8" w:rsidP="001708F8">
      <w:r>
        <w:t xml:space="preserve">By making use of the resources that are currently available within the company, the management </w:t>
      </w:r>
      <w:r>
        <w:lastRenderedPageBreak/>
        <w:t xml:space="preserve">will be able to formulate both short-term and long-term goals for the company that are reachable, and they will be able to do it in a manner that is both reasonable and practical </w:t>
      </w:r>
      <w:r w:rsidR="000A7E32" w:rsidRPr="000A7E32">
        <w:t>(Vinogradova, 2021)</w:t>
      </w:r>
      <w:r>
        <w:t>. This will be performed by conducting an analysis of the variances between the planned and actual budgets and identifying the major areas that require upgrading in order to increase the value of the organisation in the market, which will ultimately result in a competitive advantage.</w:t>
      </w:r>
    </w:p>
    <w:p w14:paraId="089BBD35" w14:textId="77777777" w:rsidR="001708F8" w:rsidRDefault="001708F8" w:rsidP="001708F8">
      <w:r>
        <w:t>Another way that rigorous financial management can help encourage sustainable practi</w:t>
      </w:r>
      <w:r w:rsidR="00E871A5">
        <w:t>c</w:t>
      </w:r>
      <w:r>
        <w:t xml:space="preserve">es is by encouraging a reduction in waste. This can be done by providing incentives. When waste is reduced, an organisation will be required to establish and implement renewable waste reduction plans to ensure that the concept of waste reduction is upheld throughout all of the departments, which will result in cost savings </w:t>
      </w:r>
      <w:r w:rsidR="000A7E32" w:rsidRPr="000A7E32">
        <w:t>(</w:t>
      </w:r>
      <w:proofErr w:type="spellStart"/>
      <w:r w:rsidR="000A7E32" w:rsidRPr="000A7E32">
        <w:t>Yılmaz</w:t>
      </w:r>
      <w:proofErr w:type="spellEnd"/>
      <w:r w:rsidR="000A7E32" w:rsidRPr="000A7E32">
        <w:t>, 2018)</w:t>
      </w:r>
      <w:r>
        <w:t>. The organisation will be responsible for conceiving and carrying out the execution of these strategies. The organisation will benefit from the reduction in expenses, and the incorporation of renewable resources will assist the entity's value as well as its potential to continue functioning in the future. Together, these two factors will help the organisation continue its operations.</w:t>
      </w:r>
    </w:p>
    <w:p w14:paraId="59B63C92" w14:textId="77777777" w:rsidR="001708F8" w:rsidRDefault="001708F8" w:rsidP="001708F8">
      <w:r>
        <w:t xml:space="preserve">Putting an emphasis on long-term sustainability as a core principle. The three basic tactics for introducing sustainability into an existing company are assimilation, mobilisation, and transition, with </w:t>
      </w:r>
      <w:r w:rsidR="00E871A5">
        <w:t xml:space="preserve">the </w:t>
      </w:r>
      <w:r>
        <w:t xml:space="preserve">transition being the most effective strategy for achieving successful long-term integration </w:t>
      </w:r>
      <w:r w:rsidR="000A7E32" w:rsidRPr="000A7E32">
        <w:t>(Wilson, 2018)</w:t>
      </w:r>
      <w:r>
        <w:t>. If the organisation is able to keep its spending under control, it will be in a better position to incorporate environmentally responsible policies and procedures into its growth and development initiatives. This, in turn, will contribute to the organization's capacity to create value over the long term.</w:t>
      </w:r>
    </w:p>
    <w:p w14:paraId="3F3E8E39" w14:textId="77777777" w:rsidR="00000D2B" w:rsidRDefault="001708F8" w:rsidP="001708F8">
      <w:r>
        <w:t>Through the imposition of accountability and the promise of continuous improvement. Accountability and continuous progress toward betterment are two of the ways that sustainability can be increased. This is often accomplished by comparing the actual spending to the budgeted amount, identifying areas that may use some improvement, and holding the departments responsible for those areas</w:t>
      </w:r>
      <w:r w:rsidR="000A7E32">
        <w:t xml:space="preserve"> accountable for their actions </w:t>
      </w:r>
      <w:r w:rsidR="000A7E32" w:rsidRPr="000A7E32">
        <w:t>(Pandey, 2015)</w:t>
      </w:r>
      <w:r>
        <w:t>. When accountability and ongoing improvement practi</w:t>
      </w:r>
      <w:r w:rsidR="00E871A5">
        <w:t>c</w:t>
      </w:r>
      <w:r>
        <w:t>es are put into place in a company, it is possible for the company to improve its levels of productivity and efficiency, which will, in the end, lead to higher long-term value.</w:t>
      </w:r>
    </w:p>
    <w:p w14:paraId="5DE2EABC" w14:textId="77777777" w:rsidR="00000D2B" w:rsidRDefault="00000D2B" w:rsidP="00107BCB"/>
    <w:p w14:paraId="655419D1" w14:textId="77777777" w:rsidR="00CA524E" w:rsidRDefault="00CA524E" w:rsidP="00000D2B">
      <w:pPr>
        <w:pStyle w:val="Heading1"/>
      </w:pPr>
      <w:bookmarkStart w:id="6" w:name="_Toc117698399"/>
      <w:r>
        <w:lastRenderedPageBreak/>
        <w:t>Conclusion</w:t>
      </w:r>
      <w:bookmarkEnd w:id="6"/>
      <w:r>
        <w:t xml:space="preserve"> </w:t>
      </w:r>
    </w:p>
    <w:p w14:paraId="666F59DD" w14:textId="77777777" w:rsidR="00000D2B" w:rsidRDefault="001708F8">
      <w:r w:rsidRPr="001708F8">
        <w:t>The Grant Hotel's cash flow estimate indicates that the organisation will have a bright future in the next years. The company anticipates a positive net cash inflow over the course of the following 12 months. Creating a budget is an efficient method for determining what the Grant hotel will achieve in the future. Although the specifics of each form of budget vary from one another, the overarching goal of doing so stays the same. The creation of a realistic budget is going to be of great assistance in ensuring the continuity of the company.</w:t>
      </w:r>
    </w:p>
    <w:p w14:paraId="58D7658D" w14:textId="77777777" w:rsidR="00000D2B" w:rsidRDefault="00000D2B"/>
    <w:p w14:paraId="5A5FAC23" w14:textId="77777777" w:rsidR="00000D2B" w:rsidRDefault="00000D2B"/>
    <w:p w14:paraId="235B935B" w14:textId="77777777" w:rsidR="00000D2B" w:rsidRDefault="00000D2B"/>
    <w:p w14:paraId="0B30DF55" w14:textId="77777777" w:rsidR="00000D2B" w:rsidRDefault="00000D2B"/>
    <w:p w14:paraId="6CF4681D" w14:textId="77777777" w:rsidR="00000D2B" w:rsidRDefault="00000D2B"/>
    <w:p w14:paraId="774B0F20" w14:textId="77777777" w:rsidR="00000D2B" w:rsidRDefault="00000D2B"/>
    <w:p w14:paraId="159042BA" w14:textId="77777777" w:rsidR="00000D2B" w:rsidRDefault="00000D2B"/>
    <w:p w14:paraId="5A5C9609" w14:textId="77777777" w:rsidR="00000D2B" w:rsidRDefault="00000D2B"/>
    <w:p w14:paraId="2CF4C783" w14:textId="77777777" w:rsidR="00000D2B" w:rsidRDefault="00000D2B"/>
    <w:p w14:paraId="4596CA2D" w14:textId="77777777" w:rsidR="00000D2B" w:rsidRDefault="00000D2B"/>
    <w:p w14:paraId="44D6F52B" w14:textId="77777777" w:rsidR="00000D2B" w:rsidRDefault="00000D2B"/>
    <w:p w14:paraId="05883DC7" w14:textId="77777777" w:rsidR="00000D2B" w:rsidRDefault="00000D2B"/>
    <w:p w14:paraId="56B6B5E3" w14:textId="77777777" w:rsidR="00000D2B" w:rsidRDefault="00000D2B"/>
    <w:p w14:paraId="3A6CA0F4" w14:textId="77777777" w:rsidR="00000D2B" w:rsidRDefault="00000D2B"/>
    <w:p w14:paraId="74678229" w14:textId="77777777" w:rsidR="00000D2B" w:rsidRDefault="00000D2B"/>
    <w:p w14:paraId="41F950B6" w14:textId="77777777" w:rsidR="00000D2B" w:rsidRDefault="00000D2B"/>
    <w:p w14:paraId="149A2CAA" w14:textId="77777777" w:rsidR="00000D2B" w:rsidRDefault="00000D2B"/>
    <w:p w14:paraId="79B0215D" w14:textId="77777777" w:rsidR="00000D2B" w:rsidRDefault="00000D2B"/>
    <w:p w14:paraId="74FCE20C" w14:textId="77777777" w:rsidR="00000D2B" w:rsidRDefault="00000D2B"/>
    <w:p w14:paraId="2478CA8A" w14:textId="77777777" w:rsidR="00000D2B" w:rsidRDefault="00000D2B"/>
    <w:p w14:paraId="48FEE46D" w14:textId="77777777" w:rsidR="00000D2B" w:rsidRDefault="00000D2B"/>
    <w:p w14:paraId="758E10B2" w14:textId="77777777" w:rsidR="00000D2B" w:rsidRDefault="00000D2B"/>
    <w:p w14:paraId="66237A77" w14:textId="77777777" w:rsidR="00000D2B" w:rsidRDefault="00000D2B"/>
    <w:p w14:paraId="7A1E2688" w14:textId="77777777" w:rsidR="00000D2B" w:rsidRDefault="00000D2B"/>
    <w:p w14:paraId="71B9208C" w14:textId="77777777" w:rsidR="00107BCB" w:rsidRDefault="00107BCB" w:rsidP="00000D2B">
      <w:pPr>
        <w:pStyle w:val="Heading1"/>
      </w:pPr>
      <w:bookmarkStart w:id="7" w:name="_Toc117698400"/>
      <w:r>
        <w:lastRenderedPageBreak/>
        <w:t>Reference</w:t>
      </w:r>
      <w:r w:rsidR="00000D2B">
        <w:t>s</w:t>
      </w:r>
      <w:bookmarkEnd w:id="7"/>
    </w:p>
    <w:p w14:paraId="66227F7C"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Abel </w:t>
      </w:r>
      <w:proofErr w:type="spellStart"/>
      <w:r w:rsidRPr="000A7E32">
        <w:rPr>
          <w:szCs w:val="24"/>
          <w:lang w:eastAsia="en-GB"/>
        </w:rPr>
        <w:t>Molocwa</w:t>
      </w:r>
      <w:proofErr w:type="spellEnd"/>
      <w:r w:rsidRPr="000A7E32">
        <w:rPr>
          <w:szCs w:val="24"/>
          <w:lang w:eastAsia="en-GB"/>
        </w:rPr>
        <w:t xml:space="preserve">, G., </w:t>
      </w:r>
      <w:proofErr w:type="spellStart"/>
      <w:r w:rsidRPr="000A7E32">
        <w:rPr>
          <w:szCs w:val="24"/>
          <w:lang w:eastAsia="en-GB"/>
        </w:rPr>
        <w:t>Khamfula</w:t>
      </w:r>
      <w:proofErr w:type="spellEnd"/>
      <w:r w:rsidRPr="000A7E32">
        <w:rPr>
          <w:szCs w:val="24"/>
          <w:lang w:eastAsia="en-GB"/>
        </w:rPr>
        <w:t xml:space="preserve">, Y. and </w:t>
      </w:r>
      <w:proofErr w:type="spellStart"/>
      <w:r w:rsidRPr="000A7E32">
        <w:rPr>
          <w:szCs w:val="24"/>
          <w:lang w:eastAsia="en-GB"/>
        </w:rPr>
        <w:t>Cheteni</w:t>
      </w:r>
      <w:proofErr w:type="spellEnd"/>
      <w:r w:rsidRPr="000A7E32">
        <w:rPr>
          <w:szCs w:val="24"/>
          <w:lang w:eastAsia="en-GB"/>
        </w:rPr>
        <w:t xml:space="preserve">, P. (2018). Budget deficits, investment and economic growth: a panel cointegration approach. </w:t>
      </w:r>
      <w:r w:rsidRPr="000A7E32">
        <w:rPr>
          <w:i/>
          <w:iCs/>
          <w:szCs w:val="24"/>
          <w:lang w:eastAsia="en-GB"/>
        </w:rPr>
        <w:t>Investment Management and Financial Innovations</w:t>
      </w:r>
      <w:r w:rsidRPr="000A7E32">
        <w:rPr>
          <w:szCs w:val="24"/>
          <w:lang w:eastAsia="en-GB"/>
        </w:rPr>
        <w:t>, 15(3), pp.182–189. doi:10.21511/imfi.15(3).2018.15.</w:t>
      </w:r>
    </w:p>
    <w:p w14:paraId="5481B626"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Barr, M.J. and </w:t>
      </w:r>
      <w:proofErr w:type="spellStart"/>
      <w:r w:rsidRPr="000A7E32">
        <w:rPr>
          <w:szCs w:val="24"/>
          <w:lang w:eastAsia="en-GB"/>
        </w:rPr>
        <w:t>Mcclellan</w:t>
      </w:r>
      <w:proofErr w:type="spellEnd"/>
      <w:r w:rsidRPr="000A7E32">
        <w:rPr>
          <w:szCs w:val="24"/>
          <w:lang w:eastAsia="en-GB"/>
        </w:rPr>
        <w:t xml:space="preserve">, G.S. (2018). </w:t>
      </w:r>
      <w:r w:rsidRPr="000A7E32">
        <w:rPr>
          <w:i/>
          <w:iCs/>
          <w:szCs w:val="24"/>
          <w:lang w:eastAsia="en-GB"/>
        </w:rPr>
        <w:t>Budgets and financial management in higher education</w:t>
      </w:r>
      <w:r w:rsidRPr="000A7E32">
        <w:rPr>
          <w:szCs w:val="24"/>
          <w:lang w:eastAsia="en-GB"/>
        </w:rPr>
        <w:t>. San Francisco, Ca: Jossey-Bass, A Wiley Brand.</w:t>
      </w:r>
    </w:p>
    <w:p w14:paraId="0F35C48C"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Belousov, Y.V. and Timofeeva, O.I. (2021). Methodological Aspects of Compiling Open Budget Rankings. </w:t>
      </w:r>
      <w:r w:rsidRPr="000A7E32">
        <w:rPr>
          <w:i/>
          <w:iCs/>
          <w:szCs w:val="24"/>
          <w:lang w:eastAsia="en-GB"/>
        </w:rPr>
        <w:t>Financial Journal</w:t>
      </w:r>
      <w:r w:rsidRPr="000A7E32">
        <w:rPr>
          <w:szCs w:val="24"/>
          <w:lang w:eastAsia="en-GB"/>
        </w:rPr>
        <w:t>, 13(4), pp.122–138. doi:10.31107/2075-1990-2021-4-122-138.</w:t>
      </w:r>
    </w:p>
    <w:p w14:paraId="1CC1E230"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Bragg, S. (2018). </w:t>
      </w:r>
      <w:proofErr w:type="spellStart"/>
      <w:r w:rsidRPr="000A7E32">
        <w:rPr>
          <w:i/>
          <w:iCs/>
          <w:szCs w:val="24"/>
          <w:lang w:eastAsia="en-GB"/>
        </w:rPr>
        <w:t>AccountingTools</w:t>
      </w:r>
      <w:proofErr w:type="spellEnd"/>
      <w:r w:rsidRPr="000A7E32">
        <w:rPr>
          <w:szCs w:val="24"/>
          <w:lang w:eastAsia="en-GB"/>
        </w:rPr>
        <w:t xml:space="preserve">. [online] </w:t>
      </w:r>
      <w:proofErr w:type="spellStart"/>
      <w:r w:rsidRPr="000A7E32">
        <w:rPr>
          <w:szCs w:val="24"/>
          <w:lang w:eastAsia="en-GB"/>
        </w:rPr>
        <w:t>AccountingTools</w:t>
      </w:r>
      <w:proofErr w:type="spellEnd"/>
      <w:r w:rsidRPr="000A7E32">
        <w:rPr>
          <w:szCs w:val="24"/>
          <w:lang w:eastAsia="en-GB"/>
        </w:rPr>
        <w:t>. Available at: https://www.accountingtools.com/articles/activity-based-budgeting.html.</w:t>
      </w:r>
    </w:p>
    <w:p w14:paraId="550F0F2C"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Britain, G. (2013). </w:t>
      </w:r>
      <w:r w:rsidRPr="000A7E32">
        <w:rPr>
          <w:i/>
          <w:iCs/>
          <w:szCs w:val="24"/>
          <w:lang w:eastAsia="en-GB"/>
        </w:rPr>
        <w:t>Financial management.</w:t>
      </w:r>
      <w:r w:rsidRPr="000A7E32">
        <w:rPr>
          <w:szCs w:val="24"/>
          <w:lang w:eastAsia="en-GB"/>
        </w:rPr>
        <w:t xml:space="preserve"> London: </w:t>
      </w:r>
      <w:proofErr w:type="spellStart"/>
      <w:r w:rsidRPr="000A7E32">
        <w:rPr>
          <w:szCs w:val="24"/>
          <w:lang w:eastAsia="en-GB"/>
        </w:rPr>
        <w:t>Bpp</w:t>
      </w:r>
      <w:proofErr w:type="spellEnd"/>
      <w:r w:rsidRPr="000A7E32">
        <w:rPr>
          <w:szCs w:val="24"/>
          <w:lang w:eastAsia="en-GB"/>
        </w:rPr>
        <w:t xml:space="preserve"> Learning Media Ltd.</w:t>
      </w:r>
    </w:p>
    <w:p w14:paraId="3DC5EC9E"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Correia, C., Flynn, D., </w:t>
      </w:r>
      <w:proofErr w:type="spellStart"/>
      <w:r w:rsidRPr="000A7E32">
        <w:rPr>
          <w:szCs w:val="24"/>
          <w:lang w:eastAsia="en-GB"/>
        </w:rPr>
        <w:t>Uliana</w:t>
      </w:r>
      <w:proofErr w:type="spellEnd"/>
      <w:r w:rsidRPr="000A7E32">
        <w:rPr>
          <w:szCs w:val="24"/>
          <w:lang w:eastAsia="en-GB"/>
        </w:rPr>
        <w:t xml:space="preserve">, E., Wormald, M. and Dillon, J. (2015). </w:t>
      </w:r>
      <w:r w:rsidRPr="000A7E32">
        <w:rPr>
          <w:i/>
          <w:iCs/>
          <w:szCs w:val="24"/>
          <w:lang w:eastAsia="en-GB"/>
        </w:rPr>
        <w:t>Financial management</w:t>
      </w:r>
      <w:r w:rsidRPr="000A7E32">
        <w:rPr>
          <w:szCs w:val="24"/>
          <w:lang w:eastAsia="en-GB"/>
        </w:rPr>
        <w:t>. Lansdowne: Juta.</w:t>
      </w:r>
    </w:p>
    <w:p w14:paraId="6D1336DF"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David, M. (2022). </w:t>
      </w:r>
      <w:r w:rsidRPr="000A7E32">
        <w:rPr>
          <w:i/>
          <w:iCs/>
          <w:szCs w:val="24"/>
          <w:lang w:eastAsia="en-GB"/>
        </w:rPr>
        <w:t>What is Activity-Based Budgeting (ABB)</w:t>
      </w:r>
      <w:r w:rsidRPr="000A7E32">
        <w:rPr>
          <w:szCs w:val="24"/>
          <w:lang w:eastAsia="en-GB"/>
        </w:rPr>
        <w:t xml:space="preserve">. [online] </w:t>
      </w:r>
      <w:proofErr w:type="spellStart"/>
      <w:r w:rsidRPr="000A7E32">
        <w:rPr>
          <w:szCs w:val="24"/>
          <w:lang w:eastAsia="en-GB"/>
        </w:rPr>
        <w:t>Datarails</w:t>
      </w:r>
      <w:proofErr w:type="spellEnd"/>
      <w:r w:rsidRPr="000A7E32">
        <w:rPr>
          <w:szCs w:val="24"/>
          <w:lang w:eastAsia="en-GB"/>
        </w:rPr>
        <w:t>. Available at: https://www.datarails.com/finance-glossary/activity-based-budgeting/.</w:t>
      </w:r>
    </w:p>
    <w:p w14:paraId="152D022C"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Di Francesco, M. and Alford, J. (2016). Budget Rules and Flexibility in the Public Sector: Towards a Taxonomy. </w:t>
      </w:r>
      <w:r w:rsidRPr="000A7E32">
        <w:rPr>
          <w:i/>
          <w:iCs/>
          <w:szCs w:val="24"/>
          <w:lang w:eastAsia="en-GB"/>
        </w:rPr>
        <w:t>Financial Accountability &amp; Management</w:t>
      </w:r>
      <w:r w:rsidRPr="000A7E32">
        <w:rPr>
          <w:szCs w:val="24"/>
          <w:lang w:eastAsia="en-GB"/>
        </w:rPr>
        <w:t>, 32(2), pp.232–256. doi:10.1111/faam.12087.</w:t>
      </w:r>
    </w:p>
    <w:p w14:paraId="7AB920E1"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Divvy, P. (2022). </w:t>
      </w:r>
      <w:r w:rsidRPr="000A7E32">
        <w:rPr>
          <w:i/>
          <w:iCs/>
          <w:szCs w:val="24"/>
          <w:lang w:eastAsia="en-GB"/>
        </w:rPr>
        <w:t>Value Proposition Budgeting</w:t>
      </w:r>
      <w:r w:rsidRPr="000A7E32">
        <w:rPr>
          <w:szCs w:val="24"/>
          <w:lang w:eastAsia="en-GB"/>
        </w:rPr>
        <w:t>. [online] Divvy. Available at: https://getdivvy.com/learn/value-proposition-budgeting/.</w:t>
      </w:r>
    </w:p>
    <w:p w14:paraId="2B2F6235"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Ho, A.T.-K. (2018). From Performance Budgeting to Performance Budget Management: Theory and Practice. </w:t>
      </w:r>
      <w:r w:rsidRPr="000A7E32">
        <w:rPr>
          <w:i/>
          <w:iCs/>
          <w:szCs w:val="24"/>
          <w:lang w:eastAsia="en-GB"/>
        </w:rPr>
        <w:t>Public Administration Review</w:t>
      </w:r>
      <w:r w:rsidRPr="000A7E32">
        <w:rPr>
          <w:szCs w:val="24"/>
          <w:lang w:eastAsia="en-GB"/>
        </w:rPr>
        <w:t>, 78(5), pp.748–758. doi:10.1111/puar.12915.</w:t>
      </w:r>
    </w:p>
    <w:p w14:paraId="53D75881" w14:textId="77777777" w:rsidR="000A7E32" w:rsidRPr="000A7E32" w:rsidRDefault="000A7E32" w:rsidP="000A7E32">
      <w:pPr>
        <w:widowControl/>
        <w:autoSpaceDE/>
        <w:autoSpaceDN/>
        <w:spacing w:after="240"/>
        <w:rPr>
          <w:szCs w:val="24"/>
          <w:lang w:eastAsia="en-GB"/>
        </w:rPr>
      </w:pPr>
      <w:proofErr w:type="spellStart"/>
      <w:r w:rsidRPr="000A7E32">
        <w:rPr>
          <w:szCs w:val="24"/>
          <w:lang w:eastAsia="en-GB"/>
        </w:rPr>
        <w:t>Kazar</w:t>
      </w:r>
      <w:proofErr w:type="spellEnd"/>
      <w:r w:rsidRPr="000A7E32">
        <w:rPr>
          <w:szCs w:val="24"/>
          <w:lang w:eastAsia="en-GB"/>
        </w:rPr>
        <w:t xml:space="preserve">, G., </w:t>
      </w:r>
      <w:proofErr w:type="spellStart"/>
      <w:r w:rsidRPr="000A7E32">
        <w:rPr>
          <w:szCs w:val="24"/>
          <w:lang w:eastAsia="en-GB"/>
        </w:rPr>
        <w:t>Mutlu</w:t>
      </w:r>
      <w:proofErr w:type="spellEnd"/>
      <w:r w:rsidRPr="000A7E32">
        <w:rPr>
          <w:szCs w:val="24"/>
          <w:lang w:eastAsia="en-GB"/>
        </w:rPr>
        <w:t xml:space="preserve">, U. and </w:t>
      </w:r>
      <w:proofErr w:type="spellStart"/>
      <w:r w:rsidRPr="000A7E32">
        <w:rPr>
          <w:szCs w:val="24"/>
          <w:lang w:eastAsia="en-GB"/>
        </w:rPr>
        <w:t>Tokdemir</w:t>
      </w:r>
      <w:proofErr w:type="spellEnd"/>
      <w:r w:rsidRPr="000A7E32">
        <w:rPr>
          <w:szCs w:val="24"/>
          <w:lang w:eastAsia="en-GB"/>
        </w:rPr>
        <w:t xml:space="preserve">, O.B. (2022). Development of zero-based budgeting approach for multinational construction contractors. </w:t>
      </w:r>
      <w:r w:rsidRPr="000A7E32">
        <w:rPr>
          <w:i/>
          <w:iCs/>
          <w:szCs w:val="24"/>
          <w:lang w:eastAsia="en-GB"/>
        </w:rPr>
        <w:t>Engineering, Construction and Architectural Management</w:t>
      </w:r>
      <w:r w:rsidRPr="000A7E32">
        <w:rPr>
          <w:szCs w:val="24"/>
          <w:lang w:eastAsia="en-GB"/>
        </w:rPr>
        <w:t>. doi:10.1108/ecam-05-2022-0408.</w:t>
      </w:r>
    </w:p>
    <w:p w14:paraId="076B311F" w14:textId="77777777" w:rsidR="000A7E32" w:rsidRPr="000A7E32" w:rsidRDefault="000A7E32" w:rsidP="000A7E32">
      <w:pPr>
        <w:widowControl/>
        <w:autoSpaceDE/>
        <w:autoSpaceDN/>
        <w:spacing w:after="240"/>
        <w:rPr>
          <w:szCs w:val="24"/>
          <w:lang w:eastAsia="en-GB"/>
        </w:rPr>
      </w:pPr>
      <w:proofErr w:type="spellStart"/>
      <w:r w:rsidRPr="000A7E32">
        <w:rPr>
          <w:szCs w:val="24"/>
          <w:lang w:eastAsia="en-GB"/>
        </w:rPr>
        <w:lastRenderedPageBreak/>
        <w:t>Kravets</w:t>
      </w:r>
      <w:proofErr w:type="spellEnd"/>
      <w:r w:rsidRPr="000A7E32">
        <w:rPr>
          <w:szCs w:val="24"/>
          <w:lang w:eastAsia="en-GB"/>
        </w:rPr>
        <w:t xml:space="preserve">, V. (2019). FORMATION OF BUDGET EXPENDITURES AS A TOOL OF FINANCIAL POLICY. </w:t>
      </w:r>
      <w:proofErr w:type="spellStart"/>
      <w:r w:rsidRPr="000A7E32">
        <w:rPr>
          <w:i/>
          <w:iCs/>
          <w:szCs w:val="24"/>
          <w:lang w:eastAsia="en-GB"/>
        </w:rPr>
        <w:t>Agrosvit</w:t>
      </w:r>
      <w:proofErr w:type="spellEnd"/>
      <w:r w:rsidRPr="000A7E32">
        <w:rPr>
          <w:szCs w:val="24"/>
          <w:lang w:eastAsia="en-GB"/>
        </w:rPr>
        <w:t>, (4), p.75. doi:10.32702/2306-6792.2019.4.75.</w:t>
      </w:r>
    </w:p>
    <w:p w14:paraId="36482716"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Madura, J. and Hoque, A. (2018). </w:t>
      </w:r>
      <w:r w:rsidRPr="000A7E32">
        <w:rPr>
          <w:i/>
          <w:iCs/>
          <w:szCs w:val="24"/>
          <w:lang w:eastAsia="en-GB"/>
        </w:rPr>
        <w:t>International financial management</w:t>
      </w:r>
      <w:r w:rsidRPr="000A7E32">
        <w:rPr>
          <w:szCs w:val="24"/>
          <w:lang w:eastAsia="en-GB"/>
        </w:rPr>
        <w:t>. South Melbourne, Australia: Cengage Learning Australia.</w:t>
      </w:r>
    </w:p>
    <w:p w14:paraId="09105302" w14:textId="77777777" w:rsidR="000A7E32" w:rsidRPr="000A7E32" w:rsidRDefault="000A7E32" w:rsidP="000A7E32">
      <w:pPr>
        <w:widowControl/>
        <w:autoSpaceDE/>
        <w:autoSpaceDN/>
        <w:spacing w:after="240"/>
        <w:rPr>
          <w:szCs w:val="24"/>
          <w:lang w:eastAsia="en-GB"/>
        </w:rPr>
      </w:pPr>
      <w:proofErr w:type="spellStart"/>
      <w:r w:rsidRPr="000A7E32">
        <w:rPr>
          <w:szCs w:val="24"/>
          <w:lang w:eastAsia="en-GB"/>
        </w:rPr>
        <w:t>Menifield</w:t>
      </w:r>
      <w:proofErr w:type="spellEnd"/>
      <w:r w:rsidRPr="000A7E32">
        <w:rPr>
          <w:szCs w:val="24"/>
          <w:lang w:eastAsia="en-GB"/>
        </w:rPr>
        <w:t xml:space="preserve">, C.E. (2021). </w:t>
      </w:r>
      <w:r w:rsidRPr="000A7E32">
        <w:rPr>
          <w:i/>
          <w:iCs/>
          <w:szCs w:val="24"/>
          <w:lang w:eastAsia="en-GB"/>
        </w:rPr>
        <w:t xml:space="preserve">BASICS OF PUBLIC BUDGETING FINANCIAL </w:t>
      </w:r>
      <w:proofErr w:type="gramStart"/>
      <w:r w:rsidRPr="000A7E32">
        <w:rPr>
          <w:i/>
          <w:iCs/>
          <w:szCs w:val="24"/>
          <w:lang w:eastAsia="en-GB"/>
        </w:rPr>
        <w:t>MANAGEMENT :</w:t>
      </w:r>
      <w:proofErr w:type="gramEnd"/>
      <w:r w:rsidRPr="000A7E32">
        <w:rPr>
          <w:i/>
          <w:iCs/>
          <w:szCs w:val="24"/>
          <w:lang w:eastAsia="en-GB"/>
        </w:rPr>
        <w:t xml:space="preserve"> a handbook for academics and practitioners.</w:t>
      </w:r>
      <w:r w:rsidRPr="000A7E32">
        <w:rPr>
          <w:szCs w:val="24"/>
          <w:lang w:eastAsia="en-GB"/>
        </w:rPr>
        <w:t xml:space="preserve"> S.L.: Hamilton Books.</w:t>
      </w:r>
    </w:p>
    <w:p w14:paraId="524D294D"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Ogden, D.M. (2018). Beyond Zero Based Budgeting. </w:t>
      </w:r>
      <w:r w:rsidRPr="000A7E32">
        <w:rPr>
          <w:i/>
          <w:iCs/>
          <w:szCs w:val="24"/>
          <w:lang w:eastAsia="en-GB"/>
        </w:rPr>
        <w:t>Public Administration Review</w:t>
      </w:r>
      <w:r w:rsidRPr="000A7E32">
        <w:rPr>
          <w:szCs w:val="24"/>
          <w:lang w:eastAsia="en-GB"/>
        </w:rPr>
        <w:t>, 38(6), p.528. doi:10.2307/976033.</w:t>
      </w:r>
    </w:p>
    <w:p w14:paraId="753643F0"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Pandey, I.M. (2015). </w:t>
      </w:r>
      <w:r w:rsidRPr="000A7E32">
        <w:rPr>
          <w:i/>
          <w:iCs/>
          <w:szCs w:val="24"/>
          <w:lang w:eastAsia="en-GB"/>
        </w:rPr>
        <w:t>Financial management</w:t>
      </w:r>
      <w:r w:rsidRPr="000A7E32">
        <w:rPr>
          <w:szCs w:val="24"/>
          <w:lang w:eastAsia="en-GB"/>
        </w:rPr>
        <w:t>. New Delhi: Vikas Publishing House Pvt Ltd.</w:t>
      </w:r>
    </w:p>
    <w:p w14:paraId="3DD94DA4"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Patty, J.R. (2019). BUDGET FORECAST ERRORS AND BUDGET DEVIATION: FINANCIAL CAPABILITY INDEX AS MODERATING VARIABLE. </w:t>
      </w:r>
      <w:proofErr w:type="spellStart"/>
      <w:r w:rsidRPr="000A7E32">
        <w:rPr>
          <w:i/>
          <w:iCs/>
          <w:szCs w:val="24"/>
          <w:lang w:eastAsia="en-GB"/>
        </w:rPr>
        <w:t>Jurnal</w:t>
      </w:r>
      <w:proofErr w:type="spellEnd"/>
      <w:r w:rsidRPr="000A7E32">
        <w:rPr>
          <w:i/>
          <w:iCs/>
          <w:szCs w:val="24"/>
          <w:lang w:eastAsia="en-GB"/>
        </w:rPr>
        <w:t xml:space="preserve"> Tata Kelola &amp; </w:t>
      </w:r>
      <w:proofErr w:type="spellStart"/>
      <w:r w:rsidRPr="000A7E32">
        <w:rPr>
          <w:i/>
          <w:iCs/>
          <w:szCs w:val="24"/>
          <w:lang w:eastAsia="en-GB"/>
        </w:rPr>
        <w:t>Akuntabilitas</w:t>
      </w:r>
      <w:proofErr w:type="spellEnd"/>
      <w:r w:rsidRPr="000A7E32">
        <w:rPr>
          <w:i/>
          <w:iCs/>
          <w:szCs w:val="24"/>
          <w:lang w:eastAsia="en-GB"/>
        </w:rPr>
        <w:t xml:space="preserve"> </w:t>
      </w:r>
      <w:proofErr w:type="spellStart"/>
      <w:r w:rsidRPr="000A7E32">
        <w:rPr>
          <w:i/>
          <w:iCs/>
          <w:szCs w:val="24"/>
          <w:lang w:eastAsia="en-GB"/>
        </w:rPr>
        <w:t>Keuangan</w:t>
      </w:r>
      <w:proofErr w:type="spellEnd"/>
      <w:r w:rsidRPr="000A7E32">
        <w:rPr>
          <w:i/>
          <w:iCs/>
          <w:szCs w:val="24"/>
          <w:lang w:eastAsia="en-GB"/>
        </w:rPr>
        <w:t xml:space="preserve"> Negara</w:t>
      </w:r>
      <w:r w:rsidRPr="000A7E32">
        <w:rPr>
          <w:szCs w:val="24"/>
          <w:lang w:eastAsia="en-GB"/>
        </w:rPr>
        <w:t>, 5(2), p.157. doi:10.28986/jtaken.v5i2.353.</w:t>
      </w:r>
    </w:p>
    <w:p w14:paraId="5484655E"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Vinogradova, T.I. (2021). Participatory Budgeting as a Tool Contributing to the Achievement of the Sustainable Development Goals. </w:t>
      </w:r>
      <w:r w:rsidRPr="000A7E32">
        <w:rPr>
          <w:i/>
          <w:iCs/>
          <w:szCs w:val="24"/>
          <w:lang w:eastAsia="en-GB"/>
        </w:rPr>
        <w:t>Financial Journal</w:t>
      </w:r>
      <w:r w:rsidRPr="000A7E32">
        <w:rPr>
          <w:szCs w:val="24"/>
          <w:lang w:eastAsia="en-GB"/>
        </w:rPr>
        <w:t>, 13(2), pp.46–60. doi:10.31107/2075-1990-2021-2-46-60.</w:t>
      </w:r>
    </w:p>
    <w:p w14:paraId="7631AA5A" w14:textId="77777777" w:rsidR="000A7E32" w:rsidRPr="000A7E32" w:rsidRDefault="000A7E32" w:rsidP="000A7E32">
      <w:pPr>
        <w:widowControl/>
        <w:autoSpaceDE/>
        <w:autoSpaceDN/>
        <w:spacing w:after="240"/>
        <w:rPr>
          <w:szCs w:val="24"/>
          <w:lang w:eastAsia="en-GB"/>
        </w:rPr>
      </w:pPr>
      <w:r w:rsidRPr="000A7E32">
        <w:rPr>
          <w:szCs w:val="24"/>
          <w:lang w:eastAsia="en-GB"/>
        </w:rPr>
        <w:t xml:space="preserve">Wilson, C. (2018). </w:t>
      </w:r>
      <w:r w:rsidRPr="000A7E32">
        <w:rPr>
          <w:i/>
          <w:iCs/>
          <w:szCs w:val="24"/>
          <w:lang w:eastAsia="en-GB"/>
        </w:rPr>
        <w:t>Financial management</w:t>
      </w:r>
      <w:r w:rsidRPr="000A7E32">
        <w:rPr>
          <w:szCs w:val="24"/>
          <w:lang w:eastAsia="en-GB"/>
        </w:rPr>
        <w:t>. South Melbourne, Victoria: Cengage Learning Australia.</w:t>
      </w:r>
    </w:p>
    <w:p w14:paraId="6A612B6A" w14:textId="77777777" w:rsidR="000A7E32" w:rsidRPr="000A7E32" w:rsidRDefault="000A7E32" w:rsidP="000A7E32">
      <w:pPr>
        <w:widowControl/>
        <w:autoSpaceDE/>
        <w:autoSpaceDN/>
        <w:spacing w:after="240"/>
        <w:rPr>
          <w:szCs w:val="24"/>
          <w:lang w:eastAsia="en-GB"/>
        </w:rPr>
      </w:pPr>
      <w:proofErr w:type="spellStart"/>
      <w:r w:rsidRPr="000A7E32">
        <w:rPr>
          <w:szCs w:val="24"/>
          <w:lang w:eastAsia="en-GB"/>
        </w:rPr>
        <w:t>Yılmaz</w:t>
      </w:r>
      <w:proofErr w:type="spellEnd"/>
      <w:r w:rsidRPr="000A7E32">
        <w:rPr>
          <w:szCs w:val="24"/>
          <w:lang w:eastAsia="en-GB"/>
        </w:rPr>
        <w:t xml:space="preserve">, F. (2018). </w:t>
      </w:r>
      <w:r w:rsidRPr="000A7E32">
        <w:rPr>
          <w:i/>
          <w:iCs/>
          <w:szCs w:val="24"/>
          <w:lang w:eastAsia="en-GB"/>
        </w:rPr>
        <w:t>Budgeting as a Tool for Sustainable Development</w:t>
      </w:r>
      <w:r w:rsidRPr="000A7E32">
        <w:rPr>
          <w:szCs w:val="24"/>
          <w:lang w:eastAsia="en-GB"/>
        </w:rPr>
        <w:t>. [online] Handbook of Research on Supply Chain Management for Sustainable Development. Available at: https://www.igi-global.com/chapter/budgeting-as-a-tool-for-sustainable-development/203958 [Accessed 12 Oct. 2022].</w:t>
      </w:r>
    </w:p>
    <w:p w14:paraId="2CCB70ED" w14:textId="77777777" w:rsidR="00000D2B" w:rsidRDefault="00000D2B" w:rsidP="000A7E32"/>
    <w:p w14:paraId="13B811C3" w14:textId="77777777" w:rsidR="00000D2B" w:rsidRDefault="00000D2B"/>
    <w:p w14:paraId="178E1B44" w14:textId="77777777" w:rsidR="00000D2B" w:rsidRDefault="00000D2B"/>
    <w:p w14:paraId="41B8C6BC" w14:textId="77777777" w:rsidR="00E0301C" w:rsidRDefault="00E0301C" w:rsidP="00000D2B">
      <w:pPr>
        <w:pStyle w:val="Heading1"/>
      </w:pPr>
      <w:bookmarkStart w:id="8" w:name="_Toc117698401"/>
      <w:r>
        <w:lastRenderedPageBreak/>
        <w:t>Appendix</w:t>
      </w:r>
      <w:bookmarkEnd w:id="8"/>
    </w:p>
    <w:p w14:paraId="68ACFBA0" w14:textId="77777777" w:rsidR="00E0301C" w:rsidRDefault="00E0301C" w:rsidP="00000D2B">
      <w:pPr>
        <w:pStyle w:val="Heading2"/>
      </w:pPr>
      <w:bookmarkStart w:id="9" w:name="_Toc117698402"/>
      <w:r>
        <w:t>Worksheet</w:t>
      </w:r>
      <w:bookmarkEnd w:id="9"/>
      <w:r>
        <w:t xml:space="preserve"> </w:t>
      </w:r>
    </w:p>
    <w:p w14:paraId="4F3E2774" w14:textId="77777777" w:rsidR="00E0301C" w:rsidRDefault="000A7E32" w:rsidP="00140181">
      <w:pPr>
        <w:jc w:val="center"/>
      </w:pPr>
      <w:r>
        <w:rPr>
          <w:noProof/>
          <w:lang w:eastAsia="en-GB"/>
        </w:rPr>
        <w:drawing>
          <wp:inline distT="0" distB="0" distL="0" distR="0" wp14:anchorId="2075D52D" wp14:editId="637FD00D">
            <wp:extent cx="6067425" cy="7029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81" t="11396" r="46955" b="8832"/>
                    <a:stretch/>
                  </pic:blipFill>
                  <pic:spPr bwMode="auto">
                    <a:xfrm>
                      <a:off x="0" y="0"/>
                      <a:ext cx="6067425" cy="7029450"/>
                    </a:xfrm>
                    <a:prstGeom prst="rect">
                      <a:avLst/>
                    </a:prstGeom>
                    <a:ln>
                      <a:noFill/>
                    </a:ln>
                    <a:extLst>
                      <a:ext uri="{53640926-AAD7-44D8-BBD7-CCE9431645EC}">
                        <a14:shadowObscured xmlns:a14="http://schemas.microsoft.com/office/drawing/2010/main"/>
                      </a:ext>
                    </a:extLst>
                  </pic:spPr>
                </pic:pic>
              </a:graphicData>
            </a:graphic>
          </wp:inline>
        </w:drawing>
      </w:r>
    </w:p>
    <w:sectPr w:rsidR="00E0301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7DE48" w14:textId="77777777" w:rsidR="003F0E36" w:rsidRDefault="003F0E36" w:rsidP="00000D2B">
      <w:pPr>
        <w:spacing w:line="240" w:lineRule="auto"/>
      </w:pPr>
      <w:r>
        <w:separator/>
      </w:r>
    </w:p>
  </w:endnote>
  <w:endnote w:type="continuationSeparator" w:id="0">
    <w:p w14:paraId="544B9394" w14:textId="77777777" w:rsidR="003F0E36" w:rsidRDefault="003F0E36" w:rsidP="00000D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197907"/>
      <w:docPartObj>
        <w:docPartGallery w:val="Page Numbers (Bottom of Page)"/>
        <w:docPartUnique/>
      </w:docPartObj>
    </w:sdtPr>
    <w:sdtEndPr>
      <w:rPr>
        <w:noProof/>
      </w:rPr>
    </w:sdtEndPr>
    <w:sdtContent>
      <w:p w14:paraId="2242001D" w14:textId="77777777" w:rsidR="00000D2B" w:rsidRDefault="00000D2B">
        <w:pPr>
          <w:pStyle w:val="Footer"/>
          <w:jc w:val="center"/>
        </w:pPr>
        <w:r>
          <w:fldChar w:fldCharType="begin"/>
        </w:r>
        <w:r>
          <w:instrText xml:space="preserve"> PAGE   \* MERGEFORMAT </w:instrText>
        </w:r>
        <w:r>
          <w:fldChar w:fldCharType="separate"/>
        </w:r>
        <w:r w:rsidR="008B302D">
          <w:rPr>
            <w:noProof/>
          </w:rPr>
          <w:t>3</w:t>
        </w:r>
        <w:r>
          <w:rPr>
            <w:noProof/>
          </w:rPr>
          <w:fldChar w:fldCharType="end"/>
        </w:r>
      </w:p>
    </w:sdtContent>
  </w:sdt>
  <w:p w14:paraId="590B2F27" w14:textId="77777777" w:rsidR="00000D2B" w:rsidRDefault="00000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07C07" w14:textId="77777777" w:rsidR="003F0E36" w:rsidRDefault="003F0E36" w:rsidP="00000D2B">
      <w:pPr>
        <w:spacing w:line="240" w:lineRule="auto"/>
      </w:pPr>
      <w:r>
        <w:separator/>
      </w:r>
    </w:p>
  </w:footnote>
  <w:footnote w:type="continuationSeparator" w:id="0">
    <w:p w14:paraId="5F349E23" w14:textId="77777777" w:rsidR="003F0E36" w:rsidRDefault="003F0E36" w:rsidP="00000D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A5F9E"/>
    <w:multiLevelType w:val="hybridMultilevel"/>
    <w:tmpl w:val="7D27C97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04086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yNTA1MDc1N7A0tzBT0lEKTi0uzszPAykwqQUA63WEtCwAAAA="/>
  </w:docVars>
  <w:rsids>
    <w:rsidRoot w:val="00D31D66"/>
    <w:rsid w:val="00000D2B"/>
    <w:rsid w:val="00071CE5"/>
    <w:rsid w:val="000A7E32"/>
    <w:rsid w:val="000C24E7"/>
    <w:rsid w:val="000D46BF"/>
    <w:rsid w:val="00107BCB"/>
    <w:rsid w:val="00140181"/>
    <w:rsid w:val="001708F8"/>
    <w:rsid w:val="002A5FF1"/>
    <w:rsid w:val="003F01A0"/>
    <w:rsid w:val="003F0E36"/>
    <w:rsid w:val="00463F06"/>
    <w:rsid w:val="0050177B"/>
    <w:rsid w:val="005431D1"/>
    <w:rsid w:val="0070500A"/>
    <w:rsid w:val="00732C4E"/>
    <w:rsid w:val="008B302D"/>
    <w:rsid w:val="008B3542"/>
    <w:rsid w:val="0098053B"/>
    <w:rsid w:val="009A1AFB"/>
    <w:rsid w:val="009A4FB6"/>
    <w:rsid w:val="009A777D"/>
    <w:rsid w:val="009B0979"/>
    <w:rsid w:val="009B4A33"/>
    <w:rsid w:val="00AD643E"/>
    <w:rsid w:val="00B63CE7"/>
    <w:rsid w:val="00BD04F1"/>
    <w:rsid w:val="00CA524E"/>
    <w:rsid w:val="00CC7EA7"/>
    <w:rsid w:val="00D31D66"/>
    <w:rsid w:val="00D41F9F"/>
    <w:rsid w:val="00D866D4"/>
    <w:rsid w:val="00DC3842"/>
    <w:rsid w:val="00DD0663"/>
    <w:rsid w:val="00E0301C"/>
    <w:rsid w:val="00E871A5"/>
    <w:rsid w:val="00EA00FD"/>
    <w:rsid w:val="00F1182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D156D"/>
  <w15:chartTrackingRefBased/>
  <w15:docId w15:val="{835F2CA0-908C-4B21-93C6-1680A761B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866D4"/>
    <w:pPr>
      <w:widowControl w:val="0"/>
      <w:autoSpaceDE w:val="0"/>
      <w:autoSpaceDN w:val="0"/>
      <w:spacing w:after="0"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character" w:styleId="Hyperlink">
    <w:name w:val="Hyperlink"/>
    <w:basedOn w:val="DefaultParagraphFont"/>
    <w:uiPriority w:val="99"/>
    <w:unhideWhenUsed/>
    <w:rsid w:val="00BD04F1"/>
    <w:rPr>
      <w:color w:val="0000FF"/>
      <w:u w:val="single"/>
    </w:rPr>
  </w:style>
  <w:style w:type="character" w:styleId="FollowedHyperlink">
    <w:name w:val="FollowedHyperlink"/>
    <w:basedOn w:val="DefaultParagraphFont"/>
    <w:uiPriority w:val="99"/>
    <w:semiHidden/>
    <w:unhideWhenUsed/>
    <w:rsid w:val="00BD04F1"/>
    <w:rPr>
      <w:color w:val="800080"/>
      <w:u w:val="single"/>
    </w:rPr>
  </w:style>
  <w:style w:type="paragraph" w:customStyle="1" w:styleId="xl63">
    <w:name w:val="xl63"/>
    <w:basedOn w:val="Normal"/>
    <w:rsid w:val="00BD04F1"/>
    <w:pPr>
      <w:widowControl/>
      <w:autoSpaceDE/>
      <w:autoSpaceDN/>
      <w:spacing w:before="100" w:beforeAutospacing="1" w:after="100" w:afterAutospacing="1" w:line="240" w:lineRule="auto"/>
      <w:jc w:val="left"/>
    </w:pPr>
    <w:rPr>
      <w:rFonts w:ascii="Arial" w:hAnsi="Arial" w:cs="Arial"/>
      <w:szCs w:val="24"/>
      <w:lang w:eastAsia="en-GB"/>
    </w:rPr>
  </w:style>
  <w:style w:type="paragraph" w:customStyle="1" w:styleId="xl64">
    <w:name w:val="xl64"/>
    <w:basedOn w:val="Normal"/>
    <w:rsid w:val="00BD04F1"/>
    <w:pPr>
      <w:widowControl/>
      <w:autoSpaceDE/>
      <w:autoSpaceDN/>
      <w:spacing w:before="100" w:beforeAutospacing="1" w:after="100" w:afterAutospacing="1" w:line="240" w:lineRule="auto"/>
      <w:jc w:val="center"/>
    </w:pPr>
    <w:rPr>
      <w:rFonts w:ascii="Arial" w:hAnsi="Arial" w:cs="Arial"/>
      <w:szCs w:val="24"/>
      <w:lang w:eastAsia="en-GB"/>
    </w:rPr>
  </w:style>
  <w:style w:type="paragraph" w:customStyle="1" w:styleId="xl65">
    <w:name w:val="xl65"/>
    <w:basedOn w:val="Normal"/>
    <w:rsid w:val="00BD04F1"/>
    <w:pPr>
      <w:widowControl/>
      <w:pBdr>
        <w:top w:val="single" w:sz="4" w:space="0" w:color="auto"/>
        <w:bottom w:val="single" w:sz="8" w:space="0" w:color="auto"/>
      </w:pBdr>
      <w:shd w:val="clear" w:color="000000" w:fill="B8CCE4"/>
      <w:autoSpaceDE/>
      <w:autoSpaceDN/>
      <w:spacing w:before="100" w:beforeAutospacing="1" w:after="100" w:afterAutospacing="1" w:line="240" w:lineRule="auto"/>
      <w:jc w:val="center"/>
    </w:pPr>
    <w:rPr>
      <w:rFonts w:ascii="Arial" w:hAnsi="Arial" w:cs="Arial"/>
      <w:b/>
      <w:bCs/>
      <w:szCs w:val="24"/>
      <w:lang w:eastAsia="en-GB"/>
    </w:rPr>
  </w:style>
  <w:style w:type="paragraph" w:customStyle="1" w:styleId="xl66">
    <w:name w:val="xl66"/>
    <w:basedOn w:val="Normal"/>
    <w:rsid w:val="00BD04F1"/>
    <w:pPr>
      <w:widowControl/>
      <w:pBdr>
        <w:top w:val="single" w:sz="4" w:space="0" w:color="auto"/>
        <w:bottom w:val="single" w:sz="8" w:space="0" w:color="auto"/>
      </w:pBdr>
      <w:shd w:val="clear" w:color="000000" w:fill="B8CCE4"/>
      <w:autoSpaceDE/>
      <w:autoSpaceDN/>
      <w:spacing w:before="100" w:beforeAutospacing="1" w:after="100" w:afterAutospacing="1" w:line="240" w:lineRule="auto"/>
      <w:jc w:val="left"/>
    </w:pPr>
    <w:rPr>
      <w:rFonts w:ascii="Arial" w:hAnsi="Arial" w:cs="Arial"/>
      <w:b/>
      <w:bCs/>
      <w:szCs w:val="24"/>
      <w:lang w:eastAsia="en-GB"/>
    </w:rPr>
  </w:style>
  <w:style w:type="paragraph" w:customStyle="1" w:styleId="xl67">
    <w:name w:val="xl67"/>
    <w:basedOn w:val="Normal"/>
    <w:rsid w:val="00BD04F1"/>
    <w:pPr>
      <w:widowControl/>
      <w:pBdr>
        <w:top w:val="single" w:sz="4" w:space="0" w:color="auto"/>
        <w:left w:val="single" w:sz="4" w:space="0" w:color="auto"/>
      </w:pBdr>
      <w:shd w:val="clear" w:color="000000" w:fill="B8CCE4"/>
      <w:autoSpaceDE/>
      <w:autoSpaceDN/>
      <w:spacing w:before="100" w:beforeAutospacing="1" w:after="100" w:afterAutospacing="1" w:line="240" w:lineRule="auto"/>
      <w:jc w:val="left"/>
    </w:pPr>
    <w:rPr>
      <w:rFonts w:ascii="Arial" w:hAnsi="Arial" w:cs="Arial"/>
      <w:szCs w:val="24"/>
      <w:lang w:eastAsia="en-GB"/>
    </w:rPr>
  </w:style>
  <w:style w:type="paragraph" w:customStyle="1" w:styleId="xl68">
    <w:name w:val="xl68"/>
    <w:basedOn w:val="Normal"/>
    <w:rsid w:val="00BD04F1"/>
    <w:pPr>
      <w:widowControl/>
      <w:pBdr>
        <w:top w:val="single" w:sz="4" w:space="0" w:color="auto"/>
      </w:pBdr>
      <w:shd w:val="clear" w:color="000000" w:fill="B8CCE4"/>
      <w:autoSpaceDE/>
      <w:autoSpaceDN/>
      <w:spacing w:before="100" w:beforeAutospacing="1" w:after="100" w:afterAutospacing="1" w:line="240" w:lineRule="auto"/>
      <w:jc w:val="left"/>
    </w:pPr>
    <w:rPr>
      <w:rFonts w:ascii="Arial" w:hAnsi="Arial" w:cs="Arial"/>
      <w:szCs w:val="24"/>
      <w:lang w:eastAsia="en-GB"/>
    </w:rPr>
  </w:style>
  <w:style w:type="paragraph" w:customStyle="1" w:styleId="xl69">
    <w:name w:val="xl69"/>
    <w:basedOn w:val="Normal"/>
    <w:rsid w:val="00BD04F1"/>
    <w:pPr>
      <w:widowControl/>
      <w:pBdr>
        <w:top w:val="single" w:sz="4" w:space="0" w:color="auto"/>
        <w:right w:val="single" w:sz="4" w:space="0" w:color="auto"/>
      </w:pBdr>
      <w:shd w:val="clear" w:color="000000" w:fill="B8CCE4"/>
      <w:autoSpaceDE/>
      <w:autoSpaceDN/>
      <w:spacing w:before="100" w:beforeAutospacing="1" w:after="100" w:afterAutospacing="1" w:line="240" w:lineRule="auto"/>
      <w:jc w:val="left"/>
    </w:pPr>
    <w:rPr>
      <w:rFonts w:ascii="Arial" w:hAnsi="Arial" w:cs="Arial"/>
      <w:szCs w:val="24"/>
      <w:lang w:eastAsia="en-GB"/>
    </w:rPr>
  </w:style>
  <w:style w:type="paragraph" w:customStyle="1" w:styleId="xl70">
    <w:name w:val="xl70"/>
    <w:basedOn w:val="Normal"/>
    <w:rsid w:val="00BD04F1"/>
    <w:pPr>
      <w:widowControl/>
      <w:pBdr>
        <w:left w:val="single" w:sz="4" w:space="0" w:color="auto"/>
      </w:pBdr>
      <w:shd w:val="clear" w:color="000000" w:fill="B8CCE4"/>
      <w:autoSpaceDE/>
      <w:autoSpaceDN/>
      <w:spacing w:before="100" w:beforeAutospacing="1" w:after="100" w:afterAutospacing="1" w:line="240" w:lineRule="auto"/>
      <w:jc w:val="left"/>
    </w:pPr>
    <w:rPr>
      <w:rFonts w:ascii="Arial" w:hAnsi="Arial" w:cs="Arial"/>
      <w:szCs w:val="24"/>
      <w:lang w:eastAsia="en-GB"/>
    </w:rPr>
  </w:style>
  <w:style w:type="paragraph" w:customStyle="1" w:styleId="xl71">
    <w:name w:val="xl71"/>
    <w:basedOn w:val="Normal"/>
    <w:rsid w:val="00BD04F1"/>
    <w:pPr>
      <w:widowControl/>
      <w:shd w:val="clear" w:color="000000" w:fill="B8CCE4"/>
      <w:autoSpaceDE/>
      <w:autoSpaceDN/>
      <w:spacing w:before="100" w:beforeAutospacing="1" w:after="100" w:afterAutospacing="1" w:line="240" w:lineRule="auto"/>
      <w:jc w:val="left"/>
    </w:pPr>
    <w:rPr>
      <w:rFonts w:ascii="Arial" w:hAnsi="Arial" w:cs="Arial"/>
      <w:szCs w:val="24"/>
      <w:lang w:eastAsia="en-GB"/>
    </w:rPr>
  </w:style>
  <w:style w:type="paragraph" w:customStyle="1" w:styleId="xl72">
    <w:name w:val="xl72"/>
    <w:basedOn w:val="Normal"/>
    <w:rsid w:val="00BD04F1"/>
    <w:pPr>
      <w:widowControl/>
      <w:pBdr>
        <w:right w:val="single" w:sz="4" w:space="0" w:color="auto"/>
      </w:pBdr>
      <w:shd w:val="clear" w:color="000000" w:fill="B8CCE4"/>
      <w:autoSpaceDE/>
      <w:autoSpaceDN/>
      <w:spacing w:before="100" w:beforeAutospacing="1" w:after="100" w:afterAutospacing="1" w:line="240" w:lineRule="auto"/>
      <w:jc w:val="left"/>
    </w:pPr>
    <w:rPr>
      <w:rFonts w:ascii="Arial" w:hAnsi="Arial" w:cs="Arial"/>
      <w:szCs w:val="24"/>
      <w:lang w:eastAsia="en-GB"/>
    </w:rPr>
  </w:style>
  <w:style w:type="paragraph" w:customStyle="1" w:styleId="xl73">
    <w:name w:val="xl73"/>
    <w:basedOn w:val="Normal"/>
    <w:rsid w:val="00BD04F1"/>
    <w:pPr>
      <w:widowControl/>
      <w:pBdr>
        <w:left w:val="single" w:sz="4" w:space="0" w:color="auto"/>
        <w:bottom w:val="single" w:sz="4" w:space="0" w:color="auto"/>
      </w:pBdr>
      <w:shd w:val="clear" w:color="000000" w:fill="B8CCE4"/>
      <w:autoSpaceDE/>
      <w:autoSpaceDN/>
      <w:spacing w:before="100" w:beforeAutospacing="1" w:after="100" w:afterAutospacing="1" w:line="240" w:lineRule="auto"/>
      <w:jc w:val="left"/>
    </w:pPr>
    <w:rPr>
      <w:rFonts w:ascii="Arial" w:hAnsi="Arial" w:cs="Arial"/>
      <w:szCs w:val="24"/>
      <w:lang w:eastAsia="en-GB"/>
    </w:rPr>
  </w:style>
  <w:style w:type="paragraph" w:customStyle="1" w:styleId="xl74">
    <w:name w:val="xl74"/>
    <w:basedOn w:val="Normal"/>
    <w:rsid w:val="00BD04F1"/>
    <w:pPr>
      <w:widowControl/>
      <w:pBdr>
        <w:bottom w:val="single" w:sz="4" w:space="0" w:color="auto"/>
      </w:pBdr>
      <w:shd w:val="clear" w:color="000000" w:fill="B8CCE4"/>
      <w:autoSpaceDE/>
      <w:autoSpaceDN/>
      <w:spacing w:before="100" w:beforeAutospacing="1" w:after="100" w:afterAutospacing="1" w:line="240" w:lineRule="auto"/>
      <w:jc w:val="left"/>
    </w:pPr>
    <w:rPr>
      <w:rFonts w:ascii="Arial" w:hAnsi="Arial" w:cs="Arial"/>
      <w:szCs w:val="24"/>
      <w:lang w:eastAsia="en-GB"/>
    </w:rPr>
  </w:style>
  <w:style w:type="paragraph" w:customStyle="1" w:styleId="xl75">
    <w:name w:val="xl75"/>
    <w:basedOn w:val="Normal"/>
    <w:rsid w:val="00BD04F1"/>
    <w:pPr>
      <w:widowControl/>
      <w:pBdr>
        <w:bottom w:val="single" w:sz="4" w:space="0" w:color="auto"/>
        <w:right w:val="single" w:sz="4" w:space="0" w:color="auto"/>
      </w:pBdr>
      <w:shd w:val="clear" w:color="000000" w:fill="B8CCE4"/>
      <w:autoSpaceDE/>
      <w:autoSpaceDN/>
      <w:spacing w:before="100" w:beforeAutospacing="1" w:after="100" w:afterAutospacing="1" w:line="240" w:lineRule="auto"/>
      <w:jc w:val="left"/>
    </w:pPr>
    <w:rPr>
      <w:rFonts w:ascii="Arial" w:hAnsi="Arial" w:cs="Arial"/>
      <w:szCs w:val="24"/>
      <w:lang w:eastAsia="en-GB"/>
    </w:rPr>
  </w:style>
  <w:style w:type="paragraph" w:customStyle="1" w:styleId="xl76">
    <w:name w:val="xl76"/>
    <w:basedOn w:val="Normal"/>
    <w:rsid w:val="00BD04F1"/>
    <w:pPr>
      <w:widowControl/>
      <w:shd w:val="clear" w:color="000000" w:fill="FFFFFF"/>
      <w:autoSpaceDE/>
      <w:autoSpaceDN/>
      <w:spacing w:before="100" w:beforeAutospacing="1" w:after="100" w:afterAutospacing="1" w:line="240" w:lineRule="auto"/>
      <w:jc w:val="center"/>
    </w:pPr>
    <w:rPr>
      <w:rFonts w:ascii="Arial" w:hAnsi="Arial" w:cs="Arial"/>
      <w:szCs w:val="24"/>
      <w:lang w:eastAsia="en-GB"/>
    </w:rPr>
  </w:style>
  <w:style w:type="paragraph" w:customStyle="1" w:styleId="xl77">
    <w:name w:val="xl77"/>
    <w:basedOn w:val="Normal"/>
    <w:rsid w:val="00BD04F1"/>
    <w:pPr>
      <w:widowControl/>
      <w:shd w:val="clear" w:color="000000" w:fill="FFFFFF"/>
      <w:autoSpaceDE/>
      <w:autoSpaceDN/>
      <w:spacing w:before="100" w:beforeAutospacing="1" w:after="100" w:afterAutospacing="1" w:line="240" w:lineRule="auto"/>
      <w:jc w:val="left"/>
    </w:pPr>
    <w:rPr>
      <w:szCs w:val="24"/>
      <w:lang w:eastAsia="en-GB"/>
    </w:rPr>
  </w:style>
  <w:style w:type="paragraph" w:customStyle="1" w:styleId="xl78">
    <w:name w:val="xl78"/>
    <w:basedOn w:val="Normal"/>
    <w:rsid w:val="00BD04F1"/>
    <w:pPr>
      <w:widowControl/>
      <w:pBdr>
        <w:top w:val="single" w:sz="4" w:space="0" w:color="auto"/>
        <w:bottom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79">
    <w:name w:val="xl79"/>
    <w:basedOn w:val="Normal"/>
    <w:rsid w:val="00BD04F1"/>
    <w:pPr>
      <w:widowControl/>
      <w:pBdr>
        <w:top w:val="single" w:sz="4" w:space="0" w:color="auto"/>
        <w:bottom w:val="single" w:sz="4" w:space="0" w:color="auto"/>
        <w:right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80">
    <w:name w:val="xl80"/>
    <w:basedOn w:val="Normal"/>
    <w:rsid w:val="00BD04F1"/>
    <w:pPr>
      <w:widowControl/>
      <w:pBdr>
        <w:top w:val="single" w:sz="4" w:space="0" w:color="auto"/>
        <w:left w:val="single" w:sz="4" w:space="0" w:color="auto"/>
        <w:bottom w:val="single" w:sz="4" w:space="0" w:color="auto"/>
      </w:pBdr>
      <w:shd w:val="clear" w:color="000000" w:fill="95B3D7"/>
      <w:autoSpaceDE/>
      <w:autoSpaceDN/>
      <w:spacing w:before="100" w:beforeAutospacing="1" w:after="100" w:afterAutospacing="1" w:line="240" w:lineRule="auto"/>
      <w:jc w:val="left"/>
    </w:pPr>
    <w:rPr>
      <w:rFonts w:ascii="Arial" w:hAnsi="Arial" w:cs="Arial"/>
      <w:b/>
      <w:bCs/>
      <w:szCs w:val="24"/>
      <w:lang w:eastAsia="en-GB"/>
    </w:rPr>
  </w:style>
  <w:style w:type="paragraph" w:customStyle="1" w:styleId="xl81">
    <w:name w:val="xl81"/>
    <w:basedOn w:val="Normal"/>
    <w:rsid w:val="00BD04F1"/>
    <w:pPr>
      <w:widowControl/>
      <w:pBdr>
        <w:top w:val="single" w:sz="4" w:space="0" w:color="auto"/>
        <w:bottom w:val="single" w:sz="4" w:space="0" w:color="auto"/>
      </w:pBdr>
      <w:shd w:val="clear" w:color="000000" w:fill="95B3D7"/>
      <w:autoSpaceDE/>
      <w:autoSpaceDN/>
      <w:spacing w:before="100" w:beforeAutospacing="1" w:after="100" w:afterAutospacing="1" w:line="240" w:lineRule="auto"/>
      <w:jc w:val="left"/>
    </w:pPr>
    <w:rPr>
      <w:rFonts w:ascii="Arial" w:hAnsi="Arial" w:cs="Arial"/>
      <w:b/>
      <w:bCs/>
      <w:szCs w:val="24"/>
      <w:lang w:eastAsia="en-GB"/>
    </w:rPr>
  </w:style>
  <w:style w:type="paragraph" w:customStyle="1" w:styleId="xl82">
    <w:name w:val="xl82"/>
    <w:basedOn w:val="Normal"/>
    <w:rsid w:val="00BD04F1"/>
    <w:pPr>
      <w:widowControl/>
      <w:pBdr>
        <w:top w:val="single" w:sz="4" w:space="0" w:color="auto"/>
        <w:bottom w:val="single" w:sz="4" w:space="0" w:color="auto"/>
        <w:right w:val="single" w:sz="4" w:space="0" w:color="auto"/>
      </w:pBdr>
      <w:shd w:val="clear" w:color="000000" w:fill="95B3D7"/>
      <w:autoSpaceDE/>
      <w:autoSpaceDN/>
      <w:spacing w:before="100" w:beforeAutospacing="1" w:after="100" w:afterAutospacing="1" w:line="240" w:lineRule="auto"/>
      <w:jc w:val="left"/>
    </w:pPr>
    <w:rPr>
      <w:rFonts w:ascii="Arial" w:hAnsi="Arial" w:cs="Arial"/>
      <w:b/>
      <w:bCs/>
      <w:szCs w:val="24"/>
      <w:lang w:eastAsia="en-GB"/>
    </w:rPr>
  </w:style>
  <w:style w:type="paragraph" w:customStyle="1" w:styleId="xl83">
    <w:name w:val="xl83"/>
    <w:basedOn w:val="Normal"/>
    <w:rsid w:val="00BD04F1"/>
    <w:pPr>
      <w:widowControl/>
      <w:pBdr>
        <w:top w:val="single" w:sz="4" w:space="0" w:color="auto"/>
        <w:left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84">
    <w:name w:val="xl84"/>
    <w:basedOn w:val="Normal"/>
    <w:rsid w:val="00BD04F1"/>
    <w:pPr>
      <w:widowControl/>
      <w:pBdr>
        <w:top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85">
    <w:name w:val="xl85"/>
    <w:basedOn w:val="Normal"/>
    <w:rsid w:val="00BD04F1"/>
    <w:pPr>
      <w:widowControl/>
      <w:pBdr>
        <w:top w:val="single" w:sz="4" w:space="0" w:color="auto"/>
        <w:right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86">
    <w:name w:val="xl86"/>
    <w:basedOn w:val="Normal"/>
    <w:rsid w:val="00BD04F1"/>
    <w:pPr>
      <w:widowControl/>
      <w:pBdr>
        <w:left w:val="single" w:sz="4" w:space="0" w:color="auto"/>
        <w:bottom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87">
    <w:name w:val="xl87"/>
    <w:basedOn w:val="Normal"/>
    <w:rsid w:val="00BD04F1"/>
    <w:pPr>
      <w:widowControl/>
      <w:pBdr>
        <w:bottom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88">
    <w:name w:val="xl88"/>
    <w:basedOn w:val="Normal"/>
    <w:rsid w:val="00BD04F1"/>
    <w:pPr>
      <w:widowControl/>
      <w:pBdr>
        <w:bottom w:val="single" w:sz="4" w:space="0" w:color="auto"/>
        <w:right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89">
    <w:name w:val="xl89"/>
    <w:basedOn w:val="Normal"/>
    <w:rsid w:val="00BD04F1"/>
    <w:pPr>
      <w:widowControl/>
      <w:pBdr>
        <w:left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90">
    <w:name w:val="xl90"/>
    <w:basedOn w:val="Normal"/>
    <w:rsid w:val="00BD04F1"/>
    <w:pPr>
      <w:widowControl/>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91">
    <w:name w:val="xl91"/>
    <w:basedOn w:val="Normal"/>
    <w:rsid w:val="00BD04F1"/>
    <w:pPr>
      <w:widowControl/>
      <w:pBdr>
        <w:right w:val="single" w:sz="4" w:space="0" w:color="auto"/>
      </w:pBdr>
      <w:shd w:val="clear" w:color="000000" w:fill="95B3D7"/>
      <w:autoSpaceDE/>
      <w:autoSpaceDN/>
      <w:spacing w:before="100" w:beforeAutospacing="1" w:after="100" w:afterAutospacing="1" w:line="240" w:lineRule="auto"/>
      <w:jc w:val="left"/>
    </w:pPr>
    <w:rPr>
      <w:rFonts w:ascii="Arial" w:hAnsi="Arial" w:cs="Arial"/>
      <w:szCs w:val="24"/>
      <w:lang w:eastAsia="en-GB"/>
    </w:rPr>
  </w:style>
  <w:style w:type="paragraph" w:customStyle="1" w:styleId="xl92">
    <w:name w:val="xl92"/>
    <w:basedOn w:val="Normal"/>
    <w:rsid w:val="00BD04F1"/>
    <w:pPr>
      <w:widowControl/>
      <w:pBdr>
        <w:left w:val="single" w:sz="4" w:space="0" w:color="auto"/>
        <w:bottom w:val="single" w:sz="4" w:space="0" w:color="auto"/>
      </w:pBdr>
      <w:shd w:val="clear" w:color="000000" w:fill="95B3D7"/>
      <w:autoSpaceDE/>
      <w:autoSpaceDN/>
      <w:spacing w:before="100" w:beforeAutospacing="1" w:after="100" w:afterAutospacing="1" w:line="240" w:lineRule="auto"/>
      <w:jc w:val="left"/>
    </w:pPr>
    <w:rPr>
      <w:rFonts w:ascii="Arial" w:hAnsi="Arial" w:cs="Arial"/>
      <w:b/>
      <w:bCs/>
      <w:szCs w:val="24"/>
      <w:lang w:eastAsia="en-GB"/>
    </w:rPr>
  </w:style>
  <w:style w:type="paragraph" w:customStyle="1" w:styleId="xl93">
    <w:name w:val="xl93"/>
    <w:basedOn w:val="Normal"/>
    <w:rsid w:val="00BD04F1"/>
    <w:pPr>
      <w:widowControl/>
      <w:pBdr>
        <w:bottom w:val="single" w:sz="4" w:space="0" w:color="auto"/>
      </w:pBdr>
      <w:shd w:val="clear" w:color="000000" w:fill="95B3D7"/>
      <w:autoSpaceDE/>
      <w:autoSpaceDN/>
      <w:spacing w:before="100" w:beforeAutospacing="1" w:after="100" w:afterAutospacing="1" w:line="240" w:lineRule="auto"/>
      <w:jc w:val="left"/>
    </w:pPr>
    <w:rPr>
      <w:rFonts w:ascii="Arial" w:hAnsi="Arial" w:cs="Arial"/>
      <w:b/>
      <w:bCs/>
      <w:szCs w:val="24"/>
      <w:lang w:eastAsia="en-GB"/>
    </w:rPr>
  </w:style>
  <w:style w:type="paragraph" w:customStyle="1" w:styleId="xl94">
    <w:name w:val="xl94"/>
    <w:basedOn w:val="Normal"/>
    <w:rsid w:val="00BD04F1"/>
    <w:pPr>
      <w:widowControl/>
      <w:pBdr>
        <w:bottom w:val="single" w:sz="4" w:space="0" w:color="auto"/>
        <w:right w:val="single" w:sz="4" w:space="0" w:color="auto"/>
      </w:pBdr>
      <w:shd w:val="clear" w:color="000000" w:fill="95B3D7"/>
      <w:autoSpaceDE/>
      <w:autoSpaceDN/>
      <w:spacing w:before="100" w:beforeAutospacing="1" w:after="100" w:afterAutospacing="1" w:line="240" w:lineRule="auto"/>
      <w:jc w:val="left"/>
    </w:pPr>
    <w:rPr>
      <w:rFonts w:ascii="Arial" w:hAnsi="Arial" w:cs="Arial"/>
      <w:b/>
      <w:bCs/>
      <w:szCs w:val="24"/>
      <w:lang w:eastAsia="en-GB"/>
    </w:rPr>
  </w:style>
  <w:style w:type="paragraph" w:customStyle="1" w:styleId="xl95">
    <w:name w:val="xl95"/>
    <w:basedOn w:val="Normal"/>
    <w:rsid w:val="00BD04F1"/>
    <w:pPr>
      <w:widowControl/>
      <w:pBdr>
        <w:top w:val="single" w:sz="4" w:space="0" w:color="auto"/>
      </w:pBdr>
      <w:shd w:val="clear" w:color="000000" w:fill="95B3D7"/>
      <w:autoSpaceDE/>
      <w:autoSpaceDN/>
      <w:spacing w:before="100" w:beforeAutospacing="1" w:after="100" w:afterAutospacing="1" w:line="240" w:lineRule="auto"/>
      <w:jc w:val="center"/>
    </w:pPr>
    <w:rPr>
      <w:rFonts w:ascii="Arial" w:hAnsi="Arial" w:cs="Arial"/>
      <w:b/>
      <w:bCs/>
      <w:szCs w:val="24"/>
      <w:lang w:eastAsia="en-GB"/>
    </w:rPr>
  </w:style>
  <w:style w:type="paragraph" w:customStyle="1" w:styleId="xl96">
    <w:name w:val="xl96"/>
    <w:basedOn w:val="Normal"/>
    <w:rsid w:val="00BD04F1"/>
    <w:pPr>
      <w:widowControl/>
      <w:pBdr>
        <w:top w:val="single" w:sz="4" w:space="0" w:color="auto"/>
        <w:right w:val="single" w:sz="4" w:space="0" w:color="auto"/>
      </w:pBdr>
      <w:shd w:val="clear" w:color="000000" w:fill="95B3D7"/>
      <w:autoSpaceDE/>
      <w:autoSpaceDN/>
      <w:spacing w:before="100" w:beforeAutospacing="1" w:after="100" w:afterAutospacing="1" w:line="240" w:lineRule="auto"/>
      <w:jc w:val="center"/>
    </w:pPr>
    <w:rPr>
      <w:rFonts w:ascii="Arial" w:hAnsi="Arial" w:cs="Arial"/>
      <w:b/>
      <w:bCs/>
      <w:szCs w:val="24"/>
      <w:lang w:eastAsia="en-GB"/>
    </w:rPr>
  </w:style>
  <w:style w:type="paragraph" w:customStyle="1" w:styleId="xl97">
    <w:name w:val="xl97"/>
    <w:basedOn w:val="Normal"/>
    <w:rsid w:val="00BD04F1"/>
    <w:pPr>
      <w:widowControl/>
      <w:pBdr>
        <w:bottom w:val="single" w:sz="4" w:space="0" w:color="auto"/>
      </w:pBdr>
      <w:shd w:val="clear" w:color="000000" w:fill="95B3D7"/>
      <w:autoSpaceDE/>
      <w:autoSpaceDN/>
      <w:spacing w:before="100" w:beforeAutospacing="1" w:after="100" w:afterAutospacing="1" w:line="240" w:lineRule="auto"/>
      <w:jc w:val="center"/>
    </w:pPr>
    <w:rPr>
      <w:rFonts w:ascii="Arial" w:hAnsi="Arial" w:cs="Arial"/>
      <w:b/>
      <w:bCs/>
      <w:szCs w:val="24"/>
      <w:lang w:eastAsia="en-GB"/>
    </w:rPr>
  </w:style>
  <w:style w:type="paragraph" w:customStyle="1" w:styleId="xl98">
    <w:name w:val="xl98"/>
    <w:basedOn w:val="Normal"/>
    <w:rsid w:val="00BD04F1"/>
    <w:pPr>
      <w:widowControl/>
      <w:pBdr>
        <w:bottom w:val="single" w:sz="4" w:space="0" w:color="auto"/>
        <w:right w:val="single" w:sz="4" w:space="0" w:color="auto"/>
      </w:pBdr>
      <w:shd w:val="clear" w:color="000000" w:fill="95B3D7"/>
      <w:autoSpaceDE/>
      <w:autoSpaceDN/>
      <w:spacing w:before="100" w:beforeAutospacing="1" w:after="100" w:afterAutospacing="1" w:line="240" w:lineRule="auto"/>
      <w:jc w:val="center"/>
    </w:pPr>
    <w:rPr>
      <w:rFonts w:ascii="Arial" w:hAnsi="Arial" w:cs="Arial"/>
      <w:b/>
      <w:bCs/>
      <w:szCs w:val="24"/>
      <w:lang w:eastAsia="en-GB"/>
    </w:rPr>
  </w:style>
  <w:style w:type="paragraph" w:styleId="NormalWeb">
    <w:name w:val="Normal (Web)"/>
    <w:basedOn w:val="Normal"/>
    <w:uiPriority w:val="99"/>
    <w:semiHidden/>
    <w:unhideWhenUsed/>
    <w:rsid w:val="00107BCB"/>
    <w:pPr>
      <w:widowControl/>
      <w:autoSpaceDE/>
      <w:autoSpaceDN/>
      <w:spacing w:before="100" w:beforeAutospacing="1" w:after="100" w:afterAutospacing="1" w:line="240" w:lineRule="auto"/>
      <w:jc w:val="left"/>
    </w:pPr>
    <w:rPr>
      <w:szCs w:val="24"/>
      <w:lang w:eastAsia="en-GB"/>
    </w:rPr>
  </w:style>
  <w:style w:type="paragraph" w:customStyle="1" w:styleId="Default">
    <w:name w:val="Default"/>
    <w:rsid w:val="00000D2B"/>
    <w:pPr>
      <w:autoSpaceDE w:val="0"/>
      <w:autoSpaceDN w:val="0"/>
      <w:adjustRightInd w:val="0"/>
      <w:spacing w:after="0" w:line="240" w:lineRule="auto"/>
    </w:pPr>
    <w:rPr>
      <w:rFonts w:ascii="Calibri" w:hAnsi="Calibri" w:cs="Calibri"/>
      <w:color w:val="000000"/>
      <w:sz w:val="24"/>
      <w:szCs w:val="24"/>
      <w:lang w:val="en-GB"/>
    </w:rPr>
  </w:style>
  <w:style w:type="paragraph" w:styleId="Header">
    <w:name w:val="header"/>
    <w:basedOn w:val="Normal"/>
    <w:link w:val="HeaderChar"/>
    <w:uiPriority w:val="99"/>
    <w:unhideWhenUsed/>
    <w:rsid w:val="00000D2B"/>
    <w:pPr>
      <w:tabs>
        <w:tab w:val="center" w:pos="4680"/>
        <w:tab w:val="right" w:pos="9360"/>
      </w:tabs>
      <w:spacing w:line="240" w:lineRule="auto"/>
    </w:pPr>
  </w:style>
  <w:style w:type="character" w:customStyle="1" w:styleId="HeaderChar">
    <w:name w:val="Header Char"/>
    <w:basedOn w:val="DefaultParagraphFont"/>
    <w:link w:val="Header"/>
    <w:uiPriority w:val="99"/>
    <w:rsid w:val="00000D2B"/>
    <w:rPr>
      <w:rFonts w:ascii="Times New Roman" w:hAnsi="Times New Roman" w:cs="Times New Roman"/>
      <w:sz w:val="24"/>
      <w:lang w:val="en-GB"/>
    </w:rPr>
  </w:style>
  <w:style w:type="paragraph" w:styleId="Footer">
    <w:name w:val="footer"/>
    <w:basedOn w:val="Normal"/>
    <w:link w:val="FooterChar"/>
    <w:uiPriority w:val="99"/>
    <w:unhideWhenUsed/>
    <w:rsid w:val="00000D2B"/>
    <w:pPr>
      <w:tabs>
        <w:tab w:val="center" w:pos="4680"/>
        <w:tab w:val="right" w:pos="9360"/>
      </w:tabs>
      <w:spacing w:line="240" w:lineRule="auto"/>
    </w:pPr>
  </w:style>
  <w:style w:type="character" w:customStyle="1" w:styleId="FooterChar">
    <w:name w:val="Footer Char"/>
    <w:basedOn w:val="DefaultParagraphFont"/>
    <w:link w:val="Footer"/>
    <w:uiPriority w:val="99"/>
    <w:rsid w:val="00000D2B"/>
    <w:rPr>
      <w:rFonts w:ascii="Times New Roman" w:hAnsi="Times New Roman" w:cs="Times New Roman"/>
      <w:sz w:val="24"/>
      <w:lang w:val="en-GB"/>
    </w:rPr>
  </w:style>
  <w:style w:type="paragraph" w:styleId="TOCHeading">
    <w:name w:val="TOC Heading"/>
    <w:basedOn w:val="Heading1"/>
    <w:next w:val="Normal"/>
    <w:uiPriority w:val="39"/>
    <w:unhideWhenUsed/>
    <w:qFormat/>
    <w:rsid w:val="00000D2B"/>
    <w:pPr>
      <w:widowControl/>
      <w:autoSpaceDE/>
      <w:autoSpaceDN/>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00D2B"/>
    <w:pPr>
      <w:spacing w:after="100"/>
    </w:pPr>
  </w:style>
  <w:style w:type="paragraph" w:styleId="TOC2">
    <w:name w:val="toc 2"/>
    <w:basedOn w:val="Normal"/>
    <w:next w:val="Normal"/>
    <w:autoRedefine/>
    <w:uiPriority w:val="39"/>
    <w:unhideWhenUsed/>
    <w:rsid w:val="00000D2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357777">
      <w:bodyDiv w:val="1"/>
      <w:marLeft w:val="0"/>
      <w:marRight w:val="0"/>
      <w:marTop w:val="0"/>
      <w:marBottom w:val="0"/>
      <w:divBdr>
        <w:top w:val="none" w:sz="0" w:space="0" w:color="auto"/>
        <w:left w:val="none" w:sz="0" w:space="0" w:color="auto"/>
        <w:bottom w:val="none" w:sz="0" w:space="0" w:color="auto"/>
        <w:right w:val="none" w:sz="0" w:space="0" w:color="auto"/>
      </w:divBdr>
    </w:div>
    <w:div w:id="1225406023">
      <w:bodyDiv w:val="1"/>
      <w:marLeft w:val="0"/>
      <w:marRight w:val="0"/>
      <w:marTop w:val="0"/>
      <w:marBottom w:val="0"/>
      <w:divBdr>
        <w:top w:val="none" w:sz="0" w:space="0" w:color="auto"/>
        <w:left w:val="none" w:sz="0" w:space="0" w:color="auto"/>
        <w:bottom w:val="none" w:sz="0" w:space="0" w:color="auto"/>
        <w:right w:val="none" w:sz="0" w:space="0" w:color="auto"/>
      </w:divBdr>
      <w:divsChild>
        <w:div w:id="955985521">
          <w:marLeft w:val="0"/>
          <w:marRight w:val="0"/>
          <w:marTop w:val="0"/>
          <w:marBottom w:val="0"/>
          <w:divBdr>
            <w:top w:val="none" w:sz="0" w:space="0" w:color="auto"/>
            <w:left w:val="none" w:sz="0" w:space="0" w:color="auto"/>
            <w:bottom w:val="none" w:sz="0" w:space="0" w:color="auto"/>
            <w:right w:val="none" w:sz="0" w:space="0" w:color="auto"/>
          </w:divBdr>
        </w:div>
      </w:divsChild>
    </w:div>
    <w:div w:id="1509372837">
      <w:bodyDiv w:val="1"/>
      <w:marLeft w:val="0"/>
      <w:marRight w:val="0"/>
      <w:marTop w:val="0"/>
      <w:marBottom w:val="0"/>
      <w:divBdr>
        <w:top w:val="none" w:sz="0" w:space="0" w:color="auto"/>
        <w:left w:val="none" w:sz="0" w:space="0" w:color="auto"/>
        <w:bottom w:val="none" w:sz="0" w:space="0" w:color="auto"/>
        <w:right w:val="none" w:sz="0" w:space="0" w:color="auto"/>
      </w:divBdr>
      <w:divsChild>
        <w:div w:id="31270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FE1233-7AA3-48EC-89DF-0953DC7DBB93}" type="doc">
      <dgm:prSet loTypeId="urn:microsoft.com/office/officeart/2005/8/layout/hList6" loCatId="list" qsTypeId="urn:microsoft.com/office/officeart/2005/8/quickstyle/simple5" qsCatId="simple" csTypeId="urn:microsoft.com/office/officeart/2005/8/colors/colorful3" csCatId="colorful" phldr="1"/>
      <dgm:spPr/>
      <dgm:t>
        <a:bodyPr/>
        <a:lstStyle/>
        <a:p>
          <a:endParaRPr lang="en-GB"/>
        </a:p>
      </dgm:t>
    </dgm:pt>
    <dgm:pt modelId="{CE3427D1-9793-4F92-89C5-C275B86FDF7E}">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Incremental budget</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A648CE11-24E1-42CB-8766-9A1D76935A1C}" type="parTrans" cxnId="{A7AC9963-10F7-4EB6-B073-84CAA890AE3C}">
      <dgm:prSet/>
      <dgm:spPr/>
      <dgm:t>
        <a:bodyPr/>
        <a:lstStyle/>
        <a:p>
          <a:endParaRPr lang="en-GB"/>
        </a:p>
      </dgm:t>
    </dgm:pt>
    <dgm:pt modelId="{ED8E5CF2-ADDE-44B4-8C66-242831457A62}" type="sibTrans" cxnId="{A7AC9963-10F7-4EB6-B073-84CAA890AE3C}">
      <dgm:prSet/>
      <dgm:spPr/>
      <dgm:t>
        <a:bodyPr/>
        <a:lstStyle/>
        <a:p>
          <a:endParaRPr lang="en-GB"/>
        </a:p>
      </dgm:t>
    </dgm:pt>
    <dgm:pt modelId="{586152B5-A459-43AD-81F9-C106BA4291EA}">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Activity-based budget</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63FA955A-1351-46E1-896B-3DEA27DEEC41}" type="parTrans" cxnId="{B4801261-1EE2-455C-9358-B4EB09696CAE}">
      <dgm:prSet/>
      <dgm:spPr/>
      <dgm:t>
        <a:bodyPr/>
        <a:lstStyle/>
        <a:p>
          <a:endParaRPr lang="en-GB"/>
        </a:p>
      </dgm:t>
    </dgm:pt>
    <dgm:pt modelId="{737BEA7F-7112-4CB9-BAE7-4ED423FE8CC8}" type="sibTrans" cxnId="{B4801261-1EE2-455C-9358-B4EB09696CAE}">
      <dgm:prSet/>
      <dgm:spPr/>
      <dgm:t>
        <a:bodyPr/>
        <a:lstStyle/>
        <a:p>
          <a:endParaRPr lang="en-GB"/>
        </a:p>
      </dgm:t>
    </dgm:pt>
    <dgm:pt modelId="{9AAA7863-72E3-4808-A33F-12B419674FA9}">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Value proposition budget</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D849FE8B-D95D-4A6F-BD95-37A99B060EE5}" type="parTrans" cxnId="{4C683C3E-D324-4007-8656-1C1093C4CEB9}">
      <dgm:prSet/>
      <dgm:spPr/>
      <dgm:t>
        <a:bodyPr/>
        <a:lstStyle/>
        <a:p>
          <a:endParaRPr lang="en-GB"/>
        </a:p>
      </dgm:t>
    </dgm:pt>
    <dgm:pt modelId="{D9519BAD-9DDE-4925-9827-B6B5DD88D995}" type="sibTrans" cxnId="{4C683C3E-D324-4007-8656-1C1093C4CEB9}">
      <dgm:prSet/>
      <dgm:spPr/>
      <dgm:t>
        <a:bodyPr/>
        <a:lstStyle/>
        <a:p>
          <a:endParaRPr lang="en-GB"/>
        </a:p>
      </dgm:t>
    </dgm:pt>
    <dgm:pt modelId="{872A9D90-926D-4B61-B413-A3CFF0CAE900}">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Zero-based budgeting</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E3EE4DDF-9198-47E8-94CA-FD48B6876686}" type="parTrans" cxnId="{1F994FFE-783D-4E3C-BCAF-2DE1AA8A08E0}">
      <dgm:prSet/>
      <dgm:spPr/>
      <dgm:t>
        <a:bodyPr/>
        <a:lstStyle/>
        <a:p>
          <a:endParaRPr lang="en-GB"/>
        </a:p>
      </dgm:t>
    </dgm:pt>
    <dgm:pt modelId="{FED5593B-DF01-4898-ABAA-D5E86166BDF4}" type="sibTrans" cxnId="{1F994FFE-783D-4E3C-BCAF-2DE1AA8A08E0}">
      <dgm:prSet/>
      <dgm:spPr/>
      <dgm:t>
        <a:bodyPr/>
        <a:lstStyle/>
        <a:p>
          <a:endParaRPr lang="en-GB"/>
        </a:p>
      </dgm:t>
    </dgm:pt>
    <dgm:pt modelId="{6CB98FB5-0F44-4AA6-8649-603B8EA5DBA9}" type="pres">
      <dgm:prSet presAssocID="{B7FE1233-7AA3-48EC-89DF-0953DC7DBB93}" presName="Name0" presStyleCnt="0">
        <dgm:presLayoutVars>
          <dgm:dir/>
          <dgm:resizeHandles val="exact"/>
        </dgm:presLayoutVars>
      </dgm:prSet>
      <dgm:spPr/>
    </dgm:pt>
    <dgm:pt modelId="{810FE6A4-13D2-4AB0-AC66-16BA50C9F1BE}" type="pres">
      <dgm:prSet presAssocID="{CE3427D1-9793-4F92-89C5-C275B86FDF7E}" presName="node" presStyleLbl="node1" presStyleIdx="0" presStyleCnt="4">
        <dgm:presLayoutVars>
          <dgm:bulletEnabled val="1"/>
        </dgm:presLayoutVars>
      </dgm:prSet>
      <dgm:spPr/>
    </dgm:pt>
    <dgm:pt modelId="{4560E287-9C64-43B2-BAD4-1EB3369F8635}" type="pres">
      <dgm:prSet presAssocID="{ED8E5CF2-ADDE-44B4-8C66-242831457A62}" presName="sibTrans" presStyleCnt="0"/>
      <dgm:spPr/>
    </dgm:pt>
    <dgm:pt modelId="{3EAB9C29-E9D6-4DAA-8F67-F1714E977E3D}" type="pres">
      <dgm:prSet presAssocID="{586152B5-A459-43AD-81F9-C106BA4291EA}" presName="node" presStyleLbl="node1" presStyleIdx="1" presStyleCnt="4">
        <dgm:presLayoutVars>
          <dgm:bulletEnabled val="1"/>
        </dgm:presLayoutVars>
      </dgm:prSet>
      <dgm:spPr/>
    </dgm:pt>
    <dgm:pt modelId="{A66E1B11-356F-41AF-B0D3-C1973184F8F9}" type="pres">
      <dgm:prSet presAssocID="{737BEA7F-7112-4CB9-BAE7-4ED423FE8CC8}" presName="sibTrans" presStyleCnt="0"/>
      <dgm:spPr/>
    </dgm:pt>
    <dgm:pt modelId="{7C07B174-B9EE-4D38-989F-B10F58CA974B}" type="pres">
      <dgm:prSet presAssocID="{9AAA7863-72E3-4808-A33F-12B419674FA9}" presName="node" presStyleLbl="node1" presStyleIdx="2" presStyleCnt="4">
        <dgm:presLayoutVars>
          <dgm:bulletEnabled val="1"/>
        </dgm:presLayoutVars>
      </dgm:prSet>
      <dgm:spPr/>
    </dgm:pt>
    <dgm:pt modelId="{9021D216-AEE0-42CB-9030-5DF7F175DCA0}" type="pres">
      <dgm:prSet presAssocID="{D9519BAD-9DDE-4925-9827-B6B5DD88D995}" presName="sibTrans" presStyleCnt="0"/>
      <dgm:spPr/>
    </dgm:pt>
    <dgm:pt modelId="{B1776773-2E09-490A-9967-986BF6AE2DBA}" type="pres">
      <dgm:prSet presAssocID="{872A9D90-926D-4B61-B413-A3CFF0CAE900}" presName="node" presStyleLbl="node1" presStyleIdx="3" presStyleCnt="4">
        <dgm:presLayoutVars>
          <dgm:bulletEnabled val="1"/>
        </dgm:presLayoutVars>
      </dgm:prSet>
      <dgm:spPr/>
    </dgm:pt>
  </dgm:ptLst>
  <dgm:cxnLst>
    <dgm:cxn modelId="{606BEE1E-9C8A-40A3-883C-26ABEE560C68}" type="presOf" srcId="{B7FE1233-7AA3-48EC-89DF-0953DC7DBB93}" destId="{6CB98FB5-0F44-4AA6-8649-603B8EA5DBA9}" srcOrd="0" destOrd="0" presId="urn:microsoft.com/office/officeart/2005/8/layout/hList6"/>
    <dgm:cxn modelId="{4C683C3E-D324-4007-8656-1C1093C4CEB9}" srcId="{B7FE1233-7AA3-48EC-89DF-0953DC7DBB93}" destId="{9AAA7863-72E3-4808-A33F-12B419674FA9}" srcOrd="2" destOrd="0" parTransId="{D849FE8B-D95D-4A6F-BD95-37A99B060EE5}" sibTransId="{D9519BAD-9DDE-4925-9827-B6B5DD88D995}"/>
    <dgm:cxn modelId="{B4801261-1EE2-455C-9358-B4EB09696CAE}" srcId="{B7FE1233-7AA3-48EC-89DF-0953DC7DBB93}" destId="{586152B5-A459-43AD-81F9-C106BA4291EA}" srcOrd="1" destOrd="0" parTransId="{63FA955A-1351-46E1-896B-3DEA27DEEC41}" sibTransId="{737BEA7F-7112-4CB9-BAE7-4ED423FE8CC8}"/>
    <dgm:cxn modelId="{A7AC9963-10F7-4EB6-B073-84CAA890AE3C}" srcId="{B7FE1233-7AA3-48EC-89DF-0953DC7DBB93}" destId="{CE3427D1-9793-4F92-89C5-C275B86FDF7E}" srcOrd="0" destOrd="0" parTransId="{A648CE11-24E1-42CB-8766-9A1D76935A1C}" sibTransId="{ED8E5CF2-ADDE-44B4-8C66-242831457A62}"/>
    <dgm:cxn modelId="{35B44745-9EB2-4DB4-A5B8-87307745196A}" type="presOf" srcId="{9AAA7863-72E3-4808-A33F-12B419674FA9}" destId="{7C07B174-B9EE-4D38-989F-B10F58CA974B}" srcOrd="0" destOrd="0" presId="urn:microsoft.com/office/officeart/2005/8/layout/hList6"/>
    <dgm:cxn modelId="{A4828F74-48F7-44F3-BE62-F10D9E7AB192}" type="presOf" srcId="{CE3427D1-9793-4F92-89C5-C275B86FDF7E}" destId="{810FE6A4-13D2-4AB0-AC66-16BA50C9F1BE}" srcOrd="0" destOrd="0" presId="urn:microsoft.com/office/officeart/2005/8/layout/hList6"/>
    <dgm:cxn modelId="{0931EE74-8A5D-4268-AA6A-866D8722E503}" type="presOf" srcId="{586152B5-A459-43AD-81F9-C106BA4291EA}" destId="{3EAB9C29-E9D6-4DAA-8F67-F1714E977E3D}" srcOrd="0" destOrd="0" presId="urn:microsoft.com/office/officeart/2005/8/layout/hList6"/>
    <dgm:cxn modelId="{783C9B9E-3256-4E0F-A587-79C165CB578C}" type="presOf" srcId="{872A9D90-926D-4B61-B413-A3CFF0CAE900}" destId="{B1776773-2E09-490A-9967-986BF6AE2DBA}" srcOrd="0" destOrd="0" presId="urn:microsoft.com/office/officeart/2005/8/layout/hList6"/>
    <dgm:cxn modelId="{1F994FFE-783D-4E3C-BCAF-2DE1AA8A08E0}" srcId="{B7FE1233-7AA3-48EC-89DF-0953DC7DBB93}" destId="{872A9D90-926D-4B61-B413-A3CFF0CAE900}" srcOrd="3" destOrd="0" parTransId="{E3EE4DDF-9198-47E8-94CA-FD48B6876686}" sibTransId="{FED5593B-DF01-4898-ABAA-D5E86166BDF4}"/>
    <dgm:cxn modelId="{19693393-EC09-45E6-8853-FFCF9B431484}" type="presParOf" srcId="{6CB98FB5-0F44-4AA6-8649-603B8EA5DBA9}" destId="{810FE6A4-13D2-4AB0-AC66-16BA50C9F1BE}" srcOrd="0" destOrd="0" presId="urn:microsoft.com/office/officeart/2005/8/layout/hList6"/>
    <dgm:cxn modelId="{12B2F703-3F50-42E8-8771-C69354C1C5EF}" type="presParOf" srcId="{6CB98FB5-0F44-4AA6-8649-603B8EA5DBA9}" destId="{4560E287-9C64-43B2-BAD4-1EB3369F8635}" srcOrd="1" destOrd="0" presId="urn:microsoft.com/office/officeart/2005/8/layout/hList6"/>
    <dgm:cxn modelId="{B867DD07-660B-4384-A09B-91115877F978}" type="presParOf" srcId="{6CB98FB5-0F44-4AA6-8649-603B8EA5DBA9}" destId="{3EAB9C29-E9D6-4DAA-8F67-F1714E977E3D}" srcOrd="2" destOrd="0" presId="urn:microsoft.com/office/officeart/2005/8/layout/hList6"/>
    <dgm:cxn modelId="{E50717D4-977A-48E2-BDD7-E34FF7A68CE3}" type="presParOf" srcId="{6CB98FB5-0F44-4AA6-8649-603B8EA5DBA9}" destId="{A66E1B11-356F-41AF-B0D3-C1973184F8F9}" srcOrd="3" destOrd="0" presId="urn:microsoft.com/office/officeart/2005/8/layout/hList6"/>
    <dgm:cxn modelId="{AFFB4827-50C7-439A-AABE-B8078107F5EE}" type="presParOf" srcId="{6CB98FB5-0F44-4AA6-8649-603B8EA5DBA9}" destId="{7C07B174-B9EE-4D38-989F-B10F58CA974B}" srcOrd="4" destOrd="0" presId="urn:microsoft.com/office/officeart/2005/8/layout/hList6"/>
    <dgm:cxn modelId="{24F94134-5EB2-46A2-A8DD-DA38073D839B}" type="presParOf" srcId="{6CB98FB5-0F44-4AA6-8649-603B8EA5DBA9}" destId="{9021D216-AEE0-42CB-9030-5DF7F175DCA0}" srcOrd="5" destOrd="0" presId="urn:microsoft.com/office/officeart/2005/8/layout/hList6"/>
    <dgm:cxn modelId="{1A97F4B6-EC40-46B5-90C8-0D042F8E0540}" type="presParOf" srcId="{6CB98FB5-0F44-4AA6-8649-603B8EA5DBA9}" destId="{B1776773-2E09-490A-9967-986BF6AE2DBA}" srcOrd="6" destOrd="0" presId="urn:microsoft.com/office/officeart/2005/8/layout/hList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0FE6A4-13D2-4AB0-AC66-16BA50C9F1BE}">
      <dsp:nvSpPr>
        <dsp:cNvPr id="0" name=""/>
        <dsp:cNvSpPr/>
      </dsp:nvSpPr>
      <dsp:spPr>
        <a:xfrm rot="16200000">
          <a:off x="-949912" y="951234"/>
          <a:ext cx="3200400" cy="1297930"/>
        </a:xfrm>
        <a:prstGeom prst="flowChartManualOperation">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0" tIns="0" rIns="103188"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Incremental budget</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323" y="640079"/>
        <a:ext cx="1297930" cy="1920240"/>
      </dsp:txXfrm>
    </dsp:sp>
    <dsp:sp modelId="{3EAB9C29-E9D6-4DAA-8F67-F1714E977E3D}">
      <dsp:nvSpPr>
        <dsp:cNvPr id="0" name=""/>
        <dsp:cNvSpPr/>
      </dsp:nvSpPr>
      <dsp:spPr>
        <a:xfrm rot="16200000">
          <a:off x="445362" y="951234"/>
          <a:ext cx="3200400" cy="1297930"/>
        </a:xfrm>
        <a:prstGeom prst="flowChartManualOperation">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0" tIns="0" rIns="103188"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Activity-based budget</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396597" y="640079"/>
        <a:ext cx="1297930" cy="1920240"/>
      </dsp:txXfrm>
    </dsp:sp>
    <dsp:sp modelId="{7C07B174-B9EE-4D38-989F-B10F58CA974B}">
      <dsp:nvSpPr>
        <dsp:cNvPr id="0" name=""/>
        <dsp:cNvSpPr/>
      </dsp:nvSpPr>
      <dsp:spPr>
        <a:xfrm rot="16200000">
          <a:off x="1840637" y="951234"/>
          <a:ext cx="3200400" cy="1297930"/>
        </a:xfrm>
        <a:prstGeom prst="flowChartManualOperation">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0" tIns="0" rIns="103188"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Value proposition budget</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2791872" y="640079"/>
        <a:ext cx="1297930" cy="1920240"/>
      </dsp:txXfrm>
    </dsp:sp>
    <dsp:sp modelId="{B1776773-2E09-490A-9967-986BF6AE2DBA}">
      <dsp:nvSpPr>
        <dsp:cNvPr id="0" name=""/>
        <dsp:cNvSpPr/>
      </dsp:nvSpPr>
      <dsp:spPr>
        <a:xfrm rot="16200000">
          <a:off x="3235912" y="951234"/>
          <a:ext cx="3200400" cy="1297930"/>
        </a:xfrm>
        <a:prstGeom prst="flowChartManualOperation">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0" tIns="0" rIns="103188"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Zero-based budgeting</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4187147" y="640079"/>
        <a:ext cx="1297930" cy="1920240"/>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0ED88-2EFD-482D-8694-CBC0FED8E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2540</Words>
  <Characters>14483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Mohibur Rahman Chowdhury (1911447)</cp:lastModifiedBy>
  <cp:revision>2</cp:revision>
  <dcterms:created xsi:type="dcterms:W3CDTF">2022-10-26T18:35:00Z</dcterms:created>
  <dcterms:modified xsi:type="dcterms:W3CDTF">2022-10-26T18:35:00Z</dcterms:modified>
</cp:coreProperties>
</file>