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ascii="Times New Roman" w:hAnsi="Times New Roman" w:cs="Times New Roman"/>
          <w:sz w:val="24"/>
          <w:szCs w:val="24"/>
        </w:rPr>
      </w:pPr>
      <w:r>
        <w:rPr>
          <w:rFonts w:ascii="Arial" w:hAnsi="Arial" w:cs="Arial" w:eastAsiaTheme="minorEastAsia"/>
          <w:b/>
          <w:bCs/>
          <w:kern w:val="2"/>
          <w:sz w:val="56"/>
          <w:szCs w:val="72"/>
          <w:lang w:val="en-US" w:eastAsia="zh-CN"/>
          <w14:ligatures w14:val="none"/>
        </w:rPr>
        <w:drawing>
          <wp:anchor distT="0" distB="0" distL="114300" distR="114300" simplePos="0" relativeHeight="251659264" behindDoc="0" locked="0" layoutInCell="1" allowOverlap="1">
            <wp:simplePos x="0" y="0"/>
            <wp:positionH relativeFrom="column">
              <wp:posOffset>381000</wp:posOffset>
            </wp:positionH>
            <wp:positionV relativeFrom="paragraph">
              <wp:posOffset>106680</wp:posOffset>
            </wp:positionV>
            <wp:extent cx="4860290" cy="2430145"/>
            <wp:effectExtent l="0" t="0" r="1270" b="8255"/>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860290" cy="2430145"/>
                    </a:xfrm>
                    <a:prstGeom prst="rect">
                      <a:avLst/>
                    </a:prstGeom>
                  </pic:spPr>
                </pic:pic>
              </a:graphicData>
            </a:graphic>
          </wp:anchor>
        </w:drawing>
      </w: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44"/>
          <w:szCs w:val="44"/>
        </w:rPr>
      </w:pPr>
      <w:r>
        <w:rPr>
          <w:rFonts w:ascii="Times New Roman" w:hAnsi="Times New Roman" w:cs="Times New Roman"/>
          <w:b/>
          <w:bCs w:val="0"/>
          <w:sz w:val="44"/>
          <w:szCs w:val="44"/>
        </w:rPr>
        <w:t>Change Management in Tesco Company</w:t>
      </w:r>
    </w:p>
    <w:p>
      <w:pPr>
        <w:spacing w:line="480" w:lineRule="auto"/>
        <w:jc w:val="center"/>
        <w:rPr>
          <w:rFonts w:hint="default"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Change and Stability Management</w:t>
      </w:r>
    </w:p>
    <w:p>
      <w:pPr>
        <w:spacing w:line="480" w:lineRule="auto"/>
        <w:jc w:val="center"/>
        <w:rPr>
          <w:rFonts w:hint="default"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BMMB7000</w:t>
      </w:r>
    </w:p>
    <w:p>
      <w:pPr>
        <w:spacing w:line="480" w:lineRule="auto"/>
        <w:jc w:val="center"/>
        <w:rPr>
          <w:rFonts w:hint="eastAsia" w:ascii="Times New Roman" w:hAnsi="Times New Roman" w:eastAsia="宋体" w:cs="Times New Roman"/>
          <w:sz w:val="28"/>
          <w:szCs w:val="28"/>
          <w:lang w:val="en-US" w:eastAsia="zh-CN"/>
        </w:rPr>
      </w:pPr>
      <w:r>
        <w:rPr>
          <w:rFonts w:ascii="Times New Roman" w:hAnsi="Times New Roman" w:cs="Times New Roman"/>
          <w:sz w:val="28"/>
          <w:szCs w:val="28"/>
        </w:rPr>
        <w:t>Professor’s name:</w:t>
      </w:r>
      <w:r>
        <w:rPr>
          <w:rFonts w:hint="eastAsia" w:ascii="Times New Roman" w:hAnsi="Times New Roman" w:eastAsia="宋体" w:cs="Times New Roman"/>
          <w:sz w:val="28"/>
          <w:szCs w:val="28"/>
          <w:lang w:val="en-US" w:eastAsia="zh-CN"/>
        </w:rPr>
        <w:t>Maire</w:t>
      </w:r>
    </w:p>
    <w:p>
      <w:pPr>
        <w:spacing w:line="480" w:lineRule="auto"/>
        <w:jc w:val="center"/>
        <w:rPr>
          <w:rFonts w:hint="eastAsia" w:ascii="Times New Roman" w:hAnsi="Times New Roman" w:eastAsia="宋体" w:cs="Times New Roman"/>
          <w:sz w:val="28"/>
          <w:szCs w:val="28"/>
          <w:lang w:val="en-US" w:eastAsia="zh-CN"/>
        </w:rPr>
      </w:pPr>
      <w:r>
        <w:rPr>
          <w:rFonts w:ascii="Times New Roman" w:hAnsi="Times New Roman" w:cs="Times New Roman"/>
          <w:sz w:val="28"/>
          <w:szCs w:val="28"/>
        </w:rPr>
        <w:t>Student’s name:</w:t>
      </w:r>
      <w:r>
        <w:rPr>
          <w:rFonts w:hint="eastAsia" w:ascii="Times New Roman" w:hAnsi="Times New Roman" w:eastAsia="宋体" w:cs="Times New Roman"/>
          <w:sz w:val="28"/>
          <w:szCs w:val="28"/>
          <w:lang w:val="en-US" w:eastAsia="zh-CN"/>
        </w:rPr>
        <w:t>Wenxuan Liao</w:t>
      </w:r>
    </w:p>
    <w:p>
      <w:pPr>
        <w:spacing w:line="480" w:lineRule="auto"/>
        <w:jc w:val="center"/>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lang w:val="en-US" w:eastAsia="zh-CN"/>
        </w:rPr>
        <w:t>Student ID:2224763</w:t>
      </w:r>
    </w:p>
    <w:p>
      <w:pPr>
        <w:spacing w:line="480" w:lineRule="auto"/>
        <w:jc w:val="center"/>
        <w:rPr>
          <w:rFonts w:hint="default" w:ascii="Times New Roman" w:hAnsi="Times New Roman" w:cs="Times New Roman"/>
          <w:sz w:val="28"/>
          <w:szCs w:val="28"/>
          <w:lang w:val="en-US"/>
        </w:rPr>
      </w:pPr>
      <w:r>
        <w:rPr>
          <w:rFonts w:ascii="Times New Roman" w:hAnsi="Times New Roman" w:cs="Times New Roman"/>
          <w:sz w:val="28"/>
          <w:szCs w:val="28"/>
        </w:rPr>
        <w:t>Date:</w:t>
      </w:r>
      <w:r>
        <w:rPr>
          <w:rFonts w:hint="eastAsia" w:ascii="Times New Roman" w:hAnsi="Times New Roman" w:eastAsia="宋体" w:cs="Times New Roman"/>
          <w:sz w:val="28"/>
          <w:szCs w:val="28"/>
          <w:lang w:val="en-US" w:eastAsia="zh-CN"/>
        </w:rPr>
        <w:t>2023-07-21</w:t>
      </w:r>
    </w:p>
    <w:p>
      <w:pPr>
        <w:spacing w:line="480" w:lineRule="auto"/>
        <w:jc w:val="both"/>
        <w:rPr>
          <w:rFonts w:ascii="Times New Roman" w:hAnsi="Times New Roman" w:cs="Times New Roman"/>
          <w:sz w:val="24"/>
          <w:szCs w:val="24"/>
        </w:rPr>
      </w:pPr>
      <w:bookmarkStart w:id="12" w:name="_GoBack"/>
      <w:bookmarkEnd w:id="12"/>
    </w:p>
    <w:p>
      <w:pPr>
        <w:rPr>
          <w:rFonts w:ascii="Times New Roman" w:hAnsi="Times New Roman" w:cs="Times New Roman"/>
          <w:sz w:val="24"/>
          <w:szCs w:val="24"/>
        </w:rPr>
      </w:pPr>
      <w:r>
        <w:rPr>
          <w:rFonts w:ascii="Times New Roman" w:hAnsi="Times New Roman" w:cs="Times New Roman"/>
          <w:sz w:val="24"/>
          <w:szCs w:val="24"/>
        </w:rPr>
        <w:br w:type="page"/>
      </w:r>
    </w:p>
    <w:p>
      <w:pPr>
        <w:pStyle w:val="2"/>
        <w:spacing w:line="480" w:lineRule="auto"/>
        <w:jc w:val="center"/>
        <w:rPr>
          <w:rFonts w:ascii="Times New Roman" w:hAnsi="Times New Roman" w:cs="Times New Roman"/>
          <w:b/>
          <w:color w:val="000000" w:themeColor="text1"/>
          <w:sz w:val="24"/>
          <w:szCs w:val="24"/>
          <w14:textFill>
            <w14:solidFill>
              <w14:schemeClr w14:val="tx1"/>
            </w14:solidFill>
          </w14:textFill>
        </w:rPr>
      </w:pPr>
      <w:bookmarkStart w:id="0" w:name="_Toc136081796"/>
      <w:r>
        <w:rPr>
          <w:rFonts w:ascii="Times New Roman" w:hAnsi="Times New Roman" w:cs="Times New Roman"/>
          <w:b/>
          <w:color w:val="000000" w:themeColor="text1"/>
          <w:sz w:val="24"/>
          <w:szCs w:val="24"/>
          <w14:textFill>
            <w14:solidFill>
              <w14:schemeClr w14:val="tx1"/>
            </w14:solidFill>
          </w14:textFill>
        </w:rPr>
        <w:t>Executive summary</w:t>
      </w:r>
      <w:bookmarkEnd w:id="0"/>
    </w:p>
    <w:p>
      <w:pPr>
        <w:spacing w:line="480" w:lineRule="auto"/>
        <w:jc w:val="both"/>
        <w:rPr>
          <w:rFonts w:ascii="Times New Roman" w:hAnsi="Times New Roman" w:cs="Times New Roman"/>
          <w:sz w:val="24"/>
          <w:szCs w:val="24"/>
        </w:rPr>
      </w:pPr>
      <w:r>
        <w:rPr>
          <w:rFonts w:ascii="Times New Roman" w:hAnsi="Times New Roman" w:cs="Times New Roman"/>
          <w:sz w:val="24"/>
          <w:szCs w:val="24"/>
        </w:rPr>
        <w:t>Tesco Company, a large UK retailer, as well as its key success reasons and change management strategies are explored in this study. The study briefly discusses various theories of change management, such as planned and emergent change, before concentrating on how Tesco has utilized these models in its change management initiatives. This highlights how crucial it is to select a change management approach that is appropriate for the scope, complexity, and nature of the change program. The second-to-last section of the essay examines how Tesco effectively transformed its sector by relying on leadership, culture, power dynamics, and other elements. Tesco's capacity to respond to shifting market conditions and maintain competition has been greatly enhanced by its innovative, customer-focused culture, proactive leadership, and embracing of digital change. The problem of change resistance must be resolved for change management to be effective. Tesco's dispute-resolution systems are examined in this essay. These tactics consist of direct and honest communication, employee involvement, addressing concerns and anxieties, establishing partnerships, and publicizing early successes. Evaluation of the efficacy and success of transformation initiatives is required. The study covers important procedures like establishing precise goals and objectives, monitoring key performance indicators, gathering and analysing data, gaining feedback from stakeholders, and evaluating goal achievement. Tesco's concentration on these assessment techniques has allowed them to examine the results of change projects and make the necessary corrections. The report's conclusion highlights Tesco's achievements in change management. Tesco's adaptable culture, assertive leadership, digital transformation initiatives, employee involvement, and market adaptation have helped it become a leader in the retail industry. The insights learned from Tesco's change management experience could be very helpful for organizations trying to manage change effectively.</w:t>
      </w:r>
    </w:p>
    <w:sdt>
      <w:sdtPr>
        <w:rPr>
          <w:rFonts w:asciiTheme="minorHAnsi" w:hAnsiTheme="minorHAnsi" w:eastAsiaTheme="minorHAnsi" w:cstheme="minorBidi"/>
          <w:color w:val="auto"/>
          <w:sz w:val="22"/>
          <w:szCs w:val="22"/>
          <w:lang w:val="en-GB"/>
        </w:rPr>
        <w:id w:val="1375427631"/>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pPr>
            <w:pStyle w:val="14"/>
            <w:jc w:val="center"/>
            <w:rPr>
              <w:rFonts w:ascii="Times New Roman" w:hAnsi="Times New Roman" w:cs="Times New Roman"/>
              <w:b/>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t>Contents</w:t>
          </w:r>
        </w:p>
        <w:p>
          <w:pPr>
            <w:pStyle w:val="6"/>
            <w:tabs>
              <w:tab w:val="right" w:leader="dot" w:pos="9016"/>
            </w:tabs>
            <w:spacing w:line="480" w:lineRule="auto"/>
            <w:jc w:val="both"/>
            <w:rPr>
              <w:rFonts w:ascii="Times New Roman" w:hAnsi="Times New Roman" w:cs="Times New Roman"/>
              <w:sz w:val="24"/>
              <w:szCs w:val="24"/>
            </w:rPr>
          </w:pPr>
          <w:r>
            <w:rPr>
              <w:b/>
              <w:bCs/>
            </w:rPr>
            <w:fldChar w:fldCharType="begin"/>
          </w:r>
          <w:r>
            <w:rPr>
              <w:b/>
              <w:bCs/>
            </w:rPr>
            <w:instrText xml:space="preserve"> TOC \o "1-3" \h \z \u </w:instrText>
          </w:r>
          <w:r>
            <w:rPr>
              <w:b/>
              <w:bCs/>
            </w:rPr>
            <w:fldChar w:fldCharType="separate"/>
          </w:r>
          <w:r>
            <w:fldChar w:fldCharType="begin"/>
          </w:r>
          <w:r>
            <w:instrText xml:space="preserve"> HYPERLINK \l "_Toc136081796" </w:instrText>
          </w:r>
          <w:r>
            <w:fldChar w:fldCharType="separate"/>
          </w:r>
          <w:r>
            <w:rPr>
              <w:rStyle w:val="10"/>
              <w:rFonts w:ascii="Times New Roman" w:hAnsi="Times New Roman" w:cs="Times New Roman"/>
              <w:b/>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_Toc136081796 \h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480" w:lineRule="auto"/>
            <w:jc w:val="both"/>
            <w:rPr>
              <w:rFonts w:ascii="Times New Roman" w:hAnsi="Times New Roman" w:cs="Times New Roman"/>
              <w:sz w:val="24"/>
              <w:szCs w:val="24"/>
            </w:rPr>
          </w:pPr>
          <w:r>
            <w:fldChar w:fldCharType="begin"/>
          </w:r>
          <w:r>
            <w:instrText xml:space="preserve"> HYPERLINK \l "_Toc136081797" </w:instrText>
          </w:r>
          <w:r>
            <w:fldChar w:fldCharType="separate"/>
          </w:r>
          <w:r>
            <w:rPr>
              <w:rStyle w:val="10"/>
              <w:rFonts w:ascii="Times New Roman" w:hAnsi="Times New Roman" w:cs="Times New Roman"/>
              <w:b/>
              <w:sz w:val="24"/>
              <w:szCs w:val="24"/>
            </w:rPr>
            <w:t>1.0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_Toc136081797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480" w:lineRule="auto"/>
            <w:jc w:val="both"/>
            <w:rPr>
              <w:rFonts w:ascii="Times New Roman" w:hAnsi="Times New Roman" w:cs="Times New Roman"/>
              <w:sz w:val="24"/>
              <w:szCs w:val="24"/>
            </w:rPr>
          </w:pPr>
          <w:r>
            <w:fldChar w:fldCharType="begin"/>
          </w:r>
          <w:r>
            <w:instrText xml:space="preserve"> HYPERLINK \l "_Toc136081798" </w:instrText>
          </w:r>
          <w:r>
            <w:fldChar w:fldCharType="separate"/>
          </w:r>
          <w:r>
            <w:rPr>
              <w:rStyle w:val="10"/>
              <w:rFonts w:ascii="Times New Roman" w:hAnsi="Times New Roman" w:cs="Times New Roman"/>
              <w:b/>
              <w:sz w:val="24"/>
              <w:szCs w:val="24"/>
            </w:rPr>
            <w:t>2.0 Brief company background</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_Toc136081798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480" w:lineRule="auto"/>
            <w:jc w:val="both"/>
            <w:rPr>
              <w:rFonts w:ascii="Times New Roman" w:hAnsi="Times New Roman" w:cs="Times New Roman"/>
              <w:sz w:val="24"/>
              <w:szCs w:val="24"/>
            </w:rPr>
          </w:pPr>
          <w:r>
            <w:fldChar w:fldCharType="begin"/>
          </w:r>
          <w:r>
            <w:instrText xml:space="preserve"> HYPERLINK \l "_Toc136081799" </w:instrText>
          </w:r>
          <w:r>
            <w:fldChar w:fldCharType="separate"/>
          </w:r>
          <w:r>
            <w:rPr>
              <w:rStyle w:val="10"/>
              <w:rFonts w:ascii="Times New Roman" w:hAnsi="Times New Roman" w:cs="Times New Roman"/>
              <w:b/>
              <w:sz w:val="24"/>
              <w:szCs w:val="24"/>
            </w:rPr>
            <w:t>3.0 Key change management models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_Toc136081799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480" w:lineRule="auto"/>
            <w:jc w:val="both"/>
            <w:rPr>
              <w:rFonts w:ascii="Times New Roman" w:hAnsi="Times New Roman" w:cs="Times New Roman"/>
              <w:sz w:val="24"/>
              <w:szCs w:val="24"/>
            </w:rPr>
          </w:pPr>
          <w:r>
            <w:fldChar w:fldCharType="begin"/>
          </w:r>
          <w:r>
            <w:instrText xml:space="preserve"> HYPERLINK \l "_Toc136081800" </w:instrText>
          </w:r>
          <w:r>
            <w:fldChar w:fldCharType="separate"/>
          </w:r>
          <w:r>
            <w:rPr>
              <w:rStyle w:val="10"/>
              <w:rFonts w:ascii="Times New Roman" w:hAnsi="Times New Roman" w:cs="Times New Roman"/>
              <w:b/>
              <w:sz w:val="24"/>
              <w:szCs w:val="24"/>
            </w:rPr>
            <w:t>3.1 Planned change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_Toc136081800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480" w:lineRule="auto"/>
            <w:jc w:val="both"/>
            <w:rPr>
              <w:rFonts w:ascii="Times New Roman" w:hAnsi="Times New Roman" w:cs="Times New Roman"/>
              <w:sz w:val="24"/>
              <w:szCs w:val="24"/>
            </w:rPr>
          </w:pPr>
          <w:r>
            <w:fldChar w:fldCharType="begin"/>
          </w:r>
          <w:r>
            <w:instrText xml:space="preserve"> HYPERLINK \l "_Toc136081801" </w:instrText>
          </w:r>
          <w:r>
            <w:fldChar w:fldCharType="separate"/>
          </w:r>
          <w:r>
            <w:rPr>
              <w:rStyle w:val="10"/>
              <w:rFonts w:ascii="Times New Roman" w:hAnsi="Times New Roman" w:cs="Times New Roman"/>
              <w:b/>
              <w:sz w:val="24"/>
              <w:szCs w:val="24"/>
            </w:rPr>
            <w:t>3.2 Emergent change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_Toc136081801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480" w:lineRule="auto"/>
            <w:jc w:val="both"/>
            <w:rPr>
              <w:rFonts w:ascii="Times New Roman" w:hAnsi="Times New Roman" w:cs="Times New Roman"/>
              <w:sz w:val="24"/>
              <w:szCs w:val="24"/>
            </w:rPr>
          </w:pPr>
          <w:r>
            <w:fldChar w:fldCharType="begin"/>
          </w:r>
          <w:r>
            <w:instrText xml:space="preserve"> HYPERLINK \l "_Toc136081802" </w:instrText>
          </w:r>
          <w:r>
            <w:fldChar w:fldCharType="separate"/>
          </w:r>
          <w:r>
            <w:rPr>
              <w:rStyle w:val="10"/>
              <w:rFonts w:ascii="Times New Roman" w:hAnsi="Times New Roman" w:cs="Times New Roman"/>
              <w:b/>
              <w:sz w:val="24"/>
              <w:szCs w:val="24"/>
            </w:rPr>
            <w:t>4.0 How the change models can be utilised</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_Toc136081802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480" w:lineRule="auto"/>
            <w:jc w:val="both"/>
            <w:rPr>
              <w:rFonts w:ascii="Times New Roman" w:hAnsi="Times New Roman" w:cs="Times New Roman"/>
              <w:sz w:val="24"/>
              <w:szCs w:val="24"/>
            </w:rPr>
          </w:pPr>
          <w:r>
            <w:fldChar w:fldCharType="begin"/>
          </w:r>
          <w:r>
            <w:instrText xml:space="preserve"> HYPERLINK \l "_Toc136081803" </w:instrText>
          </w:r>
          <w:r>
            <w:fldChar w:fldCharType="separate"/>
          </w:r>
          <w:r>
            <w:rPr>
              <w:rStyle w:val="10"/>
              <w:rFonts w:ascii="Times New Roman" w:hAnsi="Times New Roman" w:cs="Times New Roman"/>
              <w:b/>
              <w:sz w:val="24"/>
              <w:szCs w:val="24"/>
            </w:rPr>
            <w:t>5.0 Driver factors for change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_Toc136081803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480" w:lineRule="auto"/>
            <w:jc w:val="both"/>
            <w:rPr>
              <w:rFonts w:ascii="Times New Roman" w:hAnsi="Times New Roman" w:cs="Times New Roman"/>
              <w:sz w:val="24"/>
              <w:szCs w:val="24"/>
            </w:rPr>
          </w:pPr>
          <w:r>
            <w:fldChar w:fldCharType="begin"/>
          </w:r>
          <w:r>
            <w:instrText xml:space="preserve"> HYPERLINK \l "_Toc136081804" </w:instrText>
          </w:r>
          <w:r>
            <w:fldChar w:fldCharType="separate"/>
          </w:r>
          <w:r>
            <w:rPr>
              <w:rStyle w:val="10"/>
              <w:rFonts w:ascii="Times New Roman" w:hAnsi="Times New Roman" w:cs="Times New Roman"/>
              <w:b/>
              <w:sz w:val="24"/>
              <w:szCs w:val="24"/>
            </w:rPr>
            <w:t>6.0 Resistance factors to change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_Toc136081804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480" w:lineRule="auto"/>
            <w:jc w:val="both"/>
            <w:rPr>
              <w:rFonts w:ascii="Times New Roman" w:hAnsi="Times New Roman" w:cs="Times New Roman"/>
              <w:sz w:val="24"/>
              <w:szCs w:val="24"/>
            </w:rPr>
          </w:pPr>
          <w:r>
            <w:fldChar w:fldCharType="begin"/>
          </w:r>
          <w:r>
            <w:instrText xml:space="preserve"> HYPERLINK \l "_Toc136081805" </w:instrText>
          </w:r>
          <w:r>
            <w:fldChar w:fldCharType="separate"/>
          </w:r>
          <w:r>
            <w:rPr>
              <w:rStyle w:val="10"/>
              <w:rFonts w:ascii="Times New Roman" w:hAnsi="Times New Roman" w:cs="Times New Roman"/>
              <w:b/>
              <w:sz w:val="24"/>
              <w:szCs w:val="24"/>
            </w:rPr>
            <w:t>7.0 Change in program and its effectiveness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_Toc136081805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480" w:lineRule="auto"/>
            <w:jc w:val="both"/>
            <w:rPr>
              <w:rFonts w:ascii="Times New Roman" w:hAnsi="Times New Roman" w:cs="Times New Roman"/>
              <w:sz w:val="24"/>
              <w:szCs w:val="24"/>
            </w:rPr>
          </w:pPr>
          <w:r>
            <w:fldChar w:fldCharType="begin"/>
          </w:r>
          <w:r>
            <w:instrText xml:space="preserve"> HYPERLINK \l "_Toc136081806" </w:instrText>
          </w:r>
          <w:r>
            <w:fldChar w:fldCharType="separate"/>
          </w:r>
          <w:r>
            <w:rPr>
              <w:rStyle w:val="10"/>
              <w:rFonts w:ascii="Times New Roman" w:hAnsi="Times New Roman" w:cs="Times New Roman"/>
              <w:b/>
              <w:sz w:val="24"/>
              <w:szCs w:val="24"/>
            </w:rPr>
            <w:t>8.0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_Toc136081806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480" w:lineRule="auto"/>
            <w:jc w:val="both"/>
          </w:pPr>
          <w:r>
            <w:fldChar w:fldCharType="begin"/>
          </w:r>
          <w:r>
            <w:instrText xml:space="preserve"> HYPERLINK \l "_Toc136081807" </w:instrText>
          </w:r>
          <w:r>
            <w:fldChar w:fldCharType="separate"/>
          </w:r>
          <w:r>
            <w:rPr>
              <w:rStyle w:val="10"/>
              <w:rFonts w:ascii="Times New Roman" w:hAnsi="Times New Roman" w:cs="Times New Roman"/>
              <w:b/>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_Toc136081807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r>
            <w:rPr>
              <w:b/>
              <w:bCs/>
            </w:rPr>
            <w:fldChar w:fldCharType="end"/>
          </w:r>
        </w:p>
      </w:sdtContent>
    </w:sdt>
    <w:p>
      <w:pPr>
        <w:spacing w:line="480" w:lineRule="auto"/>
        <w:jc w:val="both"/>
        <w:rPr>
          <w:rFonts w:ascii="Times New Roman" w:hAnsi="Times New Roman" w:cs="Times New Roman"/>
          <w:sz w:val="24"/>
          <w:szCs w:val="24"/>
        </w:rPr>
      </w:pPr>
    </w:p>
    <w:p>
      <w:pPr>
        <w:rPr>
          <w:rFonts w:eastAsiaTheme="majorEastAsia"/>
        </w:rPr>
      </w:pPr>
      <w:r>
        <w:br w:type="page"/>
      </w:r>
    </w:p>
    <w:p>
      <w:pPr>
        <w:pStyle w:val="2"/>
        <w:spacing w:line="480" w:lineRule="auto"/>
        <w:jc w:val="left"/>
        <w:rPr>
          <w:rFonts w:ascii="Times New Roman" w:hAnsi="Times New Roman" w:cs="Times New Roman"/>
          <w:b/>
          <w:color w:val="000000" w:themeColor="text1"/>
          <w:sz w:val="28"/>
          <w:szCs w:val="28"/>
          <w14:textFill>
            <w14:solidFill>
              <w14:schemeClr w14:val="tx1"/>
            </w14:solidFill>
          </w14:textFill>
        </w:rPr>
      </w:pPr>
      <w:bookmarkStart w:id="1" w:name="_Toc136081797"/>
      <w:r>
        <w:rPr>
          <w:rFonts w:ascii="Times New Roman" w:hAnsi="Times New Roman" w:cs="Times New Roman"/>
          <w:b/>
          <w:color w:val="000000" w:themeColor="text1"/>
          <w:sz w:val="28"/>
          <w:szCs w:val="28"/>
          <w14:textFill>
            <w14:solidFill>
              <w14:schemeClr w14:val="tx1"/>
            </w14:solidFill>
          </w14:textFill>
        </w:rPr>
        <w:t>1.0 Introduction</w:t>
      </w:r>
      <w:bookmarkEnd w:id="1"/>
    </w:p>
    <w:p>
      <w:pPr>
        <w:spacing w:line="480" w:lineRule="auto"/>
        <w:jc w:val="both"/>
        <w:rPr>
          <w:rFonts w:ascii="Times New Roman" w:hAnsi="Times New Roman" w:cs="Times New Roman"/>
          <w:sz w:val="24"/>
          <w:szCs w:val="24"/>
        </w:rPr>
      </w:pPr>
      <w:r>
        <w:rPr>
          <w:rFonts w:ascii="Times New Roman" w:hAnsi="Times New Roman" w:cs="Times New Roman"/>
          <w:sz w:val="24"/>
          <w:szCs w:val="24"/>
        </w:rPr>
        <w:t>Organisations must embrace change if they want to remain competitive and resilient in the face of constantly changing global issues (Babar &amp; Habib, 2020). The purpose of this article is to assist Tesco Company, a significant UK retailer that has recently started a significant change project, by acting as a designated change agent and providing direction. This study intends to assess several areas of change and analyse significant barriers using an appropriate change management framework, with a focus on the anticipated effects of the post-pandemic and Brexit era on Tesco's future business. As the company navigates these particular times, it is vital to consider the effects of these occurrences and to create workable plans to adjust to the shifting environment (Sarkar, 2021). By understanding the complexities of change management and how they will affect Tesco's future operations, this essay intends to provide incisive analysis and recommendations for the company's sustained success (Mansaray, 2019).</w:t>
      </w:r>
    </w:p>
    <w:p>
      <w:pPr>
        <w:pStyle w:val="2"/>
        <w:spacing w:line="480" w:lineRule="auto"/>
        <w:jc w:val="left"/>
        <w:rPr>
          <w:rFonts w:ascii="Times New Roman" w:hAnsi="Times New Roman" w:cs="Times New Roman"/>
          <w:b/>
          <w:color w:val="000000" w:themeColor="text1"/>
          <w:sz w:val="28"/>
          <w:szCs w:val="28"/>
          <w14:textFill>
            <w14:solidFill>
              <w14:schemeClr w14:val="tx1"/>
            </w14:solidFill>
          </w14:textFill>
        </w:rPr>
      </w:pPr>
      <w:bookmarkStart w:id="2" w:name="_Toc136081798"/>
      <w:r>
        <w:rPr>
          <w:rFonts w:ascii="Times New Roman" w:hAnsi="Times New Roman" w:cs="Times New Roman"/>
          <w:b/>
          <w:color w:val="000000" w:themeColor="text1"/>
          <w:sz w:val="28"/>
          <w:szCs w:val="28"/>
          <w14:textFill>
            <w14:solidFill>
              <w14:schemeClr w14:val="tx1"/>
            </w14:solidFill>
          </w14:textFill>
        </w:rPr>
        <w:t>2.0 Brief company background</w:t>
      </w:r>
      <w:bookmarkEnd w:id="2"/>
    </w:p>
    <w:p>
      <w:pPr>
        <w:spacing w:line="480" w:lineRule="auto"/>
        <w:jc w:val="both"/>
        <w:rPr>
          <w:rFonts w:ascii="Times New Roman" w:hAnsi="Times New Roman" w:cs="Times New Roman"/>
          <w:sz w:val="24"/>
          <w:szCs w:val="24"/>
        </w:rPr>
      </w:pPr>
      <w:r>
        <w:rPr>
          <w:rFonts w:ascii="Times New Roman" w:hAnsi="Times New Roman" w:cs="Times New Roman"/>
          <w:sz w:val="24"/>
          <w:szCs w:val="24"/>
        </w:rPr>
        <w:t>One of the biggest and most recognisable retail companies in the world is Tesco Company, with its headquarters in the UK. Tesco has expanded from a humble market stall in London to a major participant in international retail, operating in more than 10 nations, since its founding in 1919. Tesco has focused on offering high-quality products and services at competitive rates, earning a reputation for comfort and client happiness (Tesco Company, 2023).</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Tesco recently experienced major adjustments as a result of various circumstances. The environment that is fast changing for the retail industry has been one of the main forces behind change. Tesco must alter its business strategy in light of the expanding influence of e-commerce and other technical issues. To remain relevant and competitive in the digital age, the company has improved its web presence, customer experience, and supply chain practises. Tesco has also encountered outside problems that necessitate organisational transformation. Tesco has modified its business practises as a result of the global COVID-19 outbreak's severe negative effects on the retail sector (Tyagi, 2023). This is done to safeguard both clients and workers. Tesco has had to make considerable modifications as a result of the United Kingdom's exit from the European Union, or Brexit, which has heightened regulatory barriers and trade uncertainty, in order to prevent any disruptions to its supply chain and global operations (Reuters, 2023).</w:t>
      </w:r>
    </w:p>
    <w:p>
      <w:pPr>
        <w:pStyle w:val="2"/>
        <w:spacing w:line="480" w:lineRule="auto"/>
        <w:jc w:val="left"/>
        <w:rPr>
          <w:rFonts w:ascii="Times New Roman" w:hAnsi="Times New Roman" w:cs="Times New Roman"/>
          <w:b/>
          <w:color w:val="000000" w:themeColor="text1"/>
          <w:sz w:val="28"/>
          <w:szCs w:val="28"/>
          <w14:textFill>
            <w14:solidFill>
              <w14:schemeClr w14:val="tx1"/>
            </w14:solidFill>
          </w14:textFill>
        </w:rPr>
      </w:pPr>
      <w:bookmarkStart w:id="3" w:name="_Toc136081799"/>
      <w:r>
        <w:rPr>
          <w:rFonts w:ascii="Times New Roman" w:hAnsi="Times New Roman" w:cs="Times New Roman"/>
          <w:b/>
          <w:color w:val="000000" w:themeColor="text1"/>
          <w:sz w:val="28"/>
          <w:szCs w:val="28"/>
          <w14:textFill>
            <w14:solidFill>
              <w14:schemeClr w14:val="tx1"/>
            </w14:solidFill>
          </w14:textFill>
        </w:rPr>
        <w:t>3.0 Key change management models</w:t>
      </w:r>
      <w:bookmarkEnd w:id="3"/>
    </w:p>
    <w:p>
      <w:pPr>
        <w:spacing w:line="480" w:lineRule="auto"/>
        <w:jc w:val="both"/>
        <w:rPr>
          <w:rFonts w:ascii="Times New Roman" w:hAnsi="Times New Roman" w:cs="Times New Roman"/>
          <w:sz w:val="24"/>
          <w:szCs w:val="24"/>
        </w:rPr>
      </w:pPr>
      <w:r>
        <w:rPr>
          <w:rFonts w:ascii="Times New Roman" w:hAnsi="Times New Roman" w:cs="Times New Roman"/>
          <w:sz w:val="24"/>
          <w:szCs w:val="24"/>
        </w:rPr>
        <w:t>Companies need transition management strategies in order to grow and be supported during times of change. Two popular change management techniques are planned change and emergent change (Almoaber &amp; Amyot, 2021). Before applying the research to Tesco Company, which has just undergone major upheaval, this essay critically assesses these models.</w:t>
      </w:r>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4" w:name="_Toc136081800"/>
      <w:r>
        <w:rPr>
          <w:rFonts w:ascii="Times New Roman" w:hAnsi="Times New Roman" w:cs="Times New Roman"/>
          <w:b/>
          <w:color w:val="000000" w:themeColor="text1"/>
          <w:sz w:val="24"/>
          <w:szCs w:val="24"/>
          <w14:textFill>
            <w14:solidFill>
              <w14:schemeClr w14:val="tx1"/>
            </w14:solidFill>
          </w14:textFill>
        </w:rPr>
        <w:t>3.1 Planned change</w:t>
      </w:r>
      <w:bookmarkEnd w:id="4"/>
      <w:r>
        <w:rPr>
          <w:rFonts w:ascii="Times New Roman" w:hAnsi="Times New Roman" w:cs="Times New Roman"/>
          <w:b/>
          <w:color w:val="000000" w:themeColor="text1"/>
          <w:sz w:val="24"/>
          <w:szCs w:val="24"/>
          <w14:textFill>
            <w14:solidFill>
              <w14:schemeClr w14:val="tx1"/>
            </w14:solidFill>
          </w14:textFill>
        </w:rPr>
        <w:t xml:space="preserve"> </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planned change paradigm, which emphasises a methodical and controlled approach to change, occasionally associates Kurt Lewin's work with it. It calls for a set of procedures that begin with the present state being unfrozen, continue with the intended modification, and finally refreeze the new state (Hanelt et al., 2020). The paradigm operates under the premise that change can be anticipated, planned for, and managed. The volatility and unpredictable nature of evolving events in the real world, however, could occasionally make this linear approach inapplicable (Piccoli et al., 2020).</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Tesco's shift is a remarkable example of the planned change paradigm. In light of the changing retail landscape and the expanding influence of technology, Tesco understood the significance of digital transformation. The business put into effect a number of planned changes, including enhancing supply chain procedures, expanding its web presence, and enhancing the user experience through technology (Ausloos, 2020). Tesco employed a systematic approach, focusing its transformative operations through market research, data analysis, and strategic planning. Recognising that not every change can be fully predicted or handled is crucial (Bellantuono et al., 2021).</w:t>
      </w:r>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5" w:name="_Toc136081801"/>
      <w:r>
        <w:rPr>
          <w:rFonts w:ascii="Times New Roman" w:hAnsi="Times New Roman" w:cs="Times New Roman"/>
          <w:b/>
          <w:color w:val="000000" w:themeColor="text1"/>
          <w:sz w:val="24"/>
          <w:szCs w:val="24"/>
          <w14:textFill>
            <w14:solidFill>
              <w14:schemeClr w14:val="tx1"/>
            </w14:solidFill>
          </w14:textFill>
        </w:rPr>
        <w:t>3.2 Emergent change</w:t>
      </w:r>
      <w:bookmarkEnd w:id="5"/>
      <w:r>
        <w:rPr>
          <w:rFonts w:ascii="Times New Roman" w:hAnsi="Times New Roman" w:cs="Times New Roman"/>
          <w:b/>
          <w:color w:val="000000" w:themeColor="text1"/>
          <w:sz w:val="24"/>
          <w:szCs w:val="24"/>
          <w14:textFill>
            <w14:solidFill>
              <w14:schemeClr w14:val="tx1"/>
            </w14:solidFill>
          </w14:textFill>
        </w:rPr>
        <w:t xml:space="preserve"> </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the emergent change paradigm, transformation is frequently brought on by complicated interactions between an organisation and its surroundings. According to this theory, change can occur as a result of exploration, adaptation, and learning and need not always be the result of deliberate planning. It highlights how crucial responsiveness, agility, and flexibility are while managing change (Zheng et al., 2019).</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experience at Tesco supports the concept of emergent change. The corporation has to respond quickly and react to external threats like the COVID-19 outbreak and Brexit. Tesco was forced to make swift adjustments to its operating practises to protect its patrons and staff, using security measures like social distance protocols and contactless payment methods (Silva et al., 2021). Due to the legal difficulties and trade uncertainties brought on by Brexit, Tesco was also required to negotiate new developments in order to prevent any disruptions to its supply chain and its global operations. The emergent change model underlines the necessity for agility and adaptability in a continually changing environment, while the planned change model emphasises structure and control (Partridge, 2020). Tesco's success may be attributed to its capacity to achieve a balance between these two points of view. In responding to unforeseen circumstances and unexpected events as part of its planned improvements to speed up its digital transition, the company shown flexibility and adaptability. The effectiveness of change management is reliant on a thorough understanding of the benefits and limitations of various models, as well as their appropriate application in different situations (Ausloos, 2020). The planned change model provides a systematic methodology for initiating and managing change, while the emergent change model emphasises the importance of being adaptable and flexible. For corporations like Tesco to effectively operate in intricate and ever-changing contexts, it is crucial that they possess the capacity to adapt to anticipated and unanticipated modifications (Birney, 2021).</w:t>
      </w:r>
    </w:p>
    <w:p>
      <w:pPr>
        <w:pStyle w:val="2"/>
        <w:spacing w:line="480" w:lineRule="auto"/>
        <w:jc w:val="left"/>
        <w:rPr>
          <w:rFonts w:ascii="Times New Roman" w:hAnsi="Times New Roman" w:cs="Times New Roman"/>
          <w:b/>
          <w:color w:val="000000" w:themeColor="text1"/>
          <w:sz w:val="28"/>
          <w:szCs w:val="28"/>
          <w14:textFill>
            <w14:solidFill>
              <w14:schemeClr w14:val="tx1"/>
            </w14:solidFill>
          </w14:textFill>
        </w:rPr>
      </w:pPr>
      <w:bookmarkStart w:id="6" w:name="_Toc136081802"/>
      <w:r>
        <w:rPr>
          <w:rFonts w:ascii="Times New Roman" w:hAnsi="Times New Roman" w:cs="Times New Roman"/>
          <w:b/>
          <w:color w:val="000000" w:themeColor="text1"/>
          <w:sz w:val="28"/>
          <w:szCs w:val="28"/>
          <w14:textFill>
            <w14:solidFill>
              <w14:schemeClr w14:val="tx1"/>
            </w14:solidFill>
          </w14:textFill>
        </w:rPr>
        <w:t>4.0 How the change models can be utilised</w:t>
      </w:r>
      <w:bookmarkEnd w:id="6"/>
    </w:p>
    <w:p>
      <w:pPr>
        <w:spacing w:line="480" w:lineRule="auto"/>
        <w:jc w:val="both"/>
        <w:rPr>
          <w:rFonts w:ascii="Times New Roman" w:hAnsi="Times New Roman" w:cs="Times New Roman"/>
          <w:sz w:val="24"/>
          <w:szCs w:val="24"/>
        </w:rPr>
      </w:pPr>
      <w:r>
        <w:rPr>
          <w:rFonts w:ascii="Times New Roman" w:hAnsi="Times New Roman" w:cs="Times New Roman"/>
          <w:sz w:val="24"/>
          <w:szCs w:val="24"/>
        </w:rPr>
        <w:t>Both planned change and emergent change models can be applied to incremental and large-scale change initiatives, albeit with distinct methodologies. The effectiveness of said models may be appropriately evaluated through an analysis of Tesco Company as a notable case study. Over the course of its history, Tesco has experienced both gradual modifications, such as enhancements in its operational processes, and profound alterations, such as the implementation of digital advancements and the adjustment to external influences (Nilsen &amp; Bernhardsson, 2019).</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planned change model is a feasible approach for implementing incremental alterations. The model utilises a systematic methodology to guarantee that any modifications, no matter how small, are meticulously strategized, executed, and assessed. According to the research by (ltd, 2021), the model has been employed by Tesco to facilitate the attainment of continuous improvements in its operational procedures. The organisation has adopted lean management methodologies to optimise efficacy and minimise inefficiencies within its supply chain. Tesco conducted a methodical examination to identify areas requiring enhancement, formulated strategies for action, and executed modifications in a regulated fashion (Li et al., 2019). By employing the planned change model, Tesco was able to methodically enhance its operations, leading to reduced expenses, enhanced efficiency, and increased customer contentment.</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implementation of comprehensive change initiatives necessitates a malleable and versatile approach, thereby rendering the emergent change model considerably pertinent in contrast. The digitalization process undertaken by Tesco can be considered as a paradigmatic example for this particular model (Abbas, 2023). Tesco acknowledged the necessity of adjusting to the constantly shifting retail environment and developing consumer demands. As a result, the company implemented proactive strategies to adopt emerging trends and maintain a competitive edge. The establishment nurtured a milieu that prioritised trial and error, ingenuity, and the attainment of erudition. The company cultivated a work environment that motivated its staff to pursue novel concepts and advancements, thereby imbuing them with a sense of authority and superiority (Lim &amp; Winkenbach, 2018).</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the research by (Alumni, 2021), the digital transformation of Tesco involved various emerging developments, such as the amplification of its virtual footprint, the assimilation of innovative technologies, and the enhancement of customer satisfaction through customised suggestions and expedient delivery options. The aforementioned alterations were a consequence of Tesco's response to market dynamics, consumer preferences, and technological advancements. Tesco has made a significant impact in the field of online retail by carefully choosing its posture (ltd, 2022). The business has shown a noteworthy degree of agility and adaptation while also successfully using new prospects. Tesco's reaction to outside circumstances like the COVID-19 outbreak and Brexit serves as an example of how the emergent change concept is applied. Tesco swiftly modified its operational strategies in response to the epidemic, placing a priority on the health and safety of its patrons and employees. The organisation made last-minute adjustments like adding social distance measures, tightening cleanliness protocols, and quickly enhancing its digital distribution capabilities. The aforementioned changes were implemented as a response of the pandemic's exceptional difficulties, emphasising the value of flexibility and tenacity. Tesco made quick adjustments in reaction to the Brexit situation to reduce the risk of disruptions to its worldwide operations and supply chain (Kraus et al., 2022).</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corporation demonstrated a proactive stance by closely monitoring the ever-changing regulatory landscape and emerging trade barriers, and adjusting its strategies accordingly. In response to the uncertainties stemming from Brexit, the company undertook various measures such as collaborating with suppliers, exploring alternative sourcing strategies, and optimising its distribution channels (Rêgo et al., 2021). Tesco demonstrated a high level of proficiency in managing the impact of Brexit by adapting to the evolving conditions in a flexible manner, thereby guaranteeing uninterrupted provision of products and services to its clientele.</w:t>
      </w:r>
    </w:p>
    <w:p>
      <w:pPr>
        <w:pStyle w:val="2"/>
        <w:spacing w:line="480" w:lineRule="auto"/>
        <w:jc w:val="left"/>
        <w:rPr>
          <w:rFonts w:ascii="Times New Roman" w:hAnsi="Times New Roman" w:cs="Times New Roman"/>
          <w:b/>
          <w:color w:val="000000" w:themeColor="text1"/>
          <w:sz w:val="28"/>
          <w:szCs w:val="28"/>
          <w14:textFill>
            <w14:solidFill>
              <w14:schemeClr w14:val="tx1"/>
            </w14:solidFill>
          </w14:textFill>
        </w:rPr>
      </w:pPr>
      <w:bookmarkStart w:id="7" w:name="_Toc136081803"/>
      <w:r>
        <w:rPr>
          <w:rFonts w:ascii="Times New Roman" w:hAnsi="Times New Roman" w:cs="Times New Roman"/>
          <w:b/>
          <w:color w:val="000000" w:themeColor="text1"/>
          <w:sz w:val="28"/>
          <w:szCs w:val="28"/>
          <w14:textFill>
            <w14:solidFill>
              <w14:schemeClr w14:val="tx1"/>
            </w14:solidFill>
          </w14:textFill>
        </w:rPr>
        <w:t>5.0 Driver factors for change</w:t>
      </w:r>
      <w:bookmarkEnd w:id="7"/>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retail industry has undergone significant transformations due to a range of influential factors. The influential entity, Tesco, has also experienced the effects of the aforementioned factors within this particular sector. The aforementioned factors encompass culture, leadership, power dynamics, digitalization, and competition (Kiesnere &amp; Baumgartner, 2019). Gaining comprehension of the determinants that impact alteration within Tesco offers significant perspectives into the corporation's capacity to adjust and maintain its competitive stance in a swiftly developing sector.</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influence of culture is a crucial element in instigating organisational change. The corporate culture of Tesco places emphasis on customer-centricity, innovation, and continuous improvement. The observation has been made that the cultural environment plays a significant role in cultivating a mind-set that is marked by adaptability and malleability (Gutiérrez-Iñiguez et al., 2023). Tesco fosters a corporate culture that promotes the integration of novel concepts, questions conventional practises, and investigates innovative approaches to augment customer satisfaction, thereby motivating its workforce to exhibit greater creativity and foresight. Tesco fosters a corporate culture that emphasises innovation and experimentation, thereby establishing a conducive atmosphere that empowers its staff to spearhead constructive transformations within the company (Kiesnere &amp; Baumgartner, 2019).</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importance of proficient leadership in initiating substantial alterations within Tesco is of utmost significance. The leadership of the company has established a precedent for the organisation by demonstrating a proactive approach towards change. The significance of executing strategic modifications, including digital transformation, has been acknowledged by the leadership of Tesco, who have demonstrated proactive backing for these endeavours (McKimm et al., 2022). The leadership has effectively conveyed the intended transformative objectives, allocated the requisite resources and assistance, and incentivized the workforce to adopt and facilitate the transition (Davila Delgado et al., 2020). The effective execution of change initiatives across Tesco can be attributed to the leadership's establishment of a culture that fosters collaboration and empowerment.</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transformational process that has been observed within Tesco can be attributed to the power dynamics that are at play. In a sizeable corporation, power distribution is dispersed among multiple levels and functional departments. The promotion of change can be facilitated by utilising the power and influence held by key stakeholders or influential individuals within the organisation, who possess an understanding of the imperative nature of change (Rosenhead et al., 2019). The recognition of digitalization's significance and potential advantages by senior management can facilitate organisational transformation through their endorsement and promotion. Granting frontline employees the authority to make decisions and implement changes at their level can result in gradual enhancements that ultimately facilitate organisational transformation (Davila Delgado et al., 2020).</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digital transformation of the retail sector has significantly changed the sector. Tesco has gone above and above to implement this change. Tesco has adopted digital technologies as a result of the expansion of e-commerce, technical developments, and shifting consumer preferences. The company has devoted resources to digital platforms, mobile applications, and data analysis in order to improve customer satisfaction and optimise operational processes. The implementation of digitalization has facilitated Tesco in customising its product and service offerings, streamlining its supply chain operations, and acquiring significant knowledge regarding consumer behaviour (Davila Delgado et al., 2020). Tesco has successfully executed a restructuring of its business model and responded to evolving customer demands and expectations by incorporating digital technology.</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presence of competitive pressures is a crucial factor in initiating transformative processes within Tesco. The retail sector is characterised by a significant degree of rivalry, as both brick-and-mortar and e-commerce vendors compete for a portion of the market. In order to sustain its position as a prominent market contender, Tesco must consistently incorporate innovative and progressive methodologies (Antonizzi &amp; Smuts, 2020). Tesco is compelled to investigate strategies for distinguishing itself, enhancing its offerings and services, and augmenting patronage due to the existence of formidable rivals. In response to market dynamics and competitors' actions, Tesco has implemented innovative strategies, allocated resources towards technological advancements, and pursued opportunities for growth and expansion (Vuksanović Herceg et al., 2020).</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It is imperative to acknowledge that the catalysts of transformation mentioned above are interrelated and frequently exhibit mutual influence. An organisational culture that exhibits resilience and adaptability can facilitate effective leadership, empowering leaders to effectively navigate power dynamics and respond to competitive pressures by driving digital transformation. Skilled leadership has the ability to strengthen and mould the culture of an organisation by utilising power dynamics that are inherent within it. This can expedite the process of change and enable the organisation to take advantage of the benefits of digitalization and competition (Vuksanović Herceg et al., 2020).</w:t>
      </w:r>
    </w:p>
    <w:p>
      <w:pPr>
        <w:pStyle w:val="2"/>
        <w:spacing w:line="480" w:lineRule="auto"/>
        <w:jc w:val="left"/>
        <w:rPr>
          <w:rFonts w:ascii="Times New Roman" w:hAnsi="Times New Roman" w:cs="Times New Roman"/>
          <w:b/>
          <w:color w:val="000000" w:themeColor="text1"/>
          <w:sz w:val="28"/>
          <w:szCs w:val="28"/>
          <w14:textFill>
            <w14:solidFill>
              <w14:schemeClr w14:val="tx1"/>
            </w14:solidFill>
          </w14:textFill>
        </w:rPr>
      </w:pPr>
      <w:bookmarkStart w:id="8" w:name="_Toc136081804"/>
      <w:r>
        <w:rPr>
          <w:rFonts w:ascii="Times New Roman" w:hAnsi="Times New Roman" w:cs="Times New Roman"/>
          <w:b/>
          <w:color w:val="000000" w:themeColor="text1"/>
          <w:sz w:val="28"/>
          <w:szCs w:val="28"/>
          <w14:textFill>
            <w14:solidFill>
              <w14:schemeClr w14:val="tx1"/>
            </w14:solidFill>
          </w14:textFill>
        </w:rPr>
        <w:t>6.0 Resistance factors to change</w:t>
      </w:r>
      <w:bookmarkEnd w:id="8"/>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effective identification and management of resistance factors to change are crucial for the success of change initiatives, especially for Tesco Company representatives. The phenomenon of resistance to change is frequently observed and can arise from various sources within the organisational framework. Several strategies could be employed to alleviate resistance and facilitate smooth transitions.</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My main goal is to improve the promotion of clear and efficient communication. The importance of proficient communication in handling opposition lies in its capacity to enhance understanding, promote assurance, and regulate expectations. The need for the intended change, any potential advantages, and the anticipated effects on both people and the organisation as a whole must be sufficiently justified (Harrison et al., 2021). Regular workforce updates and interaction opportunities are expected to promote a positive work environment where employees feel free to express their concerns, ask questions, and offer feedback. The implementation of this strategy possesses the capability to alleviate vagueness and reduce resistance that could emerge from misconstrues or inadequate understanding (Kneeshaw et al., 2021).</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One viable strategy that could be employed is to involve the employees during the implementation of organisational change. Resistance often arises when individuals perceive that changes are being imposed on them without their active involvement. The cultivation of a sense of ownership and commitment among the workforce can be achieved through the implementation of participatory decision-making processes, active solicitation of employee feedback, and effective resolution of their concerns (Akbar et al., 2019). A viable strategy to attain this goal could involve utilising diverse methodologies such as conducting focus groups, administering employee surveys, or organising town hall meetings (Kneeshaw et al., 2021). The integration of these communication channels would facilitate the expression of personnel's perspectives, provision of suggestions, and engagement in the process of organisational transformation. The incorporation of stakeholder perspectives can potentially mitigate resistance and facilitate the implementation of proposed modifications.</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Overcoming opposition requires the essential task of addressing any trepidation towards unfamiliar situations. The phenomenon of change can evoke emotions of anxiety and discomfort with respect to an individual's employment security, modifications in duties, or unfamiliar protocols. To mitigate these issues, it is suggested that employees receive adequate training and support to develop the necessary skills and knowledge to adapt to new work methodologies (Freiberg &amp; Felden, 2019). One possible strategy to equip employees with the requisite skills and resources to thrive in the dynamic work environment is to introduce training programmes, workshops, and coaching sessions. Additionally, it is advisable to encourage cross-disciplinary collaboration and foster a milieu that places emphasis on learning and progress, underscoring the opportunities for personal and professional growth that come with transformation (Dusfour et al., 2019).</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To address potential resistance stemming from power differentials or political factors within an organisation, it would be advisable to establish coalitions and secure support from influential stakeholders. By conducting a stakeholder analysis to identify influential individuals who may hold reservations or concerns about the proposed change, I would initiate personalised dialogues with them in order to gain a deeper understanding of their perspectives and address their specific apprehensions. By actively involving individuals in the process of change and recognising their specialised knowledge and valuable contributions, I would be able to successfully persuade potential dissenters to become advocates for change (Dusfour et al., 2019). The aforementioned approach has the potential to alleviate resistance by recognising and resolving power struggles and political dynamics that could hinder the execution of transformative endeavours.</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prompt showcasing of tangible results and acknowledgement of initial achievements can serve as a viable strategy for managing opposition in the course of implementing change. By highlighting the positive results of the alterations and emphasising instances of success, I aim to foster enthusiasm and establish a sense of progress. The implementation of this measure has the potential to alleviate any uncertainties and scepticism among employees, thereby showcasing that the proposed modification is not only necessary but also beneficial for their individual and collective achievements (Chi et al., 2020).</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Ultimately, a systematic and ongoing assessment and re-evaluation of the change endeavours would be undertaken, with a willingness to receive feedback and adapt the strategy as necessary. The phenomenon of transformation is distinguished by its dynamic nature, and it may necessitate alterations to be implemented throughout its progression. In order to guarantee the efficacy of change initiatives, it is crucial to proactively seek input from staff, meticulously track advancement, and expeditiously tackle any arising obstacles or opposition (Chambers et al., 2012).</w:t>
      </w:r>
    </w:p>
    <w:p>
      <w:pPr>
        <w:pStyle w:val="2"/>
        <w:spacing w:line="480" w:lineRule="auto"/>
        <w:jc w:val="left"/>
        <w:rPr>
          <w:rFonts w:ascii="Times New Roman" w:hAnsi="Times New Roman" w:cs="Times New Roman"/>
          <w:b/>
          <w:color w:val="000000" w:themeColor="text1"/>
          <w:sz w:val="28"/>
          <w:szCs w:val="28"/>
          <w14:textFill>
            <w14:solidFill>
              <w14:schemeClr w14:val="tx1"/>
            </w14:solidFill>
          </w14:textFill>
        </w:rPr>
      </w:pPr>
      <w:bookmarkStart w:id="9" w:name="_Toc136081805"/>
      <w:r>
        <w:rPr>
          <w:rFonts w:ascii="Times New Roman" w:hAnsi="Times New Roman" w:cs="Times New Roman"/>
          <w:b/>
          <w:color w:val="000000" w:themeColor="text1"/>
          <w:sz w:val="28"/>
          <w:szCs w:val="28"/>
          <w14:textFill>
            <w14:solidFill>
              <w14:schemeClr w14:val="tx1"/>
            </w14:solidFill>
          </w14:textFill>
        </w:rPr>
        <w:t>7.0 Change in program and its effectiveness</w:t>
      </w:r>
      <w:bookmarkEnd w:id="9"/>
    </w:p>
    <w:p>
      <w:pPr>
        <w:spacing w:line="480" w:lineRule="auto"/>
        <w:jc w:val="both"/>
        <w:rPr>
          <w:rFonts w:ascii="Times New Roman" w:hAnsi="Times New Roman" w:cs="Times New Roman"/>
          <w:sz w:val="24"/>
          <w:szCs w:val="24"/>
        </w:rPr>
      </w:pPr>
      <w:r>
        <w:rPr>
          <w:rFonts w:ascii="Times New Roman" w:hAnsi="Times New Roman" w:cs="Times New Roman"/>
          <w:sz w:val="24"/>
          <w:szCs w:val="24"/>
        </w:rPr>
        <w:t>A range of strategies and metrics would be employed to assess the outcomes and ramifications of the modifications executed at Tesco Corporation for the purpose of determining the conclusion of a change initiative and appraising its effectiveness. The following actions are deemed essential and would be executed by myself:</w:t>
      </w:r>
    </w:p>
    <w:p>
      <w:pPr>
        <w:pStyle w:val="13"/>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 would establish SMART (specific, measurable, achievable, relevant, and time-bound) objectives before initiating the change programme. The aforementioned objectives provide a clear benchmark for evaluating the efficacy of the transformation initiative. The objectives ought to align with the anticipated results of the change initiative, including enhanced operational efficiency, heightened customer satisfaction, or increased employee involvement (Mahalinga Shiva &amp; Suar, 2011).</w:t>
      </w:r>
    </w:p>
    <w:p>
      <w:pPr>
        <w:pStyle w:val="13"/>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During the course of the transformation programme, I would establish and monitor relevant key performance indicators (KPIs) that align with the stated objectives. The aforementioned metrics could pertain to various aspects such as the proportion of the market held by a company, the efficiency of its workforce, the level of contentment among its customers, or its monetary achievements. Regularly monitoring key performance indicators (KPIs) would facilitate gaining valuable insights into the progress and effects of the change initiative. Possible revision: Departures from the anticipated course of events may warrant further scrutiny and, if necessary, remedial measures (Mahalinga Shiva &amp; Suar, 2011).</w:t>
      </w:r>
    </w:p>
    <w:p>
      <w:pPr>
        <w:pStyle w:val="13"/>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 would collect and analyse data are crucial components in the assessment of the effectiveness of the change initiative. A diverse range of methodologies, such as surveys, interviews, focus groups, and quantitative data analysis, would be employed to gather information from relevant stakeholders, including staff members and clients. This data would be highly beneficial in comprehending individuals' perceptions, encounters, and responses to the implemented modifications. By conducting a thorough analysis of the data, I would be able to identify trends, patterns, and potential areas for improvement (Mahalinga Shiva &amp; Suar, 2011).</w:t>
      </w:r>
    </w:p>
    <w:p>
      <w:pPr>
        <w:pStyle w:val="13"/>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 would evaluate stakeholder feedback since it is a critical aspect in determining the effectiveness of the transformation initiative. Inputs and feedback from employees, consumers, and other stakeholders play a pivotal role in this assessment. One potential strategy to elicit feedback from stakeholders could involve implementing various channels for input, such as suggestion boxes, online discussion boards, or scheduled feedback sessions. To acquire a comprehensive understanding of the viewpoints and perceptions of the stakeholders, I would actively pursue and attentively consider their feedback. The demonstration of progress and effectiveness can be inferred from positive feedback, increased engagement, and congruence with the intended outcomes.</w:t>
      </w:r>
    </w:p>
    <w:p>
      <w:pPr>
        <w:pStyle w:val="13"/>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 would determine whether predefined goals and objectives have been fulfilled to determine whether the change programme has been effective. I would evaluate whether the predefined goals and objectives have been met. This assessment can be done by comparing the actual results with the projected results. If the transformation plan successfully achieved or even exceeded the predetermined targets, it can be termed complete. It might be necessary to take additional measures to close any gaps or achieve any unfulfilled goals.</w:t>
      </w:r>
    </w:p>
    <w:p>
      <w:pPr>
        <w:pStyle w:val="13"/>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 would consider the sustainability of improvements: Evaluating the sustainability of changes is crucial to determining the program's long-term effectiveness. I would investigate whether the adjustments have been implemented into the organization's processes, practises, and culture. Employees regularly using the new processes? Are the changes resilient to impending challenges or reversions to previous behavioural patterns? To ensure that the changes stick and continue to be successful, they would need to be continuously assessed and reinforced (Mahalinga Shiva &amp; Suar, 2011).</w:t>
      </w:r>
    </w:p>
    <w:p>
      <w:pPr>
        <w:pStyle w:val="2"/>
        <w:spacing w:line="480" w:lineRule="auto"/>
        <w:jc w:val="left"/>
        <w:rPr>
          <w:rFonts w:ascii="Times New Roman" w:hAnsi="Times New Roman" w:cs="Times New Roman"/>
          <w:b/>
          <w:color w:val="000000" w:themeColor="text1"/>
          <w:sz w:val="28"/>
          <w:szCs w:val="28"/>
          <w14:textFill>
            <w14:solidFill>
              <w14:schemeClr w14:val="tx1"/>
            </w14:solidFill>
          </w14:textFill>
        </w:rPr>
      </w:pPr>
      <w:bookmarkStart w:id="10" w:name="_Toc136081806"/>
      <w:r>
        <w:rPr>
          <w:rFonts w:ascii="Times New Roman" w:hAnsi="Times New Roman" w:cs="Times New Roman"/>
          <w:b/>
          <w:color w:val="000000" w:themeColor="text1"/>
          <w:sz w:val="28"/>
          <w:szCs w:val="28"/>
          <w14:textFill>
            <w14:solidFill>
              <w14:schemeClr w14:val="tx1"/>
            </w14:solidFill>
          </w14:textFill>
        </w:rPr>
        <w:t>8.0 Conclusion</w:t>
      </w:r>
      <w:bookmarkEnd w:id="10"/>
    </w:p>
    <w:p>
      <w:pPr>
        <w:spacing w:line="480" w:lineRule="auto"/>
        <w:jc w:val="both"/>
        <w:rPr>
          <w:rFonts w:ascii="Times New Roman" w:hAnsi="Times New Roman" w:cs="Times New Roman"/>
          <w:sz w:val="24"/>
          <w:szCs w:val="24"/>
        </w:rPr>
      </w:pPr>
      <w:r>
        <w:rPr>
          <w:rFonts w:ascii="Times New Roman" w:hAnsi="Times New Roman" w:cs="Times New Roman"/>
          <w:sz w:val="24"/>
          <w:szCs w:val="24"/>
        </w:rPr>
        <w:t>In order to effectively manage change, Tesco Company must have a comprehensive strategy that considers a wide range of change management elements. Tesco can examine significant change management approaches, such as planned and emergent change, to determine how to modify its strategy based on the scope and type of the change programme. Additionally, being well-aware of the factors that drive change, including as culture, leadership, power dynamics, digitisation, and competitiveness, can aid in your ability to comprehend the specific organisational components that influence change. Tesco has demonstrated its ability to successfully navigate these obstacles, depending on its creative culture, proactive leadership style, and use of digitalization to maintain its competitiveness in the retail industry. A change-friendly environment can also be created by resolving resistance issues through open communication, employee involvement, and addressing doubts and concerns. By assessing the completion and success of the change programme through creating targets, monitoring KPIs, data analysis, and gathering stakeholder feedback, Tesco may finally examine the impact of the changes and make any necessary adjustments. By putting these strategies into practise and continuing to adapt, grow, and thrive in a dynamic business climate, Tesco may establish itself as a pioneer in the retail industry.</w:t>
      </w:r>
    </w:p>
    <w:p>
      <w:r>
        <w:br w:type="page"/>
      </w:r>
    </w:p>
    <w:p>
      <w:pPr>
        <w:pStyle w:val="2"/>
        <w:spacing w:line="480" w:lineRule="auto"/>
        <w:jc w:val="left"/>
        <w:rPr>
          <w:rFonts w:ascii="Times New Roman" w:hAnsi="Times New Roman" w:cs="Times New Roman"/>
          <w:b/>
          <w:color w:val="000000" w:themeColor="text1"/>
          <w:sz w:val="24"/>
          <w:szCs w:val="24"/>
          <w14:textFill>
            <w14:solidFill>
              <w14:schemeClr w14:val="tx1"/>
            </w14:solidFill>
          </w14:textFill>
        </w:rPr>
      </w:pPr>
      <w:bookmarkStart w:id="11" w:name="_Toc136081807"/>
      <w:r>
        <w:rPr>
          <w:rFonts w:ascii="Times New Roman" w:hAnsi="Times New Roman" w:cs="Times New Roman"/>
          <w:b/>
          <w:color w:val="000000" w:themeColor="text1"/>
          <w:sz w:val="28"/>
          <w:szCs w:val="28"/>
          <w14:textFill>
            <w14:solidFill>
              <w14:schemeClr w14:val="tx1"/>
            </w14:solidFill>
          </w14:textFill>
        </w:rPr>
        <w:t>References</w:t>
      </w:r>
      <w:bookmarkEnd w:id="11"/>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Abbas, T. (2023, March 5). </w:t>
      </w:r>
      <w:r>
        <w:rPr>
          <w:rFonts w:ascii="Times New Roman" w:hAnsi="Times New Roman" w:eastAsia="Times New Roman" w:cs="Times New Roman"/>
          <w:i/>
          <w:iCs/>
          <w:sz w:val="24"/>
          <w:szCs w:val="24"/>
          <w:lang w:eastAsia="en-GB"/>
        </w:rPr>
        <w:t>Tesco Change Management Case Study</w:t>
      </w:r>
      <w:r>
        <w:rPr>
          <w:rFonts w:ascii="Times New Roman" w:hAnsi="Times New Roman" w:eastAsia="Times New Roman" w:cs="Times New Roman"/>
          <w:sz w:val="24"/>
          <w:szCs w:val="24"/>
          <w:lang w:eastAsia="en-GB"/>
        </w:rPr>
        <w:t xml:space="preserve">. CMI. </w:t>
      </w:r>
      <w:r>
        <w:fldChar w:fldCharType="begin"/>
      </w:r>
      <w:r>
        <w:instrText xml:space="preserve"> HYPERLINK "https://changemanagementinsight.com/tesco-change-management-case-study/" </w:instrText>
      </w:r>
      <w:r>
        <w:fldChar w:fldCharType="separate"/>
      </w:r>
      <w:r>
        <w:rPr>
          <w:rStyle w:val="10"/>
          <w:rFonts w:ascii="Times New Roman" w:hAnsi="Times New Roman" w:eastAsia="Times New Roman" w:cs="Times New Roman"/>
          <w:sz w:val="24"/>
          <w:szCs w:val="24"/>
          <w:lang w:eastAsia="en-GB"/>
        </w:rPr>
        <w:t>https://changemanagementinsight.com/tesco-change-management-case-study/</w:t>
      </w:r>
      <w:r>
        <w:rPr>
          <w:rStyle w:val="10"/>
          <w:rFonts w:ascii="Times New Roman" w:hAnsi="Times New Roman" w:eastAsia="Times New Roman" w:cs="Times New Roman"/>
          <w:sz w:val="24"/>
          <w:szCs w:val="24"/>
          <w:lang w:eastAsia="en-GB"/>
        </w:rPr>
        <w:fldChar w:fldCharType="end"/>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Akbar, M. A., Sang, J., Nasrullah, Khan, A. A., Mahmood, S., Qadri, S. F., Hu, H., &amp; Xiang, H. (2019). Success factors influencing requirements change management process in global software development. </w:t>
      </w:r>
      <w:r>
        <w:rPr>
          <w:rFonts w:ascii="Times New Roman" w:hAnsi="Times New Roman" w:eastAsia="Times New Roman" w:cs="Times New Roman"/>
          <w:i/>
          <w:iCs/>
          <w:sz w:val="24"/>
          <w:szCs w:val="24"/>
          <w:lang w:eastAsia="en-GB"/>
        </w:rPr>
        <w:t>Journal of Computer Languages</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51</w:t>
      </w:r>
      <w:r>
        <w:rPr>
          <w:rFonts w:ascii="Times New Roman" w:hAnsi="Times New Roman" w:eastAsia="Times New Roman" w:cs="Times New Roman"/>
          <w:sz w:val="24"/>
          <w:szCs w:val="24"/>
          <w:lang w:eastAsia="en-GB"/>
        </w:rPr>
        <w:t>, 112–130. https://doi.org/10.1016/j.cola.2018.12.005</w:t>
      </w:r>
    </w:p>
    <w:p>
      <w:pPr>
        <w:pStyle w:val="7"/>
        <w:spacing w:before="0" w:beforeAutospacing="0" w:after="0" w:afterAutospacing="0" w:line="480" w:lineRule="auto"/>
        <w:ind w:left="720" w:hanging="720"/>
      </w:pPr>
      <w:r>
        <w:t xml:space="preserve">Almoaber, B., &amp; Amyot, D. (2021). Key factors of clinicians’ acceptance of CPOE system and their link to change management. </w:t>
      </w:r>
      <w:r>
        <w:rPr>
          <w:i/>
          <w:iCs/>
        </w:rPr>
        <w:t>Informatics for Health and Social Care</w:t>
      </w:r>
      <w:r>
        <w:t>, 1–20. https://doi.org/10.1080/17538157.2021.1993858</w:t>
      </w:r>
    </w:p>
    <w:p>
      <w:pPr>
        <w:pStyle w:val="7"/>
        <w:spacing w:before="0" w:beforeAutospacing="0" w:after="0" w:afterAutospacing="0" w:line="480" w:lineRule="auto"/>
        <w:ind w:left="720" w:hanging="720"/>
      </w:pPr>
      <w:r>
        <w:t xml:space="preserve">Alumni, C. (2021, November 16). </w:t>
      </w:r>
      <w:r>
        <w:rPr>
          <w:i/>
          <w:iCs/>
        </w:rPr>
        <w:t>Tesco: A digital transformation</w:t>
      </w:r>
      <w:r>
        <w:t xml:space="preserve">. Technology and Operations Management. </w:t>
      </w:r>
      <w:r>
        <w:fldChar w:fldCharType="begin"/>
      </w:r>
      <w:r>
        <w:instrText xml:space="preserve"> HYPERLINK "https://d3.harvard.edu/platform-rctom/submission/tesco-a-digital-transformation/" </w:instrText>
      </w:r>
      <w:r>
        <w:fldChar w:fldCharType="separate"/>
      </w:r>
      <w:r>
        <w:rPr>
          <w:rStyle w:val="10"/>
        </w:rPr>
        <w:t>https://d3.harvard.edu/platform-rctom/submission/tesco-a-digital-transformation/</w:t>
      </w:r>
      <w:r>
        <w:rPr>
          <w:rStyle w:val="10"/>
        </w:rPr>
        <w:fldChar w:fldCharType="end"/>
      </w:r>
    </w:p>
    <w:p>
      <w:pPr>
        <w:pStyle w:val="7"/>
        <w:spacing w:before="0" w:beforeAutospacing="0" w:after="0" w:afterAutospacing="0" w:line="480" w:lineRule="auto"/>
        <w:ind w:left="720" w:hanging="720"/>
      </w:pPr>
      <w:r>
        <w:t>Antonizzi, J., &amp; Smuts, H. (2020). The Characteristics of Digital Entrepreneurship and Digital Transformation: A Systematic Literature Review. Lecture Notes in Computer Science, 12066, 239–251. https://doi.org/10.1007/978-3-030-44999-5_20</w:t>
      </w:r>
    </w:p>
    <w:p>
      <w:pPr>
        <w:pStyle w:val="7"/>
        <w:spacing w:before="0" w:beforeAutospacing="0" w:after="0" w:afterAutospacing="0" w:line="480" w:lineRule="auto"/>
        <w:ind w:left="720" w:hanging="720"/>
      </w:pPr>
      <w:r>
        <w:t xml:space="preserve">Ausloos, M. (2020). Valuation Models Applied to Value-Based Management—Application to the Case of UK Companies with Problems. </w:t>
      </w:r>
      <w:r>
        <w:rPr>
          <w:i/>
          <w:iCs/>
        </w:rPr>
        <w:t>Forecasting</w:t>
      </w:r>
      <w:r>
        <w:t xml:space="preserve">, </w:t>
      </w:r>
      <w:r>
        <w:rPr>
          <w:i/>
          <w:iCs/>
        </w:rPr>
        <w:t>2</w:t>
      </w:r>
      <w:r>
        <w:t>(4), 549–565. https://doi.org/10.3390/forecast2040029</w:t>
      </w:r>
    </w:p>
    <w:p>
      <w:pPr>
        <w:pStyle w:val="7"/>
        <w:spacing w:before="0" w:beforeAutospacing="0" w:after="0" w:afterAutospacing="0" w:line="480" w:lineRule="auto"/>
        <w:ind w:left="720" w:hanging="720"/>
      </w:pPr>
      <w:r>
        <w:t xml:space="preserve">Babar, Md., &amp; Habib, A. (2020). Product market competition in accounting, finance, and corporate governance: A review of the literature. </w:t>
      </w:r>
      <w:r>
        <w:rPr>
          <w:i/>
          <w:iCs/>
        </w:rPr>
        <w:t>International Review of Financial Analysis</w:t>
      </w:r>
      <w:r>
        <w:t xml:space="preserve">, 101607. </w:t>
      </w:r>
      <w:r>
        <w:fldChar w:fldCharType="begin"/>
      </w:r>
      <w:r>
        <w:instrText xml:space="preserve"> HYPERLINK "https://doi.org/10.1016/j.irfa.2020.101607" </w:instrText>
      </w:r>
      <w:r>
        <w:fldChar w:fldCharType="separate"/>
      </w:r>
      <w:r>
        <w:rPr>
          <w:rStyle w:val="10"/>
        </w:rPr>
        <w:t>https://doi.org/10.1016/j.irfa.2020.101607</w:t>
      </w:r>
      <w:r>
        <w:rPr>
          <w:rStyle w:val="10"/>
        </w:rPr>
        <w:fldChar w:fldCharType="end"/>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Bellantuono, N., Nuzzi, A., Pontrandolfo, P., &amp; Scozzi, B. (2021). Digital Transformation Models for the I4.0 Transition: Lessons from the Change Management Literature. </w:t>
      </w:r>
      <w:r>
        <w:rPr>
          <w:rFonts w:ascii="Times New Roman" w:hAnsi="Times New Roman" w:eastAsia="Times New Roman" w:cs="Times New Roman"/>
          <w:i/>
          <w:iCs/>
          <w:sz w:val="24"/>
          <w:szCs w:val="24"/>
          <w:lang w:eastAsia="en-GB"/>
        </w:rPr>
        <w:t>Sustainability</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13</w:t>
      </w:r>
      <w:r>
        <w:rPr>
          <w:rFonts w:ascii="Times New Roman" w:hAnsi="Times New Roman" w:eastAsia="Times New Roman" w:cs="Times New Roman"/>
          <w:sz w:val="24"/>
          <w:szCs w:val="24"/>
          <w:lang w:eastAsia="en-GB"/>
        </w:rPr>
        <w:t>(23), 12941. https://doi.org/10.3390/su132312941</w:t>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Birney, A. (2021). How do we know where there is potential to intervene and leverage impact in a changing system? The practitioners perspective. </w:t>
      </w:r>
      <w:r>
        <w:rPr>
          <w:rFonts w:ascii="Times New Roman" w:hAnsi="Times New Roman" w:eastAsia="Times New Roman" w:cs="Times New Roman"/>
          <w:i/>
          <w:iCs/>
          <w:sz w:val="24"/>
          <w:szCs w:val="24"/>
          <w:lang w:eastAsia="en-GB"/>
        </w:rPr>
        <w:t>Sustainability Science</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16</w:t>
      </w:r>
      <w:r>
        <w:rPr>
          <w:rFonts w:ascii="Times New Roman" w:hAnsi="Times New Roman" w:eastAsia="Times New Roman" w:cs="Times New Roman"/>
          <w:sz w:val="24"/>
          <w:szCs w:val="24"/>
          <w:lang w:eastAsia="en-GB"/>
        </w:rPr>
        <w:t>(3), 749–765. https://doi.org/10.1007/s11625-021-00956-5</w:t>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Chambers, D., Wilson, P., Thompson, C., &amp; Harden, M. (2012). Social Network Analysis in Healthcare Settings: A Systematic Scoping Review. </w:t>
      </w:r>
      <w:r>
        <w:rPr>
          <w:rFonts w:ascii="Times New Roman" w:hAnsi="Times New Roman" w:eastAsia="Times New Roman" w:cs="Times New Roman"/>
          <w:i/>
          <w:iCs/>
          <w:sz w:val="24"/>
          <w:szCs w:val="24"/>
          <w:lang w:eastAsia="en-GB"/>
        </w:rPr>
        <w:t>PLoS ONE</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7</w:t>
      </w:r>
      <w:r>
        <w:rPr>
          <w:rFonts w:ascii="Times New Roman" w:hAnsi="Times New Roman" w:eastAsia="Times New Roman" w:cs="Times New Roman"/>
          <w:sz w:val="24"/>
          <w:szCs w:val="24"/>
          <w:lang w:eastAsia="en-GB"/>
        </w:rPr>
        <w:t>(8), e41911. https://doi.org/10.1371/journal.pone.0041911</w:t>
      </w:r>
    </w:p>
    <w:p>
      <w:pPr>
        <w:pStyle w:val="7"/>
        <w:spacing w:before="0" w:beforeAutospacing="0" w:after="0" w:afterAutospacing="0" w:line="480" w:lineRule="auto"/>
        <w:ind w:left="720" w:hanging="720"/>
      </w:pPr>
      <w:r>
        <w:t xml:space="preserve">Chi, W.-C., Lin, P.-J., Chang, I-Chiu., &amp; Chen, S.-L. (2020). The inhibiting effects of resistance to change of disability determination system: a status quo bias perspective. </w:t>
      </w:r>
      <w:r>
        <w:rPr>
          <w:i/>
          <w:iCs/>
        </w:rPr>
        <w:t>BMC Medical Informatics and Decision Making</w:t>
      </w:r>
      <w:r>
        <w:t xml:space="preserve">, </w:t>
      </w:r>
      <w:r>
        <w:rPr>
          <w:i/>
          <w:iCs/>
        </w:rPr>
        <w:t>20</w:t>
      </w:r>
      <w:r>
        <w:t>(1). https://doi.org/10.1186/s12911-020-1090-7</w:t>
      </w:r>
    </w:p>
    <w:p>
      <w:pPr>
        <w:pStyle w:val="7"/>
        <w:spacing w:before="0" w:beforeAutospacing="0" w:after="0" w:afterAutospacing="0" w:line="480" w:lineRule="auto"/>
        <w:ind w:left="720" w:hanging="720"/>
      </w:pPr>
      <w:r>
        <w:t xml:space="preserve">Davila Delgado, J. M., Oyedele, L., Beach, T., &amp; Demian, P. (2020). Augmented and Virtual Reality in Construction: Drivers and Limitations for Industry Adoption. </w:t>
      </w:r>
      <w:r>
        <w:rPr>
          <w:i/>
          <w:iCs/>
        </w:rPr>
        <w:t>Journal of Construction Engineering and Management</w:t>
      </w:r>
      <w:r>
        <w:t xml:space="preserve">, </w:t>
      </w:r>
      <w:r>
        <w:rPr>
          <w:i/>
          <w:iCs/>
        </w:rPr>
        <w:t>146</w:t>
      </w:r>
      <w:r>
        <w:t>(7), 04020079. https://doi.org/10.1061/(asce)co.1943-7862.0001844</w:t>
      </w:r>
    </w:p>
    <w:p>
      <w:pPr>
        <w:pStyle w:val="7"/>
        <w:spacing w:before="0" w:beforeAutospacing="0" w:after="0" w:afterAutospacing="0" w:line="480" w:lineRule="auto"/>
        <w:ind w:left="720" w:hanging="720"/>
      </w:pPr>
      <w:r>
        <w:t xml:space="preserve">Dusfour, I., Vontas, J., David, J.-P., Weetman, D., Fonseca, D. M., Corbel, V., Raghavendra, K., Coulibaly, M. B., Martins, A. J., Kasai, S., &amp; Chandre, F. (2019). Management of insecticide resistance in the major Aedes vectors of arboviruses: Advances and challenges. </w:t>
      </w:r>
      <w:r>
        <w:rPr>
          <w:i/>
          <w:iCs/>
        </w:rPr>
        <w:t>PLOS Neglected Tropical Diseases</w:t>
      </w:r>
      <w:r>
        <w:t xml:space="preserve">, </w:t>
      </w:r>
      <w:r>
        <w:rPr>
          <w:i/>
          <w:iCs/>
        </w:rPr>
        <w:t>13</w:t>
      </w:r>
      <w:r>
        <w:t xml:space="preserve">(10), e0007615. </w:t>
      </w:r>
      <w:r>
        <w:fldChar w:fldCharType="begin"/>
      </w:r>
      <w:r>
        <w:instrText xml:space="preserve"> HYPERLINK "https://doi.org/10.1371/journal.pntd.0007615" </w:instrText>
      </w:r>
      <w:r>
        <w:fldChar w:fldCharType="separate"/>
      </w:r>
      <w:r>
        <w:rPr>
          <w:rStyle w:val="10"/>
        </w:rPr>
        <w:t>https://doi.org/10.1371/journal.pntd.0007615</w:t>
      </w:r>
      <w:r>
        <w:rPr>
          <w:rStyle w:val="10"/>
        </w:rPr>
        <w:fldChar w:fldCharType="end"/>
      </w:r>
    </w:p>
    <w:p>
      <w:pPr>
        <w:pStyle w:val="7"/>
        <w:spacing w:before="0" w:beforeAutospacing="0" w:after="0" w:afterAutospacing="0" w:line="480" w:lineRule="auto"/>
        <w:ind w:left="720" w:hanging="720"/>
      </w:pPr>
      <w:r>
        <w:t xml:space="preserve">Freiberg, T., &amp; Felden, C. (2019). Association for Information Systems AIS Electronic Library (AISeL) DIGITALLY TRANSFORMING ORGANISATIONS: A REVIEW OF CHANGE MODELS OF INDUSTRY 4.0 Fanny-Ève Bordeleau. </w:t>
      </w:r>
      <w:r>
        <w:fldChar w:fldCharType="begin"/>
      </w:r>
      <w:r>
        <w:instrText xml:space="preserve"> HYPERLINK "https://core.ac.uk/download/pdf/301379432.pdf" </w:instrText>
      </w:r>
      <w:r>
        <w:fldChar w:fldCharType="separate"/>
      </w:r>
      <w:r>
        <w:rPr>
          <w:rStyle w:val="10"/>
        </w:rPr>
        <w:t>https://core.ac.uk/download/pdf/301379432.pdf</w:t>
      </w:r>
      <w:r>
        <w:rPr>
          <w:rStyle w:val="10"/>
        </w:rPr>
        <w:fldChar w:fldCharType="end"/>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Gutiérrez-Iñiguez, Á., Collado-Agudo, J., &amp; Rialp-Criado, J. (2023). The Role of Managers in Corporate Change Management: A Bibliometric Review. </w:t>
      </w:r>
      <w:r>
        <w:rPr>
          <w:rFonts w:ascii="Times New Roman" w:hAnsi="Times New Roman" w:eastAsia="Times New Roman" w:cs="Times New Roman"/>
          <w:i/>
          <w:iCs/>
          <w:sz w:val="24"/>
          <w:szCs w:val="24"/>
          <w:lang w:eastAsia="en-GB"/>
        </w:rPr>
        <w:t>Sustainability</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15</w:t>
      </w:r>
      <w:r>
        <w:rPr>
          <w:rFonts w:ascii="Times New Roman" w:hAnsi="Times New Roman" w:eastAsia="Times New Roman" w:cs="Times New Roman"/>
          <w:sz w:val="24"/>
          <w:szCs w:val="24"/>
          <w:lang w:eastAsia="en-GB"/>
        </w:rPr>
        <w:t>(14), 10811. https://doi.org/10.3390/su151410811</w:t>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Hanelt, A., Bohnsack, R., Marz, D., &amp; Antunes, C. (2020). A systematic review of the literature on digital transformation: insights and implications for strategy and organizational change. </w:t>
      </w:r>
      <w:r>
        <w:rPr>
          <w:rFonts w:ascii="Times New Roman" w:hAnsi="Times New Roman" w:eastAsia="Times New Roman" w:cs="Times New Roman"/>
          <w:i/>
          <w:iCs/>
          <w:sz w:val="24"/>
          <w:szCs w:val="24"/>
          <w:lang w:eastAsia="en-GB"/>
        </w:rPr>
        <w:t>Journal of Management Studies</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58</w:t>
      </w:r>
      <w:r>
        <w:rPr>
          <w:rFonts w:ascii="Times New Roman" w:hAnsi="Times New Roman" w:eastAsia="Times New Roman" w:cs="Times New Roman"/>
          <w:sz w:val="24"/>
          <w:szCs w:val="24"/>
          <w:lang w:eastAsia="en-GB"/>
        </w:rPr>
        <w:t>(5), 1159–1197.</w:t>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Harrison, R., Fischer, S., Walpola, R. L., Chauhan, A., Babalola, T., Mears, S., &amp; Le-Dao, H. (2021). Where Do Models for Change Management, Improvement and Implementation Meet? a Systematic Review of the Applications of Change Management Models in Healthcare. </w:t>
      </w:r>
      <w:r>
        <w:rPr>
          <w:rFonts w:ascii="Times New Roman" w:hAnsi="Times New Roman" w:eastAsia="Times New Roman" w:cs="Times New Roman"/>
          <w:i/>
          <w:iCs/>
          <w:sz w:val="24"/>
          <w:szCs w:val="24"/>
          <w:lang w:eastAsia="en-GB"/>
        </w:rPr>
        <w:t>Journal of Healthcare Leadership</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Volume 13</w:t>
      </w:r>
      <w:r>
        <w:rPr>
          <w:rFonts w:ascii="Times New Roman" w:hAnsi="Times New Roman" w:eastAsia="Times New Roman" w:cs="Times New Roman"/>
          <w:sz w:val="24"/>
          <w:szCs w:val="24"/>
          <w:lang w:eastAsia="en-GB"/>
        </w:rPr>
        <w:t>(13), 85–108. NCBI. https://doi.org/10.2147/JHL.S289176</w:t>
      </w:r>
    </w:p>
    <w:p>
      <w:pPr>
        <w:pStyle w:val="7"/>
        <w:spacing w:before="0" w:beforeAutospacing="0" w:after="0" w:afterAutospacing="0" w:line="480" w:lineRule="auto"/>
        <w:ind w:left="720" w:hanging="720"/>
      </w:pPr>
      <w:r>
        <w:t xml:space="preserve">Kiesnere, A., &amp; Baumgartner, R. (2019). Sustainability Management in Practice: Organizational Change for Sustainability in Smaller Large-Sized Companies in Austria. </w:t>
      </w:r>
      <w:r>
        <w:rPr>
          <w:i/>
          <w:iCs/>
        </w:rPr>
        <w:t>Sustainability</w:t>
      </w:r>
      <w:r>
        <w:t xml:space="preserve">, </w:t>
      </w:r>
      <w:r>
        <w:rPr>
          <w:i/>
          <w:iCs/>
        </w:rPr>
        <w:t>11</w:t>
      </w:r>
      <w:r>
        <w:t>(3), 572. https://doi.org/10.3390/su11030572</w:t>
      </w:r>
    </w:p>
    <w:p>
      <w:pPr>
        <w:pStyle w:val="7"/>
        <w:spacing w:before="0" w:beforeAutospacing="0" w:after="0" w:afterAutospacing="0" w:line="480" w:lineRule="auto"/>
        <w:ind w:left="720" w:hanging="720"/>
      </w:pPr>
      <w:r>
        <w:t xml:space="preserve">Kneeshaw, D., Sturtevant, B. R., DeGrandpé, L., Doblas-Miranda, E., James, P., Tardif, D., &amp; Burton, P. J. (2021). </w:t>
      </w:r>
      <w:r>
        <w:rPr>
          <w:i/>
          <w:iCs/>
        </w:rPr>
        <w:t>The Vision of Managing for Pest-Resistant Landscapes: Realistic or Utopic?</w:t>
      </w:r>
      <w:r>
        <w:t xml:space="preserve"> </w:t>
      </w:r>
      <w:r>
        <w:rPr>
          <w:i/>
          <w:iCs/>
        </w:rPr>
        <w:t>7</w:t>
      </w:r>
      <w:r>
        <w:t>(2), 97–113. https://doi.org/10.1007/s40725-021-00140-z</w:t>
      </w:r>
    </w:p>
    <w:p>
      <w:pPr>
        <w:pStyle w:val="7"/>
        <w:spacing w:before="0" w:beforeAutospacing="0" w:after="0" w:afterAutospacing="0" w:line="480" w:lineRule="auto"/>
        <w:ind w:left="720" w:hanging="720"/>
      </w:pPr>
      <w:r>
        <w:t xml:space="preserve">Kraus, S., Durst, S., Ferreira, J. J., Veiga, P., Kailer, N., &amp; Weinmann, A. (2022). Digital transformation in business and management research: An overview of the current status quo. </w:t>
      </w:r>
      <w:r>
        <w:rPr>
          <w:i/>
          <w:iCs/>
        </w:rPr>
        <w:t>International Journal of Information Management</w:t>
      </w:r>
      <w:r>
        <w:t xml:space="preserve">, </w:t>
      </w:r>
      <w:r>
        <w:rPr>
          <w:i/>
          <w:iCs/>
        </w:rPr>
        <w:t>63</w:t>
      </w:r>
      <w:r>
        <w:t xml:space="preserve">(4), 102466. Sciencedirect. </w:t>
      </w:r>
      <w:r>
        <w:fldChar w:fldCharType="begin"/>
      </w:r>
      <w:r>
        <w:instrText xml:space="preserve"> HYPERLINK "https://doi.org/10.1016/j.ijinfomgt.2021.102466" </w:instrText>
      </w:r>
      <w:r>
        <w:fldChar w:fldCharType="separate"/>
      </w:r>
      <w:r>
        <w:rPr>
          <w:rStyle w:val="10"/>
        </w:rPr>
        <w:t>https://doi.org/10.1016/j.ijinfomgt.2021.102466</w:t>
      </w:r>
      <w:r>
        <w:rPr>
          <w:rStyle w:val="10"/>
        </w:rPr>
        <w:fldChar w:fldCharType="end"/>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Li, J., Greenwood, D., &amp; Kassem, M. (2019). Blockchain in the built environment and construction industry: A systematic review, conceptual models and practical use cases. </w:t>
      </w:r>
      <w:r>
        <w:rPr>
          <w:rFonts w:ascii="Times New Roman" w:hAnsi="Times New Roman" w:eastAsia="Times New Roman" w:cs="Times New Roman"/>
          <w:i/>
          <w:iCs/>
          <w:sz w:val="24"/>
          <w:szCs w:val="24"/>
          <w:lang w:eastAsia="en-GB"/>
        </w:rPr>
        <w:t>Automation in Construction</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102</w:t>
      </w:r>
      <w:r>
        <w:rPr>
          <w:rFonts w:ascii="Times New Roman" w:hAnsi="Times New Roman" w:eastAsia="Times New Roman" w:cs="Times New Roman"/>
          <w:sz w:val="24"/>
          <w:szCs w:val="24"/>
          <w:lang w:eastAsia="en-GB"/>
        </w:rPr>
        <w:t>(1), 288–307. https://doi.org/10.1016/j.autcon.2019.02.005</w:t>
      </w:r>
    </w:p>
    <w:p>
      <w:pPr>
        <w:pStyle w:val="7"/>
        <w:spacing w:before="0" w:beforeAutospacing="0" w:after="0" w:afterAutospacing="0" w:line="480" w:lineRule="auto"/>
        <w:ind w:left="720" w:hanging="720"/>
      </w:pPr>
    </w:p>
    <w:p>
      <w:pPr>
        <w:pStyle w:val="7"/>
        <w:spacing w:before="0" w:beforeAutospacing="0" w:after="0" w:afterAutospacing="0" w:line="480" w:lineRule="auto"/>
        <w:ind w:left="720" w:hanging="720"/>
      </w:pPr>
      <w:r>
        <w:t xml:space="preserve">Lim, S. F. W. T., &amp; Winkenbach, M. (2018). Configuring the Last-Mile in Business-to-Consumer E-Retailing. </w:t>
      </w:r>
      <w:r>
        <w:rPr>
          <w:i/>
          <w:iCs/>
        </w:rPr>
        <w:t>California Management Review</w:t>
      </w:r>
      <w:r>
        <w:t xml:space="preserve">, </w:t>
      </w:r>
      <w:r>
        <w:rPr>
          <w:i/>
          <w:iCs/>
        </w:rPr>
        <w:t>61</w:t>
      </w:r>
      <w:r>
        <w:t>(2), 132–154. https://doi.org/10.1177/0008125618805094</w:t>
      </w:r>
    </w:p>
    <w:p>
      <w:pPr>
        <w:pStyle w:val="7"/>
        <w:spacing w:before="0" w:beforeAutospacing="0" w:after="0" w:afterAutospacing="0" w:line="480" w:lineRule="auto"/>
        <w:ind w:left="720" w:hanging="720"/>
      </w:pPr>
      <w:r>
        <w:t xml:space="preserve">ltd, R. and M. (2021). </w:t>
      </w:r>
      <w:r>
        <w:rPr>
          <w:i/>
          <w:iCs/>
        </w:rPr>
        <w:t>Tesco Plc (TSCO) - Financial and Strategic SWOT Analysis Review</w:t>
      </w:r>
      <w:r>
        <w:t xml:space="preserve">. Www.researchandmarkets.com. </w:t>
      </w:r>
      <w:r>
        <w:fldChar w:fldCharType="begin"/>
      </w:r>
      <w:r>
        <w:instrText xml:space="preserve"> HYPERLINK "https://www.researchandmarkets.com/reports/1495481/tesco_plc_tsco_financial_and_strategic_swot" </w:instrText>
      </w:r>
      <w:r>
        <w:fldChar w:fldCharType="separate"/>
      </w:r>
      <w:r>
        <w:rPr>
          <w:rStyle w:val="10"/>
        </w:rPr>
        <w:t>https://www.researchandmarkets.com/reports/1495481/tesco_plc_tsco_financial_and_strategic_swot</w:t>
      </w:r>
      <w:r>
        <w:rPr>
          <w:rStyle w:val="10"/>
        </w:rPr>
        <w:fldChar w:fldCharType="end"/>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ltd, R. and M. (2022, January 15). </w:t>
      </w:r>
      <w:r>
        <w:rPr>
          <w:rFonts w:ascii="Times New Roman" w:hAnsi="Times New Roman" w:eastAsia="Times New Roman" w:cs="Times New Roman"/>
          <w:i/>
          <w:iCs/>
          <w:sz w:val="24"/>
          <w:szCs w:val="24"/>
          <w:lang w:eastAsia="en-GB"/>
        </w:rPr>
        <w:t>Tesco - Digital Transformation Strategies - Research and Markets</w:t>
      </w:r>
      <w:r>
        <w:rPr>
          <w:rFonts w:ascii="Times New Roman" w:hAnsi="Times New Roman" w:eastAsia="Times New Roman" w:cs="Times New Roman"/>
          <w:sz w:val="24"/>
          <w:szCs w:val="24"/>
          <w:lang w:eastAsia="en-GB"/>
        </w:rPr>
        <w:t>. Www.researchandmarkets.com. https://www.researchandmarkets.com/reports/5670610/tesco-digital-transformation-strategies</w:t>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Mahalinga Shiva, M. S. A., &amp; Suar, D. (2011). Transformational Leadership, Organizational Culture, Organizational Effectiveness, and Programme Outcomes in Non-Governmental Organizations. </w:t>
      </w:r>
      <w:r>
        <w:rPr>
          <w:rFonts w:ascii="Times New Roman" w:hAnsi="Times New Roman" w:eastAsia="Times New Roman" w:cs="Times New Roman"/>
          <w:i/>
          <w:iCs/>
          <w:sz w:val="24"/>
          <w:szCs w:val="24"/>
          <w:lang w:eastAsia="en-GB"/>
        </w:rPr>
        <w:t>VOLUNTAS: International Journal of Voluntary and Nonprofit Organizations</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23</w:t>
      </w:r>
      <w:r>
        <w:rPr>
          <w:rFonts w:ascii="Times New Roman" w:hAnsi="Times New Roman" w:eastAsia="Times New Roman" w:cs="Times New Roman"/>
          <w:sz w:val="24"/>
          <w:szCs w:val="24"/>
          <w:lang w:eastAsia="en-GB"/>
        </w:rPr>
        <w:t>(3), 684–710. https://doi.org/10.1007/s11266-011-9230-4</w:t>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Mansaray, H. E. (2019). The Role of Leadership Style in Organisational Change Management: A Literature Review. </w:t>
      </w:r>
      <w:r>
        <w:rPr>
          <w:rFonts w:ascii="Times New Roman" w:hAnsi="Times New Roman" w:eastAsia="Times New Roman" w:cs="Times New Roman"/>
          <w:i/>
          <w:iCs/>
          <w:sz w:val="24"/>
          <w:szCs w:val="24"/>
          <w:lang w:eastAsia="en-GB"/>
        </w:rPr>
        <w:t>Journal of Human Resource Management</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7</w:t>
      </w:r>
      <w:r>
        <w:rPr>
          <w:rFonts w:ascii="Times New Roman" w:hAnsi="Times New Roman" w:eastAsia="Times New Roman" w:cs="Times New Roman"/>
          <w:sz w:val="24"/>
          <w:szCs w:val="24"/>
          <w:lang w:eastAsia="en-GB"/>
        </w:rPr>
        <w:t>(1), 18–31. sciencepublishinggroup. https://doi.org/10.11648/j.jhrm.20190701.13</w:t>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McCarthy, P., Sammon, D., &amp; Alhassan, I. (2021). Digital Transformation Leadership Characteristics: a Literature Analysis: </w:t>
      </w:r>
      <w:r>
        <w:rPr>
          <w:rFonts w:ascii="Times New Roman" w:hAnsi="Times New Roman" w:eastAsia="Times New Roman" w:cs="Times New Roman"/>
          <w:i/>
          <w:iCs/>
          <w:sz w:val="24"/>
          <w:szCs w:val="24"/>
          <w:lang w:eastAsia="en-GB"/>
        </w:rPr>
        <w:t>Journal of Decision Systems</w:t>
      </w:r>
      <w:r>
        <w:rPr>
          <w:rFonts w:ascii="Times New Roman" w:hAnsi="Times New Roman" w:eastAsia="Times New Roman" w:cs="Times New Roman"/>
          <w:sz w:val="24"/>
          <w:szCs w:val="24"/>
          <w:lang w:eastAsia="en-GB"/>
        </w:rPr>
        <w:t>, 1–30. https://doi.org/10.1080/12460125.2021.1908934</w:t>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McKimm, J., Johnstone, D., Mills, C., Hassanien, M., &amp; Al-Hayani, A. (2022). Healthcare leadership development during a pandemic: do not stop, adapt. </w:t>
      </w:r>
      <w:r>
        <w:rPr>
          <w:rFonts w:ascii="Times New Roman" w:hAnsi="Times New Roman" w:eastAsia="Times New Roman" w:cs="Times New Roman"/>
          <w:i/>
          <w:iCs/>
          <w:sz w:val="24"/>
          <w:szCs w:val="24"/>
          <w:lang w:eastAsia="en-GB"/>
        </w:rPr>
        <w:t>British Journal of Hospital Medicine</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83</w:t>
      </w:r>
      <w:r>
        <w:rPr>
          <w:rFonts w:ascii="Times New Roman" w:hAnsi="Times New Roman" w:eastAsia="Times New Roman" w:cs="Times New Roman"/>
          <w:sz w:val="24"/>
          <w:szCs w:val="24"/>
          <w:lang w:eastAsia="en-GB"/>
        </w:rPr>
        <w:t>(1), 1–9. https://doi.org/10.12968/hmed.2021.0479</w:t>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Nilsen, P., &amp; Bernhardsson, S. (2019). Context matters in implementation science: a scoping review of determinant frameworks that describe contextual determinants for implementation outcomes. </w:t>
      </w:r>
      <w:r>
        <w:rPr>
          <w:rFonts w:ascii="Times New Roman" w:hAnsi="Times New Roman" w:eastAsia="Times New Roman" w:cs="Times New Roman"/>
          <w:i/>
          <w:iCs/>
          <w:sz w:val="24"/>
          <w:szCs w:val="24"/>
          <w:lang w:eastAsia="en-GB"/>
        </w:rPr>
        <w:t>BMC Health Services Research</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19</w:t>
      </w:r>
      <w:r>
        <w:rPr>
          <w:rFonts w:ascii="Times New Roman" w:hAnsi="Times New Roman" w:eastAsia="Times New Roman" w:cs="Times New Roman"/>
          <w:sz w:val="24"/>
          <w:szCs w:val="24"/>
          <w:lang w:eastAsia="en-GB"/>
        </w:rPr>
        <w:t>(1). https://doi.org/10.1186/s12913-019-4015-3</w:t>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Partridge, J. (2020, December 9). Tesco warns of higher prices if UK and EU fail to agree Brexit deal. </w:t>
      </w:r>
      <w:r>
        <w:rPr>
          <w:rFonts w:ascii="Times New Roman" w:hAnsi="Times New Roman" w:eastAsia="Times New Roman" w:cs="Times New Roman"/>
          <w:i/>
          <w:iCs/>
          <w:sz w:val="24"/>
          <w:szCs w:val="24"/>
          <w:lang w:eastAsia="en-GB"/>
        </w:rPr>
        <w:t>The Guardian</w:t>
      </w:r>
      <w:r>
        <w:rPr>
          <w:rFonts w:ascii="Times New Roman" w:hAnsi="Times New Roman" w:eastAsia="Times New Roman" w:cs="Times New Roman"/>
          <w:sz w:val="24"/>
          <w:szCs w:val="24"/>
          <w:lang w:eastAsia="en-GB"/>
        </w:rPr>
        <w:t>. https://www.theguardian.com/business/2020/dec/09/tesco-prices-uk-eu-fail-agree-brexit-no-deal-shortages-tariffs#:~:text=2%20years%20old-</w:t>
      </w:r>
    </w:p>
    <w:p>
      <w:pPr>
        <w:pStyle w:val="7"/>
        <w:spacing w:before="0" w:beforeAutospacing="0" w:after="0" w:afterAutospacing="0" w:line="480" w:lineRule="auto"/>
        <w:ind w:left="720" w:hanging="720"/>
      </w:pPr>
      <w:r>
        <w:t xml:space="preserve">Piccoli, A., Pahl, M.-O., &amp; Wüstrich, L. (2020, July 1). </w:t>
      </w:r>
      <w:r>
        <w:rPr>
          <w:i/>
          <w:iCs/>
        </w:rPr>
        <w:t>Group Key Management in constrained IoT Settings</w:t>
      </w:r>
      <w:r>
        <w:t xml:space="preserve">. IEEE Xplore. </w:t>
      </w:r>
      <w:r>
        <w:fldChar w:fldCharType="begin"/>
      </w:r>
      <w:r>
        <w:instrText xml:space="preserve"> HYPERLINK "https://doi.org/10.1109/ISCC50000.2020.9219619" </w:instrText>
      </w:r>
      <w:r>
        <w:fldChar w:fldCharType="separate"/>
      </w:r>
      <w:r>
        <w:rPr>
          <w:rStyle w:val="10"/>
        </w:rPr>
        <w:t>https://doi.org/10.1109/ISCC50000.2020.9219619</w:t>
      </w:r>
      <w:r>
        <w:rPr>
          <w:rStyle w:val="10"/>
        </w:rPr>
        <w:fldChar w:fldCharType="end"/>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Rêgo, B. S., Jayantilal, S., Ferreira, J. J., &amp; Carayannis, E. G. (2021). Digital Transformation and Strategic Management: a Systematic Review of the Literature. </w:t>
      </w:r>
      <w:r>
        <w:rPr>
          <w:rFonts w:ascii="Times New Roman" w:hAnsi="Times New Roman" w:eastAsia="Times New Roman" w:cs="Times New Roman"/>
          <w:i/>
          <w:iCs/>
          <w:sz w:val="24"/>
          <w:szCs w:val="24"/>
          <w:lang w:eastAsia="en-GB"/>
        </w:rPr>
        <w:t>Journal of the Knowledge Economy</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5</w:t>
      </w:r>
      <w:r>
        <w:rPr>
          <w:rFonts w:ascii="Times New Roman" w:hAnsi="Times New Roman" w:eastAsia="Times New Roman" w:cs="Times New Roman"/>
          <w:sz w:val="24"/>
          <w:szCs w:val="24"/>
          <w:lang w:eastAsia="en-GB"/>
        </w:rPr>
        <w:t>(3). https://doi.org/10.1007/s13132-021-00853-3</w:t>
      </w:r>
    </w:p>
    <w:p>
      <w:pPr>
        <w:pStyle w:val="7"/>
        <w:spacing w:before="0" w:beforeAutospacing="0" w:after="0" w:afterAutospacing="0" w:line="480" w:lineRule="auto"/>
        <w:ind w:left="720" w:hanging="720"/>
      </w:pPr>
      <w:r>
        <w:t xml:space="preserve">Reuters. (2023, January 31). Tesco’s UK store management changes to impact 1,750 jobs. </w:t>
      </w:r>
      <w:r>
        <w:rPr>
          <w:i/>
          <w:iCs/>
        </w:rPr>
        <w:t>Reuters</w:t>
      </w:r>
      <w:r>
        <w:t xml:space="preserve">. </w:t>
      </w:r>
      <w:r>
        <w:fldChar w:fldCharType="begin"/>
      </w:r>
      <w:r>
        <w:instrText xml:space="preserve"> HYPERLINK "https://www.reuters.com/business/retail-consumer/britains-tesco-says-store-management-changes-impact-1750-jobs-2023-01-31/" </w:instrText>
      </w:r>
      <w:r>
        <w:fldChar w:fldCharType="separate"/>
      </w:r>
      <w:r>
        <w:rPr>
          <w:rStyle w:val="10"/>
        </w:rPr>
        <w:t>https://www.reuters.com/business/retail-consumer/britains-tesco-says-store-management-changes-impact-1750-jobs-2023-01-31/</w:t>
      </w:r>
      <w:r>
        <w:rPr>
          <w:rStyle w:val="10"/>
        </w:rPr>
        <w:fldChar w:fldCharType="end"/>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Rosenhead, J., Franco, L. A., Grint, K., &amp; Friedland, B. (2019). Complexity Theory and Leadership practice: a review, a critique, and Some Recommendations. </w:t>
      </w:r>
      <w:r>
        <w:rPr>
          <w:rFonts w:ascii="Times New Roman" w:hAnsi="Times New Roman" w:eastAsia="Times New Roman" w:cs="Times New Roman"/>
          <w:i/>
          <w:iCs/>
          <w:sz w:val="24"/>
          <w:szCs w:val="24"/>
          <w:lang w:eastAsia="en-GB"/>
        </w:rPr>
        <w:t>The Leadership Quarterly</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30</w:t>
      </w:r>
      <w:r>
        <w:rPr>
          <w:rFonts w:ascii="Times New Roman" w:hAnsi="Times New Roman" w:eastAsia="Times New Roman" w:cs="Times New Roman"/>
          <w:sz w:val="24"/>
          <w:szCs w:val="24"/>
          <w:lang w:eastAsia="en-GB"/>
        </w:rPr>
        <w:t>(5), 101304. https://doi.org/10.1016/j.leaqua.2019.07.002</w:t>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Sarkar, M. (2021, June 10). </w:t>
      </w:r>
      <w:r>
        <w:rPr>
          <w:rFonts w:ascii="Times New Roman" w:hAnsi="Times New Roman" w:eastAsia="Times New Roman" w:cs="Times New Roman"/>
          <w:i/>
          <w:iCs/>
          <w:sz w:val="24"/>
          <w:szCs w:val="24"/>
          <w:lang w:eastAsia="en-GB"/>
        </w:rPr>
        <w:t>Analyzing business model of TESCO - The Strategy Story</w:t>
      </w:r>
      <w:r>
        <w:rPr>
          <w:rFonts w:ascii="Times New Roman" w:hAnsi="Times New Roman" w:eastAsia="Times New Roman" w:cs="Times New Roman"/>
          <w:sz w:val="24"/>
          <w:szCs w:val="24"/>
          <w:lang w:eastAsia="en-GB"/>
        </w:rPr>
        <w:t>. TheStrategyStory. https://thestrategystory.com/2021/06/10/tesco-business-model/</w:t>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Silva, C. S., Magano, J., Matos, A., &amp; Nogueira, T. (2021). Sustainable Quality Management Systems in the Current Paradigm: The Role of Leadership. </w:t>
      </w:r>
      <w:r>
        <w:rPr>
          <w:rFonts w:ascii="Times New Roman" w:hAnsi="Times New Roman" w:eastAsia="Times New Roman" w:cs="Times New Roman"/>
          <w:i/>
          <w:iCs/>
          <w:sz w:val="24"/>
          <w:szCs w:val="24"/>
          <w:lang w:eastAsia="en-GB"/>
        </w:rPr>
        <w:t>Sustainability</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13</w:t>
      </w:r>
      <w:r>
        <w:rPr>
          <w:rFonts w:ascii="Times New Roman" w:hAnsi="Times New Roman" w:eastAsia="Times New Roman" w:cs="Times New Roman"/>
          <w:sz w:val="24"/>
          <w:szCs w:val="24"/>
          <w:lang w:eastAsia="en-GB"/>
        </w:rPr>
        <w:t>(4), 2056. https://doi.org/10.3390/su13042056</w:t>
      </w:r>
    </w:p>
    <w:p>
      <w:pPr>
        <w:pStyle w:val="7"/>
        <w:spacing w:before="0" w:beforeAutospacing="0" w:after="0" w:afterAutospacing="0" w:line="480" w:lineRule="auto"/>
        <w:ind w:left="720" w:hanging="720"/>
      </w:pPr>
    </w:p>
    <w:p>
      <w:pPr>
        <w:pStyle w:val="7"/>
        <w:spacing w:before="0" w:beforeAutospacing="0" w:after="0" w:afterAutospacing="0" w:line="480" w:lineRule="auto"/>
        <w:ind w:left="720" w:hanging="720"/>
      </w:pPr>
      <w:r>
        <w:t xml:space="preserve">Tesco Company. (2023). </w:t>
      </w:r>
      <w:r>
        <w:rPr>
          <w:i/>
          <w:iCs/>
        </w:rPr>
        <w:t>About Tesco</w:t>
      </w:r>
      <w:r>
        <w:t xml:space="preserve">. Tesco PLC; www.tescoplc.com. </w:t>
      </w:r>
      <w:r>
        <w:fldChar w:fldCharType="begin"/>
      </w:r>
      <w:r>
        <w:instrText xml:space="preserve"> HYPERLINK "https://www.tescoplc.com/about/" </w:instrText>
      </w:r>
      <w:r>
        <w:fldChar w:fldCharType="separate"/>
      </w:r>
      <w:r>
        <w:rPr>
          <w:rStyle w:val="10"/>
        </w:rPr>
        <w:t>https://www.tescoplc.com/about/</w:t>
      </w:r>
      <w:r>
        <w:rPr>
          <w:rStyle w:val="10"/>
        </w:rPr>
        <w:fldChar w:fldCharType="end"/>
      </w:r>
    </w:p>
    <w:p>
      <w:pPr>
        <w:spacing w:after="0" w:line="48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Tyagi, K. (2023). Tesco’s Marketing Strategy. An Analysis. In </w:t>
      </w:r>
      <w:r>
        <w:rPr>
          <w:rFonts w:ascii="Times New Roman" w:hAnsi="Times New Roman" w:eastAsia="Times New Roman" w:cs="Times New Roman"/>
          <w:i/>
          <w:iCs/>
          <w:sz w:val="24"/>
          <w:szCs w:val="24"/>
          <w:lang w:eastAsia="en-GB"/>
        </w:rPr>
        <w:t>www.grin.com</w:t>
      </w:r>
      <w:r>
        <w:rPr>
          <w:rFonts w:ascii="Times New Roman" w:hAnsi="Times New Roman" w:eastAsia="Times New Roman" w:cs="Times New Roman"/>
          <w:sz w:val="24"/>
          <w:szCs w:val="24"/>
          <w:lang w:eastAsia="en-GB"/>
        </w:rPr>
        <w:t>. https://www.grin.com/document/1334582</w:t>
      </w:r>
    </w:p>
    <w:p>
      <w:pPr>
        <w:pStyle w:val="7"/>
        <w:spacing w:before="0" w:beforeAutospacing="0" w:after="0" w:afterAutospacing="0" w:line="480" w:lineRule="auto"/>
        <w:ind w:left="720" w:hanging="720"/>
      </w:pPr>
      <w:r>
        <w:t xml:space="preserve">Vuksanović Herceg, I., Kuč, V., Mijušković, V. M., &amp; Herceg, T. (2020). Challenges and Driving Forces for Industry 4.0 Implementation. </w:t>
      </w:r>
      <w:r>
        <w:rPr>
          <w:i/>
          <w:iCs/>
        </w:rPr>
        <w:t>Sustainability</w:t>
      </w:r>
      <w:r>
        <w:t xml:space="preserve">, </w:t>
      </w:r>
      <w:r>
        <w:rPr>
          <w:i/>
          <w:iCs/>
        </w:rPr>
        <w:t>12</w:t>
      </w:r>
      <w:r>
        <w:t>(10), 4208. https://doi.org/10.3390/su12104208</w:t>
      </w:r>
    </w:p>
    <w:p>
      <w:pPr>
        <w:pStyle w:val="7"/>
        <w:spacing w:before="0" w:beforeAutospacing="0" w:after="0" w:afterAutospacing="0" w:line="480" w:lineRule="auto"/>
        <w:ind w:left="720" w:hanging="720"/>
      </w:pPr>
      <w:r>
        <w:t xml:space="preserve">Zheng, P., Wang, Z., Chen, C.-H., &amp; Pheng Khoo, L. (2019). A survey of smart product-service systems: Key aspects, challenges and future perspectives. </w:t>
      </w:r>
      <w:r>
        <w:rPr>
          <w:i/>
          <w:iCs/>
        </w:rPr>
        <w:t>Advanced Engineering Informatics</w:t>
      </w:r>
      <w:r>
        <w:t xml:space="preserve">, </w:t>
      </w:r>
      <w:r>
        <w:rPr>
          <w:i/>
          <w:iCs/>
        </w:rPr>
        <w:t>42</w:t>
      </w:r>
      <w:r>
        <w:t>, 100973. https://doi.org/10.1016/j.aei.2019.100973</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sectPr>
      <w:headerReference r:id="rId5" w:type="default"/>
      <w:pgSz w:w="11906" w:h="16838"/>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38333474"/>
      <w:docPartObj>
        <w:docPartGallery w:val="AutoText"/>
      </w:docPartObj>
    </w:sdtPr>
    <w:sdtContent>
      <w:p>
        <w:pPr>
          <w:pStyle w:val="5"/>
          <w:spacing w:line="480" w:lineRule="auto"/>
          <w:jc w:val="right"/>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p>
    </w:sdtContent>
  </w:sdt>
  <w:p>
    <w:pPr>
      <w:pStyle w:val="5"/>
      <w:spacing w:line="480" w:lineRule="auto"/>
      <w:rPr>
        <w:rFonts w:ascii="Times New Roman" w:hAnsi="Times New Roman" w:cs="Times New Roman"/>
        <w:sz w:val="24"/>
        <w:szCs w:val="24"/>
      </w:rPr>
    </w:pPr>
    <w:r>
      <w:rPr>
        <w:rFonts w:ascii="Times New Roman" w:hAnsi="Times New Roman" w:cs="Times New Roman"/>
        <w:sz w:val="24"/>
        <w:szCs w:val="24"/>
      </w:rPr>
      <w:t>Change Management in Tesco Company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6FB2F2B"/>
    <w:multiLevelType w:val="multilevel"/>
    <w:tmpl w:val="26FB2F2B"/>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DdiOTE4YzUxMjY0YjUwOGIyZTQwZTQ5NGNkNzBmN2MifQ=="/>
  </w:docVars>
  <w:rsids>
    <w:rsidRoot w:val="003C524B"/>
    <w:rsid w:val="00004E3B"/>
    <w:rsid w:val="000556DC"/>
    <w:rsid w:val="000A45ED"/>
    <w:rsid w:val="00121B8F"/>
    <w:rsid w:val="001A1DF4"/>
    <w:rsid w:val="001A224A"/>
    <w:rsid w:val="003C524B"/>
    <w:rsid w:val="00442C67"/>
    <w:rsid w:val="00472DB1"/>
    <w:rsid w:val="00482826"/>
    <w:rsid w:val="004A3211"/>
    <w:rsid w:val="00505554"/>
    <w:rsid w:val="00521D88"/>
    <w:rsid w:val="00571A71"/>
    <w:rsid w:val="00883BA8"/>
    <w:rsid w:val="0099543E"/>
    <w:rsid w:val="00A91547"/>
    <w:rsid w:val="00AC78D9"/>
    <w:rsid w:val="00B119C3"/>
    <w:rsid w:val="00B23BB3"/>
    <w:rsid w:val="00B44191"/>
    <w:rsid w:val="00B62D82"/>
    <w:rsid w:val="00B703F3"/>
    <w:rsid w:val="00C56801"/>
    <w:rsid w:val="00CD2D6D"/>
    <w:rsid w:val="00D04E1E"/>
    <w:rsid w:val="00EC158F"/>
    <w:rsid w:val="00EC1A37"/>
    <w:rsid w:val="00F5355A"/>
    <w:rsid w:val="00F72AA7"/>
    <w:rsid w:val="00FC107C"/>
    <w:rsid w:val="54B277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1"/>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2"/>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9">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4">
    <w:name w:val="footer"/>
    <w:basedOn w:val="1"/>
    <w:link w:val="16"/>
    <w:unhideWhenUsed/>
    <w:uiPriority w:val="99"/>
    <w:pPr>
      <w:tabs>
        <w:tab w:val="center" w:pos="4513"/>
        <w:tab w:val="right" w:pos="9026"/>
      </w:tabs>
      <w:spacing w:after="0" w:line="240" w:lineRule="auto"/>
    </w:pPr>
  </w:style>
  <w:style w:type="paragraph" w:styleId="5">
    <w:name w:val="header"/>
    <w:basedOn w:val="1"/>
    <w:link w:val="15"/>
    <w:unhideWhenUsed/>
    <w:uiPriority w:val="99"/>
    <w:pPr>
      <w:tabs>
        <w:tab w:val="center" w:pos="4513"/>
        <w:tab w:val="right" w:pos="9026"/>
      </w:tabs>
      <w:spacing w:after="0" w:line="240" w:lineRule="auto"/>
    </w:pPr>
  </w:style>
  <w:style w:type="paragraph" w:styleId="6">
    <w:name w:val="toc 1"/>
    <w:basedOn w:val="1"/>
    <w:next w:val="1"/>
    <w:unhideWhenUsed/>
    <w:qFormat/>
    <w:uiPriority w:val="39"/>
    <w:pPr>
      <w:spacing w:after="100"/>
    </w:pPr>
  </w:style>
  <w:style w:type="paragraph" w:styleId="7">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10">
    <w:name w:val="Hyperlink"/>
    <w:basedOn w:val="9"/>
    <w:unhideWhenUsed/>
    <w:uiPriority w:val="99"/>
    <w:rPr>
      <w:color w:val="0563C1" w:themeColor="hyperlink"/>
      <w:u w:val="single"/>
      <w14:textFill>
        <w14:solidFill>
          <w14:schemeClr w14:val="hlink"/>
        </w14:solidFill>
      </w14:textFill>
    </w:rPr>
  </w:style>
  <w:style w:type="character" w:customStyle="1" w:styleId="11">
    <w:name w:val="Heading 1 Char"/>
    <w:basedOn w:val="9"/>
    <w:link w:val="2"/>
    <w:uiPriority w:val="9"/>
    <w:rPr>
      <w:rFonts w:asciiTheme="majorHAnsi" w:hAnsiTheme="majorHAnsi" w:eastAsiaTheme="majorEastAsia" w:cstheme="majorBidi"/>
      <w:color w:val="2E75B6" w:themeColor="accent1" w:themeShade="BF"/>
      <w:sz w:val="32"/>
      <w:szCs w:val="32"/>
    </w:rPr>
  </w:style>
  <w:style w:type="character" w:customStyle="1" w:styleId="12">
    <w:name w:val="Heading 2 Char"/>
    <w:basedOn w:val="9"/>
    <w:link w:val="3"/>
    <w:uiPriority w:val="9"/>
    <w:rPr>
      <w:rFonts w:asciiTheme="majorHAnsi" w:hAnsiTheme="majorHAnsi" w:eastAsiaTheme="majorEastAsia" w:cstheme="majorBidi"/>
      <w:color w:val="2E75B6" w:themeColor="accent1" w:themeShade="BF"/>
      <w:sz w:val="26"/>
      <w:szCs w:val="26"/>
    </w:rPr>
  </w:style>
  <w:style w:type="paragraph" w:styleId="13">
    <w:name w:val="List Paragraph"/>
    <w:basedOn w:val="1"/>
    <w:qFormat/>
    <w:uiPriority w:val="34"/>
    <w:pPr>
      <w:ind w:left="720"/>
      <w:contextualSpacing/>
    </w:pPr>
  </w:style>
  <w:style w:type="paragraph" w:customStyle="1" w:styleId="14">
    <w:name w:val="TOC Heading"/>
    <w:basedOn w:val="2"/>
    <w:next w:val="1"/>
    <w:unhideWhenUsed/>
    <w:qFormat/>
    <w:uiPriority w:val="39"/>
    <w:pPr>
      <w:outlineLvl w:val="9"/>
    </w:pPr>
    <w:rPr>
      <w:lang w:val="en-US"/>
    </w:rPr>
  </w:style>
  <w:style w:type="character" w:customStyle="1" w:styleId="15">
    <w:name w:val="Header Char"/>
    <w:basedOn w:val="9"/>
    <w:link w:val="5"/>
    <w:uiPriority w:val="99"/>
  </w:style>
  <w:style w:type="character" w:customStyle="1" w:styleId="16">
    <w:name w:val="Footer Char"/>
    <w:basedOn w:val="9"/>
    <w:link w:val="4"/>
    <w:uiPriority w:val="99"/>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09D04E-DC4C-4F0B-8DA4-43DA9571DEAA}">
  <ds:schemaRefs/>
</ds:datastoreItem>
</file>

<file path=docProps/app.xml><?xml version="1.0" encoding="utf-8"?>
<Properties xmlns="http://schemas.openxmlformats.org/officeDocument/2006/extended-properties" xmlns:vt="http://schemas.openxmlformats.org/officeDocument/2006/docPropsVTypes">
  <Template>Normal</Template>
  <Pages>23</Pages>
  <Words>5247</Words>
  <Characters>33963</Characters>
  <Lines>289</Lines>
  <Paragraphs>81</Paragraphs>
  <TotalTime>11</TotalTime>
  <ScaleCrop>false</ScaleCrop>
  <LinksUpToDate>false</LinksUpToDate>
  <CharactersWithSpaces>39128</CharactersWithSpaces>
  <Application>WPS Office_12.1.0.15120_F1E327BC-269C-435d-A152-05C5408002CA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2023-05-26T08:18:00Z</dcterms:created>
  <dc:creator>USER</dc:creator>
  <cp:lastModifiedBy>Vince Liao</cp:lastModifiedBy>
  <dcterms:modified xsi:type="dcterms:W3CDTF">2023-07-21T11:16:58Z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2052-12.1.0.15120</vt:lpwstr>
  </property>
  <property fmtid="{D5CDD505-2E9C-101B-9397-08002B2CF9AE}" pid="3" name="ICV">
    <vt:lpwstr>27C47652EB4F4F9C80591A527B7EA7EF_13</vt:lpwstr>
  </property>
</Properties>
</file>