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22422C" w14:textId="77777777" w:rsidR="003100EE" w:rsidRDefault="003100EE"/>
    <w:p w14:paraId="35517E68" w14:textId="77777777" w:rsidR="003100EE" w:rsidRDefault="003100EE"/>
    <w:p w14:paraId="126B2F41" w14:textId="77777777" w:rsidR="003100EE" w:rsidRDefault="003100EE"/>
    <w:p w14:paraId="3500916D" w14:textId="386885B8" w:rsidR="003100EE" w:rsidRDefault="00761332">
      <w:r>
        <w:rPr>
          <w:noProof/>
        </w:rPr>
        <w:drawing>
          <wp:inline distT="0" distB="0" distL="0" distR="0" wp14:anchorId="1CDEC63A" wp14:editId="440659A3">
            <wp:extent cx="2171700" cy="2076450"/>
            <wp:effectExtent l="0" t="0" r="0" b="0"/>
            <wp:docPr id="4" name="Picture 3" descr="University of Wales Trinity Saint David - University Transcription Services">
              <a:extLst xmlns:a="http://schemas.openxmlformats.org/drawingml/2006/main">
                <a:ext uri="{FF2B5EF4-FFF2-40B4-BE49-F238E27FC236}">
                  <a16:creationId xmlns:a16="http://schemas.microsoft.com/office/drawing/2014/main" id="{311CA830-123A-0B4A-3A47-FB525E10DC3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University of Wales Trinity Saint David - University Transcription Services">
                      <a:extLst>
                        <a:ext uri="{FF2B5EF4-FFF2-40B4-BE49-F238E27FC236}">
                          <a16:creationId xmlns:a16="http://schemas.microsoft.com/office/drawing/2014/main" id="{311CA830-123A-0B4A-3A47-FB525E10DC36}"/>
                        </a:ext>
                      </a:extLst>
                    </pic:cNvPr>
                    <pic:cNvPicPr>
                      <a:picLocks noChangeAspect="1"/>
                    </pic:cNvPicPr>
                  </pic:nvPicPr>
                  <pic:blipFill>
                    <a:blip r:embed="rId8"/>
                    <a:srcRect b="8424"/>
                    <a:stretch>
                      <a:fillRect/>
                    </a:stretch>
                  </pic:blipFill>
                  <pic:spPr>
                    <a:xfrm>
                      <a:off x="0" y="0"/>
                      <a:ext cx="2171914" cy="2076655"/>
                    </a:xfrm>
                    <a:prstGeom prst="rect">
                      <a:avLst/>
                    </a:prstGeom>
                  </pic:spPr>
                </pic:pic>
              </a:graphicData>
            </a:graphic>
          </wp:inline>
        </w:drawing>
      </w:r>
    </w:p>
    <w:p w14:paraId="674E0EAD" w14:textId="77777777" w:rsidR="00761332" w:rsidRDefault="00761332"/>
    <w:p w14:paraId="71D7E101" w14:textId="77777777" w:rsidR="003100EE" w:rsidRPr="00761332" w:rsidRDefault="00000000" w:rsidP="00761332">
      <w:pPr>
        <w:spacing w:after="280"/>
        <w:jc w:val="center"/>
        <w:rPr>
          <w:sz w:val="48"/>
          <w:szCs w:val="48"/>
        </w:rPr>
      </w:pPr>
      <w:r w:rsidRPr="00761332">
        <w:rPr>
          <w:b/>
          <w:color w:val="555555"/>
          <w:sz w:val="48"/>
          <w:szCs w:val="48"/>
        </w:rPr>
        <w:t>RESEARCH PROPOSAL</w:t>
      </w:r>
    </w:p>
    <w:p w14:paraId="01DFDE79" w14:textId="33537BBC" w:rsidR="003100EE" w:rsidRPr="00761332" w:rsidRDefault="00000000">
      <w:pPr>
        <w:spacing w:after="360"/>
        <w:jc w:val="center"/>
        <w:rPr>
          <w:sz w:val="36"/>
          <w:szCs w:val="36"/>
        </w:rPr>
      </w:pPr>
      <w:r w:rsidRPr="00761332">
        <w:rPr>
          <w:b/>
          <w:sz w:val="36"/>
          <w:szCs w:val="36"/>
        </w:rPr>
        <w:t>The Role of Social Interventions in Improving Quality of Life for Older Adults Living with Dementia in the United Kingdom</w:t>
      </w:r>
    </w:p>
    <w:p w14:paraId="0D31F918" w14:textId="77777777" w:rsidR="00761332" w:rsidRPr="00761332" w:rsidRDefault="00761332" w:rsidP="00761332">
      <w:pPr>
        <w:pStyle w:val="NormalWeb"/>
        <w:spacing w:before="200" w:beforeAutospacing="0" w:after="0" w:afterAutospacing="0" w:line="216" w:lineRule="auto"/>
      </w:pPr>
      <w:r w:rsidRPr="00761332">
        <w:rPr>
          <w:rFonts w:ascii="Arial" w:eastAsia="+mn-ea" w:hAnsi="Arial" w:cs="Arial"/>
          <w:b/>
          <w:bCs/>
          <w:color w:val="000000"/>
          <w:kern w:val="24"/>
          <w:lang w:val="en-US"/>
        </w:rPr>
        <w:t>Student Name:</w:t>
      </w:r>
      <w:r w:rsidRPr="00761332">
        <w:rPr>
          <w:rFonts w:ascii="Arial" w:eastAsia="+mn-ea" w:hAnsi="Arial" w:cs="Arial"/>
          <w:color w:val="000000"/>
          <w:kern w:val="24"/>
          <w:lang w:val="en-US"/>
        </w:rPr>
        <w:t xml:space="preserve"> Josephine Osei Amoah</w:t>
      </w:r>
    </w:p>
    <w:p w14:paraId="512DC23E" w14:textId="77777777" w:rsidR="00761332" w:rsidRPr="00761332" w:rsidRDefault="00761332" w:rsidP="00761332">
      <w:pPr>
        <w:pStyle w:val="NormalWeb"/>
        <w:spacing w:before="200" w:beforeAutospacing="0" w:after="0" w:afterAutospacing="0" w:line="216" w:lineRule="auto"/>
      </w:pPr>
      <w:r w:rsidRPr="00761332">
        <w:rPr>
          <w:rFonts w:ascii="Arial" w:eastAsia="+mn-ea" w:hAnsi="Arial" w:cs="Arial"/>
          <w:b/>
          <w:bCs/>
          <w:color w:val="000000"/>
          <w:kern w:val="24"/>
          <w:lang w:val="en-US"/>
        </w:rPr>
        <w:t>Student Number:</w:t>
      </w:r>
      <w:r w:rsidRPr="00761332">
        <w:rPr>
          <w:rFonts w:ascii="Arial" w:eastAsia="+mn-ea" w:hAnsi="Arial" w:cs="Arial"/>
          <w:color w:val="000000"/>
          <w:kern w:val="24"/>
          <w:lang w:val="en-US"/>
        </w:rPr>
        <w:t xml:space="preserve"> 2233505</w:t>
      </w:r>
    </w:p>
    <w:p w14:paraId="6381AB06" w14:textId="5AA0E846" w:rsidR="00761332" w:rsidRPr="00761332" w:rsidRDefault="00761332" w:rsidP="00761332">
      <w:pPr>
        <w:pStyle w:val="NormalWeb"/>
        <w:spacing w:before="200" w:beforeAutospacing="0" w:after="0" w:afterAutospacing="0" w:line="216" w:lineRule="auto"/>
      </w:pPr>
      <w:r w:rsidRPr="00761332">
        <w:rPr>
          <w:rFonts w:ascii="Arial" w:eastAsia="+mn-ea" w:hAnsi="Arial" w:cs="Arial"/>
          <w:b/>
          <w:bCs/>
          <w:color w:val="000000"/>
          <w:kern w:val="24"/>
          <w:lang w:val="en-US"/>
        </w:rPr>
        <w:t>Module number:</w:t>
      </w:r>
      <w:r w:rsidRPr="00761332">
        <w:rPr>
          <w:rFonts w:ascii="Arial" w:eastAsia="+mn-ea" w:hAnsi="Arial" w:cs="Arial"/>
          <w:color w:val="000000"/>
          <w:kern w:val="24"/>
          <w:lang w:val="en-US"/>
        </w:rPr>
        <w:t xml:space="preserve"> LCHS70</w:t>
      </w:r>
      <w:r>
        <w:rPr>
          <w:rFonts w:ascii="Arial" w:eastAsia="+mn-ea" w:hAnsi="Arial" w:cs="Arial"/>
          <w:color w:val="000000"/>
          <w:kern w:val="24"/>
          <w:lang w:val="en-US"/>
        </w:rPr>
        <w:t>008</w:t>
      </w:r>
    </w:p>
    <w:p w14:paraId="008AF19B" w14:textId="0A13D80D" w:rsidR="00761332" w:rsidRPr="00761332" w:rsidRDefault="00761332" w:rsidP="00761332">
      <w:pPr>
        <w:pStyle w:val="NormalWeb"/>
        <w:spacing w:before="200" w:beforeAutospacing="0" w:after="0" w:afterAutospacing="0" w:line="216" w:lineRule="auto"/>
      </w:pPr>
      <w:r w:rsidRPr="00761332">
        <w:rPr>
          <w:rFonts w:ascii="Arial" w:eastAsia="+mn-ea" w:hAnsi="Arial" w:cs="Arial"/>
          <w:b/>
          <w:bCs/>
          <w:color w:val="000000"/>
          <w:kern w:val="24"/>
          <w:lang w:val="en-US"/>
        </w:rPr>
        <w:t>Lecturer Name:</w:t>
      </w:r>
      <w:r w:rsidRPr="00761332">
        <w:rPr>
          <w:rFonts w:ascii="Arial" w:eastAsia="+mn-ea" w:hAnsi="Arial" w:cs="Arial"/>
          <w:color w:val="000000"/>
          <w:kern w:val="24"/>
          <w:lang w:val="en-US"/>
        </w:rPr>
        <w:t xml:space="preserve"> </w:t>
      </w:r>
      <w:r>
        <w:rPr>
          <w:rFonts w:ascii="Arial" w:eastAsia="+mn-ea" w:hAnsi="Arial" w:cs="Arial"/>
          <w:color w:val="000000"/>
          <w:kern w:val="24"/>
          <w:lang w:val="en-US"/>
        </w:rPr>
        <w:t>Oluwadamilola Tayo</w:t>
      </w:r>
    </w:p>
    <w:p w14:paraId="633B8741" w14:textId="77777777" w:rsidR="00761332" w:rsidRDefault="00761332" w:rsidP="00761332">
      <w:pPr>
        <w:pStyle w:val="NormalWeb"/>
        <w:spacing w:before="200" w:beforeAutospacing="0" w:after="0" w:afterAutospacing="0" w:line="216" w:lineRule="auto"/>
        <w:jc w:val="center"/>
        <w:rPr>
          <w:rFonts w:ascii="Arial" w:eastAsia="+mn-ea" w:hAnsi="Arial" w:cs="Arial"/>
          <w:color w:val="000000"/>
          <w:kern w:val="24"/>
        </w:rPr>
      </w:pPr>
    </w:p>
    <w:p w14:paraId="6D63746A" w14:textId="7DC0A24D" w:rsidR="00761332" w:rsidRPr="00761332" w:rsidRDefault="00761332" w:rsidP="00761332">
      <w:pPr>
        <w:pStyle w:val="NormalWeb"/>
        <w:spacing w:before="200" w:beforeAutospacing="0" w:after="0" w:afterAutospacing="0" w:line="216" w:lineRule="auto"/>
      </w:pPr>
      <w:r w:rsidRPr="00761332">
        <w:rPr>
          <w:rFonts w:ascii="Arial" w:eastAsia="+mn-ea" w:hAnsi="Arial" w:cs="Arial"/>
          <w:color w:val="000000"/>
          <w:kern w:val="24"/>
        </w:rPr>
        <w:t>I</w:t>
      </w:r>
      <w:r w:rsidRPr="00761332">
        <w:rPr>
          <w:rFonts w:ascii="Arial" w:eastAsia="+mn-ea" w:hAnsi="Arial" w:cs="Arial"/>
          <w:smallCaps/>
          <w:color w:val="000000"/>
          <w:kern w:val="24"/>
        </w:rPr>
        <w:t xml:space="preserve"> </w:t>
      </w:r>
      <w:r w:rsidRPr="00761332">
        <w:rPr>
          <w:rFonts w:ascii="Arial" w:eastAsia="+mn-ea" w:hAnsi="Arial" w:cs="Arial"/>
          <w:color w:val="000000"/>
          <w:kern w:val="24"/>
        </w:rPr>
        <w:t>confirm</w:t>
      </w:r>
      <w:r w:rsidRPr="00761332">
        <w:rPr>
          <w:rFonts w:ascii="Arial" w:eastAsia="+mn-ea" w:hAnsi="Arial" w:cs="Arial"/>
          <w:smallCaps/>
          <w:color w:val="000000"/>
          <w:kern w:val="24"/>
        </w:rPr>
        <w:t xml:space="preserve"> </w:t>
      </w:r>
      <w:r w:rsidRPr="00761332">
        <w:rPr>
          <w:rFonts w:ascii="Arial" w:eastAsia="+mn-ea" w:hAnsi="Arial" w:cs="Arial"/>
          <w:color w:val="000000"/>
          <w:kern w:val="24"/>
        </w:rPr>
        <w:t>that</w:t>
      </w:r>
      <w:r w:rsidRPr="00761332">
        <w:rPr>
          <w:rFonts w:ascii="Arial" w:eastAsia="+mn-ea" w:hAnsi="Arial" w:cs="Arial"/>
          <w:smallCaps/>
          <w:color w:val="000000"/>
          <w:kern w:val="24"/>
        </w:rPr>
        <w:t xml:space="preserve"> </w:t>
      </w:r>
      <w:r w:rsidRPr="00761332">
        <w:rPr>
          <w:rFonts w:ascii="Arial" w:eastAsia="+mn-ea" w:hAnsi="Arial" w:cs="Arial"/>
          <w:color w:val="000000"/>
          <w:kern w:val="24"/>
        </w:rPr>
        <w:t>I</w:t>
      </w:r>
      <w:r w:rsidRPr="00761332">
        <w:rPr>
          <w:rFonts w:ascii="Arial" w:eastAsia="+mn-ea" w:hAnsi="Arial" w:cs="Arial"/>
          <w:smallCaps/>
          <w:color w:val="000000"/>
          <w:kern w:val="24"/>
        </w:rPr>
        <w:t xml:space="preserve"> </w:t>
      </w:r>
      <w:r w:rsidRPr="00761332">
        <w:rPr>
          <w:rFonts w:ascii="Arial" w:eastAsia="+mn-ea" w:hAnsi="Arial" w:cs="Arial"/>
          <w:color w:val="000000"/>
          <w:kern w:val="24"/>
        </w:rPr>
        <w:t>have</w:t>
      </w:r>
      <w:r w:rsidRPr="00761332">
        <w:rPr>
          <w:rFonts w:ascii="Arial" w:eastAsia="+mn-ea" w:hAnsi="Arial" w:cs="Arial"/>
          <w:smallCaps/>
          <w:color w:val="000000"/>
          <w:kern w:val="24"/>
        </w:rPr>
        <w:t xml:space="preserve"> </w:t>
      </w:r>
      <w:r w:rsidRPr="00761332">
        <w:rPr>
          <w:rFonts w:ascii="Arial" w:eastAsia="+mn-ea" w:hAnsi="Arial" w:cs="Arial"/>
          <w:color w:val="000000"/>
          <w:kern w:val="24"/>
        </w:rPr>
        <w:t>not</w:t>
      </w:r>
      <w:r w:rsidRPr="00761332">
        <w:rPr>
          <w:rFonts w:ascii="Arial" w:eastAsia="+mn-ea" w:hAnsi="Arial" w:cs="Arial"/>
          <w:smallCaps/>
          <w:color w:val="000000"/>
          <w:kern w:val="24"/>
        </w:rPr>
        <w:t xml:space="preserve"> </w:t>
      </w:r>
      <w:r w:rsidRPr="00761332">
        <w:rPr>
          <w:rFonts w:ascii="Arial" w:eastAsia="+mn-ea" w:hAnsi="Arial" w:cs="Arial"/>
          <w:color w:val="000000"/>
          <w:kern w:val="24"/>
        </w:rPr>
        <w:t>used</w:t>
      </w:r>
      <w:r w:rsidRPr="00761332">
        <w:rPr>
          <w:rFonts w:ascii="Arial" w:eastAsia="+mn-ea" w:hAnsi="Arial" w:cs="Arial"/>
          <w:smallCaps/>
          <w:color w:val="000000"/>
          <w:kern w:val="24"/>
        </w:rPr>
        <w:t xml:space="preserve"> </w:t>
      </w:r>
      <w:r w:rsidRPr="00761332">
        <w:rPr>
          <w:rFonts w:ascii="Arial" w:eastAsia="+mn-ea" w:hAnsi="Arial" w:cs="Arial"/>
          <w:color w:val="000000"/>
          <w:kern w:val="24"/>
        </w:rPr>
        <w:t>any</w:t>
      </w:r>
      <w:r w:rsidRPr="00761332">
        <w:rPr>
          <w:rFonts w:ascii="Arial" w:eastAsia="+mn-ea" w:hAnsi="Arial" w:cs="Arial"/>
          <w:smallCaps/>
          <w:color w:val="000000"/>
          <w:kern w:val="24"/>
        </w:rPr>
        <w:t xml:space="preserve"> </w:t>
      </w:r>
      <w:r w:rsidRPr="00761332">
        <w:rPr>
          <w:rFonts w:ascii="Arial" w:eastAsia="+mn-ea" w:hAnsi="Arial" w:cs="Arial"/>
          <w:color w:val="000000"/>
          <w:kern w:val="24"/>
        </w:rPr>
        <w:t>AI</w:t>
      </w:r>
      <w:r w:rsidRPr="00761332">
        <w:rPr>
          <w:rFonts w:ascii="Arial" w:eastAsia="+mn-ea" w:hAnsi="Arial" w:cs="Arial"/>
          <w:smallCaps/>
          <w:color w:val="000000"/>
          <w:kern w:val="24"/>
        </w:rPr>
        <w:t xml:space="preserve"> </w:t>
      </w:r>
      <w:r w:rsidRPr="00761332">
        <w:rPr>
          <w:rFonts w:ascii="Arial" w:eastAsia="+mn-ea" w:hAnsi="Arial" w:cs="Arial"/>
          <w:color w:val="000000"/>
          <w:kern w:val="24"/>
        </w:rPr>
        <w:t>tools</w:t>
      </w:r>
      <w:r w:rsidRPr="00761332">
        <w:rPr>
          <w:rFonts w:ascii="Arial" w:eastAsia="+mn-ea" w:hAnsi="Arial" w:cs="Arial"/>
          <w:smallCaps/>
          <w:color w:val="000000"/>
          <w:kern w:val="24"/>
        </w:rPr>
        <w:t xml:space="preserve"> </w:t>
      </w:r>
      <w:r w:rsidRPr="00761332">
        <w:rPr>
          <w:rFonts w:ascii="Arial" w:eastAsia="+mn-ea" w:hAnsi="Arial" w:cs="Arial"/>
          <w:color w:val="000000"/>
          <w:kern w:val="24"/>
        </w:rPr>
        <w:t>in</w:t>
      </w:r>
      <w:r w:rsidRPr="00761332">
        <w:rPr>
          <w:rFonts w:ascii="Arial" w:eastAsia="+mn-ea" w:hAnsi="Arial" w:cs="Arial"/>
          <w:smallCaps/>
          <w:color w:val="000000"/>
          <w:kern w:val="24"/>
        </w:rPr>
        <w:t xml:space="preserve"> </w:t>
      </w:r>
      <w:r w:rsidRPr="00761332">
        <w:rPr>
          <w:rFonts w:ascii="Arial" w:eastAsia="+mn-ea" w:hAnsi="Arial" w:cs="Arial"/>
          <w:color w:val="000000"/>
          <w:kern w:val="24"/>
        </w:rPr>
        <w:t>the</w:t>
      </w:r>
      <w:r w:rsidRPr="00761332">
        <w:rPr>
          <w:rFonts w:ascii="Arial" w:eastAsia="+mn-ea" w:hAnsi="Arial" w:cs="Arial"/>
          <w:smallCaps/>
          <w:color w:val="000000"/>
          <w:kern w:val="24"/>
        </w:rPr>
        <w:t xml:space="preserve"> </w:t>
      </w:r>
      <w:r w:rsidRPr="00761332">
        <w:rPr>
          <w:rFonts w:ascii="Arial" w:eastAsia="+mn-ea" w:hAnsi="Arial" w:cs="Arial"/>
          <w:color w:val="000000"/>
          <w:kern w:val="24"/>
        </w:rPr>
        <w:t>research</w:t>
      </w:r>
      <w:r w:rsidRPr="00761332">
        <w:rPr>
          <w:rFonts w:ascii="Arial" w:eastAsia="+mn-ea" w:hAnsi="Arial" w:cs="Arial"/>
          <w:smallCaps/>
          <w:color w:val="000000"/>
          <w:kern w:val="24"/>
        </w:rPr>
        <w:t xml:space="preserve"> </w:t>
      </w:r>
      <w:r w:rsidRPr="00761332">
        <w:rPr>
          <w:rFonts w:ascii="Arial" w:eastAsia="+mn-ea" w:hAnsi="Arial" w:cs="Arial"/>
          <w:color w:val="000000"/>
          <w:kern w:val="24"/>
        </w:rPr>
        <w:t>and</w:t>
      </w:r>
      <w:r w:rsidRPr="00761332">
        <w:rPr>
          <w:rFonts w:ascii="Arial" w:eastAsia="+mn-ea" w:hAnsi="Arial" w:cs="Arial"/>
          <w:smallCaps/>
          <w:color w:val="000000"/>
          <w:kern w:val="24"/>
        </w:rPr>
        <w:t xml:space="preserve"> </w:t>
      </w:r>
      <w:r w:rsidRPr="00761332">
        <w:rPr>
          <w:rFonts w:ascii="Arial" w:eastAsia="+mn-ea" w:hAnsi="Arial" w:cs="Arial"/>
          <w:color w:val="000000"/>
          <w:kern w:val="24"/>
        </w:rPr>
        <w:t>creation</w:t>
      </w:r>
      <w:r w:rsidRPr="00761332">
        <w:rPr>
          <w:rFonts w:ascii="Arial" w:eastAsia="+mn-ea" w:hAnsi="Arial" w:cs="Arial"/>
          <w:smallCaps/>
          <w:color w:val="000000"/>
          <w:kern w:val="24"/>
        </w:rPr>
        <w:t xml:space="preserve"> </w:t>
      </w:r>
      <w:r w:rsidRPr="00761332">
        <w:rPr>
          <w:rFonts w:ascii="Arial" w:eastAsia="+mn-ea" w:hAnsi="Arial" w:cs="Arial"/>
          <w:color w:val="000000"/>
          <w:kern w:val="24"/>
        </w:rPr>
        <w:t>of</w:t>
      </w:r>
      <w:r w:rsidRPr="00761332">
        <w:rPr>
          <w:rFonts w:ascii="Arial" w:eastAsia="+mn-ea" w:hAnsi="Arial" w:cs="Arial"/>
          <w:smallCaps/>
          <w:color w:val="000000"/>
          <w:kern w:val="24"/>
        </w:rPr>
        <w:t xml:space="preserve"> </w:t>
      </w:r>
      <w:r w:rsidRPr="00761332">
        <w:rPr>
          <w:rFonts w:ascii="Arial" w:eastAsia="+mn-ea" w:hAnsi="Arial" w:cs="Arial"/>
          <w:color w:val="000000"/>
          <w:kern w:val="24"/>
        </w:rPr>
        <w:t>this</w:t>
      </w:r>
      <w:r w:rsidRPr="00761332">
        <w:rPr>
          <w:rFonts w:ascii="Arial" w:eastAsia="+mn-ea" w:hAnsi="Arial" w:cs="Arial"/>
          <w:smallCaps/>
          <w:color w:val="000000"/>
          <w:kern w:val="24"/>
        </w:rPr>
        <w:t xml:space="preserve"> </w:t>
      </w:r>
      <w:r w:rsidRPr="00761332">
        <w:rPr>
          <w:rFonts w:ascii="Arial" w:eastAsia="+mn-ea" w:hAnsi="Arial" w:cs="Arial"/>
          <w:color w:val="000000"/>
          <w:kern w:val="24"/>
        </w:rPr>
        <w:t>assignment.</w:t>
      </w:r>
      <w:r w:rsidRPr="00761332">
        <w:rPr>
          <w:rFonts w:ascii="Arial" w:eastAsia="+mn-ea" w:hAnsi="Arial" w:cs="Arial"/>
          <w:smallCaps/>
          <w:color w:val="000000"/>
          <w:kern w:val="24"/>
        </w:rPr>
        <w:t xml:space="preserve"> </w:t>
      </w:r>
      <w:r w:rsidRPr="00761332">
        <w:rPr>
          <w:rFonts w:ascii="Arial" w:eastAsia="+mn-ea" w:hAnsi="Arial" w:cs="Arial"/>
          <w:color w:val="000000"/>
          <w:kern w:val="24"/>
        </w:rPr>
        <w:t>I</w:t>
      </w:r>
      <w:r w:rsidRPr="00761332">
        <w:rPr>
          <w:rFonts w:ascii="Arial" w:eastAsia="+mn-ea" w:hAnsi="Arial" w:cs="Arial"/>
          <w:smallCaps/>
          <w:color w:val="000000"/>
          <w:kern w:val="24"/>
        </w:rPr>
        <w:t xml:space="preserve"> </w:t>
      </w:r>
      <w:r w:rsidRPr="00761332">
        <w:rPr>
          <w:rFonts w:ascii="Arial" w:eastAsia="+mn-ea" w:hAnsi="Arial" w:cs="Arial"/>
          <w:color w:val="000000"/>
          <w:kern w:val="24"/>
        </w:rPr>
        <w:t>confirm</w:t>
      </w:r>
      <w:r w:rsidRPr="00761332">
        <w:rPr>
          <w:rFonts w:ascii="Arial" w:eastAsia="+mn-ea" w:hAnsi="Arial" w:cs="Arial"/>
          <w:smallCaps/>
          <w:color w:val="000000"/>
          <w:kern w:val="24"/>
        </w:rPr>
        <w:t xml:space="preserve"> </w:t>
      </w:r>
      <w:r w:rsidRPr="00761332">
        <w:rPr>
          <w:rFonts w:ascii="Arial" w:eastAsia="+mn-ea" w:hAnsi="Arial" w:cs="Arial"/>
          <w:color w:val="000000"/>
          <w:kern w:val="24"/>
        </w:rPr>
        <w:t>that</w:t>
      </w:r>
      <w:r w:rsidRPr="00761332">
        <w:rPr>
          <w:rFonts w:ascii="Arial" w:eastAsia="+mn-ea" w:hAnsi="Arial" w:cs="Arial"/>
          <w:smallCaps/>
          <w:color w:val="000000"/>
          <w:kern w:val="24"/>
        </w:rPr>
        <w:t xml:space="preserve"> </w:t>
      </w:r>
      <w:r w:rsidRPr="00761332">
        <w:rPr>
          <w:rFonts w:ascii="Arial" w:eastAsia="+mn-ea" w:hAnsi="Arial" w:cs="Arial"/>
          <w:color w:val="000000"/>
          <w:kern w:val="24"/>
        </w:rPr>
        <w:t>I</w:t>
      </w:r>
      <w:r w:rsidRPr="00761332">
        <w:rPr>
          <w:rFonts w:ascii="Arial" w:eastAsia="+mn-ea" w:hAnsi="Arial" w:cs="Arial"/>
          <w:smallCaps/>
          <w:color w:val="000000"/>
          <w:kern w:val="24"/>
        </w:rPr>
        <w:t xml:space="preserve"> </w:t>
      </w:r>
      <w:r w:rsidRPr="00761332">
        <w:rPr>
          <w:rFonts w:ascii="Arial" w:eastAsia="+mn-ea" w:hAnsi="Arial" w:cs="Arial"/>
          <w:color w:val="000000"/>
          <w:kern w:val="24"/>
        </w:rPr>
        <w:t>have</w:t>
      </w:r>
      <w:r w:rsidRPr="00761332">
        <w:rPr>
          <w:rFonts w:ascii="Arial" w:eastAsia="+mn-ea" w:hAnsi="Arial" w:cs="Arial"/>
          <w:smallCaps/>
          <w:color w:val="000000"/>
          <w:kern w:val="24"/>
        </w:rPr>
        <w:t xml:space="preserve"> </w:t>
      </w:r>
      <w:r w:rsidRPr="00761332">
        <w:rPr>
          <w:rFonts w:ascii="Arial" w:eastAsia="+mn-ea" w:hAnsi="Arial" w:cs="Arial"/>
          <w:color w:val="000000"/>
          <w:kern w:val="24"/>
        </w:rPr>
        <w:t>not</w:t>
      </w:r>
      <w:r w:rsidRPr="00761332">
        <w:rPr>
          <w:rFonts w:ascii="Arial" w:eastAsia="+mn-ea" w:hAnsi="Arial" w:cs="Arial"/>
          <w:smallCaps/>
          <w:color w:val="000000"/>
          <w:kern w:val="24"/>
        </w:rPr>
        <w:t xml:space="preserve"> </w:t>
      </w:r>
      <w:r w:rsidRPr="00761332">
        <w:rPr>
          <w:rFonts w:ascii="Arial" w:eastAsia="+mn-ea" w:hAnsi="Arial" w:cs="Arial"/>
          <w:color w:val="000000"/>
          <w:kern w:val="24"/>
        </w:rPr>
        <w:t>presented</w:t>
      </w:r>
      <w:r w:rsidRPr="00761332">
        <w:rPr>
          <w:rFonts w:ascii="Arial" w:eastAsia="+mn-ea" w:hAnsi="Arial" w:cs="Arial"/>
          <w:smallCaps/>
          <w:color w:val="000000"/>
          <w:kern w:val="24"/>
        </w:rPr>
        <w:t xml:space="preserve"> </w:t>
      </w:r>
      <w:r w:rsidRPr="00761332">
        <w:rPr>
          <w:rFonts w:ascii="Arial" w:eastAsia="+mn-ea" w:hAnsi="Arial" w:cs="Arial"/>
          <w:color w:val="000000"/>
          <w:kern w:val="24"/>
        </w:rPr>
        <w:t>any</w:t>
      </w:r>
      <w:r w:rsidRPr="00761332">
        <w:rPr>
          <w:rFonts w:ascii="Arial" w:eastAsia="+mn-ea" w:hAnsi="Arial" w:cs="Arial"/>
          <w:smallCaps/>
          <w:color w:val="000000"/>
          <w:kern w:val="24"/>
        </w:rPr>
        <w:t xml:space="preserve"> </w:t>
      </w:r>
      <w:r w:rsidRPr="00761332">
        <w:rPr>
          <w:rFonts w:ascii="Arial" w:eastAsia="+mn-ea" w:hAnsi="Arial" w:cs="Arial"/>
          <w:color w:val="000000"/>
          <w:kern w:val="24"/>
        </w:rPr>
        <w:t>AI-generated</w:t>
      </w:r>
      <w:r w:rsidRPr="00761332">
        <w:rPr>
          <w:rFonts w:ascii="Arial" w:eastAsia="+mn-ea" w:hAnsi="Arial" w:cs="Arial"/>
          <w:smallCaps/>
          <w:color w:val="000000"/>
          <w:kern w:val="24"/>
        </w:rPr>
        <w:t xml:space="preserve"> </w:t>
      </w:r>
      <w:r w:rsidRPr="00761332">
        <w:rPr>
          <w:rFonts w:ascii="Arial" w:eastAsia="+mn-ea" w:hAnsi="Arial" w:cs="Arial"/>
          <w:color w:val="000000"/>
          <w:kern w:val="24"/>
        </w:rPr>
        <w:t>materials</w:t>
      </w:r>
      <w:r w:rsidRPr="00761332">
        <w:rPr>
          <w:rFonts w:ascii="Arial" w:eastAsia="+mn-ea" w:hAnsi="Arial" w:cs="Arial"/>
          <w:smallCaps/>
          <w:color w:val="000000"/>
          <w:kern w:val="24"/>
        </w:rPr>
        <w:t xml:space="preserve"> </w:t>
      </w:r>
      <w:r w:rsidRPr="00761332">
        <w:rPr>
          <w:rFonts w:ascii="Arial" w:eastAsia="+mn-ea" w:hAnsi="Arial" w:cs="Arial"/>
          <w:color w:val="000000"/>
          <w:kern w:val="24"/>
        </w:rPr>
        <w:t>as</w:t>
      </w:r>
      <w:r w:rsidRPr="00761332">
        <w:rPr>
          <w:rFonts w:ascii="Arial" w:eastAsia="+mn-ea" w:hAnsi="Arial" w:cs="Arial"/>
          <w:smallCaps/>
          <w:color w:val="000000"/>
          <w:kern w:val="24"/>
        </w:rPr>
        <w:t xml:space="preserve"> </w:t>
      </w:r>
      <w:r w:rsidRPr="00761332">
        <w:rPr>
          <w:rFonts w:ascii="Arial" w:eastAsia="+mn-ea" w:hAnsi="Arial" w:cs="Arial"/>
          <w:color w:val="000000"/>
          <w:kern w:val="24"/>
        </w:rPr>
        <w:t>my</w:t>
      </w:r>
      <w:r w:rsidRPr="00761332">
        <w:rPr>
          <w:rFonts w:ascii="Arial" w:eastAsia="+mn-ea" w:hAnsi="Arial" w:cs="Arial"/>
          <w:smallCaps/>
          <w:color w:val="000000"/>
          <w:kern w:val="24"/>
        </w:rPr>
        <w:t xml:space="preserve"> </w:t>
      </w:r>
      <w:r w:rsidRPr="00761332">
        <w:rPr>
          <w:rFonts w:ascii="Arial" w:eastAsia="+mn-ea" w:hAnsi="Arial" w:cs="Arial"/>
          <w:color w:val="000000"/>
          <w:kern w:val="24"/>
        </w:rPr>
        <w:t>own</w:t>
      </w:r>
      <w:r w:rsidRPr="00761332">
        <w:rPr>
          <w:rFonts w:ascii="Arial" w:eastAsia="+mn-ea" w:hAnsi="Arial" w:cs="Arial"/>
          <w:smallCaps/>
          <w:color w:val="000000"/>
          <w:kern w:val="24"/>
        </w:rPr>
        <w:t xml:space="preserve"> </w:t>
      </w:r>
      <w:r w:rsidRPr="00761332">
        <w:rPr>
          <w:rFonts w:ascii="Arial" w:eastAsia="+mn-ea" w:hAnsi="Arial" w:cs="Arial"/>
          <w:color w:val="000000"/>
          <w:kern w:val="24"/>
        </w:rPr>
        <w:t>work.</w:t>
      </w:r>
      <w:r w:rsidRPr="00761332">
        <w:rPr>
          <w:rFonts w:ascii="Arial" w:eastAsia="+mn-ea" w:hAnsi="Arial" w:cs="Arial"/>
          <w:smallCaps/>
          <w:color w:val="000000"/>
          <w:kern w:val="24"/>
        </w:rPr>
        <w:t xml:space="preserve"> </w:t>
      </w:r>
      <w:r w:rsidRPr="00761332">
        <w:rPr>
          <w:rFonts w:ascii="Arial" w:eastAsia="+mn-ea" w:hAnsi="Arial" w:cs="Arial"/>
          <w:color w:val="000000"/>
          <w:kern w:val="24"/>
        </w:rPr>
        <w:t>I</w:t>
      </w:r>
      <w:r w:rsidRPr="00761332">
        <w:rPr>
          <w:rFonts w:ascii="Arial" w:eastAsia="+mn-ea" w:hAnsi="Arial" w:cs="Arial"/>
          <w:smallCaps/>
          <w:color w:val="000000"/>
          <w:kern w:val="24"/>
        </w:rPr>
        <w:t xml:space="preserve"> </w:t>
      </w:r>
      <w:r w:rsidRPr="00761332">
        <w:rPr>
          <w:rFonts w:ascii="Arial" w:eastAsia="+mn-ea" w:hAnsi="Arial" w:cs="Arial"/>
          <w:color w:val="000000"/>
          <w:kern w:val="24"/>
        </w:rPr>
        <w:t>confirm</w:t>
      </w:r>
      <w:r w:rsidRPr="00761332">
        <w:rPr>
          <w:rFonts w:ascii="Arial" w:eastAsia="+mn-ea" w:hAnsi="Arial" w:cs="Arial"/>
          <w:smallCaps/>
          <w:color w:val="000000"/>
          <w:kern w:val="24"/>
        </w:rPr>
        <w:t xml:space="preserve"> </w:t>
      </w:r>
      <w:r w:rsidRPr="00761332">
        <w:rPr>
          <w:rFonts w:ascii="Arial" w:eastAsia="+mn-ea" w:hAnsi="Arial" w:cs="Arial"/>
          <w:color w:val="000000"/>
          <w:kern w:val="24"/>
        </w:rPr>
        <w:t>I</w:t>
      </w:r>
      <w:r w:rsidRPr="00761332">
        <w:rPr>
          <w:rFonts w:ascii="Arial" w:eastAsia="+mn-ea" w:hAnsi="Arial" w:cs="Arial"/>
          <w:smallCaps/>
          <w:color w:val="000000"/>
          <w:kern w:val="24"/>
        </w:rPr>
        <w:t xml:space="preserve"> </w:t>
      </w:r>
      <w:r w:rsidRPr="00761332">
        <w:rPr>
          <w:rFonts w:ascii="Arial" w:eastAsia="+mn-ea" w:hAnsi="Arial" w:cs="Arial"/>
          <w:color w:val="000000"/>
          <w:kern w:val="24"/>
        </w:rPr>
        <w:t>have</w:t>
      </w:r>
      <w:r w:rsidRPr="00761332">
        <w:rPr>
          <w:rFonts w:ascii="Arial" w:eastAsia="+mn-ea" w:hAnsi="Arial" w:cs="Arial"/>
          <w:smallCaps/>
          <w:color w:val="000000"/>
          <w:kern w:val="24"/>
        </w:rPr>
        <w:t xml:space="preserve"> </w:t>
      </w:r>
      <w:r w:rsidRPr="00761332">
        <w:rPr>
          <w:rFonts w:ascii="Arial" w:eastAsia="+mn-ea" w:hAnsi="Arial" w:cs="Arial"/>
          <w:color w:val="000000"/>
          <w:kern w:val="24"/>
        </w:rPr>
        <w:t>copies</w:t>
      </w:r>
      <w:r w:rsidRPr="00761332">
        <w:rPr>
          <w:rFonts w:ascii="Arial" w:eastAsia="+mn-ea" w:hAnsi="Arial" w:cs="Arial"/>
          <w:smallCaps/>
          <w:color w:val="000000"/>
          <w:kern w:val="24"/>
        </w:rPr>
        <w:t xml:space="preserve"> </w:t>
      </w:r>
      <w:r w:rsidRPr="00761332">
        <w:rPr>
          <w:rFonts w:ascii="Arial" w:eastAsia="+mn-ea" w:hAnsi="Arial" w:cs="Arial"/>
          <w:color w:val="000000"/>
          <w:kern w:val="24"/>
        </w:rPr>
        <w:t>of</w:t>
      </w:r>
      <w:r w:rsidRPr="00761332">
        <w:rPr>
          <w:rFonts w:ascii="Arial" w:eastAsia="+mn-ea" w:hAnsi="Arial" w:cs="Arial"/>
          <w:smallCaps/>
          <w:color w:val="000000"/>
          <w:kern w:val="24"/>
        </w:rPr>
        <w:t xml:space="preserve"> </w:t>
      </w:r>
      <w:r w:rsidRPr="00761332">
        <w:rPr>
          <w:rFonts w:ascii="Arial" w:eastAsia="+mn-ea" w:hAnsi="Arial" w:cs="Arial"/>
          <w:color w:val="000000"/>
          <w:kern w:val="24"/>
        </w:rPr>
        <w:t>my</w:t>
      </w:r>
      <w:r w:rsidRPr="00761332">
        <w:rPr>
          <w:rFonts w:ascii="Arial" w:eastAsia="+mn-ea" w:hAnsi="Arial" w:cs="Arial"/>
          <w:smallCaps/>
          <w:color w:val="000000"/>
          <w:kern w:val="24"/>
        </w:rPr>
        <w:t xml:space="preserve"> </w:t>
      </w:r>
      <w:r w:rsidRPr="00761332">
        <w:rPr>
          <w:rFonts w:ascii="Arial" w:eastAsia="+mn-ea" w:hAnsi="Arial" w:cs="Arial"/>
          <w:color w:val="000000"/>
          <w:kern w:val="24"/>
        </w:rPr>
        <w:t>drafts,</w:t>
      </w:r>
      <w:r w:rsidRPr="00761332">
        <w:rPr>
          <w:rFonts w:ascii="Arial" w:eastAsia="+mn-ea" w:hAnsi="Arial" w:cs="Arial"/>
          <w:smallCaps/>
          <w:color w:val="000000"/>
          <w:kern w:val="24"/>
        </w:rPr>
        <w:t xml:space="preserve"> </w:t>
      </w:r>
      <w:r w:rsidRPr="00761332">
        <w:rPr>
          <w:rFonts w:ascii="Arial" w:eastAsia="+mn-ea" w:hAnsi="Arial" w:cs="Arial"/>
          <w:color w:val="000000"/>
          <w:kern w:val="24"/>
        </w:rPr>
        <w:t>notes,</w:t>
      </w:r>
      <w:r w:rsidRPr="00761332">
        <w:rPr>
          <w:rFonts w:ascii="Arial" w:eastAsia="+mn-ea" w:hAnsi="Arial" w:cs="Arial"/>
          <w:smallCaps/>
          <w:color w:val="000000"/>
          <w:kern w:val="24"/>
        </w:rPr>
        <w:t xml:space="preserve"> </w:t>
      </w:r>
      <w:r w:rsidRPr="00761332">
        <w:rPr>
          <w:rFonts w:ascii="Arial" w:eastAsia="+mn-ea" w:hAnsi="Arial" w:cs="Arial"/>
          <w:color w:val="000000"/>
          <w:kern w:val="24"/>
        </w:rPr>
        <w:t>and</w:t>
      </w:r>
      <w:r w:rsidRPr="00761332">
        <w:rPr>
          <w:rFonts w:ascii="Arial" w:eastAsia="+mn-ea" w:hAnsi="Arial" w:cs="Arial"/>
          <w:smallCaps/>
          <w:color w:val="000000"/>
          <w:kern w:val="24"/>
        </w:rPr>
        <w:t xml:space="preserve"> </w:t>
      </w:r>
      <w:r w:rsidRPr="00761332">
        <w:rPr>
          <w:rFonts w:ascii="Arial" w:eastAsia="+mn-ea" w:hAnsi="Arial" w:cs="Arial"/>
          <w:color w:val="000000"/>
          <w:kern w:val="24"/>
        </w:rPr>
        <w:t>other</w:t>
      </w:r>
      <w:r w:rsidRPr="00761332">
        <w:rPr>
          <w:rFonts w:ascii="Arial" w:eastAsia="+mn-ea" w:hAnsi="Arial" w:cs="Arial"/>
          <w:smallCaps/>
          <w:color w:val="000000"/>
          <w:kern w:val="24"/>
        </w:rPr>
        <w:t xml:space="preserve"> </w:t>
      </w:r>
      <w:r w:rsidRPr="00761332">
        <w:rPr>
          <w:rFonts w:ascii="Arial" w:eastAsia="+mn-ea" w:hAnsi="Arial" w:cs="Arial"/>
          <w:color w:val="000000"/>
          <w:kern w:val="24"/>
        </w:rPr>
        <w:t>resources</w:t>
      </w:r>
      <w:r w:rsidRPr="00761332">
        <w:rPr>
          <w:rFonts w:ascii="Arial" w:eastAsia="+mn-ea" w:hAnsi="Arial" w:cs="Arial"/>
          <w:smallCaps/>
          <w:color w:val="000000"/>
          <w:kern w:val="24"/>
        </w:rPr>
        <w:t xml:space="preserve"> </w:t>
      </w:r>
      <w:r w:rsidRPr="00761332">
        <w:rPr>
          <w:rFonts w:ascii="Arial" w:eastAsia="+mn-ea" w:hAnsi="Arial" w:cs="Arial"/>
          <w:color w:val="000000"/>
          <w:kern w:val="24"/>
        </w:rPr>
        <w:t>I</w:t>
      </w:r>
      <w:r w:rsidRPr="00761332">
        <w:rPr>
          <w:rFonts w:ascii="Arial" w:eastAsia="+mn-ea" w:hAnsi="Arial" w:cs="Arial"/>
          <w:smallCaps/>
          <w:color w:val="000000"/>
          <w:kern w:val="24"/>
        </w:rPr>
        <w:t xml:space="preserve"> </w:t>
      </w:r>
      <w:r w:rsidRPr="00761332">
        <w:rPr>
          <w:rFonts w:ascii="Arial" w:eastAsia="+mn-ea" w:hAnsi="Arial" w:cs="Arial"/>
          <w:color w:val="000000"/>
          <w:kern w:val="24"/>
        </w:rPr>
        <w:t>used,</w:t>
      </w:r>
      <w:r w:rsidRPr="00761332">
        <w:rPr>
          <w:rFonts w:ascii="Arial" w:eastAsia="+mn-ea" w:hAnsi="Arial" w:cs="Arial"/>
          <w:smallCaps/>
          <w:color w:val="000000"/>
          <w:kern w:val="24"/>
        </w:rPr>
        <w:t xml:space="preserve"> </w:t>
      </w:r>
      <w:r w:rsidRPr="00761332">
        <w:rPr>
          <w:rFonts w:ascii="Arial" w:eastAsia="+mn-ea" w:hAnsi="Arial" w:cs="Arial"/>
          <w:color w:val="000000"/>
          <w:kern w:val="24"/>
        </w:rPr>
        <w:t>which</w:t>
      </w:r>
      <w:r w:rsidRPr="00761332">
        <w:rPr>
          <w:rFonts w:ascii="Arial" w:eastAsia="+mn-ea" w:hAnsi="Arial" w:cs="Arial"/>
          <w:smallCaps/>
          <w:color w:val="000000"/>
          <w:kern w:val="24"/>
        </w:rPr>
        <w:t xml:space="preserve"> </w:t>
      </w:r>
      <w:r w:rsidRPr="00761332">
        <w:rPr>
          <w:rFonts w:ascii="Arial" w:eastAsia="+mn-ea" w:hAnsi="Arial" w:cs="Arial"/>
          <w:color w:val="000000"/>
          <w:kern w:val="24"/>
        </w:rPr>
        <w:t>I</w:t>
      </w:r>
      <w:r w:rsidRPr="00761332">
        <w:rPr>
          <w:rFonts w:ascii="Arial" w:eastAsia="+mn-ea" w:hAnsi="Arial" w:cs="Arial"/>
          <w:smallCaps/>
          <w:color w:val="000000"/>
          <w:kern w:val="24"/>
        </w:rPr>
        <w:t xml:space="preserve"> </w:t>
      </w:r>
      <w:r w:rsidRPr="00761332">
        <w:rPr>
          <w:rFonts w:ascii="Arial" w:eastAsia="+mn-ea" w:hAnsi="Arial" w:cs="Arial"/>
          <w:color w:val="000000"/>
          <w:kern w:val="24"/>
        </w:rPr>
        <w:t>may</w:t>
      </w:r>
      <w:r w:rsidRPr="00761332">
        <w:rPr>
          <w:rFonts w:ascii="Arial" w:eastAsia="+mn-ea" w:hAnsi="Arial" w:cs="Arial"/>
          <w:smallCaps/>
          <w:color w:val="000000"/>
          <w:kern w:val="24"/>
        </w:rPr>
        <w:t xml:space="preserve"> </w:t>
      </w:r>
      <w:r w:rsidRPr="00761332">
        <w:rPr>
          <w:rFonts w:ascii="Arial" w:eastAsia="+mn-ea" w:hAnsi="Arial" w:cs="Arial"/>
          <w:color w:val="000000"/>
          <w:kern w:val="24"/>
        </w:rPr>
        <w:t>be</w:t>
      </w:r>
      <w:r w:rsidRPr="00761332">
        <w:rPr>
          <w:rFonts w:ascii="Arial" w:eastAsia="+mn-ea" w:hAnsi="Arial" w:cs="Arial"/>
          <w:smallCaps/>
          <w:color w:val="000000"/>
          <w:kern w:val="24"/>
        </w:rPr>
        <w:t xml:space="preserve"> </w:t>
      </w:r>
      <w:r w:rsidRPr="00761332">
        <w:rPr>
          <w:rFonts w:ascii="Arial" w:eastAsia="+mn-ea" w:hAnsi="Arial" w:cs="Arial"/>
          <w:color w:val="000000"/>
          <w:kern w:val="24"/>
        </w:rPr>
        <w:t>asked</w:t>
      </w:r>
      <w:r w:rsidRPr="00761332">
        <w:rPr>
          <w:rFonts w:ascii="Arial" w:eastAsia="+mn-ea" w:hAnsi="Arial" w:cs="Arial"/>
          <w:smallCaps/>
          <w:color w:val="000000"/>
          <w:kern w:val="24"/>
        </w:rPr>
        <w:t xml:space="preserve"> </w:t>
      </w:r>
      <w:r w:rsidRPr="00761332">
        <w:rPr>
          <w:rFonts w:ascii="Arial" w:eastAsia="+mn-ea" w:hAnsi="Arial" w:cs="Arial"/>
          <w:color w:val="000000"/>
          <w:kern w:val="24"/>
        </w:rPr>
        <w:t>to</w:t>
      </w:r>
      <w:r w:rsidRPr="00761332">
        <w:rPr>
          <w:rFonts w:ascii="Arial" w:eastAsia="+mn-ea" w:hAnsi="Arial" w:cs="Arial"/>
          <w:smallCaps/>
          <w:color w:val="000000"/>
          <w:kern w:val="24"/>
        </w:rPr>
        <w:t xml:space="preserve"> </w:t>
      </w:r>
      <w:r w:rsidRPr="00761332">
        <w:rPr>
          <w:rFonts w:ascii="Arial" w:eastAsia="+mn-ea" w:hAnsi="Arial" w:cs="Arial"/>
          <w:color w:val="000000"/>
          <w:kern w:val="24"/>
        </w:rPr>
        <w:t>provide</w:t>
      </w:r>
      <w:r w:rsidRPr="00761332">
        <w:rPr>
          <w:rFonts w:ascii="Arial" w:eastAsia="+mn-ea" w:hAnsi="Arial" w:cs="Arial"/>
          <w:smallCaps/>
          <w:color w:val="000000"/>
          <w:kern w:val="24"/>
        </w:rPr>
        <w:t xml:space="preserve"> </w:t>
      </w:r>
      <w:r w:rsidRPr="00761332">
        <w:rPr>
          <w:rFonts w:ascii="Arial" w:eastAsia="+mn-ea" w:hAnsi="Arial" w:cs="Arial"/>
          <w:color w:val="000000"/>
          <w:kern w:val="24"/>
        </w:rPr>
        <w:t>in</w:t>
      </w:r>
      <w:r w:rsidRPr="00761332">
        <w:rPr>
          <w:rFonts w:ascii="Arial" w:eastAsia="+mn-ea" w:hAnsi="Arial" w:cs="Arial"/>
          <w:smallCaps/>
          <w:color w:val="000000"/>
          <w:kern w:val="24"/>
        </w:rPr>
        <w:t xml:space="preserve"> </w:t>
      </w:r>
      <w:r w:rsidRPr="00761332">
        <w:rPr>
          <w:rFonts w:ascii="Arial" w:eastAsia="+mn-ea" w:hAnsi="Arial" w:cs="Arial"/>
          <w:color w:val="000000"/>
          <w:kern w:val="24"/>
        </w:rPr>
        <w:t>evidence.</w:t>
      </w:r>
      <w:r w:rsidRPr="00761332">
        <w:rPr>
          <w:rFonts w:ascii="Arial" w:eastAsia="+mn-ea" w:hAnsi="Arial" w:cs="Arial"/>
          <w:smallCaps/>
          <w:color w:val="000000"/>
          <w:kern w:val="24"/>
        </w:rPr>
        <w:t xml:space="preserve"> </w:t>
      </w:r>
    </w:p>
    <w:p w14:paraId="230CCFCF" w14:textId="77777777" w:rsidR="007F4E25" w:rsidRPr="00761332" w:rsidRDefault="00000000" w:rsidP="007F4E25">
      <w:pPr>
        <w:rPr>
          <w:sz w:val="24"/>
          <w:szCs w:val="24"/>
        </w:rPr>
      </w:pPr>
      <w:r w:rsidRPr="00761332">
        <w:rPr>
          <w:sz w:val="24"/>
          <w:szCs w:val="24"/>
        </w:rPr>
        <w:br w:type="page"/>
      </w:r>
    </w:p>
    <w:p w14:paraId="655EF94E" w14:textId="77777777" w:rsidR="007F4E25" w:rsidRDefault="007F4E25" w:rsidP="007F4E25"/>
    <w:p w14:paraId="29C9487E" w14:textId="071E66B2" w:rsidR="003100EE" w:rsidRPr="00147541" w:rsidRDefault="00000000" w:rsidP="007F4E25">
      <w:pPr>
        <w:rPr>
          <w:rFonts w:cs="Arial"/>
        </w:rPr>
      </w:pPr>
      <w:r w:rsidRPr="00147541">
        <w:rPr>
          <w:rFonts w:cs="Arial"/>
          <w:b/>
          <w:bCs/>
          <w:sz w:val="36"/>
          <w:szCs w:val="36"/>
        </w:rPr>
        <w:t xml:space="preserve"> Introduction </w:t>
      </w:r>
    </w:p>
    <w:p w14:paraId="29EEC186" w14:textId="77777777" w:rsidR="003100EE" w:rsidRPr="00147541" w:rsidRDefault="00000000">
      <w:pPr>
        <w:pStyle w:val="Heading2"/>
        <w:rPr>
          <w:rFonts w:ascii="Arial" w:hAnsi="Arial" w:cs="Arial"/>
        </w:rPr>
      </w:pPr>
      <w:r w:rsidRPr="00147541">
        <w:rPr>
          <w:rFonts w:ascii="Arial" w:hAnsi="Arial" w:cs="Arial"/>
        </w:rPr>
        <w:t>Prevalence and significance of the problem</w:t>
      </w:r>
    </w:p>
    <w:p w14:paraId="4782EA8D" w14:textId="77777777" w:rsidR="003100EE" w:rsidRPr="00147541" w:rsidRDefault="00000000">
      <w:pPr>
        <w:rPr>
          <w:rFonts w:cs="Arial"/>
        </w:rPr>
      </w:pPr>
      <w:r w:rsidRPr="00147541">
        <w:rPr>
          <w:rFonts w:cs="Arial"/>
        </w:rPr>
        <w:t>Dementia describes a group of progressive disorders that disrupt memory, reasoning, communication and the practical skills needed for daily life. Although ageing does not itself cause dementia, advancing age remains the strongest known risk factor. The national scale is considerable. Alzheimer’s Society (2024) estimated that 982,000 people were living with dementia in the United Kingdom in 2024 and forecast an increase to 1.4 million by 2040. Its analysis placed the annual UK cost at £42 billion, with a possible rise to £90 billion by 2040, and attributed approximately 63% of the present burden to individuals and their families. Recorded diagnoses also continue to increase. By December 2024, 483,000 people aged 65 or above in England had a formal diagnosis, equivalent to 4.2% of the registered population in this age group (Department of Health and Social Care, 2025).</w:t>
      </w:r>
    </w:p>
    <w:p w14:paraId="046CF7E5" w14:textId="77777777" w:rsidR="003100EE" w:rsidRPr="00147541" w:rsidRDefault="00000000">
      <w:pPr>
        <w:rPr>
          <w:rFonts w:cs="Arial"/>
        </w:rPr>
      </w:pPr>
      <w:r w:rsidRPr="00147541">
        <w:rPr>
          <w:rFonts w:cs="Arial"/>
        </w:rPr>
        <w:t>The effects of dementia cannot be understood through cognitive symptoms alone. Changes in communication and mobility, withdrawal from familiar roles, and experiences of stigma may narrow a person’s choices and weaken social ties. In this context, quality of life encompasses emotional security, valued relationships, identity, autonomy, purposeful activity and physical health. Care that concentrates only on controlling symptoms can miss the conditions that allow someone to continue living meaningfully. Kitwood (1997) challenged this narrow clinical emphasis by presenting personhood as something sustained through relationships.</w:t>
      </w:r>
    </w:p>
    <w:p w14:paraId="636EC968" w14:textId="77777777" w:rsidR="003100EE" w:rsidRPr="00147541" w:rsidRDefault="00000000">
      <w:pPr>
        <w:pStyle w:val="Heading2"/>
        <w:rPr>
          <w:rFonts w:ascii="Arial" w:hAnsi="Arial" w:cs="Arial"/>
        </w:rPr>
      </w:pPr>
      <w:r w:rsidRPr="00147541">
        <w:rPr>
          <w:rFonts w:ascii="Arial" w:hAnsi="Arial" w:cs="Arial"/>
        </w:rPr>
        <w:t>Current knowledge and debate</w:t>
      </w:r>
    </w:p>
    <w:p w14:paraId="2C3183FB" w14:textId="77777777" w:rsidR="003100EE" w:rsidRPr="00147541" w:rsidRDefault="00000000">
      <w:pPr>
        <w:rPr>
          <w:rFonts w:cs="Arial"/>
        </w:rPr>
      </w:pPr>
      <w:r w:rsidRPr="00147541">
        <w:rPr>
          <w:rFonts w:cs="Arial"/>
        </w:rPr>
        <w:t>Within dementia care, social interventions use human connection, shared activity and participation in community life as routes to wellbeing rather than relying on medication. Examples include cognitive stimulation, reminiscence, creative programmes, peer support, social prescribing and meaningful daily activity. NICE (2018) recommends group cognitive stimulation therapy for mild-to-moderate dementia, advises practitioners to consider group reminiscence therapy and stresses that activities should reflect individual preferences. Such guidance supports access to these approaches, but it does not establish that one format suits every person or that an intervention delivered in a care home will work in the same way in a community setting.</w:t>
      </w:r>
    </w:p>
    <w:p w14:paraId="02A10EED" w14:textId="77777777" w:rsidR="003100EE" w:rsidRPr="00147541" w:rsidRDefault="00000000">
      <w:pPr>
        <w:rPr>
          <w:rFonts w:cs="Arial"/>
        </w:rPr>
      </w:pPr>
      <w:r w:rsidRPr="00147541">
        <w:rPr>
          <w:rFonts w:cs="Arial"/>
        </w:rPr>
        <w:lastRenderedPageBreak/>
        <w:t>Trial evidence offers qualified support. The WHELD programme, evaluated through a cluster-randomised trial in 69 UK nursing homes, brought together staff training in person-centred care, planned social interaction and medication review. Compared with usual care, it achieved a modest but statistically significant improvement in proxy-rated quality of life and reduced agitation (Ballard et al., 2018). Nevertheless, WHELD contained several interacting components, which makes it difficult to attribute the observed effect specifically to social contact. A proxy rating may also capture a different view of wellbeing from the assessment a person with dementia would give themselves.</w:t>
      </w:r>
    </w:p>
    <w:p w14:paraId="77C64C4C" w14:textId="77777777" w:rsidR="003100EE" w:rsidRPr="00147541" w:rsidRDefault="00000000">
      <w:pPr>
        <w:rPr>
          <w:rFonts w:cs="Arial"/>
        </w:rPr>
      </w:pPr>
      <w:r w:rsidRPr="00147541">
        <w:rPr>
          <w:rFonts w:cs="Arial"/>
        </w:rPr>
        <w:t>The strength and consistency of findings also differ between interventions. Woods et al. (2023) reported small cognitive gains from cognitive stimulation and some improvement in self-rated quality of life. Variation in programme content, delivery and outcome measurement, however, left uncertainty about the elements responsible for benefit. Reminiscence may support identity, communication and mood, yet results vary between individual and group delivery and between domestic and residential-care settings (Woods et al., 2018). This mixed evidence points to a practical tension. Standardised programmes are easier to train, reproduce and evaluate, while person-centred practice requires flexibility.</w:t>
      </w:r>
    </w:p>
    <w:p w14:paraId="0D69F447" w14:textId="77777777" w:rsidR="003100EE" w:rsidRPr="00147541" w:rsidRDefault="00000000">
      <w:pPr>
        <w:rPr>
          <w:rFonts w:cs="Arial"/>
        </w:rPr>
      </w:pPr>
      <w:r w:rsidRPr="00147541">
        <w:rPr>
          <w:rFonts w:cs="Arial"/>
        </w:rPr>
        <w:t>Whether an intervention reaches the intended person is shaped by the service around it. Limited staffing, transport difficulties, cost, digital exclusion, restrictive routines and a shortage of culturally relevant provision can all reduce access. Practitioners frequently determine which opportunities are offered and how they are adapted. Knowledge of a person’s life history, communication and changing abilities can make participation possible; by contrast, a task-dominated culture may treat social activity as occasional entertainment rather than an element of care. Fazio et al. (2018) locate knowledge of the individual, shared decisions and supportive relationships at the centre of person-centred dementia care. Programme counts alone cannot reveal how staff choose, adapt and sustain provision.</w:t>
      </w:r>
    </w:p>
    <w:p w14:paraId="34CD0B28" w14:textId="77777777" w:rsidR="003100EE" w:rsidRPr="00147541" w:rsidRDefault="00000000">
      <w:pPr>
        <w:rPr>
          <w:rFonts w:cs="Arial"/>
        </w:rPr>
      </w:pPr>
      <w:r w:rsidRPr="00147541">
        <w:rPr>
          <w:rFonts w:cs="Arial"/>
        </w:rPr>
        <w:t>Randomised studies can estimate average outcomes, but they reveal less about the judgements and compromises involved in routine delivery across diverse UK services. Qualitative inquiry can examine the judgements and resources behind those decisions. This project will neither test clinical effectiveness nor present professional testimony as a substitute for the voices of people with dementia. Its more limited purpose is to investigate how practitioners understand social intervention in everyday care, including the signs they use to recognise benefit and the conditions that obstruct person-centred delivery. That implementation focus offers a manageable and original contribution for a small dissertation.</w:t>
      </w:r>
    </w:p>
    <w:p w14:paraId="3931BC52" w14:textId="573EE141" w:rsidR="003100EE" w:rsidRPr="00147541" w:rsidRDefault="00000000">
      <w:pPr>
        <w:pStyle w:val="Heading1"/>
        <w:rPr>
          <w:rFonts w:ascii="Arial" w:hAnsi="Arial" w:cs="Arial"/>
        </w:rPr>
      </w:pPr>
      <w:r w:rsidRPr="00147541">
        <w:rPr>
          <w:rFonts w:ascii="Arial" w:hAnsi="Arial" w:cs="Arial"/>
        </w:rPr>
        <w:lastRenderedPageBreak/>
        <w:t>Rationale, research question and aims</w:t>
      </w:r>
    </w:p>
    <w:p w14:paraId="441277DF" w14:textId="69A8A9CA" w:rsidR="003100EE" w:rsidRPr="00147541" w:rsidRDefault="00000000">
      <w:pPr>
        <w:rPr>
          <w:rFonts w:cs="Arial"/>
        </w:rPr>
      </w:pPr>
      <w:r w:rsidRPr="00147541">
        <w:rPr>
          <w:rFonts w:cs="Arial"/>
        </w:rPr>
        <w:t xml:space="preserve">Three considerations underpin the project: the increasing number of people affected by dementia, the policy commitment to helping people live well, and the uneven results reported for different social approaches. Health and social-care professionals occupy an important position within this gap between guidance and practice. They arrange activities, connect people with community services, observe changing responses and work within staffing and organisational constraints. Recruiting professionals rather than adults who may have impaired decision-making capacity also makes the proposed student study more </w:t>
      </w:r>
      <w:r w:rsidR="00C43211" w:rsidRPr="00147541">
        <w:rPr>
          <w:rFonts w:cs="Arial"/>
        </w:rPr>
        <w:t>ethically proportionate</w:t>
      </w:r>
      <w:r w:rsidRPr="00147541">
        <w:rPr>
          <w:rFonts w:cs="Arial"/>
        </w:rPr>
        <w:t>. This choice necessarily limits the knowledge produced: the findings will concern professional interpretations and will not be represented as first-person accounts of dementia.</w:t>
      </w:r>
    </w:p>
    <w:p w14:paraId="138D76F0" w14:textId="77777777" w:rsidR="003100EE" w:rsidRPr="00147541" w:rsidRDefault="00000000">
      <w:pPr>
        <w:pStyle w:val="Heading2"/>
        <w:rPr>
          <w:rFonts w:ascii="Arial" w:hAnsi="Arial" w:cs="Arial"/>
        </w:rPr>
      </w:pPr>
      <w:r w:rsidRPr="00147541">
        <w:rPr>
          <w:rFonts w:ascii="Arial" w:hAnsi="Arial" w:cs="Arial"/>
        </w:rPr>
        <w:t>Research question</w:t>
      </w:r>
    </w:p>
    <w:p w14:paraId="477D83FB" w14:textId="04AC79FC" w:rsidR="008144C6" w:rsidRPr="00147541" w:rsidRDefault="008144C6" w:rsidP="008144C6">
      <w:pPr>
        <w:pStyle w:val="NormalWeb"/>
        <w:spacing w:before="0" w:beforeAutospacing="0" w:after="0" w:afterAutospacing="0"/>
        <w:rPr>
          <w:rFonts w:ascii="Arial" w:hAnsi="Arial" w:cs="Arial"/>
          <w:sz w:val="22"/>
          <w:szCs w:val="22"/>
        </w:rPr>
      </w:pPr>
      <w:r w:rsidRPr="00147541">
        <w:rPr>
          <w:rFonts w:ascii="Arial" w:eastAsiaTheme="minorEastAsia" w:hAnsi="Arial" w:cs="Arial"/>
          <w:color w:val="000000" w:themeColor="text1"/>
          <w:kern w:val="24"/>
          <w:sz w:val="22"/>
          <w:szCs w:val="22"/>
          <w:lang w:val="en-US"/>
        </w:rPr>
        <w:t xml:space="preserve">What impact do social intervention programmes have on the well-being and social inclusion of older adults living with dementia in the United Kingdom? </w:t>
      </w:r>
    </w:p>
    <w:p w14:paraId="62F3FC37" w14:textId="77777777" w:rsidR="001C18F9" w:rsidRPr="00147541" w:rsidRDefault="001C18F9">
      <w:pPr>
        <w:pStyle w:val="Heading2"/>
        <w:rPr>
          <w:rFonts w:ascii="Arial" w:hAnsi="Arial" w:cs="Arial"/>
        </w:rPr>
      </w:pPr>
      <w:r w:rsidRPr="00147541">
        <w:rPr>
          <w:rFonts w:ascii="Arial" w:hAnsi="Arial" w:cs="Arial"/>
        </w:rPr>
        <w:t>Aim</w:t>
      </w:r>
    </w:p>
    <w:p w14:paraId="0A3CA80D" w14:textId="1136E141" w:rsidR="003100EE" w:rsidRPr="00147541" w:rsidRDefault="001C18F9">
      <w:pPr>
        <w:pStyle w:val="Heading2"/>
        <w:rPr>
          <w:rFonts w:ascii="Arial" w:hAnsi="Arial" w:cs="Arial"/>
          <w:b w:val="0"/>
          <w:bCs w:val="0"/>
        </w:rPr>
      </w:pPr>
      <w:r w:rsidRPr="00147541">
        <w:rPr>
          <w:rFonts w:ascii="Arial" w:hAnsi="Arial" w:cs="Arial"/>
          <w:b w:val="0"/>
          <w:bCs w:val="0"/>
        </w:rPr>
        <w:t xml:space="preserve">This research aims to assess the efficacy of social intervention programmes in enhancing the well-being, quality of life, social inclusion, emotional health, social engagement, daily functioning, and empowerment of elderly individuals with dementia in the United Kingdom. Additionally, it aims to identify the interventions that most and </w:t>
      </w:r>
      <w:proofErr w:type="gramStart"/>
      <w:r w:rsidRPr="00147541">
        <w:rPr>
          <w:rFonts w:ascii="Arial" w:hAnsi="Arial" w:cs="Arial"/>
          <w:b w:val="0"/>
          <w:bCs w:val="0"/>
        </w:rPr>
        <w:t>could be</w:t>
      </w:r>
      <w:proofErr w:type="gramEnd"/>
      <w:r w:rsidRPr="00147541">
        <w:rPr>
          <w:rFonts w:ascii="Arial" w:hAnsi="Arial" w:cs="Arial"/>
          <w:b w:val="0"/>
          <w:bCs w:val="0"/>
        </w:rPr>
        <w:t xml:space="preserve"> effectively facilitate their participation and independence in daily activities. </w:t>
      </w:r>
      <w:r w:rsidR="00000000" w:rsidRPr="00147541">
        <w:rPr>
          <w:rFonts w:ascii="Arial" w:hAnsi="Arial" w:cs="Arial"/>
          <w:b w:val="0"/>
          <w:bCs w:val="0"/>
        </w:rPr>
        <w:t>Aim</w:t>
      </w:r>
    </w:p>
    <w:p w14:paraId="48C648C4" w14:textId="77777777" w:rsidR="003100EE" w:rsidRPr="00147541" w:rsidRDefault="00000000">
      <w:pPr>
        <w:pStyle w:val="Heading2"/>
        <w:rPr>
          <w:rFonts w:ascii="Arial" w:hAnsi="Arial" w:cs="Arial"/>
        </w:rPr>
      </w:pPr>
      <w:r w:rsidRPr="00147541">
        <w:rPr>
          <w:rFonts w:ascii="Arial" w:hAnsi="Arial" w:cs="Arial"/>
        </w:rPr>
        <w:t>Objectives</w:t>
      </w:r>
    </w:p>
    <w:p w14:paraId="79E24FF5" w14:textId="77777777" w:rsidR="003100EE" w:rsidRPr="00147541" w:rsidRDefault="00000000" w:rsidP="001C18F9">
      <w:pPr>
        <w:pStyle w:val="ListBullet"/>
        <w:numPr>
          <w:ilvl w:val="0"/>
          <w:numId w:val="11"/>
        </w:numPr>
        <w:rPr>
          <w:rFonts w:cs="Arial"/>
        </w:rPr>
      </w:pPr>
      <w:r w:rsidRPr="00147541">
        <w:rPr>
          <w:rFonts w:cs="Arial"/>
        </w:rPr>
        <w:t>Identify the social interventions used or facilitated by participating professionals.</w:t>
      </w:r>
    </w:p>
    <w:p w14:paraId="7A225227" w14:textId="77777777" w:rsidR="003100EE" w:rsidRPr="00147541" w:rsidRDefault="00000000" w:rsidP="001C18F9">
      <w:pPr>
        <w:pStyle w:val="ListBullet"/>
        <w:numPr>
          <w:ilvl w:val="0"/>
          <w:numId w:val="11"/>
        </w:numPr>
        <w:rPr>
          <w:rFonts w:cs="Arial"/>
        </w:rPr>
      </w:pPr>
      <w:r w:rsidRPr="00147541">
        <w:rPr>
          <w:rFonts w:cs="Arial"/>
        </w:rPr>
        <w:t>Explore perceived influences on emotional wellbeing, identity, social connection, autonomy and everyday participation.</w:t>
      </w:r>
    </w:p>
    <w:p w14:paraId="11B68E98" w14:textId="77777777" w:rsidR="003100EE" w:rsidRPr="00147541" w:rsidRDefault="00000000" w:rsidP="001C18F9">
      <w:pPr>
        <w:pStyle w:val="ListBullet"/>
        <w:numPr>
          <w:ilvl w:val="0"/>
          <w:numId w:val="11"/>
        </w:numPr>
        <w:rPr>
          <w:rFonts w:cs="Arial"/>
        </w:rPr>
      </w:pPr>
      <w:r w:rsidRPr="00147541">
        <w:rPr>
          <w:rFonts w:cs="Arial"/>
        </w:rPr>
        <w:t>Examine how interventions are personalised and how professionals recognise beneficial or adverse responses.</w:t>
      </w:r>
    </w:p>
    <w:p w14:paraId="23890A67" w14:textId="77777777" w:rsidR="003100EE" w:rsidRPr="00147541" w:rsidRDefault="00000000" w:rsidP="001C18F9">
      <w:pPr>
        <w:pStyle w:val="ListBullet"/>
        <w:numPr>
          <w:ilvl w:val="0"/>
          <w:numId w:val="11"/>
        </w:numPr>
        <w:rPr>
          <w:rFonts w:cs="Arial"/>
        </w:rPr>
      </w:pPr>
      <w:r w:rsidRPr="00147541">
        <w:rPr>
          <w:rFonts w:cs="Arial"/>
        </w:rPr>
        <w:t>Identify individual, organisational and structural barriers and facilitators affecting access and sustained delivery.</w:t>
      </w:r>
    </w:p>
    <w:p w14:paraId="5B60D933" w14:textId="77777777" w:rsidR="003100EE" w:rsidRPr="00147541" w:rsidRDefault="00000000" w:rsidP="001C18F9">
      <w:pPr>
        <w:pStyle w:val="ListBullet"/>
        <w:numPr>
          <w:ilvl w:val="0"/>
          <w:numId w:val="11"/>
        </w:numPr>
        <w:rPr>
          <w:rFonts w:cs="Arial"/>
        </w:rPr>
      </w:pPr>
      <w:r w:rsidRPr="00147541">
        <w:rPr>
          <w:rFonts w:cs="Arial"/>
        </w:rPr>
        <w:t>Develop evidence-informed recommendations for person-centred dementia practice and future research.</w:t>
      </w:r>
    </w:p>
    <w:p w14:paraId="2D7953D1" w14:textId="77777777" w:rsidR="003100EE" w:rsidRPr="00147541" w:rsidRDefault="00000000">
      <w:pPr>
        <w:rPr>
          <w:rFonts w:cs="Arial"/>
        </w:rPr>
      </w:pPr>
      <w:r w:rsidRPr="00147541">
        <w:rPr>
          <w:rFonts w:cs="Arial"/>
        </w:rPr>
        <w:lastRenderedPageBreak/>
        <w:t>A formal hypothesis would be inconsistent with this exploratory qualitative design. The inquiry is intended to develop a contextual account of professional experience, not to test a predetermined causal prediction.</w:t>
      </w:r>
    </w:p>
    <w:p w14:paraId="26BB1E73" w14:textId="76D3915E" w:rsidR="00147541" w:rsidRPr="00147541" w:rsidRDefault="00147541">
      <w:pPr>
        <w:rPr>
          <w:rFonts w:cs="Arial"/>
          <w:b/>
          <w:bCs/>
        </w:rPr>
      </w:pPr>
      <w:r w:rsidRPr="00147541">
        <w:rPr>
          <w:rFonts w:cs="Arial"/>
          <w:b/>
          <w:bCs/>
        </w:rPr>
        <w:t>The table presented below outlines different intervention methods, categorizing them and detailing the advantages they provide regarding delivery.</w:t>
      </w:r>
    </w:p>
    <w:tbl>
      <w:tblPr>
        <w:tblStyle w:val="TableGrid"/>
        <w:tblW w:w="0" w:type="auto"/>
        <w:tblLook w:val="04A0" w:firstRow="1" w:lastRow="0" w:firstColumn="1" w:lastColumn="0" w:noHBand="0" w:noVBand="1"/>
      </w:tblPr>
      <w:tblGrid>
        <w:gridCol w:w="4675"/>
        <w:gridCol w:w="4675"/>
      </w:tblGrid>
      <w:tr w:rsidR="00147541" w:rsidRPr="00147541" w14:paraId="6433E826" w14:textId="77777777" w:rsidTr="00147541">
        <w:tc>
          <w:tcPr>
            <w:tcW w:w="4675" w:type="dxa"/>
          </w:tcPr>
          <w:p w14:paraId="0243E689" w14:textId="4605E4D8" w:rsidR="00147541" w:rsidRPr="00147541" w:rsidRDefault="00147541">
            <w:pPr>
              <w:rPr>
                <w:rFonts w:cs="Arial"/>
                <w:b/>
                <w:bCs/>
              </w:rPr>
            </w:pPr>
            <w:r w:rsidRPr="00147541">
              <w:rPr>
                <w:rFonts w:cs="Arial"/>
                <w:b/>
                <w:bCs/>
              </w:rPr>
              <w:t>Types of interventions</w:t>
            </w:r>
          </w:p>
        </w:tc>
        <w:tc>
          <w:tcPr>
            <w:tcW w:w="4675" w:type="dxa"/>
          </w:tcPr>
          <w:p w14:paraId="01EFB65E" w14:textId="759ECA25" w:rsidR="00147541" w:rsidRPr="00147541" w:rsidRDefault="00147541">
            <w:pPr>
              <w:rPr>
                <w:rFonts w:cs="Arial"/>
                <w:b/>
                <w:bCs/>
              </w:rPr>
            </w:pPr>
            <w:r w:rsidRPr="00147541">
              <w:rPr>
                <w:rFonts w:cs="Arial"/>
                <w:b/>
                <w:bCs/>
              </w:rPr>
              <w:t>Benefits of delivery</w:t>
            </w:r>
          </w:p>
        </w:tc>
      </w:tr>
      <w:tr w:rsidR="00147541" w:rsidRPr="00147541" w14:paraId="0FA7FEFD" w14:textId="77777777" w:rsidTr="00147541">
        <w:tc>
          <w:tcPr>
            <w:tcW w:w="4675" w:type="dxa"/>
          </w:tcPr>
          <w:p w14:paraId="365DECE4" w14:textId="7F5605E6" w:rsidR="00147541" w:rsidRPr="00147541" w:rsidRDefault="00147541">
            <w:pPr>
              <w:rPr>
                <w:rFonts w:cs="Arial"/>
              </w:rPr>
            </w:pPr>
            <w:r w:rsidRPr="00147541">
              <w:rPr>
                <w:rFonts w:cs="Arial"/>
              </w:rPr>
              <w:t>Reminiscence Therapy</w:t>
            </w:r>
          </w:p>
        </w:tc>
        <w:tc>
          <w:tcPr>
            <w:tcW w:w="4675" w:type="dxa"/>
          </w:tcPr>
          <w:p w14:paraId="4C55B906" w14:textId="373A240A" w:rsidR="00147541" w:rsidRPr="00147541" w:rsidRDefault="00147541">
            <w:pPr>
              <w:rPr>
                <w:rFonts w:cs="Arial"/>
              </w:rPr>
            </w:pPr>
            <w:r w:rsidRPr="00147541">
              <w:rPr>
                <w:rFonts w:cs="Arial"/>
              </w:rPr>
              <w:t>This supports identity, social, communication, and emotional well-being.</w:t>
            </w:r>
          </w:p>
        </w:tc>
      </w:tr>
      <w:tr w:rsidR="00147541" w:rsidRPr="00147541" w14:paraId="41A597AA" w14:textId="77777777" w:rsidTr="00147541">
        <w:tc>
          <w:tcPr>
            <w:tcW w:w="4675" w:type="dxa"/>
          </w:tcPr>
          <w:p w14:paraId="3AEDE14A" w14:textId="1550751F" w:rsidR="00147541" w:rsidRPr="00147541" w:rsidRDefault="00147541">
            <w:pPr>
              <w:rPr>
                <w:rFonts w:cs="Arial"/>
              </w:rPr>
            </w:pPr>
            <w:r w:rsidRPr="00147541">
              <w:rPr>
                <w:rFonts w:cs="Arial"/>
              </w:rPr>
              <w:t>Cognitive stimulation activities</w:t>
            </w:r>
          </w:p>
        </w:tc>
        <w:tc>
          <w:tcPr>
            <w:tcW w:w="4675" w:type="dxa"/>
          </w:tcPr>
          <w:p w14:paraId="52E8A242" w14:textId="2A6A5376" w:rsidR="00147541" w:rsidRPr="00147541" w:rsidRDefault="00147541">
            <w:pPr>
              <w:rPr>
                <w:rFonts w:cs="Arial"/>
              </w:rPr>
            </w:pPr>
            <w:r w:rsidRPr="00147541">
              <w:rPr>
                <w:rFonts w:cs="Arial"/>
              </w:rPr>
              <w:t>This supports stimulation of thinking and memory and encourages social interactions.</w:t>
            </w:r>
          </w:p>
        </w:tc>
      </w:tr>
      <w:tr w:rsidR="00147541" w:rsidRPr="00147541" w14:paraId="63AEDA46" w14:textId="77777777" w:rsidTr="00147541">
        <w:tc>
          <w:tcPr>
            <w:tcW w:w="4675" w:type="dxa"/>
          </w:tcPr>
          <w:p w14:paraId="08B83EDC" w14:textId="7D2C0AB1" w:rsidR="00147541" w:rsidRPr="00147541" w:rsidRDefault="00147541">
            <w:pPr>
              <w:rPr>
                <w:rFonts w:cs="Arial"/>
              </w:rPr>
            </w:pPr>
            <w:r w:rsidRPr="00147541">
              <w:rPr>
                <w:rFonts w:cs="Arial"/>
              </w:rPr>
              <w:t>Peer support groups</w:t>
            </w:r>
          </w:p>
        </w:tc>
        <w:tc>
          <w:tcPr>
            <w:tcW w:w="4675" w:type="dxa"/>
          </w:tcPr>
          <w:p w14:paraId="1F503931" w14:textId="33DA02BF" w:rsidR="00147541" w:rsidRPr="00147541" w:rsidRDefault="00147541">
            <w:pPr>
              <w:rPr>
                <w:rFonts w:cs="Arial"/>
              </w:rPr>
            </w:pPr>
            <w:r w:rsidRPr="00147541">
              <w:rPr>
                <w:rFonts w:cs="Arial"/>
              </w:rPr>
              <w:t>This reduces isolation and improves well-being.</w:t>
            </w:r>
          </w:p>
        </w:tc>
      </w:tr>
      <w:tr w:rsidR="00147541" w:rsidRPr="00147541" w14:paraId="15C42B5A" w14:textId="77777777" w:rsidTr="00147541">
        <w:tc>
          <w:tcPr>
            <w:tcW w:w="4675" w:type="dxa"/>
          </w:tcPr>
          <w:p w14:paraId="45F8A897" w14:textId="380C480E" w:rsidR="00147541" w:rsidRPr="00147541" w:rsidRDefault="00147541">
            <w:pPr>
              <w:rPr>
                <w:rFonts w:cs="Arial"/>
              </w:rPr>
            </w:pPr>
            <w:r w:rsidRPr="00147541">
              <w:rPr>
                <w:rFonts w:cs="Arial"/>
              </w:rPr>
              <w:t>Music and creative arts therapy</w:t>
            </w:r>
          </w:p>
        </w:tc>
        <w:tc>
          <w:tcPr>
            <w:tcW w:w="4675" w:type="dxa"/>
          </w:tcPr>
          <w:p w14:paraId="6F6877AD" w14:textId="3A8C10B9" w:rsidR="00147541" w:rsidRPr="00147541" w:rsidRDefault="00147541">
            <w:pPr>
              <w:rPr>
                <w:rFonts w:cs="Arial"/>
              </w:rPr>
            </w:pPr>
            <w:r w:rsidRPr="00147541">
              <w:rPr>
                <w:rFonts w:cs="Arial"/>
              </w:rPr>
              <w:t>This helps individuals to express themselves during communication, reduce anxiety and enhance social engagements.</w:t>
            </w:r>
          </w:p>
        </w:tc>
      </w:tr>
    </w:tbl>
    <w:p w14:paraId="2428DEFF" w14:textId="77777777" w:rsidR="00147541" w:rsidRPr="00147541" w:rsidRDefault="00147541">
      <w:pPr>
        <w:rPr>
          <w:rFonts w:cs="Arial"/>
          <w:b/>
          <w:bCs/>
        </w:rPr>
      </w:pPr>
    </w:p>
    <w:p w14:paraId="22914E0C" w14:textId="45299541" w:rsidR="003100EE" w:rsidRPr="00147541" w:rsidRDefault="00000000">
      <w:pPr>
        <w:pStyle w:val="Heading1"/>
        <w:rPr>
          <w:rFonts w:ascii="Arial" w:hAnsi="Arial" w:cs="Arial"/>
        </w:rPr>
      </w:pPr>
      <w:r w:rsidRPr="00147541">
        <w:rPr>
          <w:rFonts w:ascii="Arial" w:hAnsi="Arial" w:cs="Arial"/>
        </w:rPr>
        <w:t xml:space="preserve"> Research methodology</w:t>
      </w:r>
    </w:p>
    <w:p w14:paraId="47C3649F" w14:textId="638C5949" w:rsidR="00147541" w:rsidRPr="00147541" w:rsidRDefault="00147541" w:rsidP="00147541">
      <w:pPr>
        <w:rPr>
          <w:rFonts w:cs="Arial"/>
        </w:rPr>
      </w:pPr>
      <w:r w:rsidRPr="00147541">
        <w:rPr>
          <w:rFonts w:cs="Arial"/>
        </w:rPr>
        <w:t xml:space="preserve">This research will utilize a systematic literature review along with </w:t>
      </w:r>
      <w:r w:rsidRPr="00147541">
        <w:rPr>
          <w:rFonts w:cs="Arial"/>
        </w:rPr>
        <w:t>narrative</w:t>
      </w:r>
      <w:r w:rsidRPr="00147541">
        <w:rPr>
          <w:rFonts w:cs="Arial"/>
        </w:rPr>
        <w:t xml:space="preserve"> synthesis. The review will adhere to the PRISMA 2020 reporting framework to ensure transparency in the processes of searching, screening, selecting, and reporting evidence (Page et al., 2021). Additionally, the methodological approach will be guided by the Joanna Briggs Institute's recommendations for evidence synthesis (JBI, 2024).</w:t>
      </w:r>
    </w:p>
    <w:p w14:paraId="1266326B" w14:textId="1EB2BF00" w:rsidR="00147541" w:rsidRPr="00147541" w:rsidRDefault="00147541" w:rsidP="00147541">
      <w:pPr>
        <w:rPr>
          <w:rFonts w:cs="Arial"/>
        </w:rPr>
      </w:pPr>
      <w:r w:rsidRPr="00147541">
        <w:rPr>
          <w:rFonts w:cs="Arial"/>
        </w:rPr>
        <w:t xml:space="preserve">A systematic review is suitable for this study as the research question pertains to an established body of evidence rather than aiming to collect new participant data. The review will encompass quantitative, qualitative, and mixed-methods studies where relevant. This approach will enable </w:t>
      </w:r>
      <w:proofErr w:type="gramStart"/>
      <w:r w:rsidRPr="00147541">
        <w:rPr>
          <w:rFonts w:cs="Arial"/>
        </w:rPr>
        <w:t>the research</w:t>
      </w:r>
      <w:proofErr w:type="gramEnd"/>
      <w:r w:rsidRPr="00147541">
        <w:rPr>
          <w:rFonts w:cs="Arial"/>
        </w:rPr>
        <w:t xml:space="preserve"> to explore both quantifiable outcomes and the contextual factors related to implementation.</w:t>
      </w:r>
    </w:p>
    <w:p w14:paraId="16F10320" w14:textId="77777777" w:rsidR="00147541" w:rsidRPr="00147541" w:rsidRDefault="00147541" w:rsidP="00147541">
      <w:pPr>
        <w:rPr>
          <w:rFonts w:cs="Arial"/>
        </w:rPr>
      </w:pPr>
    </w:p>
    <w:p w14:paraId="76368B20" w14:textId="24C9EA91" w:rsidR="00147541" w:rsidRPr="00147541" w:rsidRDefault="00147541" w:rsidP="00147541">
      <w:pPr>
        <w:rPr>
          <w:rFonts w:cs="Arial"/>
          <w:b/>
          <w:bCs/>
          <w:sz w:val="24"/>
          <w:szCs w:val="24"/>
        </w:rPr>
      </w:pPr>
      <w:r w:rsidRPr="00147541">
        <w:rPr>
          <w:rFonts w:cs="Arial"/>
          <w:b/>
          <w:bCs/>
          <w:sz w:val="24"/>
          <w:szCs w:val="24"/>
        </w:rPr>
        <w:lastRenderedPageBreak/>
        <w:t>The search strategy</w:t>
      </w:r>
    </w:p>
    <w:p w14:paraId="3A15F8CD" w14:textId="4B35B0AF" w:rsidR="00147541" w:rsidRPr="00147541" w:rsidRDefault="00147541" w:rsidP="00147541">
      <w:pPr>
        <w:rPr>
          <w:rFonts w:cs="Arial"/>
        </w:rPr>
      </w:pPr>
      <w:r w:rsidRPr="00147541">
        <w:rPr>
          <w:rFonts w:cs="Arial"/>
        </w:rPr>
        <w:t xml:space="preserve">The literature review will be performed </w:t>
      </w:r>
      <w:r w:rsidRPr="00147541">
        <w:rPr>
          <w:rFonts w:cs="Arial"/>
        </w:rPr>
        <w:t>utilizing</w:t>
      </w:r>
      <w:r w:rsidRPr="00147541">
        <w:rPr>
          <w:rFonts w:cs="Arial"/>
        </w:rPr>
        <w:t xml:space="preserve"> databases pertinent to health, social care, nursing, and psychology. The databases anticipated to be included are:</w:t>
      </w:r>
    </w:p>
    <w:p w14:paraId="77F6B121" w14:textId="77777777" w:rsidR="00147541" w:rsidRPr="00147541" w:rsidRDefault="00147541" w:rsidP="00147541">
      <w:pPr>
        <w:rPr>
          <w:rFonts w:cs="Arial"/>
        </w:rPr>
      </w:pPr>
    </w:p>
    <w:p w14:paraId="4DF624F7" w14:textId="77777777" w:rsidR="00147541" w:rsidRPr="00147541" w:rsidRDefault="00147541" w:rsidP="00147541">
      <w:pPr>
        <w:rPr>
          <w:rFonts w:cs="Arial"/>
        </w:rPr>
      </w:pPr>
      <w:r w:rsidRPr="00147541">
        <w:rPr>
          <w:rFonts w:cs="Arial"/>
        </w:rPr>
        <w:t>MEDLINE/PubMed</w:t>
      </w:r>
    </w:p>
    <w:p w14:paraId="76F4F9CF" w14:textId="77777777" w:rsidR="00147541" w:rsidRPr="00147541" w:rsidRDefault="00147541" w:rsidP="00147541">
      <w:pPr>
        <w:rPr>
          <w:rFonts w:cs="Arial"/>
        </w:rPr>
      </w:pPr>
      <w:r w:rsidRPr="00147541">
        <w:rPr>
          <w:rFonts w:cs="Arial"/>
        </w:rPr>
        <w:t>CINAHL</w:t>
      </w:r>
    </w:p>
    <w:p w14:paraId="2F20717D" w14:textId="77777777" w:rsidR="00147541" w:rsidRPr="00147541" w:rsidRDefault="00147541" w:rsidP="00147541">
      <w:pPr>
        <w:rPr>
          <w:rFonts w:cs="Arial"/>
        </w:rPr>
      </w:pPr>
      <w:r w:rsidRPr="00147541">
        <w:rPr>
          <w:rFonts w:cs="Arial"/>
        </w:rPr>
        <w:t>PsycINFO</w:t>
      </w:r>
    </w:p>
    <w:p w14:paraId="0AAE827C" w14:textId="77777777" w:rsidR="00147541" w:rsidRPr="00147541" w:rsidRDefault="00147541" w:rsidP="00147541">
      <w:pPr>
        <w:rPr>
          <w:rFonts w:cs="Arial"/>
        </w:rPr>
      </w:pPr>
      <w:r w:rsidRPr="00147541">
        <w:rPr>
          <w:rFonts w:cs="Arial"/>
        </w:rPr>
        <w:t>Scopus</w:t>
      </w:r>
    </w:p>
    <w:p w14:paraId="63D079C1" w14:textId="77777777" w:rsidR="00147541" w:rsidRPr="00147541" w:rsidRDefault="00147541" w:rsidP="00147541">
      <w:pPr>
        <w:rPr>
          <w:rFonts w:cs="Arial"/>
        </w:rPr>
      </w:pPr>
      <w:r w:rsidRPr="00147541">
        <w:rPr>
          <w:rFonts w:cs="Arial"/>
        </w:rPr>
        <w:t>Web of Science</w:t>
      </w:r>
    </w:p>
    <w:p w14:paraId="4FDBCF7B" w14:textId="77777777" w:rsidR="00147541" w:rsidRPr="00147541" w:rsidRDefault="00147541" w:rsidP="00147541">
      <w:pPr>
        <w:rPr>
          <w:rFonts w:cs="Arial"/>
        </w:rPr>
      </w:pPr>
      <w:r w:rsidRPr="00147541">
        <w:rPr>
          <w:rFonts w:cs="Arial"/>
        </w:rPr>
        <w:t>Cochrane Library</w:t>
      </w:r>
    </w:p>
    <w:p w14:paraId="3EB390E1" w14:textId="77777777" w:rsidR="00147541" w:rsidRPr="00147541" w:rsidRDefault="00147541" w:rsidP="00147541">
      <w:pPr>
        <w:rPr>
          <w:rFonts w:cs="Arial"/>
        </w:rPr>
      </w:pPr>
      <w:r w:rsidRPr="00147541">
        <w:rPr>
          <w:rFonts w:cs="Arial"/>
        </w:rPr>
        <w:t>ASSIA</w:t>
      </w:r>
    </w:p>
    <w:p w14:paraId="09C9D07F" w14:textId="77777777" w:rsidR="00147541" w:rsidRPr="00147541" w:rsidRDefault="00147541" w:rsidP="00147541">
      <w:pPr>
        <w:rPr>
          <w:rFonts w:cs="Arial"/>
        </w:rPr>
      </w:pPr>
      <w:r w:rsidRPr="00147541">
        <w:rPr>
          <w:rFonts w:cs="Arial"/>
        </w:rPr>
        <w:t>Social Care Online</w:t>
      </w:r>
    </w:p>
    <w:p w14:paraId="0811037C" w14:textId="2A87C9F9" w:rsidR="00147541" w:rsidRPr="00147541" w:rsidRDefault="00147541" w:rsidP="00147541">
      <w:pPr>
        <w:pStyle w:val="ListParagraph"/>
        <w:numPr>
          <w:ilvl w:val="0"/>
          <w:numId w:val="12"/>
        </w:numPr>
        <w:spacing w:line="276" w:lineRule="auto"/>
        <w:rPr>
          <w:rFonts w:eastAsia="Calibri" w:cs="Arial"/>
          <w:color w:val="auto"/>
          <w:lang w:val="en-GB"/>
        </w:rPr>
      </w:pPr>
      <w:r w:rsidRPr="00147541">
        <w:rPr>
          <w:rFonts w:cs="Arial"/>
        </w:rPr>
        <w:t xml:space="preserve">Additionally, relevant grey literature from UK organizations such as NICE, NHS England, the Department of Health and Social </w:t>
      </w:r>
      <w:r w:rsidRPr="00147541">
        <w:rPr>
          <w:rFonts w:cs="Arial"/>
        </w:rPr>
        <w:t>Care, and</w:t>
      </w:r>
      <w:r w:rsidRPr="00147541">
        <w:rPr>
          <w:rFonts w:cs="Arial"/>
        </w:rPr>
        <w:t xml:space="preserve"> recognized dementia organizations will be </w:t>
      </w:r>
      <w:proofErr w:type="gramStart"/>
      <w:r w:rsidRPr="00147541">
        <w:rPr>
          <w:rFonts w:cs="Arial"/>
        </w:rPr>
        <w:t>taken into account</w:t>
      </w:r>
      <w:proofErr w:type="gramEnd"/>
      <w:r w:rsidRPr="00147541">
        <w:rPr>
          <w:rFonts w:cs="Arial"/>
        </w:rPr>
        <w:t>.</w:t>
      </w:r>
      <w:r w:rsidRPr="00147541">
        <w:rPr>
          <w:rFonts w:eastAsia="Calibri" w:cs="Arial"/>
          <w:color w:val="auto"/>
          <w:lang w:val="en-GB"/>
        </w:rPr>
        <w:t xml:space="preserve"> </w:t>
      </w:r>
    </w:p>
    <w:p w14:paraId="1DD1DC1B" w14:textId="00AF860D" w:rsidR="00147541" w:rsidRPr="00147541" w:rsidRDefault="00147541" w:rsidP="00147541">
      <w:pPr>
        <w:pStyle w:val="ListParagraph"/>
        <w:numPr>
          <w:ilvl w:val="0"/>
          <w:numId w:val="12"/>
        </w:numPr>
        <w:spacing w:line="276" w:lineRule="auto"/>
        <w:rPr>
          <w:rFonts w:eastAsia="Calibri" w:cs="Arial"/>
          <w:color w:val="auto"/>
          <w:lang w:val="en-GB"/>
        </w:rPr>
      </w:pPr>
      <w:r w:rsidRPr="00147541">
        <w:rPr>
          <w:rFonts w:eastAsia="Calibri" w:cs="Arial"/>
          <w:color w:val="auto"/>
          <w:lang w:val="en-GB"/>
        </w:rPr>
        <w:t xml:space="preserve">The academic database, which will include ProQuest, Google Scholar, academic journals, and organizations such as the NHS, government websites, and </w:t>
      </w:r>
      <w:r w:rsidRPr="00147541">
        <w:rPr>
          <w:rFonts w:eastAsia="Calibri" w:cs="Arial"/>
          <w:color w:val="auto"/>
          <w:lang w:val="en-GB"/>
        </w:rPr>
        <w:t xml:space="preserve">the </w:t>
      </w:r>
      <w:r w:rsidRPr="00147541">
        <w:rPr>
          <w:rFonts w:eastAsia="Calibri" w:cs="Arial"/>
          <w:color w:val="auto"/>
          <w:lang w:val="en-GB"/>
        </w:rPr>
        <w:t>UWTSD Library.</w:t>
      </w:r>
    </w:p>
    <w:p w14:paraId="16F5A8BD" w14:textId="77777777" w:rsidR="00147541" w:rsidRPr="00147541" w:rsidRDefault="00147541" w:rsidP="00147541">
      <w:pPr>
        <w:numPr>
          <w:ilvl w:val="0"/>
          <w:numId w:val="12"/>
        </w:numPr>
        <w:spacing w:line="276" w:lineRule="auto"/>
        <w:contextualSpacing/>
        <w:jc w:val="left"/>
        <w:rPr>
          <w:rFonts w:eastAsia="Calibri" w:cs="Arial"/>
          <w:color w:val="auto"/>
          <w:lang w:val="en-GB"/>
        </w:rPr>
      </w:pPr>
      <w:r w:rsidRPr="00147541">
        <w:rPr>
          <w:rFonts w:eastAsia="Calibri" w:cs="Arial"/>
          <w:color w:val="auto"/>
          <w:lang w:val="en-GB"/>
        </w:rPr>
        <w:t>Guidance from my supervisor.</w:t>
      </w:r>
    </w:p>
    <w:p w14:paraId="69572596" w14:textId="77777777" w:rsidR="00147541" w:rsidRPr="00147541" w:rsidRDefault="00147541" w:rsidP="00147541">
      <w:pPr>
        <w:numPr>
          <w:ilvl w:val="0"/>
          <w:numId w:val="12"/>
        </w:numPr>
        <w:spacing w:line="276" w:lineRule="auto"/>
        <w:contextualSpacing/>
        <w:jc w:val="left"/>
        <w:rPr>
          <w:rFonts w:eastAsia="Calibri" w:cs="Arial"/>
          <w:color w:val="auto"/>
          <w:lang w:val="en-GB"/>
        </w:rPr>
      </w:pPr>
      <w:r w:rsidRPr="00147541">
        <w:rPr>
          <w:rFonts w:eastAsia="Calibri" w:cs="Arial"/>
          <w:color w:val="auto"/>
          <w:lang w:val="en-GB"/>
        </w:rPr>
        <w:t>Access to journal articles, reports, and relevant government policies.</w:t>
      </w:r>
    </w:p>
    <w:p w14:paraId="2AE19AEE" w14:textId="77777777" w:rsidR="00147541" w:rsidRPr="00147541" w:rsidRDefault="00147541" w:rsidP="00147541">
      <w:pPr>
        <w:spacing w:line="276" w:lineRule="auto"/>
        <w:rPr>
          <w:rFonts w:cs="Arial"/>
        </w:rPr>
      </w:pPr>
    </w:p>
    <w:p w14:paraId="6E2BCCE6" w14:textId="4AA38D81" w:rsidR="00147541" w:rsidRPr="00147541" w:rsidRDefault="00147541" w:rsidP="00147541">
      <w:pPr>
        <w:spacing w:line="276" w:lineRule="auto"/>
        <w:rPr>
          <w:rFonts w:cs="Arial"/>
        </w:rPr>
      </w:pPr>
      <w:r w:rsidRPr="00147541">
        <w:rPr>
          <w:rFonts w:cs="Arial"/>
        </w:rPr>
        <w:t xml:space="preserve">In my research, there is a concept called critical analysis in which date is more important. Therefore, I </w:t>
      </w:r>
      <w:r w:rsidRPr="00147541">
        <w:rPr>
          <w:rFonts w:cs="Arial"/>
        </w:rPr>
        <w:t>must</w:t>
      </w:r>
      <w:r w:rsidRPr="00147541">
        <w:rPr>
          <w:rFonts w:cs="Arial"/>
        </w:rPr>
        <w:t xml:space="preserve"> submit:</w:t>
      </w:r>
    </w:p>
    <w:p w14:paraId="21607723" w14:textId="080A51CA" w:rsidR="00147541" w:rsidRPr="00147541" w:rsidRDefault="00147541" w:rsidP="00147541">
      <w:pPr>
        <w:spacing w:line="276" w:lineRule="auto"/>
        <w:rPr>
          <w:rFonts w:cs="Arial"/>
        </w:rPr>
      </w:pPr>
      <w:r w:rsidRPr="00147541">
        <w:rPr>
          <w:rFonts w:cs="Arial"/>
        </w:rPr>
        <w:t>Project</w:t>
      </w:r>
      <w:r w:rsidRPr="00147541">
        <w:rPr>
          <w:rFonts w:cs="Arial"/>
        </w:rPr>
        <w:t xml:space="preserve"> proposal: 1</w:t>
      </w:r>
      <w:r w:rsidRPr="00147541">
        <w:rPr>
          <w:rFonts w:cs="Arial"/>
        </w:rPr>
        <w:t>8</w:t>
      </w:r>
      <w:r w:rsidRPr="00147541">
        <w:rPr>
          <w:rFonts w:cs="Arial"/>
          <w:vertAlign w:val="superscript"/>
        </w:rPr>
        <w:t>th</w:t>
      </w:r>
      <w:r w:rsidRPr="00147541">
        <w:rPr>
          <w:rFonts w:cs="Arial"/>
        </w:rPr>
        <w:t xml:space="preserve"> August</w:t>
      </w:r>
      <w:r w:rsidRPr="00147541">
        <w:rPr>
          <w:rFonts w:cs="Arial"/>
        </w:rPr>
        <w:t xml:space="preserve"> 202</w:t>
      </w:r>
      <w:r w:rsidRPr="00147541">
        <w:rPr>
          <w:rFonts w:cs="Arial"/>
        </w:rPr>
        <w:t>6</w:t>
      </w:r>
    </w:p>
    <w:p w14:paraId="0CC73CA1" w14:textId="6BB434A2" w:rsidR="00147541" w:rsidRPr="00147541" w:rsidRDefault="00147541" w:rsidP="00147541">
      <w:pPr>
        <w:spacing w:line="276" w:lineRule="auto"/>
        <w:rPr>
          <w:rFonts w:cs="Arial"/>
        </w:rPr>
      </w:pPr>
      <w:r w:rsidRPr="00147541">
        <w:rPr>
          <w:rFonts w:cs="Arial"/>
        </w:rPr>
        <w:t>Element 2 (</w:t>
      </w:r>
      <w:r w:rsidRPr="00147541">
        <w:rPr>
          <w:rFonts w:cs="Arial"/>
        </w:rPr>
        <w:t>Ethical form</w:t>
      </w:r>
      <w:r w:rsidRPr="00147541">
        <w:rPr>
          <w:rFonts w:cs="Arial"/>
        </w:rPr>
        <w:t xml:space="preserve">): </w:t>
      </w:r>
      <w:r w:rsidRPr="00147541">
        <w:rPr>
          <w:rFonts w:cs="Arial"/>
        </w:rPr>
        <w:t>19</w:t>
      </w:r>
      <w:r w:rsidRPr="00147541">
        <w:rPr>
          <w:rFonts w:cs="Arial"/>
        </w:rPr>
        <w:t xml:space="preserve">th </w:t>
      </w:r>
      <w:r w:rsidRPr="00147541">
        <w:rPr>
          <w:rFonts w:cs="Arial"/>
        </w:rPr>
        <w:t>August</w:t>
      </w:r>
      <w:r w:rsidRPr="00147541">
        <w:rPr>
          <w:rFonts w:cs="Arial"/>
        </w:rPr>
        <w:t xml:space="preserve"> 202</w:t>
      </w:r>
      <w:r w:rsidRPr="00147541">
        <w:rPr>
          <w:rFonts w:cs="Arial"/>
        </w:rPr>
        <w:t>6</w:t>
      </w:r>
      <w:r w:rsidRPr="00147541">
        <w:rPr>
          <w:rFonts w:cs="Arial"/>
        </w:rPr>
        <w:t xml:space="preserve">  </w:t>
      </w:r>
    </w:p>
    <w:p w14:paraId="28FDD9F5" w14:textId="4D283465" w:rsidR="00147541" w:rsidRPr="00147541" w:rsidRDefault="00147541" w:rsidP="00147541">
      <w:pPr>
        <w:rPr>
          <w:rFonts w:cs="Arial"/>
        </w:rPr>
      </w:pPr>
      <w:r w:rsidRPr="00147541">
        <w:rPr>
          <w:rFonts w:cs="Arial"/>
        </w:rPr>
        <w:t>The search will integrate terms associated with dementia, older adults, social interventions, quality of life, well-being, social inclusion, and participation. The primary search timeframe will span from 2016 to 2026, ensuring that the evidence is aligned with current UK dementia policy and practice.</w:t>
      </w:r>
    </w:p>
    <w:p w14:paraId="402C30DB" w14:textId="1AC4210E" w:rsidR="003100EE" w:rsidRPr="00147541" w:rsidRDefault="00000000">
      <w:pPr>
        <w:pStyle w:val="Heading1"/>
        <w:rPr>
          <w:rFonts w:ascii="Arial" w:hAnsi="Arial" w:cs="Arial"/>
        </w:rPr>
      </w:pPr>
      <w:r w:rsidRPr="00147541">
        <w:rPr>
          <w:rFonts w:ascii="Arial" w:hAnsi="Arial" w:cs="Arial"/>
        </w:rPr>
        <w:lastRenderedPageBreak/>
        <w:t>Ethical considerations</w:t>
      </w:r>
    </w:p>
    <w:p w14:paraId="163DDA23" w14:textId="77777777" w:rsidR="00147541" w:rsidRPr="00147541" w:rsidRDefault="00147541" w:rsidP="00147541">
      <w:pPr>
        <w:rPr>
          <w:rFonts w:cs="Arial"/>
        </w:rPr>
      </w:pPr>
      <w:r w:rsidRPr="00147541">
        <w:rPr>
          <w:rFonts w:cs="Arial"/>
        </w:rPr>
        <w:t>This project constitutes a secondary research study and will not engage human participants, conduct interviews, utilize questionnaires, access clinical records, or gather new personal data. Consequently, the risks related to participant recruitment, informed consent, capacity, and safeguarding do not apply in the same manner as they would in primary research.</w:t>
      </w:r>
    </w:p>
    <w:p w14:paraId="64BBD2CB" w14:textId="77777777" w:rsidR="00147541" w:rsidRPr="00147541" w:rsidRDefault="00147541" w:rsidP="00147541">
      <w:pPr>
        <w:rPr>
          <w:rFonts w:cs="Arial"/>
        </w:rPr>
      </w:pPr>
      <w:r w:rsidRPr="00147541">
        <w:rPr>
          <w:rFonts w:cs="Arial"/>
        </w:rPr>
        <w:t>Nonetheless, the study will adhere to the university's research governance and ethical guidelines. The Health Research Authority differentiates secondary research, which includes literature reviews, from research that involves the collection of new participant data (Health Research Authority, 2021). The researcher will verify the appropriate university approval pathway prior to initiating the review.</w:t>
      </w:r>
    </w:p>
    <w:p w14:paraId="58B49B78" w14:textId="77777777" w:rsidR="00147541" w:rsidRPr="00147541" w:rsidRDefault="00147541" w:rsidP="00147541">
      <w:pPr>
        <w:rPr>
          <w:rFonts w:cs="Arial"/>
        </w:rPr>
      </w:pPr>
      <w:r w:rsidRPr="00147541">
        <w:rPr>
          <w:rFonts w:cs="Arial"/>
        </w:rPr>
        <w:t>Academic integrity will be upheld through precise referencing, transparent reporting, and proper acknowledgment of all sources. The researcher will refrain from selective reporting and will include contradictory or negative evidence alongside positive findings.</w:t>
      </w:r>
    </w:p>
    <w:p w14:paraId="2C9F7282" w14:textId="2C1FB17F" w:rsidR="00147541" w:rsidRPr="00147541" w:rsidRDefault="00147541" w:rsidP="00147541">
      <w:pPr>
        <w:rPr>
          <w:rFonts w:cs="Arial"/>
        </w:rPr>
      </w:pPr>
      <w:r w:rsidRPr="00147541">
        <w:rPr>
          <w:rFonts w:cs="Arial"/>
        </w:rPr>
        <w:t>The review will also recognize the limitations of the published evidence. Specifically, the interpretations of professionals and researchers cannot fully replace the firsthand experiences of individuals living with dementia. Therefore, the review will avoid presenting proxy measures or professional observations as direct evidence of how each person with dementia experiences social interventions.</w:t>
      </w:r>
    </w:p>
    <w:p w14:paraId="0D5760F0" w14:textId="41FE06D5" w:rsidR="003100EE" w:rsidRPr="00147541" w:rsidRDefault="00000000">
      <w:pPr>
        <w:pStyle w:val="Heading1"/>
        <w:rPr>
          <w:rFonts w:ascii="Arial" w:hAnsi="Arial" w:cs="Arial"/>
        </w:rPr>
      </w:pPr>
      <w:r w:rsidRPr="00147541">
        <w:rPr>
          <w:rFonts w:ascii="Arial" w:hAnsi="Arial" w:cs="Arial"/>
        </w:rPr>
        <w:t xml:space="preserve">Implications </w:t>
      </w:r>
    </w:p>
    <w:p w14:paraId="796E9756" w14:textId="77777777" w:rsidR="00147541" w:rsidRPr="00147541" w:rsidRDefault="00147541" w:rsidP="00147541">
      <w:pPr>
        <w:rPr>
          <w:rFonts w:cs="Arial"/>
        </w:rPr>
      </w:pPr>
      <w:r w:rsidRPr="00147541">
        <w:rPr>
          <w:rFonts w:cs="Arial"/>
        </w:rPr>
        <w:t>The results could have significant implications for nurses, social workers, occupational therapists, activity coordinators, care-home personnel, community practitioners, and service managers.</w:t>
      </w:r>
    </w:p>
    <w:p w14:paraId="22B0B874" w14:textId="77777777" w:rsidR="00147541" w:rsidRPr="00147541" w:rsidRDefault="00147541" w:rsidP="00147541">
      <w:pPr>
        <w:rPr>
          <w:rFonts w:cs="Arial"/>
        </w:rPr>
      </w:pPr>
      <w:r w:rsidRPr="00147541">
        <w:rPr>
          <w:rFonts w:cs="Arial"/>
        </w:rPr>
        <w:t>The research may pinpoint interventions that possess relatively stronger evidence and elucidate the outcomes that are most consistently linked to social participation.</w:t>
      </w:r>
    </w:p>
    <w:p w14:paraId="6A4406FF" w14:textId="776F2513" w:rsidR="00147541" w:rsidRPr="00147541" w:rsidRDefault="00147541" w:rsidP="00147541">
      <w:pPr>
        <w:rPr>
          <w:rFonts w:cs="Arial"/>
        </w:rPr>
      </w:pPr>
      <w:r w:rsidRPr="00147541">
        <w:rPr>
          <w:rFonts w:cs="Arial"/>
        </w:rPr>
        <w:t>Additionally, the findings may bolster person-</w:t>
      </w:r>
      <w:r w:rsidRPr="00147541">
        <w:rPr>
          <w:rFonts w:cs="Arial"/>
        </w:rPr>
        <w:t>centered</w:t>
      </w:r>
      <w:r w:rsidRPr="00147541">
        <w:rPr>
          <w:rFonts w:cs="Arial"/>
        </w:rPr>
        <w:t xml:space="preserve"> care by emphasizing the significance of individual preferences, personal history, identity, and evolving abilities. This is especially pertinent as highly tailored interventions may yield superior outcomes compared to generic activities, although the evidence remains ambiguous in certain contexts (Lu et al., 2021; </w:t>
      </w:r>
      <w:proofErr w:type="spellStart"/>
      <w:r w:rsidRPr="00147541">
        <w:rPr>
          <w:rFonts w:cs="Arial"/>
        </w:rPr>
        <w:t>Möhler</w:t>
      </w:r>
      <w:proofErr w:type="spellEnd"/>
      <w:r w:rsidRPr="00147541">
        <w:rPr>
          <w:rFonts w:cs="Arial"/>
        </w:rPr>
        <w:t xml:space="preserve"> et al., 2023).</w:t>
      </w:r>
    </w:p>
    <w:p w14:paraId="4ECD5DA5" w14:textId="77777777" w:rsidR="00147541" w:rsidRPr="00147541" w:rsidRDefault="00147541" w:rsidP="00147541">
      <w:pPr>
        <w:rPr>
          <w:rFonts w:cs="Arial"/>
        </w:rPr>
      </w:pPr>
    </w:p>
    <w:p w14:paraId="65527D49" w14:textId="378E6A32" w:rsidR="00147541" w:rsidRPr="00147541" w:rsidRDefault="00147541" w:rsidP="00147541">
      <w:pPr>
        <w:rPr>
          <w:rFonts w:cs="Arial"/>
        </w:rPr>
      </w:pPr>
      <w:r w:rsidRPr="00147541">
        <w:rPr>
          <w:rFonts w:cs="Arial"/>
        </w:rPr>
        <w:lastRenderedPageBreak/>
        <w:t>On an organizational level, the findings may bring to light obstacles such as staffing shortages, limited resources, insufficient training, transportation issues, accessibility challenges, and a lack of appropriate community services. Consequently, recommendations may need to extend beyond individual practitioners to encompass service managers and commissioners.</w:t>
      </w:r>
    </w:p>
    <w:p w14:paraId="4B8F1855" w14:textId="77777777" w:rsidR="00147541" w:rsidRPr="00147541" w:rsidRDefault="00147541" w:rsidP="00147541">
      <w:pPr>
        <w:rPr>
          <w:rFonts w:cs="Arial"/>
        </w:rPr>
      </w:pPr>
    </w:p>
    <w:p w14:paraId="22591D08" w14:textId="64DA6DD4" w:rsidR="00147541" w:rsidRPr="00147541" w:rsidRDefault="00147541" w:rsidP="00147541">
      <w:pPr>
        <w:rPr>
          <w:rFonts w:cs="Arial"/>
          <w:b/>
          <w:bCs/>
          <w:sz w:val="32"/>
          <w:szCs w:val="32"/>
        </w:rPr>
      </w:pPr>
      <w:r w:rsidRPr="00147541">
        <w:rPr>
          <w:rFonts w:cs="Arial"/>
          <w:b/>
          <w:bCs/>
          <w:sz w:val="32"/>
          <w:szCs w:val="32"/>
        </w:rPr>
        <w:t>Limitations</w:t>
      </w:r>
    </w:p>
    <w:p w14:paraId="2B078276" w14:textId="77777777" w:rsidR="00147541" w:rsidRPr="00147541" w:rsidRDefault="00147541" w:rsidP="00147541">
      <w:pPr>
        <w:rPr>
          <w:rFonts w:cs="Arial"/>
        </w:rPr>
      </w:pPr>
      <w:r w:rsidRPr="00147541">
        <w:rPr>
          <w:rFonts w:cs="Arial"/>
        </w:rPr>
        <w:t>The review will encounter several limitations. By confining the primary search to the years 2016–2026, there is a risk of omitting older evidence that may still hold relevance. Additionally, focusing predominantly on UK studies could diminish the pool of eligible research and hinder international comparisons.</w:t>
      </w:r>
    </w:p>
    <w:p w14:paraId="4A40E59F" w14:textId="77777777" w:rsidR="00147541" w:rsidRPr="00147541" w:rsidRDefault="00147541" w:rsidP="00147541">
      <w:pPr>
        <w:rPr>
          <w:rFonts w:cs="Arial"/>
        </w:rPr>
      </w:pPr>
      <w:r w:rsidRPr="00147541">
        <w:rPr>
          <w:rFonts w:cs="Arial"/>
        </w:rPr>
        <w:t>Variability among interventions, outcome measures, and settings may complicate direct comparisons. Furthermore, some interventions consist of multiple components, making it challenging to ascertain which specific element contributed to any observed benefits. The evidence base may also be influenced by publication bias, as studies that report positive outcomes are often more likely to be published.</w:t>
      </w:r>
    </w:p>
    <w:p w14:paraId="7C0C75E3" w14:textId="77777777" w:rsidR="00147541" w:rsidRPr="00147541" w:rsidRDefault="00147541" w:rsidP="00147541">
      <w:pPr>
        <w:rPr>
          <w:rFonts w:cs="Arial"/>
        </w:rPr>
      </w:pPr>
      <w:r w:rsidRPr="00147541">
        <w:rPr>
          <w:rFonts w:cs="Arial"/>
        </w:rPr>
        <w:t>Another significant limitation is that quality of life is inherently subjective and multifaceted. Various studies may utilize different instruments to assess quality of life, and outcomes rated by proxies may not accurately reflect the lived experiences of individuals with dementia.</w:t>
      </w:r>
    </w:p>
    <w:p w14:paraId="63E2E3C6" w14:textId="58A586BF" w:rsidR="00147541" w:rsidRPr="00147541" w:rsidRDefault="00147541" w:rsidP="00147541">
      <w:pPr>
        <w:rPr>
          <w:rFonts w:cs="Arial"/>
        </w:rPr>
      </w:pPr>
      <w:r w:rsidRPr="00147541">
        <w:rPr>
          <w:rFonts w:cs="Arial"/>
        </w:rPr>
        <w:t>Lastly, as this constitutes secondary research, the study is unable to provide new first-person narratives. Therefore, future research should prioritize the involvement of individuals living with dementia in the development, evaluation, and interpretation of social interventions.</w:t>
      </w:r>
    </w:p>
    <w:p w14:paraId="5694F666" w14:textId="77777777" w:rsidR="00147541" w:rsidRPr="00147541" w:rsidRDefault="00147541">
      <w:pPr>
        <w:pStyle w:val="Heading1"/>
        <w:rPr>
          <w:rFonts w:ascii="Arial" w:hAnsi="Arial" w:cs="Arial"/>
          <w:sz w:val="32"/>
          <w:szCs w:val="32"/>
        </w:rPr>
      </w:pPr>
    </w:p>
    <w:p w14:paraId="24595113" w14:textId="77777777" w:rsidR="00147541" w:rsidRPr="00147541" w:rsidRDefault="00147541">
      <w:pPr>
        <w:pStyle w:val="Heading1"/>
        <w:rPr>
          <w:rFonts w:ascii="Arial" w:hAnsi="Arial" w:cs="Arial"/>
          <w:sz w:val="32"/>
          <w:szCs w:val="32"/>
        </w:rPr>
      </w:pPr>
    </w:p>
    <w:p w14:paraId="28825F4A" w14:textId="13EA91B9" w:rsidR="003100EE" w:rsidRPr="00147541" w:rsidRDefault="007F4E25">
      <w:pPr>
        <w:pStyle w:val="Heading1"/>
        <w:rPr>
          <w:rFonts w:ascii="Arial" w:hAnsi="Arial" w:cs="Arial"/>
          <w:sz w:val="32"/>
          <w:szCs w:val="32"/>
        </w:rPr>
      </w:pPr>
      <w:r w:rsidRPr="00147541">
        <w:rPr>
          <w:rFonts w:ascii="Arial" w:hAnsi="Arial" w:cs="Arial"/>
          <w:sz w:val="32"/>
          <w:szCs w:val="32"/>
        </w:rPr>
        <w:t>Work plan and schedule</w:t>
      </w:r>
    </w:p>
    <w:p w14:paraId="58565531" w14:textId="2C08BD83" w:rsidR="00FF7EF9" w:rsidRPr="00147541" w:rsidRDefault="00000000">
      <w:pPr>
        <w:rPr>
          <w:rFonts w:cs="Arial"/>
          <w:b/>
          <w:bCs/>
        </w:rPr>
      </w:pPr>
      <w:r w:rsidRPr="00147541">
        <w:rPr>
          <w:rFonts w:cs="Arial"/>
          <w:b/>
          <w:bCs/>
        </w:rPr>
        <w:t xml:space="preserve">The </w:t>
      </w:r>
      <w:r w:rsidR="00B76A88" w:rsidRPr="00147541">
        <w:rPr>
          <w:rFonts w:cs="Arial"/>
          <w:b/>
          <w:bCs/>
        </w:rPr>
        <w:t>7-week</w:t>
      </w:r>
      <w:r w:rsidRPr="00147541">
        <w:rPr>
          <w:rFonts w:cs="Arial"/>
          <w:b/>
          <w:bCs/>
        </w:rPr>
        <w:t xml:space="preserve"> plan places ethical and organisational approval before any. Overlap will not compromise approval or data security.</w:t>
      </w:r>
    </w:p>
    <w:tbl>
      <w:tblPr>
        <w:tblW w:w="93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16"/>
        <w:gridCol w:w="792"/>
        <w:gridCol w:w="792"/>
        <w:gridCol w:w="792"/>
        <w:gridCol w:w="792"/>
        <w:gridCol w:w="792"/>
        <w:gridCol w:w="792"/>
        <w:gridCol w:w="792"/>
      </w:tblGrid>
      <w:tr w:rsidR="003100EE" w:rsidRPr="00147541" w14:paraId="732F6926" w14:textId="77777777" w:rsidTr="00284F72">
        <w:trPr>
          <w:cantSplit/>
          <w:tblHeader/>
          <w:jc w:val="center"/>
        </w:trPr>
        <w:tc>
          <w:tcPr>
            <w:tcW w:w="3816" w:type="dxa"/>
            <w:shd w:val="clear" w:color="auto" w:fill="D9E2F3"/>
            <w:tcMar>
              <w:top w:w="90" w:type="dxa"/>
              <w:left w:w="110" w:type="dxa"/>
              <w:bottom w:w="90" w:type="dxa"/>
              <w:right w:w="110" w:type="dxa"/>
            </w:tcMar>
            <w:vAlign w:val="center"/>
          </w:tcPr>
          <w:p w14:paraId="6C2BDDB8" w14:textId="77777777" w:rsidR="003100EE" w:rsidRPr="00147541" w:rsidRDefault="00000000">
            <w:pPr>
              <w:spacing w:after="0"/>
              <w:jc w:val="center"/>
              <w:rPr>
                <w:rFonts w:cs="Arial"/>
              </w:rPr>
            </w:pPr>
            <w:r w:rsidRPr="00147541">
              <w:rPr>
                <w:rFonts w:cs="Arial"/>
                <w:b/>
                <w:sz w:val="18"/>
              </w:rPr>
              <w:lastRenderedPageBreak/>
              <w:t>Activity</w:t>
            </w:r>
          </w:p>
        </w:tc>
        <w:tc>
          <w:tcPr>
            <w:tcW w:w="792" w:type="dxa"/>
            <w:shd w:val="clear" w:color="auto" w:fill="D9E2F3"/>
            <w:tcMar>
              <w:top w:w="90" w:type="dxa"/>
              <w:left w:w="110" w:type="dxa"/>
              <w:bottom w:w="90" w:type="dxa"/>
              <w:right w:w="110" w:type="dxa"/>
            </w:tcMar>
            <w:vAlign w:val="center"/>
          </w:tcPr>
          <w:p w14:paraId="69E5C531" w14:textId="37DC2E28" w:rsidR="003100EE" w:rsidRPr="00147541" w:rsidRDefault="00284F72">
            <w:pPr>
              <w:spacing w:after="0"/>
              <w:jc w:val="center"/>
              <w:rPr>
                <w:rFonts w:cs="Arial"/>
              </w:rPr>
            </w:pPr>
            <w:r w:rsidRPr="00147541">
              <w:rPr>
                <w:rFonts w:cs="Arial"/>
                <w:b/>
                <w:sz w:val="18"/>
              </w:rPr>
              <w:t xml:space="preserve">Week </w:t>
            </w:r>
            <w:r w:rsidR="00000000" w:rsidRPr="00147541">
              <w:rPr>
                <w:rFonts w:cs="Arial"/>
                <w:b/>
                <w:sz w:val="18"/>
              </w:rPr>
              <w:t>1</w:t>
            </w:r>
          </w:p>
        </w:tc>
        <w:tc>
          <w:tcPr>
            <w:tcW w:w="792" w:type="dxa"/>
            <w:shd w:val="clear" w:color="auto" w:fill="D9E2F3"/>
            <w:tcMar>
              <w:top w:w="90" w:type="dxa"/>
              <w:left w:w="110" w:type="dxa"/>
              <w:bottom w:w="90" w:type="dxa"/>
              <w:right w:w="110" w:type="dxa"/>
            </w:tcMar>
            <w:vAlign w:val="center"/>
          </w:tcPr>
          <w:p w14:paraId="2ECAD1A0" w14:textId="1B526C7D" w:rsidR="003100EE" w:rsidRPr="00147541" w:rsidRDefault="00284F72">
            <w:pPr>
              <w:spacing w:after="0"/>
              <w:jc w:val="center"/>
              <w:rPr>
                <w:rFonts w:cs="Arial"/>
              </w:rPr>
            </w:pPr>
            <w:r w:rsidRPr="00147541">
              <w:rPr>
                <w:rFonts w:cs="Arial"/>
                <w:b/>
                <w:sz w:val="18"/>
              </w:rPr>
              <w:t xml:space="preserve">Week </w:t>
            </w:r>
            <w:r w:rsidR="00000000" w:rsidRPr="00147541">
              <w:rPr>
                <w:rFonts w:cs="Arial"/>
                <w:b/>
                <w:sz w:val="18"/>
              </w:rPr>
              <w:t>2</w:t>
            </w:r>
          </w:p>
        </w:tc>
        <w:tc>
          <w:tcPr>
            <w:tcW w:w="792" w:type="dxa"/>
            <w:shd w:val="clear" w:color="auto" w:fill="D9E2F3"/>
            <w:tcMar>
              <w:top w:w="90" w:type="dxa"/>
              <w:left w:w="110" w:type="dxa"/>
              <w:bottom w:w="90" w:type="dxa"/>
              <w:right w:w="110" w:type="dxa"/>
            </w:tcMar>
            <w:vAlign w:val="center"/>
          </w:tcPr>
          <w:p w14:paraId="35D8C563" w14:textId="3AB367E0" w:rsidR="003100EE" w:rsidRPr="00147541" w:rsidRDefault="00284F72">
            <w:pPr>
              <w:spacing w:after="0"/>
              <w:jc w:val="center"/>
              <w:rPr>
                <w:rFonts w:cs="Arial"/>
              </w:rPr>
            </w:pPr>
            <w:r w:rsidRPr="00147541">
              <w:rPr>
                <w:rFonts w:cs="Arial"/>
                <w:b/>
                <w:sz w:val="18"/>
              </w:rPr>
              <w:t xml:space="preserve">Week </w:t>
            </w:r>
            <w:r w:rsidR="00000000" w:rsidRPr="00147541">
              <w:rPr>
                <w:rFonts w:cs="Arial"/>
                <w:b/>
                <w:sz w:val="18"/>
              </w:rPr>
              <w:t>3</w:t>
            </w:r>
          </w:p>
        </w:tc>
        <w:tc>
          <w:tcPr>
            <w:tcW w:w="792" w:type="dxa"/>
            <w:shd w:val="clear" w:color="auto" w:fill="D9E2F3"/>
            <w:tcMar>
              <w:top w:w="90" w:type="dxa"/>
              <w:left w:w="110" w:type="dxa"/>
              <w:bottom w:w="90" w:type="dxa"/>
              <w:right w:w="110" w:type="dxa"/>
            </w:tcMar>
            <w:vAlign w:val="center"/>
          </w:tcPr>
          <w:p w14:paraId="58192DC5" w14:textId="34A69585" w:rsidR="003100EE" w:rsidRPr="00147541" w:rsidRDefault="00284F72">
            <w:pPr>
              <w:spacing w:after="0"/>
              <w:jc w:val="center"/>
              <w:rPr>
                <w:rFonts w:cs="Arial"/>
              </w:rPr>
            </w:pPr>
            <w:r w:rsidRPr="00147541">
              <w:rPr>
                <w:rFonts w:cs="Arial"/>
                <w:b/>
                <w:sz w:val="18"/>
              </w:rPr>
              <w:t xml:space="preserve">Week </w:t>
            </w:r>
            <w:r w:rsidR="00000000" w:rsidRPr="00147541">
              <w:rPr>
                <w:rFonts w:cs="Arial"/>
                <w:b/>
                <w:sz w:val="18"/>
              </w:rPr>
              <w:t>4</w:t>
            </w:r>
          </w:p>
        </w:tc>
        <w:tc>
          <w:tcPr>
            <w:tcW w:w="792" w:type="dxa"/>
            <w:shd w:val="clear" w:color="auto" w:fill="D9E2F3"/>
            <w:tcMar>
              <w:top w:w="90" w:type="dxa"/>
              <w:left w:w="110" w:type="dxa"/>
              <w:bottom w:w="90" w:type="dxa"/>
              <w:right w:w="110" w:type="dxa"/>
            </w:tcMar>
            <w:vAlign w:val="center"/>
          </w:tcPr>
          <w:p w14:paraId="58FDD15B" w14:textId="01564244" w:rsidR="003100EE" w:rsidRPr="00147541" w:rsidRDefault="00284F72">
            <w:pPr>
              <w:spacing w:after="0"/>
              <w:jc w:val="center"/>
              <w:rPr>
                <w:rFonts w:cs="Arial"/>
              </w:rPr>
            </w:pPr>
            <w:r w:rsidRPr="00147541">
              <w:rPr>
                <w:rFonts w:cs="Arial"/>
                <w:b/>
                <w:sz w:val="18"/>
              </w:rPr>
              <w:t xml:space="preserve">Week </w:t>
            </w:r>
            <w:r w:rsidR="00000000" w:rsidRPr="00147541">
              <w:rPr>
                <w:rFonts w:cs="Arial"/>
                <w:b/>
                <w:sz w:val="18"/>
              </w:rPr>
              <w:t>5</w:t>
            </w:r>
          </w:p>
        </w:tc>
        <w:tc>
          <w:tcPr>
            <w:tcW w:w="792" w:type="dxa"/>
            <w:shd w:val="clear" w:color="auto" w:fill="D9E2F3"/>
            <w:tcMar>
              <w:top w:w="90" w:type="dxa"/>
              <w:left w:w="110" w:type="dxa"/>
              <w:bottom w:w="90" w:type="dxa"/>
              <w:right w:w="110" w:type="dxa"/>
            </w:tcMar>
            <w:vAlign w:val="center"/>
          </w:tcPr>
          <w:p w14:paraId="1C557464" w14:textId="5E7250FD" w:rsidR="003100EE" w:rsidRPr="00147541" w:rsidRDefault="00284F72">
            <w:pPr>
              <w:spacing w:after="0"/>
              <w:jc w:val="center"/>
              <w:rPr>
                <w:rFonts w:cs="Arial"/>
              </w:rPr>
            </w:pPr>
            <w:r w:rsidRPr="00147541">
              <w:rPr>
                <w:rFonts w:cs="Arial"/>
                <w:b/>
                <w:sz w:val="18"/>
              </w:rPr>
              <w:t xml:space="preserve">Week </w:t>
            </w:r>
            <w:r w:rsidR="00000000" w:rsidRPr="00147541">
              <w:rPr>
                <w:rFonts w:cs="Arial"/>
                <w:b/>
                <w:sz w:val="18"/>
              </w:rPr>
              <w:t>6</w:t>
            </w:r>
          </w:p>
        </w:tc>
        <w:tc>
          <w:tcPr>
            <w:tcW w:w="792" w:type="dxa"/>
            <w:shd w:val="clear" w:color="auto" w:fill="D9E2F3"/>
            <w:tcMar>
              <w:top w:w="90" w:type="dxa"/>
              <w:left w:w="110" w:type="dxa"/>
              <w:bottom w:w="90" w:type="dxa"/>
              <w:right w:w="110" w:type="dxa"/>
            </w:tcMar>
            <w:vAlign w:val="center"/>
          </w:tcPr>
          <w:p w14:paraId="155EDC20" w14:textId="16306979" w:rsidR="003100EE" w:rsidRPr="00147541" w:rsidRDefault="00284F72">
            <w:pPr>
              <w:spacing w:after="0"/>
              <w:jc w:val="center"/>
              <w:rPr>
                <w:rFonts w:cs="Arial"/>
              </w:rPr>
            </w:pPr>
            <w:r w:rsidRPr="00147541">
              <w:rPr>
                <w:rFonts w:cs="Arial"/>
                <w:b/>
                <w:sz w:val="18"/>
              </w:rPr>
              <w:t xml:space="preserve">Week </w:t>
            </w:r>
            <w:r w:rsidR="00000000" w:rsidRPr="00147541">
              <w:rPr>
                <w:rFonts w:cs="Arial"/>
                <w:b/>
                <w:sz w:val="18"/>
              </w:rPr>
              <w:t>7</w:t>
            </w:r>
          </w:p>
        </w:tc>
      </w:tr>
      <w:tr w:rsidR="003100EE" w:rsidRPr="00147541" w14:paraId="713BEF79" w14:textId="77777777" w:rsidTr="00284F72">
        <w:trPr>
          <w:cantSplit/>
          <w:jc w:val="center"/>
        </w:trPr>
        <w:tc>
          <w:tcPr>
            <w:tcW w:w="3816" w:type="dxa"/>
            <w:tcMar>
              <w:top w:w="90" w:type="dxa"/>
              <w:left w:w="110" w:type="dxa"/>
              <w:bottom w:w="90" w:type="dxa"/>
              <w:right w:w="110" w:type="dxa"/>
            </w:tcMar>
            <w:vAlign w:val="center"/>
          </w:tcPr>
          <w:p w14:paraId="23A4E6CB" w14:textId="77777777" w:rsidR="00C43211" w:rsidRPr="00147541" w:rsidRDefault="00C43211">
            <w:pPr>
              <w:spacing w:after="0"/>
              <w:jc w:val="left"/>
              <w:rPr>
                <w:rFonts w:eastAsia="Times New Roman" w:cs="Arial"/>
                <w:lang w:eastAsia="en-GB"/>
              </w:rPr>
            </w:pPr>
            <w:r w:rsidRPr="00147541">
              <w:rPr>
                <w:rFonts w:eastAsia="Times New Roman" w:cs="Arial"/>
                <w:lang w:eastAsia="en-GB"/>
              </w:rPr>
              <w:t>CHAPTER 1</w:t>
            </w:r>
          </w:p>
          <w:p w14:paraId="7CE1D97A" w14:textId="3F0AFD51" w:rsidR="003100EE" w:rsidRPr="00147541" w:rsidRDefault="00284F72">
            <w:pPr>
              <w:spacing w:after="0"/>
              <w:jc w:val="left"/>
              <w:rPr>
                <w:rFonts w:cs="Arial"/>
              </w:rPr>
            </w:pPr>
            <w:r w:rsidRPr="00147541">
              <w:rPr>
                <w:rFonts w:eastAsia="Times New Roman" w:cs="Arial"/>
                <w:lang w:eastAsia="en-GB"/>
              </w:rPr>
              <w:t>Proposal development</w:t>
            </w:r>
          </w:p>
        </w:tc>
        <w:tc>
          <w:tcPr>
            <w:tcW w:w="792" w:type="dxa"/>
            <w:shd w:val="clear" w:color="auto" w:fill="5B9BD5"/>
            <w:tcMar>
              <w:top w:w="90" w:type="dxa"/>
              <w:left w:w="110" w:type="dxa"/>
              <w:bottom w:w="90" w:type="dxa"/>
              <w:right w:w="110" w:type="dxa"/>
            </w:tcMar>
            <w:vAlign w:val="center"/>
          </w:tcPr>
          <w:p w14:paraId="7F611521" w14:textId="11888EAE" w:rsidR="003100EE" w:rsidRPr="00147541" w:rsidRDefault="003100EE">
            <w:pPr>
              <w:jc w:val="center"/>
              <w:rPr>
                <w:rFonts w:cs="Arial"/>
              </w:rPr>
            </w:pPr>
          </w:p>
        </w:tc>
        <w:tc>
          <w:tcPr>
            <w:tcW w:w="792" w:type="dxa"/>
            <w:shd w:val="clear" w:color="auto" w:fill="5B9BD5"/>
            <w:tcMar>
              <w:top w:w="90" w:type="dxa"/>
              <w:left w:w="110" w:type="dxa"/>
              <w:bottom w:w="90" w:type="dxa"/>
              <w:right w:w="110" w:type="dxa"/>
            </w:tcMar>
            <w:vAlign w:val="center"/>
          </w:tcPr>
          <w:p w14:paraId="4A747DE9" w14:textId="3ED660CF" w:rsidR="003100EE" w:rsidRPr="00147541" w:rsidRDefault="003100EE">
            <w:pPr>
              <w:jc w:val="center"/>
              <w:rPr>
                <w:rFonts w:cs="Arial"/>
              </w:rPr>
            </w:pPr>
          </w:p>
        </w:tc>
        <w:tc>
          <w:tcPr>
            <w:tcW w:w="792" w:type="dxa"/>
            <w:tcMar>
              <w:top w:w="90" w:type="dxa"/>
              <w:left w:w="110" w:type="dxa"/>
              <w:bottom w:w="90" w:type="dxa"/>
              <w:right w:w="110" w:type="dxa"/>
            </w:tcMar>
            <w:vAlign w:val="center"/>
          </w:tcPr>
          <w:p w14:paraId="720F3546"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4C7BB245"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4072D403"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103C53DB"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7569A716" w14:textId="77777777" w:rsidR="003100EE" w:rsidRPr="00147541" w:rsidRDefault="003100EE">
            <w:pPr>
              <w:spacing w:after="0"/>
              <w:jc w:val="center"/>
              <w:rPr>
                <w:rFonts w:cs="Arial"/>
              </w:rPr>
            </w:pPr>
          </w:p>
        </w:tc>
      </w:tr>
      <w:tr w:rsidR="003100EE" w:rsidRPr="00147541" w14:paraId="1772200C" w14:textId="77777777" w:rsidTr="00284F72">
        <w:trPr>
          <w:cantSplit/>
          <w:jc w:val="center"/>
        </w:trPr>
        <w:tc>
          <w:tcPr>
            <w:tcW w:w="3816" w:type="dxa"/>
            <w:tcMar>
              <w:top w:w="90" w:type="dxa"/>
              <w:left w:w="110" w:type="dxa"/>
              <w:bottom w:w="90" w:type="dxa"/>
              <w:right w:w="110" w:type="dxa"/>
            </w:tcMar>
            <w:vAlign w:val="center"/>
          </w:tcPr>
          <w:p w14:paraId="64B59FEB" w14:textId="77777777" w:rsidR="00C43211" w:rsidRPr="00147541" w:rsidRDefault="00C43211">
            <w:pPr>
              <w:spacing w:after="0"/>
              <w:jc w:val="left"/>
              <w:rPr>
                <w:rFonts w:eastAsia="Times New Roman" w:cs="Arial"/>
                <w:lang w:eastAsia="en-GB"/>
              </w:rPr>
            </w:pPr>
            <w:r w:rsidRPr="00147541">
              <w:rPr>
                <w:rFonts w:eastAsia="Times New Roman" w:cs="Arial"/>
                <w:lang w:eastAsia="en-GB"/>
              </w:rPr>
              <w:t>CHAPTER 2</w:t>
            </w:r>
          </w:p>
          <w:p w14:paraId="235EF829" w14:textId="09B44B33" w:rsidR="003100EE" w:rsidRPr="00147541" w:rsidRDefault="00284F72">
            <w:pPr>
              <w:spacing w:after="0"/>
              <w:jc w:val="left"/>
              <w:rPr>
                <w:rFonts w:cs="Arial"/>
              </w:rPr>
            </w:pPr>
            <w:r w:rsidRPr="00147541">
              <w:rPr>
                <w:rFonts w:eastAsia="Times New Roman" w:cs="Arial"/>
                <w:lang w:eastAsia="en-GB"/>
              </w:rPr>
              <w:t>Literature review</w:t>
            </w:r>
          </w:p>
        </w:tc>
        <w:tc>
          <w:tcPr>
            <w:tcW w:w="792" w:type="dxa"/>
            <w:shd w:val="clear" w:color="auto" w:fill="5B9BD5"/>
            <w:tcMar>
              <w:top w:w="90" w:type="dxa"/>
              <w:left w:w="110" w:type="dxa"/>
              <w:bottom w:w="90" w:type="dxa"/>
              <w:right w:w="110" w:type="dxa"/>
            </w:tcMar>
            <w:vAlign w:val="center"/>
          </w:tcPr>
          <w:p w14:paraId="0D62F279" w14:textId="414CB67F" w:rsidR="003100EE" w:rsidRPr="00147541" w:rsidRDefault="003100EE">
            <w:pPr>
              <w:jc w:val="center"/>
              <w:rPr>
                <w:rFonts w:cs="Arial"/>
              </w:rPr>
            </w:pPr>
          </w:p>
        </w:tc>
        <w:tc>
          <w:tcPr>
            <w:tcW w:w="792" w:type="dxa"/>
            <w:shd w:val="clear" w:color="auto" w:fill="5B9BD5"/>
            <w:tcMar>
              <w:top w:w="90" w:type="dxa"/>
              <w:left w:w="110" w:type="dxa"/>
              <w:bottom w:w="90" w:type="dxa"/>
              <w:right w:w="110" w:type="dxa"/>
            </w:tcMar>
            <w:vAlign w:val="center"/>
          </w:tcPr>
          <w:p w14:paraId="27FCBA90" w14:textId="3702030C" w:rsidR="003100EE" w:rsidRPr="00147541" w:rsidRDefault="003100EE">
            <w:pPr>
              <w:jc w:val="center"/>
              <w:rPr>
                <w:rFonts w:cs="Arial"/>
              </w:rPr>
            </w:pPr>
          </w:p>
        </w:tc>
        <w:tc>
          <w:tcPr>
            <w:tcW w:w="792" w:type="dxa"/>
            <w:shd w:val="clear" w:color="auto" w:fill="5B9BD5"/>
            <w:tcMar>
              <w:top w:w="90" w:type="dxa"/>
              <w:left w:w="110" w:type="dxa"/>
              <w:bottom w:w="90" w:type="dxa"/>
              <w:right w:w="110" w:type="dxa"/>
            </w:tcMar>
            <w:vAlign w:val="center"/>
          </w:tcPr>
          <w:p w14:paraId="258DFF67" w14:textId="633BC630" w:rsidR="003100EE" w:rsidRPr="00147541" w:rsidRDefault="003100EE">
            <w:pPr>
              <w:jc w:val="center"/>
              <w:rPr>
                <w:rFonts w:cs="Arial"/>
              </w:rPr>
            </w:pPr>
          </w:p>
        </w:tc>
        <w:tc>
          <w:tcPr>
            <w:tcW w:w="792" w:type="dxa"/>
            <w:tcMar>
              <w:top w:w="90" w:type="dxa"/>
              <w:left w:w="110" w:type="dxa"/>
              <w:bottom w:w="90" w:type="dxa"/>
              <w:right w:w="110" w:type="dxa"/>
            </w:tcMar>
            <w:vAlign w:val="center"/>
          </w:tcPr>
          <w:p w14:paraId="538BEB22"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39C85397"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553B9255"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6969B5D8" w14:textId="77777777" w:rsidR="003100EE" w:rsidRPr="00147541" w:rsidRDefault="003100EE">
            <w:pPr>
              <w:spacing w:after="0"/>
              <w:jc w:val="center"/>
              <w:rPr>
                <w:rFonts w:cs="Arial"/>
              </w:rPr>
            </w:pPr>
          </w:p>
        </w:tc>
      </w:tr>
      <w:tr w:rsidR="003100EE" w:rsidRPr="00147541" w14:paraId="5CE1BDD1" w14:textId="77777777" w:rsidTr="00284F72">
        <w:trPr>
          <w:cantSplit/>
          <w:jc w:val="center"/>
        </w:trPr>
        <w:tc>
          <w:tcPr>
            <w:tcW w:w="3816" w:type="dxa"/>
            <w:tcMar>
              <w:top w:w="90" w:type="dxa"/>
              <w:left w:w="110" w:type="dxa"/>
              <w:bottom w:w="90" w:type="dxa"/>
              <w:right w:w="110" w:type="dxa"/>
            </w:tcMar>
            <w:vAlign w:val="center"/>
          </w:tcPr>
          <w:p w14:paraId="6C4041D2" w14:textId="77777777" w:rsidR="00C43211" w:rsidRPr="00147541" w:rsidRDefault="00C43211">
            <w:pPr>
              <w:spacing w:after="0"/>
              <w:jc w:val="left"/>
              <w:rPr>
                <w:rFonts w:eastAsia="Times New Roman" w:cs="Arial"/>
                <w:color w:val="auto"/>
                <w:sz w:val="24"/>
                <w:szCs w:val="24"/>
                <w:lang w:val="en-GB" w:eastAsia="en-GB"/>
              </w:rPr>
            </w:pPr>
            <w:r w:rsidRPr="00147541">
              <w:rPr>
                <w:rFonts w:eastAsia="Times New Roman" w:cs="Arial"/>
                <w:color w:val="auto"/>
                <w:sz w:val="24"/>
                <w:szCs w:val="24"/>
                <w:lang w:val="en-GB" w:eastAsia="en-GB"/>
              </w:rPr>
              <w:t>CHAPER 3</w:t>
            </w:r>
          </w:p>
          <w:p w14:paraId="10443A83" w14:textId="4BA74CF5" w:rsidR="003100EE" w:rsidRPr="00147541" w:rsidRDefault="00284F72">
            <w:pPr>
              <w:spacing w:after="0"/>
              <w:jc w:val="left"/>
              <w:rPr>
                <w:rFonts w:cs="Arial"/>
              </w:rPr>
            </w:pPr>
            <w:r w:rsidRPr="00147541">
              <w:rPr>
                <w:rFonts w:eastAsia="Times New Roman" w:cs="Arial"/>
                <w:color w:val="auto"/>
                <w:sz w:val="24"/>
                <w:szCs w:val="24"/>
                <w:lang w:val="en-GB" w:eastAsia="en-GB"/>
              </w:rPr>
              <w:t>Ethical approval</w:t>
            </w:r>
          </w:p>
        </w:tc>
        <w:tc>
          <w:tcPr>
            <w:tcW w:w="792" w:type="dxa"/>
            <w:tcMar>
              <w:top w:w="90" w:type="dxa"/>
              <w:left w:w="110" w:type="dxa"/>
              <w:bottom w:w="90" w:type="dxa"/>
              <w:right w:w="110" w:type="dxa"/>
            </w:tcMar>
            <w:vAlign w:val="center"/>
          </w:tcPr>
          <w:p w14:paraId="24857860" w14:textId="77777777" w:rsidR="003100EE" w:rsidRPr="00147541" w:rsidRDefault="003100EE">
            <w:pPr>
              <w:spacing w:after="0"/>
              <w:jc w:val="center"/>
              <w:rPr>
                <w:rFonts w:cs="Arial"/>
              </w:rPr>
            </w:pPr>
          </w:p>
        </w:tc>
        <w:tc>
          <w:tcPr>
            <w:tcW w:w="792" w:type="dxa"/>
            <w:shd w:val="clear" w:color="auto" w:fill="5B9BD5"/>
            <w:tcMar>
              <w:top w:w="90" w:type="dxa"/>
              <w:left w:w="110" w:type="dxa"/>
              <w:bottom w:w="90" w:type="dxa"/>
              <w:right w:w="110" w:type="dxa"/>
            </w:tcMar>
            <w:vAlign w:val="center"/>
          </w:tcPr>
          <w:p w14:paraId="2F67CAFA" w14:textId="151FCED0" w:rsidR="003100EE" w:rsidRPr="00147541" w:rsidRDefault="003100EE">
            <w:pPr>
              <w:jc w:val="center"/>
              <w:rPr>
                <w:rFonts w:cs="Arial"/>
              </w:rPr>
            </w:pPr>
          </w:p>
        </w:tc>
        <w:tc>
          <w:tcPr>
            <w:tcW w:w="792" w:type="dxa"/>
            <w:shd w:val="clear" w:color="auto" w:fill="5B9BD5"/>
            <w:tcMar>
              <w:top w:w="90" w:type="dxa"/>
              <w:left w:w="110" w:type="dxa"/>
              <w:bottom w:w="90" w:type="dxa"/>
              <w:right w:w="110" w:type="dxa"/>
            </w:tcMar>
            <w:vAlign w:val="center"/>
          </w:tcPr>
          <w:p w14:paraId="3BE292F7" w14:textId="004DC5AD" w:rsidR="003100EE" w:rsidRPr="00147541" w:rsidRDefault="003100EE">
            <w:pPr>
              <w:jc w:val="center"/>
              <w:rPr>
                <w:rFonts w:cs="Arial"/>
              </w:rPr>
            </w:pPr>
          </w:p>
        </w:tc>
        <w:tc>
          <w:tcPr>
            <w:tcW w:w="792" w:type="dxa"/>
            <w:tcMar>
              <w:top w:w="90" w:type="dxa"/>
              <w:left w:w="110" w:type="dxa"/>
              <w:bottom w:w="90" w:type="dxa"/>
              <w:right w:w="110" w:type="dxa"/>
            </w:tcMar>
            <w:vAlign w:val="center"/>
          </w:tcPr>
          <w:p w14:paraId="7E2CE5C5"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1B77A0D1"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57613B48"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482C0C54" w14:textId="77777777" w:rsidR="003100EE" w:rsidRPr="00147541" w:rsidRDefault="003100EE">
            <w:pPr>
              <w:spacing w:after="0"/>
              <w:jc w:val="center"/>
              <w:rPr>
                <w:rFonts w:cs="Arial"/>
              </w:rPr>
            </w:pPr>
          </w:p>
        </w:tc>
      </w:tr>
      <w:tr w:rsidR="003100EE" w:rsidRPr="00147541" w14:paraId="3C4D30E1" w14:textId="77777777" w:rsidTr="00284F72">
        <w:trPr>
          <w:cantSplit/>
          <w:jc w:val="center"/>
        </w:trPr>
        <w:tc>
          <w:tcPr>
            <w:tcW w:w="3816" w:type="dxa"/>
            <w:tcMar>
              <w:top w:w="90" w:type="dxa"/>
              <w:left w:w="110" w:type="dxa"/>
              <w:bottom w:w="90" w:type="dxa"/>
              <w:right w:w="110" w:type="dxa"/>
            </w:tcMar>
            <w:vAlign w:val="center"/>
          </w:tcPr>
          <w:p w14:paraId="60F2F313" w14:textId="77777777" w:rsidR="00C43211" w:rsidRPr="00147541" w:rsidRDefault="00C43211">
            <w:pPr>
              <w:spacing w:after="0"/>
              <w:jc w:val="left"/>
              <w:rPr>
                <w:rFonts w:eastAsia="Times New Roman" w:cs="Arial"/>
                <w:lang w:eastAsia="en-GB"/>
              </w:rPr>
            </w:pPr>
            <w:r w:rsidRPr="00147541">
              <w:rPr>
                <w:rFonts w:eastAsia="Times New Roman" w:cs="Arial"/>
                <w:lang w:eastAsia="en-GB"/>
              </w:rPr>
              <w:t>CHAPTER 4</w:t>
            </w:r>
          </w:p>
          <w:p w14:paraId="5B3BE9D1" w14:textId="0CCE49D4" w:rsidR="003100EE" w:rsidRPr="00147541" w:rsidRDefault="00B76A88">
            <w:pPr>
              <w:spacing w:after="0"/>
              <w:jc w:val="left"/>
              <w:rPr>
                <w:rFonts w:cs="Arial"/>
              </w:rPr>
            </w:pPr>
            <w:r w:rsidRPr="00147541">
              <w:rPr>
                <w:rFonts w:eastAsia="Times New Roman" w:cs="Arial"/>
                <w:lang w:eastAsia="en-GB"/>
              </w:rPr>
              <w:t>Data collection</w:t>
            </w:r>
          </w:p>
        </w:tc>
        <w:tc>
          <w:tcPr>
            <w:tcW w:w="792" w:type="dxa"/>
            <w:tcMar>
              <w:top w:w="90" w:type="dxa"/>
              <w:left w:w="110" w:type="dxa"/>
              <w:bottom w:w="90" w:type="dxa"/>
              <w:right w:w="110" w:type="dxa"/>
            </w:tcMar>
            <w:vAlign w:val="center"/>
          </w:tcPr>
          <w:p w14:paraId="2485F089"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41698A0B" w14:textId="77777777" w:rsidR="003100EE" w:rsidRPr="00147541" w:rsidRDefault="003100EE">
            <w:pPr>
              <w:spacing w:after="0"/>
              <w:jc w:val="center"/>
              <w:rPr>
                <w:rFonts w:cs="Arial"/>
              </w:rPr>
            </w:pPr>
          </w:p>
        </w:tc>
        <w:tc>
          <w:tcPr>
            <w:tcW w:w="792" w:type="dxa"/>
            <w:shd w:val="clear" w:color="auto" w:fill="5B9BD5"/>
            <w:tcMar>
              <w:top w:w="90" w:type="dxa"/>
              <w:left w:w="110" w:type="dxa"/>
              <w:bottom w:w="90" w:type="dxa"/>
              <w:right w:w="110" w:type="dxa"/>
            </w:tcMar>
            <w:vAlign w:val="center"/>
          </w:tcPr>
          <w:p w14:paraId="08E18C69" w14:textId="42A53598" w:rsidR="003100EE" w:rsidRPr="00147541" w:rsidRDefault="003100EE">
            <w:pPr>
              <w:jc w:val="center"/>
              <w:rPr>
                <w:rFonts w:cs="Arial"/>
              </w:rPr>
            </w:pPr>
          </w:p>
        </w:tc>
        <w:tc>
          <w:tcPr>
            <w:tcW w:w="792" w:type="dxa"/>
            <w:shd w:val="clear" w:color="auto" w:fill="5B9BD5"/>
            <w:tcMar>
              <w:top w:w="90" w:type="dxa"/>
              <w:left w:w="110" w:type="dxa"/>
              <w:bottom w:w="90" w:type="dxa"/>
              <w:right w:w="110" w:type="dxa"/>
            </w:tcMar>
            <w:vAlign w:val="center"/>
          </w:tcPr>
          <w:p w14:paraId="4FD44567" w14:textId="5705E774" w:rsidR="003100EE" w:rsidRPr="00147541" w:rsidRDefault="003100EE">
            <w:pPr>
              <w:jc w:val="center"/>
              <w:rPr>
                <w:rFonts w:cs="Arial"/>
              </w:rPr>
            </w:pPr>
          </w:p>
        </w:tc>
        <w:tc>
          <w:tcPr>
            <w:tcW w:w="792" w:type="dxa"/>
            <w:tcMar>
              <w:top w:w="90" w:type="dxa"/>
              <w:left w:w="110" w:type="dxa"/>
              <w:bottom w:w="90" w:type="dxa"/>
              <w:right w:w="110" w:type="dxa"/>
            </w:tcMar>
            <w:vAlign w:val="center"/>
          </w:tcPr>
          <w:p w14:paraId="1D774F2C"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0524FACB"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76B5ECDF" w14:textId="77777777" w:rsidR="003100EE" w:rsidRPr="00147541" w:rsidRDefault="003100EE">
            <w:pPr>
              <w:spacing w:after="0"/>
              <w:jc w:val="center"/>
              <w:rPr>
                <w:rFonts w:cs="Arial"/>
              </w:rPr>
            </w:pPr>
          </w:p>
        </w:tc>
      </w:tr>
      <w:tr w:rsidR="003100EE" w:rsidRPr="00147541" w14:paraId="4E9E8C0A" w14:textId="77777777" w:rsidTr="00284F72">
        <w:trPr>
          <w:cantSplit/>
          <w:jc w:val="center"/>
        </w:trPr>
        <w:tc>
          <w:tcPr>
            <w:tcW w:w="3816" w:type="dxa"/>
            <w:tcMar>
              <w:top w:w="90" w:type="dxa"/>
              <w:left w:w="110" w:type="dxa"/>
              <w:bottom w:w="90" w:type="dxa"/>
              <w:right w:w="110" w:type="dxa"/>
            </w:tcMar>
            <w:vAlign w:val="center"/>
          </w:tcPr>
          <w:p w14:paraId="4F884417" w14:textId="77777777" w:rsidR="00C43211" w:rsidRPr="00147541" w:rsidRDefault="00C43211">
            <w:pPr>
              <w:spacing w:after="0"/>
              <w:jc w:val="left"/>
              <w:rPr>
                <w:rFonts w:eastAsia="Times New Roman" w:cs="Arial"/>
                <w:lang w:eastAsia="en-GB"/>
              </w:rPr>
            </w:pPr>
            <w:r w:rsidRPr="00147541">
              <w:rPr>
                <w:rFonts w:eastAsia="Times New Roman" w:cs="Arial"/>
                <w:lang w:eastAsia="en-GB"/>
              </w:rPr>
              <w:t>CHAPTER 5</w:t>
            </w:r>
          </w:p>
          <w:p w14:paraId="785909F7" w14:textId="01D7D162" w:rsidR="003100EE" w:rsidRPr="00147541" w:rsidRDefault="00B76A88">
            <w:pPr>
              <w:spacing w:after="0"/>
              <w:jc w:val="left"/>
              <w:rPr>
                <w:rFonts w:cs="Arial"/>
              </w:rPr>
            </w:pPr>
            <w:r w:rsidRPr="00147541">
              <w:rPr>
                <w:rFonts w:eastAsia="Times New Roman" w:cs="Arial"/>
                <w:lang w:eastAsia="en-GB"/>
              </w:rPr>
              <w:t>Data analysis</w:t>
            </w:r>
          </w:p>
        </w:tc>
        <w:tc>
          <w:tcPr>
            <w:tcW w:w="792" w:type="dxa"/>
            <w:tcMar>
              <w:top w:w="90" w:type="dxa"/>
              <w:left w:w="110" w:type="dxa"/>
              <w:bottom w:w="90" w:type="dxa"/>
              <w:right w:w="110" w:type="dxa"/>
            </w:tcMar>
            <w:vAlign w:val="center"/>
          </w:tcPr>
          <w:p w14:paraId="0AE04DF5"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5A1B61FB"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678AB9F1" w14:textId="77777777" w:rsidR="003100EE" w:rsidRPr="00147541" w:rsidRDefault="003100EE">
            <w:pPr>
              <w:spacing w:after="0"/>
              <w:jc w:val="center"/>
              <w:rPr>
                <w:rFonts w:cs="Arial"/>
              </w:rPr>
            </w:pPr>
          </w:p>
        </w:tc>
        <w:tc>
          <w:tcPr>
            <w:tcW w:w="792" w:type="dxa"/>
            <w:shd w:val="clear" w:color="auto" w:fill="5B9BD5"/>
            <w:tcMar>
              <w:top w:w="90" w:type="dxa"/>
              <w:left w:w="110" w:type="dxa"/>
              <w:bottom w:w="90" w:type="dxa"/>
              <w:right w:w="110" w:type="dxa"/>
            </w:tcMar>
            <w:vAlign w:val="center"/>
          </w:tcPr>
          <w:p w14:paraId="500C31A2" w14:textId="188D3033" w:rsidR="003100EE" w:rsidRPr="00147541" w:rsidRDefault="003100EE">
            <w:pPr>
              <w:jc w:val="center"/>
              <w:rPr>
                <w:rFonts w:cs="Arial"/>
              </w:rPr>
            </w:pPr>
          </w:p>
        </w:tc>
        <w:tc>
          <w:tcPr>
            <w:tcW w:w="792" w:type="dxa"/>
            <w:shd w:val="clear" w:color="auto" w:fill="5B9BD5"/>
            <w:tcMar>
              <w:top w:w="90" w:type="dxa"/>
              <w:left w:w="110" w:type="dxa"/>
              <w:bottom w:w="90" w:type="dxa"/>
              <w:right w:w="110" w:type="dxa"/>
            </w:tcMar>
            <w:vAlign w:val="center"/>
          </w:tcPr>
          <w:p w14:paraId="7ED900F2" w14:textId="523C4C8A" w:rsidR="003100EE" w:rsidRPr="00147541" w:rsidRDefault="003100EE">
            <w:pPr>
              <w:jc w:val="center"/>
              <w:rPr>
                <w:rFonts w:cs="Arial"/>
              </w:rPr>
            </w:pPr>
          </w:p>
        </w:tc>
        <w:tc>
          <w:tcPr>
            <w:tcW w:w="792" w:type="dxa"/>
            <w:tcMar>
              <w:top w:w="90" w:type="dxa"/>
              <w:left w:w="110" w:type="dxa"/>
              <w:bottom w:w="90" w:type="dxa"/>
              <w:right w:w="110" w:type="dxa"/>
            </w:tcMar>
            <w:vAlign w:val="center"/>
          </w:tcPr>
          <w:p w14:paraId="66062FBC"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166227D3" w14:textId="77777777" w:rsidR="003100EE" w:rsidRPr="00147541" w:rsidRDefault="003100EE">
            <w:pPr>
              <w:spacing w:after="0"/>
              <w:jc w:val="center"/>
              <w:rPr>
                <w:rFonts w:cs="Arial"/>
              </w:rPr>
            </w:pPr>
          </w:p>
        </w:tc>
      </w:tr>
      <w:tr w:rsidR="003100EE" w:rsidRPr="00147541" w14:paraId="2B15A723" w14:textId="77777777" w:rsidTr="00284F72">
        <w:trPr>
          <w:cantSplit/>
          <w:jc w:val="center"/>
        </w:trPr>
        <w:tc>
          <w:tcPr>
            <w:tcW w:w="3816" w:type="dxa"/>
            <w:tcMar>
              <w:top w:w="90" w:type="dxa"/>
              <w:left w:w="110" w:type="dxa"/>
              <w:bottom w:w="90" w:type="dxa"/>
              <w:right w:w="110" w:type="dxa"/>
            </w:tcMar>
            <w:vAlign w:val="center"/>
          </w:tcPr>
          <w:p w14:paraId="23F1C1EC" w14:textId="77777777" w:rsidR="003100EE" w:rsidRPr="00147541" w:rsidRDefault="00C43211">
            <w:pPr>
              <w:spacing w:after="0"/>
              <w:jc w:val="left"/>
              <w:rPr>
                <w:rFonts w:eastAsia="Times New Roman" w:cs="Arial"/>
                <w:lang w:eastAsia="en-GB"/>
              </w:rPr>
            </w:pPr>
            <w:r w:rsidRPr="00147541">
              <w:rPr>
                <w:rFonts w:eastAsia="Times New Roman" w:cs="Arial"/>
                <w:lang w:eastAsia="en-GB"/>
              </w:rPr>
              <w:t>CHAPTER 6</w:t>
            </w:r>
          </w:p>
          <w:p w14:paraId="336F32ED" w14:textId="0F82FA75" w:rsidR="00C43211" w:rsidRPr="00147541" w:rsidRDefault="00C43211">
            <w:pPr>
              <w:spacing w:after="0"/>
              <w:jc w:val="left"/>
              <w:rPr>
                <w:rFonts w:cs="Arial"/>
              </w:rPr>
            </w:pPr>
            <w:r w:rsidRPr="00147541">
              <w:rPr>
                <w:rFonts w:eastAsia="Times New Roman" w:cs="Arial"/>
                <w:lang w:eastAsia="en-GB"/>
              </w:rPr>
              <w:t>Results and discussion</w:t>
            </w:r>
          </w:p>
        </w:tc>
        <w:tc>
          <w:tcPr>
            <w:tcW w:w="792" w:type="dxa"/>
            <w:tcMar>
              <w:top w:w="90" w:type="dxa"/>
              <w:left w:w="110" w:type="dxa"/>
              <w:bottom w:w="90" w:type="dxa"/>
              <w:right w:w="110" w:type="dxa"/>
            </w:tcMar>
            <w:vAlign w:val="center"/>
          </w:tcPr>
          <w:p w14:paraId="4C017907"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6F8CCD98"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07B82813"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3EE60B16" w14:textId="77777777" w:rsidR="003100EE" w:rsidRPr="00147541" w:rsidRDefault="003100EE">
            <w:pPr>
              <w:spacing w:after="0"/>
              <w:jc w:val="center"/>
              <w:rPr>
                <w:rFonts w:cs="Arial"/>
              </w:rPr>
            </w:pPr>
          </w:p>
        </w:tc>
        <w:tc>
          <w:tcPr>
            <w:tcW w:w="792" w:type="dxa"/>
            <w:shd w:val="clear" w:color="auto" w:fill="5B9BD5"/>
            <w:tcMar>
              <w:top w:w="90" w:type="dxa"/>
              <w:left w:w="110" w:type="dxa"/>
              <w:bottom w:w="90" w:type="dxa"/>
              <w:right w:w="110" w:type="dxa"/>
            </w:tcMar>
            <w:vAlign w:val="center"/>
          </w:tcPr>
          <w:p w14:paraId="1A442EF3" w14:textId="6E5138A7" w:rsidR="003100EE" w:rsidRPr="00147541" w:rsidRDefault="003100EE">
            <w:pPr>
              <w:jc w:val="center"/>
              <w:rPr>
                <w:rFonts w:cs="Arial"/>
              </w:rPr>
            </w:pPr>
          </w:p>
        </w:tc>
        <w:tc>
          <w:tcPr>
            <w:tcW w:w="792" w:type="dxa"/>
            <w:shd w:val="clear" w:color="auto" w:fill="5B9BD5"/>
            <w:tcMar>
              <w:top w:w="90" w:type="dxa"/>
              <w:left w:w="110" w:type="dxa"/>
              <w:bottom w:w="90" w:type="dxa"/>
              <w:right w:w="110" w:type="dxa"/>
            </w:tcMar>
            <w:vAlign w:val="center"/>
          </w:tcPr>
          <w:p w14:paraId="44C9DF97" w14:textId="3CF740E6" w:rsidR="003100EE" w:rsidRPr="00147541" w:rsidRDefault="003100EE">
            <w:pPr>
              <w:jc w:val="center"/>
              <w:rPr>
                <w:rFonts w:cs="Arial"/>
              </w:rPr>
            </w:pPr>
          </w:p>
        </w:tc>
        <w:tc>
          <w:tcPr>
            <w:tcW w:w="792" w:type="dxa"/>
            <w:tcMar>
              <w:top w:w="90" w:type="dxa"/>
              <w:left w:w="110" w:type="dxa"/>
              <w:bottom w:w="90" w:type="dxa"/>
              <w:right w:w="110" w:type="dxa"/>
            </w:tcMar>
            <w:vAlign w:val="center"/>
          </w:tcPr>
          <w:p w14:paraId="0F93905B" w14:textId="77777777" w:rsidR="003100EE" w:rsidRPr="00147541" w:rsidRDefault="003100EE">
            <w:pPr>
              <w:spacing w:after="0"/>
              <w:jc w:val="center"/>
              <w:rPr>
                <w:rFonts w:cs="Arial"/>
              </w:rPr>
            </w:pPr>
          </w:p>
        </w:tc>
      </w:tr>
      <w:tr w:rsidR="003100EE" w:rsidRPr="00147541" w14:paraId="3C282187" w14:textId="77777777" w:rsidTr="00284F72">
        <w:trPr>
          <w:cantSplit/>
          <w:jc w:val="center"/>
        </w:trPr>
        <w:tc>
          <w:tcPr>
            <w:tcW w:w="3816" w:type="dxa"/>
            <w:tcMar>
              <w:top w:w="90" w:type="dxa"/>
              <w:left w:w="110" w:type="dxa"/>
              <w:bottom w:w="90" w:type="dxa"/>
              <w:right w:w="110" w:type="dxa"/>
            </w:tcMar>
            <w:vAlign w:val="center"/>
          </w:tcPr>
          <w:p w14:paraId="7CD82AAC" w14:textId="0BEA0684" w:rsidR="00C43211" w:rsidRPr="00147541" w:rsidRDefault="00C43211">
            <w:pPr>
              <w:spacing w:after="0"/>
              <w:jc w:val="left"/>
              <w:rPr>
                <w:rFonts w:eastAsia="Calibri" w:cs="Arial"/>
                <w:color w:val="auto"/>
                <w:sz w:val="18"/>
                <w:szCs w:val="18"/>
                <w:lang w:val="en-GB"/>
              </w:rPr>
            </w:pPr>
            <w:r w:rsidRPr="00147541">
              <w:rPr>
                <w:rFonts w:eastAsia="Calibri" w:cs="Arial"/>
                <w:color w:val="auto"/>
                <w:sz w:val="18"/>
                <w:szCs w:val="18"/>
                <w:lang w:val="en-GB"/>
              </w:rPr>
              <w:t>CHAPTER 7</w:t>
            </w:r>
          </w:p>
          <w:p w14:paraId="78B9A667" w14:textId="078E657D" w:rsidR="003100EE" w:rsidRPr="00147541" w:rsidRDefault="00C43211">
            <w:pPr>
              <w:spacing w:after="0"/>
              <w:jc w:val="left"/>
              <w:rPr>
                <w:rFonts w:cs="Arial"/>
              </w:rPr>
            </w:pPr>
            <w:r w:rsidRPr="00147541">
              <w:rPr>
                <w:rFonts w:eastAsia="Calibri" w:cs="Arial"/>
                <w:color w:val="auto"/>
                <w:sz w:val="18"/>
                <w:szCs w:val="18"/>
                <w:lang w:val="en-GB"/>
              </w:rPr>
              <w:t>Recommendations and conclusions</w:t>
            </w:r>
          </w:p>
        </w:tc>
        <w:tc>
          <w:tcPr>
            <w:tcW w:w="792" w:type="dxa"/>
            <w:tcMar>
              <w:top w:w="90" w:type="dxa"/>
              <w:left w:w="110" w:type="dxa"/>
              <w:bottom w:w="90" w:type="dxa"/>
              <w:right w:w="110" w:type="dxa"/>
            </w:tcMar>
            <w:vAlign w:val="center"/>
          </w:tcPr>
          <w:p w14:paraId="0531C292"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610205F9"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25ABFE5F"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524A3EFA"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055EED11" w14:textId="77777777" w:rsidR="003100EE" w:rsidRPr="00147541" w:rsidRDefault="003100EE">
            <w:pPr>
              <w:spacing w:after="0"/>
              <w:jc w:val="center"/>
              <w:rPr>
                <w:rFonts w:cs="Arial"/>
              </w:rPr>
            </w:pPr>
          </w:p>
        </w:tc>
        <w:tc>
          <w:tcPr>
            <w:tcW w:w="792" w:type="dxa"/>
            <w:shd w:val="clear" w:color="auto" w:fill="5B9BD5"/>
            <w:tcMar>
              <w:top w:w="90" w:type="dxa"/>
              <w:left w:w="110" w:type="dxa"/>
              <w:bottom w:w="90" w:type="dxa"/>
              <w:right w:w="110" w:type="dxa"/>
            </w:tcMar>
            <w:vAlign w:val="center"/>
          </w:tcPr>
          <w:p w14:paraId="25B95C66" w14:textId="7481967C" w:rsidR="003100EE" w:rsidRPr="00147541" w:rsidRDefault="003100EE">
            <w:pPr>
              <w:jc w:val="center"/>
              <w:rPr>
                <w:rFonts w:cs="Arial"/>
              </w:rPr>
            </w:pPr>
          </w:p>
        </w:tc>
        <w:tc>
          <w:tcPr>
            <w:tcW w:w="792" w:type="dxa"/>
            <w:shd w:val="clear" w:color="auto" w:fill="5B9BD5"/>
            <w:tcMar>
              <w:top w:w="90" w:type="dxa"/>
              <w:left w:w="110" w:type="dxa"/>
              <w:bottom w:w="90" w:type="dxa"/>
              <w:right w:w="110" w:type="dxa"/>
            </w:tcMar>
            <w:vAlign w:val="center"/>
          </w:tcPr>
          <w:p w14:paraId="531A89DF" w14:textId="2A771892" w:rsidR="003100EE" w:rsidRPr="00147541" w:rsidRDefault="003100EE">
            <w:pPr>
              <w:jc w:val="center"/>
              <w:rPr>
                <w:rFonts w:cs="Arial"/>
              </w:rPr>
            </w:pPr>
          </w:p>
        </w:tc>
      </w:tr>
      <w:tr w:rsidR="003100EE" w:rsidRPr="00147541" w14:paraId="70B2FA59" w14:textId="77777777" w:rsidTr="00284F72">
        <w:trPr>
          <w:cantSplit/>
          <w:jc w:val="center"/>
        </w:trPr>
        <w:tc>
          <w:tcPr>
            <w:tcW w:w="3816" w:type="dxa"/>
            <w:tcMar>
              <w:top w:w="90" w:type="dxa"/>
              <w:left w:w="110" w:type="dxa"/>
              <w:bottom w:w="90" w:type="dxa"/>
              <w:right w:w="110" w:type="dxa"/>
            </w:tcMar>
            <w:vAlign w:val="center"/>
          </w:tcPr>
          <w:p w14:paraId="6A9B18FF" w14:textId="60C9EBF6" w:rsidR="003100EE" w:rsidRPr="00147541" w:rsidRDefault="00FF7EF9">
            <w:pPr>
              <w:spacing w:after="0"/>
              <w:jc w:val="left"/>
              <w:rPr>
                <w:rFonts w:cs="Arial"/>
              </w:rPr>
            </w:pPr>
            <w:r w:rsidRPr="00147541">
              <w:rPr>
                <w:rFonts w:cs="Arial"/>
                <w:sz w:val="17"/>
              </w:rPr>
              <w:t xml:space="preserve">Final checks and </w:t>
            </w:r>
            <w:r w:rsidR="00B76A88" w:rsidRPr="00147541">
              <w:rPr>
                <w:rFonts w:cs="Arial"/>
                <w:sz w:val="17"/>
              </w:rPr>
              <w:t>S</w:t>
            </w:r>
            <w:r w:rsidR="00000000" w:rsidRPr="00147541">
              <w:rPr>
                <w:rFonts w:cs="Arial"/>
                <w:sz w:val="17"/>
              </w:rPr>
              <w:t>ubmission</w:t>
            </w:r>
          </w:p>
        </w:tc>
        <w:tc>
          <w:tcPr>
            <w:tcW w:w="792" w:type="dxa"/>
            <w:tcMar>
              <w:top w:w="90" w:type="dxa"/>
              <w:left w:w="110" w:type="dxa"/>
              <w:bottom w:w="90" w:type="dxa"/>
              <w:right w:w="110" w:type="dxa"/>
            </w:tcMar>
            <w:vAlign w:val="center"/>
          </w:tcPr>
          <w:p w14:paraId="5B1AF07C"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3388BCEF"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1FC4E848"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600FC242"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579C4F58" w14:textId="77777777" w:rsidR="003100EE" w:rsidRPr="00147541" w:rsidRDefault="003100EE">
            <w:pPr>
              <w:spacing w:after="0"/>
              <w:jc w:val="center"/>
              <w:rPr>
                <w:rFonts w:cs="Arial"/>
              </w:rPr>
            </w:pPr>
          </w:p>
        </w:tc>
        <w:tc>
          <w:tcPr>
            <w:tcW w:w="792" w:type="dxa"/>
            <w:tcMar>
              <w:top w:w="90" w:type="dxa"/>
              <w:left w:w="110" w:type="dxa"/>
              <w:bottom w:w="90" w:type="dxa"/>
              <w:right w:w="110" w:type="dxa"/>
            </w:tcMar>
            <w:vAlign w:val="center"/>
          </w:tcPr>
          <w:p w14:paraId="229CB5FE" w14:textId="77777777" w:rsidR="003100EE" w:rsidRPr="00147541" w:rsidRDefault="003100EE">
            <w:pPr>
              <w:spacing w:after="0"/>
              <w:jc w:val="center"/>
              <w:rPr>
                <w:rFonts w:cs="Arial"/>
              </w:rPr>
            </w:pPr>
          </w:p>
        </w:tc>
        <w:tc>
          <w:tcPr>
            <w:tcW w:w="792" w:type="dxa"/>
            <w:shd w:val="clear" w:color="auto" w:fill="5B9BD5"/>
            <w:tcMar>
              <w:top w:w="90" w:type="dxa"/>
              <w:left w:w="110" w:type="dxa"/>
              <w:bottom w:w="90" w:type="dxa"/>
              <w:right w:w="110" w:type="dxa"/>
            </w:tcMar>
            <w:vAlign w:val="center"/>
          </w:tcPr>
          <w:p w14:paraId="70FE8EA3" w14:textId="35F666E4" w:rsidR="003100EE" w:rsidRPr="00147541" w:rsidRDefault="003100EE">
            <w:pPr>
              <w:jc w:val="center"/>
              <w:rPr>
                <w:rFonts w:cs="Arial"/>
              </w:rPr>
            </w:pPr>
          </w:p>
        </w:tc>
      </w:tr>
    </w:tbl>
    <w:p w14:paraId="6D557A95" w14:textId="77777777" w:rsidR="00147541" w:rsidRPr="00147541" w:rsidRDefault="00147541">
      <w:pPr>
        <w:pStyle w:val="Heading1"/>
        <w:rPr>
          <w:rFonts w:ascii="Arial" w:hAnsi="Arial" w:cs="Arial"/>
        </w:rPr>
      </w:pPr>
    </w:p>
    <w:p w14:paraId="7DC51A51" w14:textId="77777777" w:rsidR="00147541" w:rsidRDefault="00147541">
      <w:pPr>
        <w:pStyle w:val="Heading1"/>
        <w:rPr>
          <w:rFonts w:ascii="Arial" w:hAnsi="Arial" w:cs="Arial"/>
        </w:rPr>
      </w:pPr>
    </w:p>
    <w:p w14:paraId="56D6C58B" w14:textId="77777777" w:rsidR="00147541" w:rsidRDefault="00147541">
      <w:pPr>
        <w:pStyle w:val="Heading1"/>
        <w:rPr>
          <w:rFonts w:ascii="Arial" w:hAnsi="Arial" w:cs="Arial"/>
        </w:rPr>
      </w:pPr>
    </w:p>
    <w:p w14:paraId="321896F0" w14:textId="77777777" w:rsidR="00147541" w:rsidRDefault="00147541">
      <w:pPr>
        <w:pStyle w:val="Heading1"/>
        <w:rPr>
          <w:rFonts w:ascii="Arial" w:hAnsi="Arial" w:cs="Arial"/>
        </w:rPr>
      </w:pPr>
    </w:p>
    <w:p w14:paraId="1D3B2158" w14:textId="08655272" w:rsidR="003100EE" w:rsidRPr="00147541" w:rsidRDefault="00000000">
      <w:pPr>
        <w:pStyle w:val="Heading1"/>
        <w:rPr>
          <w:rFonts w:ascii="Arial" w:hAnsi="Arial" w:cs="Arial"/>
        </w:rPr>
      </w:pPr>
      <w:r w:rsidRPr="00147541">
        <w:rPr>
          <w:rFonts w:ascii="Arial" w:hAnsi="Arial" w:cs="Arial"/>
        </w:rPr>
        <w:t>Conclusion</w:t>
      </w:r>
    </w:p>
    <w:p w14:paraId="107694C1" w14:textId="77777777" w:rsidR="00147541" w:rsidRPr="00147541" w:rsidRDefault="00147541" w:rsidP="00147541">
      <w:pPr>
        <w:rPr>
          <w:rFonts w:cs="Arial"/>
        </w:rPr>
      </w:pPr>
      <w:r w:rsidRPr="00147541">
        <w:rPr>
          <w:rFonts w:cs="Arial"/>
        </w:rPr>
        <w:t>Dementia poses an increasing challenge in the UK, affecting not only memory and cognitive abilities but also social relationships, emotional health, independence, identity, and participation. Current UK guidelines emphasize the significance of activities tailored to individual preferences and endorse interventions like cognitive stimulation and reminiscence therapy (NICE, 2018).</w:t>
      </w:r>
    </w:p>
    <w:p w14:paraId="09D039D3" w14:textId="77777777" w:rsidR="00147541" w:rsidRPr="00147541" w:rsidRDefault="00147541" w:rsidP="00147541">
      <w:pPr>
        <w:rPr>
          <w:rFonts w:cs="Arial"/>
        </w:rPr>
      </w:pPr>
      <w:r w:rsidRPr="00147541">
        <w:rPr>
          <w:rFonts w:cs="Arial"/>
        </w:rPr>
        <w:t>Evidence indicates that social interventions can enhance quality of life and well-being, though their effectiveness varies. Cognitive stimulation shows consistent results, while reminiscence, music, creative arts, personalized activities, and community-based methods yield more mixed outcomes. Personalization, meaningful participation, and the context of interventions are crucial factors.</w:t>
      </w:r>
    </w:p>
    <w:p w14:paraId="06EBAC01" w14:textId="77777777" w:rsidR="00147541" w:rsidRPr="00147541" w:rsidRDefault="00147541" w:rsidP="00147541">
      <w:pPr>
        <w:rPr>
          <w:rFonts w:cs="Arial"/>
        </w:rPr>
      </w:pPr>
      <w:r w:rsidRPr="00147541">
        <w:rPr>
          <w:rFonts w:cs="Arial"/>
        </w:rPr>
        <w:t>This secondary research will explore the impact of social interventions on well-being and social inclusion in the UK. By reviewing existing evidence on intervention effectiveness, personalization, and the barriers and facilitators involved, the study aims to formulate practical recommendations for person-centered dementia care.</w:t>
      </w:r>
    </w:p>
    <w:p w14:paraId="7F8B1DD3" w14:textId="5FD99EAB" w:rsidR="003100EE" w:rsidRPr="00147541" w:rsidRDefault="00147541" w:rsidP="00147541">
      <w:pPr>
        <w:rPr>
          <w:rFonts w:cs="Arial"/>
        </w:rPr>
      </w:pPr>
      <w:r w:rsidRPr="00147541">
        <w:rPr>
          <w:rFonts w:cs="Arial"/>
        </w:rPr>
        <w:t>The research will not assert that any single social intervention is the best. Instead, it will identify beneficial approaches, affected outcomes, methods for personalization, and conditions necessary for meaningful participation and independence. This focus offers a realistic and academically sound framework for a secondary-research dissertation while addressing a significant issue in contemporary UK dementia care</w:t>
      </w:r>
      <w:r w:rsidR="00000000" w:rsidRPr="00147541">
        <w:rPr>
          <w:rFonts w:cs="Arial"/>
        </w:rPr>
        <w:br w:type="page"/>
      </w:r>
      <w:r w:rsidRPr="00147541">
        <w:rPr>
          <w:rFonts w:cs="Arial"/>
          <w:b/>
          <w:bCs/>
          <w:sz w:val="48"/>
          <w:szCs w:val="48"/>
        </w:rPr>
        <w:lastRenderedPageBreak/>
        <w:t>References</w:t>
      </w:r>
    </w:p>
    <w:p w14:paraId="1E1E8EC1" w14:textId="070C4F23" w:rsidR="00147541" w:rsidRPr="00147541" w:rsidRDefault="00147541" w:rsidP="00147541">
      <w:pPr>
        <w:pStyle w:val="isselectedend"/>
        <w:spacing w:line="360" w:lineRule="auto"/>
        <w:jc w:val="both"/>
        <w:rPr>
          <w:rFonts w:ascii="Arial" w:hAnsi="Arial" w:cs="Arial"/>
          <w:sz w:val="22"/>
          <w:szCs w:val="22"/>
        </w:rPr>
      </w:pPr>
      <w:r w:rsidRPr="00147541">
        <w:rPr>
          <w:rFonts w:ascii="Arial" w:hAnsi="Arial" w:cs="Arial"/>
          <w:sz w:val="22"/>
          <w:szCs w:val="22"/>
        </w:rPr>
        <w:t xml:space="preserve">Alzheimer’s Society (2024) </w:t>
      </w:r>
      <w:r w:rsidRPr="00147541">
        <w:rPr>
          <w:rStyle w:val="Emphasis"/>
          <w:rFonts w:ascii="Arial" w:hAnsi="Arial" w:cs="Arial"/>
          <w:sz w:val="22"/>
          <w:szCs w:val="22"/>
        </w:rPr>
        <w:t>The economic impact of dementia</w:t>
      </w:r>
      <w:r w:rsidRPr="00147541">
        <w:rPr>
          <w:rFonts w:ascii="Arial" w:hAnsi="Arial" w:cs="Arial"/>
          <w:sz w:val="22"/>
          <w:szCs w:val="22"/>
        </w:rPr>
        <w:t xml:space="preserve">. Available at: </w:t>
      </w:r>
      <w:hyperlink r:id="rId9" w:history="1">
        <w:r w:rsidRPr="00147541">
          <w:rPr>
            <w:rStyle w:val="Hyperlink"/>
            <w:rFonts w:ascii="Arial" w:hAnsi="Arial" w:cs="Arial"/>
            <w:sz w:val="22"/>
            <w:szCs w:val="22"/>
          </w:rPr>
          <w:t>https://www.alzheimers.org.uk/what-we-do/policy-and-influencing/economic-impact-of-dementia</w:t>
        </w:r>
      </w:hyperlink>
      <w:r w:rsidRPr="00147541">
        <w:rPr>
          <w:rFonts w:ascii="Arial" w:hAnsi="Arial" w:cs="Arial"/>
          <w:sz w:val="22"/>
          <w:szCs w:val="22"/>
        </w:rPr>
        <w:t xml:space="preserve"> (Accessed: </w:t>
      </w:r>
      <w:r w:rsidRPr="00147541">
        <w:rPr>
          <w:rFonts w:ascii="Arial" w:hAnsi="Arial" w:cs="Arial"/>
          <w:sz w:val="22"/>
          <w:szCs w:val="22"/>
        </w:rPr>
        <w:t xml:space="preserve">1st </w:t>
      </w:r>
      <w:r w:rsidRPr="00147541">
        <w:rPr>
          <w:rFonts w:ascii="Arial" w:hAnsi="Arial" w:cs="Arial"/>
          <w:sz w:val="22"/>
          <w:szCs w:val="22"/>
        </w:rPr>
        <w:t>August 2026).</w:t>
      </w:r>
    </w:p>
    <w:p w14:paraId="15574A32" w14:textId="77777777" w:rsidR="00147541" w:rsidRPr="00147541" w:rsidRDefault="00147541" w:rsidP="00147541">
      <w:pPr>
        <w:pStyle w:val="isselectedend"/>
        <w:spacing w:line="360" w:lineRule="auto"/>
        <w:jc w:val="both"/>
        <w:rPr>
          <w:rFonts w:ascii="Arial" w:hAnsi="Arial" w:cs="Arial"/>
          <w:sz w:val="22"/>
          <w:szCs w:val="22"/>
        </w:rPr>
      </w:pPr>
      <w:r w:rsidRPr="00147541">
        <w:rPr>
          <w:rFonts w:ascii="Arial" w:hAnsi="Arial" w:cs="Arial"/>
          <w:sz w:val="22"/>
          <w:szCs w:val="22"/>
        </w:rPr>
        <w:t xml:space="preserve">Ballard, C., Orrell, M., Yong, J.Z., Moniz-Cook, E., Woods, B., Whitaker, R., Corbett, A., et al. (2018) ‘Impact of person-centred care training and person-centred activities on quality of life, agitation, and antipsychotic use in people with dementia living in nursing homes: a cluster-randomised controlled trial’, </w:t>
      </w:r>
      <w:proofErr w:type="spellStart"/>
      <w:r w:rsidRPr="00147541">
        <w:rPr>
          <w:rStyle w:val="Emphasis"/>
          <w:rFonts w:ascii="Arial" w:hAnsi="Arial" w:cs="Arial"/>
          <w:sz w:val="22"/>
          <w:szCs w:val="22"/>
        </w:rPr>
        <w:t>PLoS</w:t>
      </w:r>
      <w:proofErr w:type="spellEnd"/>
      <w:r w:rsidRPr="00147541">
        <w:rPr>
          <w:rStyle w:val="Emphasis"/>
          <w:rFonts w:ascii="Arial" w:hAnsi="Arial" w:cs="Arial"/>
          <w:sz w:val="22"/>
          <w:szCs w:val="22"/>
        </w:rPr>
        <w:t xml:space="preserve"> Medicine</w:t>
      </w:r>
      <w:r w:rsidRPr="00147541">
        <w:rPr>
          <w:rFonts w:ascii="Arial" w:hAnsi="Arial" w:cs="Arial"/>
          <w:sz w:val="22"/>
          <w:szCs w:val="22"/>
        </w:rPr>
        <w:t xml:space="preserve">, 15(2), e1002500. </w:t>
      </w:r>
      <w:proofErr w:type="spellStart"/>
      <w:r w:rsidRPr="00147541">
        <w:rPr>
          <w:rFonts w:ascii="Arial" w:hAnsi="Arial" w:cs="Arial"/>
          <w:sz w:val="22"/>
          <w:szCs w:val="22"/>
        </w:rPr>
        <w:t>doi</w:t>
      </w:r>
      <w:proofErr w:type="spellEnd"/>
      <w:r w:rsidRPr="00147541">
        <w:rPr>
          <w:rFonts w:ascii="Arial" w:hAnsi="Arial" w:cs="Arial"/>
          <w:sz w:val="22"/>
          <w:szCs w:val="22"/>
        </w:rPr>
        <w:t>: 10.1371/journal.pmed.1002500.</w:t>
      </w:r>
    </w:p>
    <w:p w14:paraId="50C62FF6" w14:textId="77777777" w:rsidR="00147541" w:rsidRPr="00147541" w:rsidRDefault="00147541" w:rsidP="00147541">
      <w:pPr>
        <w:pStyle w:val="isselectedend"/>
        <w:spacing w:line="360" w:lineRule="auto"/>
        <w:jc w:val="both"/>
        <w:rPr>
          <w:rFonts w:ascii="Arial" w:hAnsi="Arial" w:cs="Arial"/>
          <w:sz w:val="22"/>
          <w:szCs w:val="22"/>
        </w:rPr>
      </w:pPr>
      <w:r w:rsidRPr="00147541">
        <w:rPr>
          <w:rFonts w:ascii="Arial" w:hAnsi="Arial" w:cs="Arial"/>
          <w:sz w:val="22"/>
          <w:szCs w:val="22"/>
        </w:rPr>
        <w:t xml:space="preserve">Clarke, N., Smith, R., Wood, J., Koskela, S., Jones, F. and Hurley, M. (2019) ‘A qualitative interview study comparing and contrasting resident and staff perspectives of engaging in meaningful activity in a UK care home’, </w:t>
      </w:r>
      <w:r w:rsidRPr="00147541">
        <w:rPr>
          <w:rStyle w:val="Emphasis"/>
          <w:rFonts w:ascii="Arial" w:hAnsi="Arial" w:cs="Arial"/>
          <w:sz w:val="22"/>
          <w:szCs w:val="22"/>
        </w:rPr>
        <w:t>Archives of Gerontology and Geriatrics</w:t>
      </w:r>
      <w:r w:rsidRPr="00147541">
        <w:rPr>
          <w:rFonts w:ascii="Arial" w:hAnsi="Arial" w:cs="Arial"/>
          <w:sz w:val="22"/>
          <w:szCs w:val="22"/>
        </w:rPr>
        <w:t xml:space="preserve">, 83, pp. 257–262. </w:t>
      </w:r>
      <w:proofErr w:type="spellStart"/>
      <w:r w:rsidRPr="00147541">
        <w:rPr>
          <w:rFonts w:ascii="Arial" w:hAnsi="Arial" w:cs="Arial"/>
          <w:sz w:val="22"/>
          <w:szCs w:val="22"/>
        </w:rPr>
        <w:t>doi</w:t>
      </w:r>
      <w:proofErr w:type="spellEnd"/>
      <w:r w:rsidRPr="00147541">
        <w:rPr>
          <w:rFonts w:ascii="Arial" w:hAnsi="Arial" w:cs="Arial"/>
          <w:sz w:val="22"/>
          <w:szCs w:val="22"/>
        </w:rPr>
        <w:t>: 10.1016/j.archger.2019.05.005.</w:t>
      </w:r>
    </w:p>
    <w:p w14:paraId="5E2ADB5D" w14:textId="6CBE497C" w:rsidR="00147541" w:rsidRPr="00147541" w:rsidRDefault="00147541" w:rsidP="00147541">
      <w:pPr>
        <w:pStyle w:val="isselectedend"/>
        <w:spacing w:line="360" w:lineRule="auto"/>
        <w:jc w:val="both"/>
        <w:rPr>
          <w:rFonts w:ascii="Arial" w:hAnsi="Arial" w:cs="Arial"/>
          <w:sz w:val="22"/>
          <w:szCs w:val="22"/>
        </w:rPr>
      </w:pPr>
      <w:r w:rsidRPr="00147541">
        <w:rPr>
          <w:rFonts w:ascii="Arial" w:hAnsi="Arial" w:cs="Arial"/>
          <w:sz w:val="22"/>
          <w:szCs w:val="22"/>
        </w:rPr>
        <w:t xml:space="preserve">Department of Health and Social Care (2025) </w:t>
      </w:r>
      <w:r w:rsidRPr="00147541">
        <w:rPr>
          <w:rStyle w:val="Emphasis"/>
          <w:rFonts w:ascii="Arial" w:hAnsi="Arial" w:cs="Arial"/>
          <w:sz w:val="22"/>
          <w:szCs w:val="22"/>
        </w:rPr>
        <w:t>Dementia profile: prevalence and supporting well topics statistical commentary, March 2025</w:t>
      </w:r>
      <w:r w:rsidRPr="00147541">
        <w:rPr>
          <w:rFonts w:ascii="Arial" w:hAnsi="Arial" w:cs="Arial"/>
          <w:sz w:val="22"/>
          <w:szCs w:val="22"/>
        </w:rPr>
        <w:t xml:space="preserve">. London: Department of Health and Social Care. Available at: </w:t>
      </w:r>
      <w:hyperlink r:id="rId10" w:history="1">
        <w:r w:rsidRPr="00147541">
          <w:rPr>
            <w:rStyle w:val="Hyperlink"/>
            <w:rFonts w:ascii="Arial" w:hAnsi="Arial" w:cs="Arial"/>
            <w:sz w:val="22"/>
            <w:szCs w:val="22"/>
          </w:rPr>
          <w:t>https://www.gov.uk/government/statistics/dementia-profile-march-2025-update</w:t>
        </w:r>
      </w:hyperlink>
      <w:r w:rsidRPr="00147541">
        <w:rPr>
          <w:rFonts w:ascii="Arial" w:hAnsi="Arial" w:cs="Arial"/>
          <w:sz w:val="22"/>
          <w:szCs w:val="22"/>
        </w:rPr>
        <w:t xml:space="preserve"> (Accessed: 7</w:t>
      </w:r>
      <w:r w:rsidRPr="00147541">
        <w:rPr>
          <w:rFonts w:ascii="Arial" w:hAnsi="Arial" w:cs="Arial"/>
          <w:sz w:val="22"/>
          <w:szCs w:val="22"/>
        </w:rPr>
        <w:t xml:space="preserve">th </w:t>
      </w:r>
      <w:r w:rsidRPr="00147541">
        <w:rPr>
          <w:rFonts w:ascii="Arial" w:hAnsi="Arial" w:cs="Arial"/>
          <w:sz w:val="22"/>
          <w:szCs w:val="22"/>
        </w:rPr>
        <w:t xml:space="preserve"> August 2026).</w:t>
      </w:r>
    </w:p>
    <w:p w14:paraId="2D2E6750" w14:textId="77777777" w:rsidR="00147541" w:rsidRPr="00147541" w:rsidRDefault="00147541" w:rsidP="00147541">
      <w:pPr>
        <w:pStyle w:val="isselectedend"/>
        <w:spacing w:line="360" w:lineRule="auto"/>
        <w:jc w:val="both"/>
        <w:rPr>
          <w:rFonts w:ascii="Arial" w:hAnsi="Arial" w:cs="Arial"/>
          <w:sz w:val="22"/>
          <w:szCs w:val="22"/>
        </w:rPr>
      </w:pPr>
      <w:r w:rsidRPr="00147541">
        <w:rPr>
          <w:rFonts w:ascii="Arial" w:hAnsi="Arial" w:cs="Arial"/>
          <w:sz w:val="22"/>
          <w:szCs w:val="22"/>
        </w:rPr>
        <w:t>Di Lorito, C., Pollock, K., Booth, V., Howe, L., Goldberg, S., Godfrey, M., Dunlop, M., Harwood, R.H. and van der Wardt, V. (2024) ‘Social participation in the promoting activity, independence and stability in early dementia (</w:t>
      </w:r>
      <w:proofErr w:type="spellStart"/>
      <w:r w:rsidRPr="00147541">
        <w:rPr>
          <w:rFonts w:ascii="Arial" w:hAnsi="Arial" w:cs="Arial"/>
          <w:sz w:val="22"/>
          <w:szCs w:val="22"/>
        </w:rPr>
        <w:t>PrAISED</w:t>
      </w:r>
      <w:proofErr w:type="spellEnd"/>
      <w:r w:rsidRPr="00147541">
        <w:rPr>
          <w:rFonts w:ascii="Arial" w:hAnsi="Arial" w:cs="Arial"/>
          <w:sz w:val="22"/>
          <w:szCs w:val="22"/>
        </w:rPr>
        <w:t xml:space="preserve">), a home-based therapy intervention for people living with dementia: a realist evaluation’, </w:t>
      </w:r>
      <w:r w:rsidRPr="00147541">
        <w:rPr>
          <w:rStyle w:val="Emphasis"/>
          <w:rFonts w:ascii="Arial" w:hAnsi="Arial" w:cs="Arial"/>
          <w:sz w:val="22"/>
          <w:szCs w:val="22"/>
        </w:rPr>
        <w:t>BMC Geriatrics</w:t>
      </w:r>
      <w:r w:rsidRPr="00147541">
        <w:rPr>
          <w:rFonts w:ascii="Arial" w:hAnsi="Arial" w:cs="Arial"/>
          <w:sz w:val="22"/>
          <w:szCs w:val="22"/>
        </w:rPr>
        <w:t xml:space="preserve">, 24, 615. </w:t>
      </w:r>
      <w:proofErr w:type="spellStart"/>
      <w:r w:rsidRPr="00147541">
        <w:rPr>
          <w:rFonts w:ascii="Arial" w:hAnsi="Arial" w:cs="Arial"/>
          <w:sz w:val="22"/>
          <w:szCs w:val="22"/>
        </w:rPr>
        <w:t>doi</w:t>
      </w:r>
      <w:proofErr w:type="spellEnd"/>
      <w:r w:rsidRPr="00147541">
        <w:rPr>
          <w:rFonts w:ascii="Arial" w:hAnsi="Arial" w:cs="Arial"/>
          <w:sz w:val="22"/>
          <w:szCs w:val="22"/>
        </w:rPr>
        <w:t>: 10.1186/s12877-024-05172-z.</w:t>
      </w:r>
    </w:p>
    <w:p w14:paraId="683E2A72" w14:textId="77777777" w:rsidR="00147541" w:rsidRPr="00147541" w:rsidRDefault="00147541" w:rsidP="00147541">
      <w:pPr>
        <w:pStyle w:val="isselectedend"/>
        <w:spacing w:line="360" w:lineRule="auto"/>
        <w:jc w:val="both"/>
        <w:rPr>
          <w:rFonts w:ascii="Arial" w:hAnsi="Arial" w:cs="Arial"/>
          <w:sz w:val="22"/>
          <w:szCs w:val="22"/>
        </w:rPr>
      </w:pPr>
      <w:r w:rsidRPr="00147541">
        <w:rPr>
          <w:rFonts w:ascii="Arial" w:hAnsi="Arial" w:cs="Arial"/>
          <w:sz w:val="22"/>
          <w:szCs w:val="22"/>
        </w:rPr>
        <w:t>Fazio, S., Pace, D., Flinner, J. and Kallmyer, B. (2018) ‘The fundamentals of person-</w:t>
      </w:r>
      <w:proofErr w:type="spellStart"/>
      <w:r w:rsidRPr="00147541">
        <w:rPr>
          <w:rFonts w:ascii="Arial" w:hAnsi="Arial" w:cs="Arial"/>
          <w:sz w:val="22"/>
          <w:szCs w:val="22"/>
        </w:rPr>
        <w:t>centered</w:t>
      </w:r>
      <w:proofErr w:type="spellEnd"/>
      <w:r w:rsidRPr="00147541">
        <w:rPr>
          <w:rFonts w:ascii="Arial" w:hAnsi="Arial" w:cs="Arial"/>
          <w:sz w:val="22"/>
          <w:szCs w:val="22"/>
        </w:rPr>
        <w:t xml:space="preserve"> care for individuals with dementia’, </w:t>
      </w:r>
      <w:r w:rsidRPr="00147541">
        <w:rPr>
          <w:rStyle w:val="Emphasis"/>
          <w:rFonts w:ascii="Arial" w:hAnsi="Arial" w:cs="Arial"/>
          <w:sz w:val="22"/>
          <w:szCs w:val="22"/>
        </w:rPr>
        <w:t>The Gerontologist</w:t>
      </w:r>
      <w:r w:rsidRPr="00147541">
        <w:rPr>
          <w:rFonts w:ascii="Arial" w:hAnsi="Arial" w:cs="Arial"/>
          <w:sz w:val="22"/>
          <w:szCs w:val="22"/>
        </w:rPr>
        <w:t xml:space="preserve">, 58(Suppl. 1), pp. S10–S19. </w:t>
      </w:r>
      <w:proofErr w:type="spellStart"/>
      <w:r w:rsidRPr="00147541">
        <w:rPr>
          <w:rFonts w:ascii="Arial" w:hAnsi="Arial" w:cs="Arial"/>
          <w:sz w:val="22"/>
          <w:szCs w:val="22"/>
        </w:rPr>
        <w:t>doi</w:t>
      </w:r>
      <w:proofErr w:type="spellEnd"/>
      <w:r w:rsidRPr="00147541">
        <w:rPr>
          <w:rFonts w:ascii="Arial" w:hAnsi="Arial" w:cs="Arial"/>
          <w:sz w:val="22"/>
          <w:szCs w:val="22"/>
        </w:rPr>
        <w:t>: 10.1093/</w:t>
      </w:r>
      <w:proofErr w:type="spellStart"/>
      <w:r w:rsidRPr="00147541">
        <w:rPr>
          <w:rFonts w:ascii="Arial" w:hAnsi="Arial" w:cs="Arial"/>
          <w:sz w:val="22"/>
          <w:szCs w:val="22"/>
        </w:rPr>
        <w:t>geront</w:t>
      </w:r>
      <w:proofErr w:type="spellEnd"/>
      <w:r w:rsidRPr="00147541">
        <w:rPr>
          <w:rFonts w:ascii="Arial" w:hAnsi="Arial" w:cs="Arial"/>
          <w:sz w:val="22"/>
          <w:szCs w:val="22"/>
        </w:rPr>
        <w:t>/gnx122.</w:t>
      </w:r>
    </w:p>
    <w:p w14:paraId="33EF5512" w14:textId="77777777" w:rsidR="00147541" w:rsidRPr="00147541" w:rsidRDefault="00147541" w:rsidP="00147541">
      <w:pPr>
        <w:pStyle w:val="isselectedend"/>
        <w:spacing w:line="360" w:lineRule="auto"/>
        <w:jc w:val="both"/>
        <w:rPr>
          <w:rFonts w:ascii="Arial" w:hAnsi="Arial" w:cs="Arial"/>
          <w:sz w:val="22"/>
          <w:szCs w:val="22"/>
        </w:rPr>
      </w:pPr>
      <w:r w:rsidRPr="00147541">
        <w:rPr>
          <w:rFonts w:ascii="Arial" w:hAnsi="Arial" w:cs="Arial"/>
          <w:sz w:val="22"/>
          <w:szCs w:val="22"/>
        </w:rPr>
        <w:t xml:space="preserve">Froggatt, K., Best, A., Bunn, F., Burnside, G., Coast, J., Dunleavy, L., Goodman, C., Hardwick, B., Jackson, C., Kinley, J., Lund, A.D., Lynch, J., Mitchell, P., </w:t>
      </w:r>
      <w:proofErr w:type="spellStart"/>
      <w:r w:rsidRPr="00147541">
        <w:rPr>
          <w:rFonts w:ascii="Arial" w:hAnsi="Arial" w:cs="Arial"/>
          <w:sz w:val="22"/>
          <w:szCs w:val="22"/>
        </w:rPr>
        <w:t>Myring</w:t>
      </w:r>
      <w:proofErr w:type="spellEnd"/>
      <w:r w:rsidRPr="00147541">
        <w:rPr>
          <w:rFonts w:ascii="Arial" w:hAnsi="Arial" w:cs="Arial"/>
          <w:sz w:val="22"/>
          <w:szCs w:val="22"/>
        </w:rPr>
        <w:t xml:space="preserve">, G., Patel, S., Perez Algorta, G., Preston, N., Scott, D., Silvera, K. and Walshe, C. (2020) ‘A group intervention to improve </w:t>
      </w:r>
      <w:r w:rsidRPr="00147541">
        <w:rPr>
          <w:rFonts w:ascii="Arial" w:hAnsi="Arial" w:cs="Arial"/>
          <w:sz w:val="22"/>
          <w:szCs w:val="22"/>
        </w:rPr>
        <w:lastRenderedPageBreak/>
        <w:t xml:space="preserve">quality of life for people with advanced dementia living in care homes: the Namaste feasibility cluster RCT’, </w:t>
      </w:r>
      <w:r w:rsidRPr="00147541">
        <w:rPr>
          <w:rStyle w:val="Emphasis"/>
          <w:rFonts w:ascii="Arial" w:hAnsi="Arial" w:cs="Arial"/>
          <w:sz w:val="22"/>
          <w:szCs w:val="22"/>
        </w:rPr>
        <w:t>Health Technology Assessment</w:t>
      </w:r>
      <w:r w:rsidRPr="00147541">
        <w:rPr>
          <w:rFonts w:ascii="Arial" w:hAnsi="Arial" w:cs="Arial"/>
          <w:sz w:val="22"/>
          <w:szCs w:val="22"/>
        </w:rPr>
        <w:t xml:space="preserve">, 24(6), pp. 1–140. </w:t>
      </w:r>
      <w:proofErr w:type="spellStart"/>
      <w:r w:rsidRPr="00147541">
        <w:rPr>
          <w:rFonts w:ascii="Arial" w:hAnsi="Arial" w:cs="Arial"/>
          <w:sz w:val="22"/>
          <w:szCs w:val="22"/>
        </w:rPr>
        <w:t>doi</w:t>
      </w:r>
      <w:proofErr w:type="spellEnd"/>
      <w:r w:rsidRPr="00147541">
        <w:rPr>
          <w:rFonts w:ascii="Arial" w:hAnsi="Arial" w:cs="Arial"/>
          <w:sz w:val="22"/>
          <w:szCs w:val="22"/>
        </w:rPr>
        <w:t>: 10.3310/hta24060.</w:t>
      </w:r>
    </w:p>
    <w:p w14:paraId="7F9F5E77" w14:textId="3F6B7DFB" w:rsidR="00147541" w:rsidRPr="00147541" w:rsidRDefault="00147541" w:rsidP="00147541">
      <w:pPr>
        <w:pStyle w:val="isselectedend"/>
        <w:spacing w:line="360" w:lineRule="auto"/>
        <w:jc w:val="both"/>
        <w:rPr>
          <w:rFonts w:ascii="Arial" w:hAnsi="Arial" w:cs="Arial"/>
          <w:sz w:val="22"/>
          <w:szCs w:val="22"/>
        </w:rPr>
      </w:pPr>
      <w:r w:rsidRPr="00147541">
        <w:rPr>
          <w:rFonts w:ascii="Arial" w:hAnsi="Arial" w:cs="Arial"/>
          <w:sz w:val="22"/>
          <w:szCs w:val="22"/>
        </w:rPr>
        <w:t xml:space="preserve">Health Research Authority (2021) </w:t>
      </w:r>
      <w:r w:rsidRPr="00147541">
        <w:rPr>
          <w:rStyle w:val="Emphasis"/>
          <w:rFonts w:ascii="Arial" w:hAnsi="Arial" w:cs="Arial"/>
          <w:sz w:val="22"/>
          <w:szCs w:val="22"/>
        </w:rPr>
        <w:t>Student research</w:t>
      </w:r>
      <w:r w:rsidRPr="00147541">
        <w:rPr>
          <w:rFonts w:ascii="Arial" w:hAnsi="Arial" w:cs="Arial"/>
          <w:sz w:val="22"/>
          <w:szCs w:val="22"/>
        </w:rPr>
        <w:t xml:space="preserve">. London: Health Research Authority. Available at: </w:t>
      </w:r>
      <w:hyperlink r:id="rId11" w:history="1">
        <w:r w:rsidRPr="00147541">
          <w:rPr>
            <w:rStyle w:val="Hyperlink"/>
            <w:rFonts w:ascii="Arial" w:hAnsi="Arial" w:cs="Arial"/>
            <w:sz w:val="22"/>
            <w:szCs w:val="22"/>
          </w:rPr>
          <w:t>https://www.hra.nhs.uk/planning-and-improving-research/research-planning/student-research/</w:t>
        </w:r>
      </w:hyperlink>
      <w:r w:rsidRPr="00147541">
        <w:rPr>
          <w:rFonts w:ascii="Arial" w:hAnsi="Arial" w:cs="Arial"/>
          <w:sz w:val="22"/>
          <w:szCs w:val="22"/>
        </w:rPr>
        <w:t xml:space="preserve"> (Accessed: 1</w:t>
      </w:r>
      <w:r w:rsidRPr="00147541">
        <w:rPr>
          <w:rFonts w:ascii="Arial" w:hAnsi="Arial" w:cs="Arial"/>
          <w:sz w:val="22"/>
          <w:szCs w:val="22"/>
        </w:rPr>
        <w:t>1</w:t>
      </w:r>
      <w:r w:rsidRPr="00147541">
        <w:rPr>
          <w:rFonts w:ascii="Arial" w:hAnsi="Arial" w:cs="Arial"/>
          <w:sz w:val="22"/>
          <w:szCs w:val="22"/>
          <w:vertAlign w:val="superscript"/>
        </w:rPr>
        <w:t>th</w:t>
      </w:r>
      <w:r w:rsidRPr="00147541">
        <w:rPr>
          <w:rFonts w:ascii="Arial" w:hAnsi="Arial" w:cs="Arial"/>
          <w:sz w:val="22"/>
          <w:szCs w:val="22"/>
        </w:rPr>
        <w:t xml:space="preserve"> </w:t>
      </w:r>
      <w:r w:rsidRPr="00147541">
        <w:rPr>
          <w:rFonts w:ascii="Arial" w:hAnsi="Arial" w:cs="Arial"/>
          <w:sz w:val="22"/>
          <w:szCs w:val="22"/>
        </w:rPr>
        <w:t xml:space="preserve"> August 2026).</w:t>
      </w:r>
    </w:p>
    <w:p w14:paraId="1FF7EDA6" w14:textId="77777777" w:rsidR="00147541" w:rsidRPr="00147541" w:rsidRDefault="00147541" w:rsidP="00147541">
      <w:pPr>
        <w:pStyle w:val="isselectedend"/>
        <w:spacing w:line="360" w:lineRule="auto"/>
        <w:jc w:val="both"/>
        <w:rPr>
          <w:rFonts w:ascii="Arial" w:hAnsi="Arial" w:cs="Arial"/>
          <w:sz w:val="22"/>
          <w:szCs w:val="22"/>
        </w:rPr>
      </w:pPr>
      <w:r w:rsidRPr="00147541">
        <w:rPr>
          <w:rFonts w:ascii="Arial" w:hAnsi="Arial" w:cs="Arial"/>
          <w:sz w:val="22"/>
          <w:szCs w:val="22"/>
        </w:rPr>
        <w:t xml:space="preserve">Hui, E.K., Tischler, V., Wong, G.H.Y., Lau, W.Y.T. and Spector, A. (2021) ‘Systematic review of the current psychosocial interventions for people with moderate to severe dementia’, </w:t>
      </w:r>
      <w:r w:rsidRPr="00147541">
        <w:rPr>
          <w:rStyle w:val="Emphasis"/>
          <w:rFonts w:ascii="Arial" w:hAnsi="Arial" w:cs="Arial"/>
          <w:sz w:val="22"/>
          <w:szCs w:val="22"/>
        </w:rPr>
        <w:t>International Journal of Geriatric Psychiatry</w:t>
      </w:r>
      <w:r w:rsidRPr="00147541">
        <w:rPr>
          <w:rFonts w:ascii="Arial" w:hAnsi="Arial" w:cs="Arial"/>
          <w:sz w:val="22"/>
          <w:szCs w:val="22"/>
        </w:rPr>
        <w:t xml:space="preserve">, 36(9), pp. 1313–1329. </w:t>
      </w:r>
      <w:proofErr w:type="spellStart"/>
      <w:r w:rsidRPr="00147541">
        <w:rPr>
          <w:rFonts w:ascii="Arial" w:hAnsi="Arial" w:cs="Arial"/>
          <w:sz w:val="22"/>
          <w:szCs w:val="22"/>
        </w:rPr>
        <w:t>doi</w:t>
      </w:r>
      <w:proofErr w:type="spellEnd"/>
      <w:r w:rsidRPr="00147541">
        <w:rPr>
          <w:rFonts w:ascii="Arial" w:hAnsi="Arial" w:cs="Arial"/>
          <w:sz w:val="22"/>
          <w:szCs w:val="22"/>
        </w:rPr>
        <w:t>: 10.1002/gps.5554.</w:t>
      </w:r>
    </w:p>
    <w:p w14:paraId="0564BADF" w14:textId="77777777" w:rsidR="00147541" w:rsidRPr="00147541" w:rsidRDefault="00147541" w:rsidP="00147541">
      <w:pPr>
        <w:pStyle w:val="isselectedend"/>
        <w:spacing w:line="360" w:lineRule="auto"/>
        <w:jc w:val="both"/>
        <w:rPr>
          <w:rFonts w:ascii="Arial" w:hAnsi="Arial" w:cs="Arial"/>
          <w:sz w:val="22"/>
          <w:szCs w:val="22"/>
        </w:rPr>
      </w:pPr>
      <w:r w:rsidRPr="00147541">
        <w:rPr>
          <w:rFonts w:ascii="Arial" w:hAnsi="Arial" w:cs="Arial"/>
          <w:sz w:val="22"/>
          <w:szCs w:val="22"/>
        </w:rPr>
        <w:t xml:space="preserve">Hung, L., Hudson, A., Gregorio, M., Jackson, L., Mann, J., Horne, N., Berndt, A., Wallsworth, C., Wong, L. and Phinney, A. (2021) ‘Creating dementia-friendly communities for social inclusion: a scoping review’, </w:t>
      </w:r>
      <w:r w:rsidRPr="00147541">
        <w:rPr>
          <w:rStyle w:val="Emphasis"/>
          <w:rFonts w:ascii="Arial" w:hAnsi="Arial" w:cs="Arial"/>
          <w:sz w:val="22"/>
          <w:szCs w:val="22"/>
        </w:rPr>
        <w:t>Gerontology and Geriatric Medicine</w:t>
      </w:r>
      <w:r w:rsidRPr="00147541">
        <w:rPr>
          <w:rFonts w:ascii="Arial" w:hAnsi="Arial" w:cs="Arial"/>
          <w:sz w:val="22"/>
          <w:szCs w:val="22"/>
        </w:rPr>
        <w:t xml:space="preserve">, 7, pp. 1–12. </w:t>
      </w:r>
      <w:proofErr w:type="spellStart"/>
      <w:r w:rsidRPr="00147541">
        <w:rPr>
          <w:rFonts w:ascii="Arial" w:hAnsi="Arial" w:cs="Arial"/>
          <w:sz w:val="22"/>
          <w:szCs w:val="22"/>
        </w:rPr>
        <w:t>doi</w:t>
      </w:r>
      <w:proofErr w:type="spellEnd"/>
      <w:r w:rsidRPr="00147541">
        <w:rPr>
          <w:rFonts w:ascii="Arial" w:hAnsi="Arial" w:cs="Arial"/>
          <w:sz w:val="22"/>
          <w:szCs w:val="22"/>
        </w:rPr>
        <w:t>: 10.1177/23337214211013596.</w:t>
      </w:r>
    </w:p>
    <w:p w14:paraId="0461AE05" w14:textId="77777777" w:rsidR="00147541" w:rsidRPr="00147541" w:rsidRDefault="00147541" w:rsidP="00147541">
      <w:pPr>
        <w:pStyle w:val="isselectedend"/>
        <w:spacing w:line="360" w:lineRule="auto"/>
        <w:jc w:val="both"/>
        <w:rPr>
          <w:rFonts w:ascii="Arial" w:hAnsi="Arial" w:cs="Arial"/>
          <w:sz w:val="22"/>
          <w:szCs w:val="22"/>
        </w:rPr>
      </w:pPr>
      <w:r w:rsidRPr="00147541">
        <w:rPr>
          <w:rFonts w:ascii="Arial" w:hAnsi="Arial" w:cs="Arial"/>
          <w:sz w:val="22"/>
          <w:szCs w:val="22"/>
        </w:rPr>
        <w:t xml:space="preserve">JBI (2024) </w:t>
      </w:r>
      <w:r w:rsidRPr="00147541">
        <w:rPr>
          <w:rStyle w:val="Emphasis"/>
          <w:rFonts w:ascii="Arial" w:hAnsi="Arial" w:cs="Arial"/>
          <w:sz w:val="22"/>
          <w:szCs w:val="22"/>
        </w:rPr>
        <w:t>JBI Manual for Evidence Synthesis</w:t>
      </w:r>
      <w:r w:rsidRPr="00147541">
        <w:rPr>
          <w:rFonts w:ascii="Arial" w:hAnsi="Arial" w:cs="Arial"/>
          <w:sz w:val="22"/>
          <w:szCs w:val="22"/>
        </w:rPr>
        <w:t xml:space="preserve">. Adelaide: Joanna Briggs Institute. Available at: </w:t>
      </w:r>
      <w:hyperlink r:id="rId12" w:history="1">
        <w:r w:rsidRPr="00147541">
          <w:rPr>
            <w:rStyle w:val="Hyperlink"/>
            <w:rFonts w:ascii="Arial" w:hAnsi="Arial" w:cs="Arial"/>
            <w:sz w:val="22"/>
            <w:szCs w:val="22"/>
          </w:rPr>
          <w:t>https://synthesismanual.jbi.global/</w:t>
        </w:r>
      </w:hyperlink>
      <w:r w:rsidRPr="00147541">
        <w:rPr>
          <w:rFonts w:ascii="Arial" w:hAnsi="Arial" w:cs="Arial"/>
          <w:sz w:val="22"/>
          <w:szCs w:val="22"/>
        </w:rPr>
        <w:t xml:space="preserve"> (Accessed: 17 August 2026).</w:t>
      </w:r>
    </w:p>
    <w:p w14:paraId="325DA15A" w14:textId="77777777" w:rsidR="00147541" w:rsidRPr="00147541" w:rsidRDefault="00147541" w:rsidP="00147541">
      <w:pPr>
        <w:pStyle w:val="isselectedend"/>
        <w:spacing w:line="360" w:lineRule="auto"/>
        <w:jc w:val="both"/>
        <w:rPr>
          <w:rFonts w:ascii="Arial" w:hAnsi="Arial" w:cs="Arial"/>
          <w:sz w:val="22"/>
          <w:szCs w:val="22"/>
        </w:rPr>
      </w:pPr>
      <w:r w:rsidRPr="00147541">
        <w:rPr>
          <w:rFonts w:ascii="Arial" w:hAnsi="Arial" w:cs="Arial"/>
          <w:sz w:val="22"/>
          <w:szCs w:val="22"/>
        </w:rPr>
        <w:t xml:space="preserve">Keogh, F., Mountain, G., Joddrell, P. and Lord, K. (2019) ‘Psychosocial interventions for community-dwelling people following diagnosis of mild to moderate dementia: findings of a systematic scoping review’, </w:t>
      </w:r>
      <w:r w:rsidRPr="00147541">
        <w:rPr>
          <w:rStyle w:val="Emphasis"/>
          <w:rFonts w:ascii="Arial" w:hAnsi="Arial" w:cs="Arial"/>
          <w:sz w:val="22"/>
          <w:szCs w:val="22"/>
        </w:rPr>
        <w:t>American Journal of Geriatric Psychiatry</w:t>
      </w:r>
      <w:r w:rsidRPr="00147541">
        <w:rPr>
          <w:rFonts w:ascii="Arial" w:hAnsi="Arial" w:cs="Arial"/>
          <w:sz w:val="22"/>
          <w:szCs w:val="22"/>
        </w:rPr>
        <w:t xml:space="preserve">, 27(6), pp. 641–651. </w:t>
      </w:r>
      <w:proofErr w:type="spellStart"/>
      <w:r w:rsidRPr="00147541">
        <w:rPr>
          <w:rFonts w:ascii="Arial" w:hAnsi="Arial" w:cs="Arial"/>
          <w:sz w:val="22"/>
          <w:szCs w:val="22"/>
        </w:rPr>
        <w:t>doi</w:t>
      </w:r>
      <w:proofErr w:type="spellEnd"/>
      <w:r w:rsidRPr="00147541">
        <w:rPr>
          <w:rFonts w:ascii="Arial" w:hAnsi="Arial" w:cs="Arial"/>
          <w:sz w:val="22"/>
          <w:szCs w:val="22"/>
        </w:rPr>
        <w:t>: 10.1016/j.jagp.2018.12.027.</w:t>
      </w:r>
    </w:p>
    <w:p w14:paraId="4D03C1A0" w14:textId="77777777" w:rsidR="00147541" w:rsidRPr="00147541" w:rsidRDefault="00147541" w:rsidP="00147541">
      <w:pPr>
        <w:pStyle w:val="isselectedend"/>
        <w:spacing w:line="360" w:lineRule="auto"/>
        <w:jc w:val="both"/>
        <w:rPr>
          <w:rFonts w:ascii="Arial" w:hAnsi="Arial" w:cs="Arial"/>
          <w:sz w:val="22"/>
          <w:szCs w:val="22"/>
        </w:rPr>
      </w:pPr>
      <w:r w:rsidRPr="00147541">
        <w:rPr>
          <w:rFonts w:ascii="Arial" w:hAnsi="Arial" w:cs="Arial"/>
          <w:sz w:val="22"/>
          <w:szCs w:val="22"/>
        </w:rPr>
        <w:t xml:space="preserve">Lara, E., Martín-María, N., De la Torre-Luque, A., Koyanagi, A., </w:t>
      </w:r>
      <w:proofErr w:type="spellStart"/>
      <w:r w:rsidRPr="00147541">
        <w:rPr>
          <w:rFonts w:ascii="Arial" w:hAnsi="Arial" w:cs="Arial"/>
          <w:sz w:val="22"/>
          <w:szCs w:val="22"/>
        </w:rPr>
        <w:t>Vancampfort</w:t>
      </w:r>
      <w:proofErr w:type="spellEnd"/>
      <w:r w:rsidRPr="00147541">
        <w:rPr>
          <w:rFonts w:ascii="Arial" w:hAnsi="Arial" w:cs="Arial"/>
          <w:sz w:val="22"/>
          <w:szCs w:val="22"/>
        </w:rPr>
        <w:t xml:space="preserve">, D., Izquierdo, A. and Miret, M. (2019) ‘Does loneliness contribute to mild cognitive impairment and dementia? A systematic review and meta-analysis of longitudinal studies’, </w:t>
      </w:r>
      <w:r w:rsidRPr="00147541">
        <w:rPr>
          <w:rStyle w:val="Emphasis"/>
          <w:rFonts w:ascii="Arial" w:hAnsi="Arial" w:cs="Arial"/>
          <w:sz w:val="22"/>
          <w:szCs w:val="22"/>
        </w:rPr>
        <w:t>Ageing Research Reviews</w:t>
      </w:r>
      <w:r w:rsidRPr="00147541">
        <w:rPr>
          <w:rFonts w:ascii="Arial" w:hAnsi="Arial" w:cs="Arial"/>
          <w:sz w:val="22"/>
          <w:szCs w:val="22"/>
        </w:rPr>
        <w:t xml:space="preserve">, 52, pp. 7–16. </w:t>
      </w:r>
      <w:proofErr w:type="spellStart"/>
      <w:r w:rsidRPr="00147541">
        <w:rPr>
          <w:rFonts w:ascii="Arial" w:hAnsi="Arial" w:cs="Arial"/>
          <w:sz w:val="22"/>
          <w:szCs w:val="22"/>
        </w:rPr>
        <w:t>doi</w:t>
      </w:r>
      <w:proofErr w:type="spellEnd"/>
      <w:r w:rsidRPr="00147541">
        <w:rPr>
          <w:rFonts w:ascii="Arial" w:hAnsi="Arial" w:cs="Arial"/>
          <w:sz w:val="22"/>
          <w:szCs w:val="22"/>
        </w:rPr>
        <w:t>: 10.1016/j.arr.2019.03.002.</w:t>
      </w:r>
    </w:p>
    <w:p w14:paraId="2427FF5A" w14:textId="77777777" w:rsidR="00147541" w:rsidRPr="00147541" w:rsidRDefault="00147541" w:rsidP="00147541">
      <w:pPr>
        <w:pStyle w:val="isselectedend"/>
        <w:spacing w:line="360" w:lineRule="auto"/>
        <w:jc w:val="both"/>
        <w:rPr>
          <w:rFonts w:ascii="Arial" w:hAnsi="Arial" w:cs="Arial"/>
          <w:sz w:val="22"/>
          <w:szCs w:val="22"/>
        </w:rPr>
      </w:pPr>
      <w:r w:rsidRPr="00147541">
        <w:rPr>
          <w:rFonts w:ascii="Arial" w:hAnsi="Arial" w:cs="Arial"/>
          <w:sz w:val="22"/>
          <w:szCs w:val="22"/>
        </w:rPr>
        <w:t xml:space="preserve">Latham, I., Brooker, D., Bray, J., Jacobson-Wright, N. and Frost, F. (2020) ‘The impact of implementing a Namaste Care intervention in UK care homes for people living with advanced dementia, staff and families’, </w:t>
      </w:r>
      <w:r w:rsidRPr="00147541">
        <w:rPr>
          <w:rStyle w:val="Emphasis"/>
          <w:rFonts w:ascii="Arial" w:hAnsi="Arial" w:cs="Arial"/>
          <w:sz w:val="22"/>
          <w:szCs w:val="22"/>
        </w:rPr>
        <w:t>International Journal of Environmental Research and Public Health</w:t>
      </w:r>
      <w:r w:rsidRPr="00147541">
        <w:rPr>
          <w:rFonts w:ascii="Arial" w:hAnsi="Arial" w:cs="Arial"/>
          <w:sz w:val="22"/>
          <w:szCs w:val="22"/>
        </w:rPr>
        <w:t xml:space="preserve">, 17(16), 6004. </w:t>
      </w:r>
      <w:proofErr w:type="spellStart"/>
      <w:r w:rsidRPr="00147541">
        <w:rPr>
          <w:rFonts w:ascii="Arial" w:hAnsi="Arial" w:cs="Arial"/>
          <w:sz w:val="22"/>
          <w:szCs w:val="22"/>
        </w:rPr>
        <w:t>doi</w:t>
      </w:r>
      <w:proofErr w:type="spellEnd"/>
      <w:r w:rsidRPr="00147541">
        <w:rPr>
          <w:rFonts w:ascii="Arial" w:hAnsi="Arial" w:cs="Arial"/>
          <w:sz w:val="22"/>
          <w:szCs w:val="22"/>
        </w:rPr>
        <w:t>: 10.3390/ijerph17166004.</w:t>
      </w:r>
    </w:p>
    <w:p w14:paraId="2D7BEC93" w14:textId="77777777" w:rsidR="00147541" w:rsidRPr="00147541" w:rsidRDefault="00147541" w:rsidP="00147541">
      <w:pPr>
        <w:pStyle w:val="isselectedend"/>
        <w:spacing w:line="360" w:lineRule="auto"/>
        <w:jc w:val="both"/>
        <w:rPr>
          <w:rFonts w:ascii="Arial" w:hAnsi="Arial" w:cs="Arial"/>
          <w:sz w:val="22"/>
          <w:szCs w:val="22"/>
        </w:rPr>
      </w:pPr>
      <w:r w:rsidRPr="00147541">
        <w:rPr>
          <w:rFonts w:ascii="Arial" w:hAnsi="Arial" w:cs="Arial"/>
          <w:sz w:val="22"/>
          <w:szCs w:val="22"/>
        </w:rPr>
        <w:t xml:space="preserve">Lu, S., Zhang, A.Y., Liu, T., Choy, J.C.P., Ma, M.S.L., Wong, G. and Lum, T. (2021) ‘Degree of personalisation in tailored activities and its effect on behavioural and psychological symptoms </w:t>
      </w:r>
      <w:r w:rsidRPr="00147541">
        <w:rPr>
          <w:rFonts w:ascii="Arial" w:hAnsi="Arial" w:cs="Arial"/>
          <w:sz w:val="22"/>
          <w:szCs w:val="22"/>
        </w:rPr>
        <w:lastRenderedPageBreak/>
        <w:t xml:space="preserve">and quality of life among people with dementia: a systematic review and meta-analysis’, </w:t>
      </w:r>
      <w:r w:rsidRPr="00147541">
        <w:rPr>
          <w:rStyle w:val="Emphasis"/>
          <w:rFonts w:ascii="Arial" w:hAnsi="Arial" w:cs="Arial"/>
          <w:sz w:val="22"/>
          <w:szCs w:val="22"/>
        </w:rPr>
        <w:t>BMJ Open</w:t>
      </w:r>
      <w:r w:rsidRPr="00147541">
        <w:rPr>
          <w:rFonts w:ascii="Arial" w:hAnsi="Arial" w:cs="Arial"/>
          <w:sz w:val="22"/>
          <w:szCs w:val="22"/>
        </w:rPr>
        <w:t xml:space="preserve">, 11(11), e048917. </w:t>
      </w:r>
      <w:proofErr w:type="spellStart"/>
      <w:r w:rsidRPr="00147541">
        <w:rPr>
          <w:rFonts w:ascii="Arial" w:hAnsi="Arial" w:cs="Arial"/>
          <w:sz w:val="22"/>
          <w:szCs w:val="22"/>
        </w:rPr>
        <w:t>doi</w:t>
      </w:r>
      <w:proofErr w:type="spellEnd"/>
      <w:r w:rsidRPr="00147541">
        <w:rPr>
          <w:rFonts w:ascii="Arial" w:hAnsi="Arial" w:cs="Arial"/>
          <w:sz w:val="22"/>
          <w:szCs w:val="22"/>
        </w:rPr>
        <w:t>: 10.1136/bmjopen-2021-048917.</w:t>
      </w:r>
    </w:p>
    <w:p w14:paraId="062F84D2" w14:textId="77777777" w:rsidR="00147541" w:rsidRPr="00147541" w:rsidRDefault="00147541" w:rsidP="00147541">
      <w:pPr>
        <w:pStyle w:val="isselectedend"/>
        <w:spacing w:line="360" w:lineRule="auto"/>
        <w:jc w:val="both"/>
        <w:rPr>
          <w:rFonts w:ascii="Arial" w:hAnsi="Arial" w:cs="Arial"/>
          <w:sz w:val="22"/>
          <w:szCs w:val="22"/>
        </w:rPr>
      </w:pPr>
      <w:r w:rsidRPr="00147541">
        <w:rPr>
          <w:rFonts w:ascii="Arial" w:hAnsi="Arial" w:cs="Arial"/>
          <w:sz w:val="22"/>
          <w:szCs w:val="22"/>
        </w:rPr>
        <w:t xml:space="preserve">McDermott, O., Charlesworth, G., </w:t>
      </w:r>
      <w:proofErr w:type="spellStart"/>
      <w:r w:rsidRPr="00147541">
        <w:rPr>
          <w:rFonts w:ascii="Arial" w:hAnsi="Arial" w:cs="Arial"/>
          <w:sz w:val="22"/>
          <w:szCs w:val="22"/>
        </w:rPr>
        <w:t>Hogervorst</w:t>
      </w:r>
      <w:proofErr w:type="spellEnd"/>
      <w:r w:rsidRPr="00147541">
        <w:rPr>
          <w:rFonts w:ascii="Arial" w:hAnsi="Arial" w:cs="Arial"/>
          <w:sz w:val="22"/>
          <w:szCs w:val="22"/>
        </w:rPr>
        <w:t xml:space="preserve">, E., Stoner, C., Moniz-Cook, E., Spector, A., Csipke, E. and Orrell, M. (2019) ‘Psychosocial interventions for people with dementia: a synthesis of systematic reviews’, </w:t>
      </w:r>
      <w:r w:rsidRPr="00147541">
        <w:rPr>
          <w:rStyle w:val="Emphasis"/>
          <w:rFonts w:ascii="Arial" w:hAnsi="Arial" w:cs="Arial"/>
          <w:sz w:val="22"/>
          <w:szCs w:val="22"/>
        </w:rPr>
        <w:t>Aging &amp; Mental Health</w:t>
      </w:r>
      <w:r w:rsidRPr="00147541">
        <w:rPr>
          <w:rFonts w:ascii="Arial" w:hAnsi="Arial" w:cs="Arial"/>
          <w:sz w:val="22"/>
          <w:szCs w:val="22"/>
        </w:rPr>
        <w:t xml:space="preserve">, 23(4), pp. 393–403. </w:t>
      </w:r>
      <w:proofErr w:type="spellStart"/>
      <w:r w:rsidRPr="00147541">
        <w:rPr>
          <w:rFonts w:ascii="Arial" w:hAnsi="Arial" w:cs="Arial"/>
          <w:sz w:val="22"/>
          <w:szCs w:val="22"/>
        </w:rPr>
        <w:t>doi</w:t>
      </w:r>
      <w:proofErr w:type="spellEnd"/>
      <w:r w:rsidRPr="00147541">
        <w:rPr>
          <w:rFonts w:ascii="Arial" w:hAnsi="Arial" w:cs="Arial"/>
          <w:sz w:val="22"/>
          <w:szCs w:val="22"/>
        </w:rPr>
        <w:t>: 10.1080/13607863.2017.1423031.</w:t>
      </w:r>
    </w:p>
    <w:p w14:paraId="68070F5A" w14:textId="77777777" w:rsidR="00147541" w:rsidRPr="00147541" w:rsidRDefault="00147541" w:rsidP="00147541">
      <w:pPr>
        <w:pStyle w:val="isselectedend"/>
        <w:spacing w:line="360" w:lineRule="auto"/>
        <w:jc w:val="both"/>
        <w:rPr>
          <w:rFonts w:ascii="Arial" w:hAnsi="Arial" w:cs="Arial"/>
          <w:sz w:val="22"/>
          <w:szCs w:val="22"/>
        </w:rPr>
      </w:pPr>
      <w:r w:rsidRPr="00147541">
        <w:rPr>
          <w:rFonts w:ascii="Arial" w:hAnsi="Arial" w:cs="Arial"/>
          <w:sz w:val="22"/>
          <w:szCs w:val="22"/>
        </w:rPr>
        <w:t xml:space="preserve">Moreno-Morales, C., Calero, R., Moreno-Morales, P. and Pintado, C. (2020) ‘Music therapy in the treatment of dementia: a systematic review and meta-analysis’, </w:t>
      </w:r>
      <w:r w:rsidRPr="00147541">
        <w:rPr>
          <w:rStyle w:val="Emphasis"/>
          <w:rFonts w:ascii="Arial" w:hAnsi="Arial" w:cs="Arial"/>
          <w:sz w:val="22"/>
          <w:szCs w:val="22"/>
        </w:rPr>
        <w:t>Frontiers in Medicine</w:t>
      </w:r>
      <w:r w:rsidRPr="00147541">
        <w:rPr>
          <w:rFonts w:ascii="Arial" w:hAnsi="Arial" w:cs="Arial"/>
          <w:sz w:val="22"/>
          <w:szCs w:val="22"/>
        </w:rPr>
        <w:t xml:space="preserve">, 7, 160. </w:t>
      </w:r>
      <w:proofErr w:type="spellStart"/>
      <w:r w:rsidRPr="00147541">
        <w:rPr>
          <w:rFonts w:ascii="Arial" w:hAnsi="Arial" w:cs="Arial"/>
          <w:sz w:val="22"/>
          <w:szCs w:val="22"/>
        </w:rPr>
        <w:t>doi</w:t>
      </w:r>
      <w:proofErr w:type="spellEnd"/>
      <w:r w:rsidRPr="00147541">
        <w:rPr>
          <w:rFonts w:ascii="Arial" w:hAnsi="Arial" w:cs="Arial"/>
          <w:sz w:val="22"/>
          <w:szCs w:val="22"/>
        </w:rPr>
        <w:t>: 10.3389/fmed.2020.00160.</w:t>
      </w:r>
    </w:p>
    <w:p w14:paraId="71E4F032" w14:textId="77777777" w:rsidR="00147541" w:rsidRPr="00147541" w:rsidRDefault="00147541" w:rsidP="00147541">
      <w:pPr>
        <w:pStyle w:val="isselectedend"/>
        <w:spacing w:line="360" w:lineRule="auto"/>
        <w:jc w:val="both"/>
        <w:rPr>
          <w:rFonts w:ascii="Arial" w:hAnsi="Arial" w:cs="Arial"/>
          <w:sz w:val="22"/>
          <w:szCs w:val="22"/>
        </w:rPr>
      </w:pPr>
      <w:proofErr w:type="spellStart"/>
      <w:r w:rsidRPr="00147541">
        <w:rPr>
          <w:rFonts w:ascii="Arial" w:hAnsi="Arial" w:cs="Arial"/>
          <w:sz w:val="22"/>
          <w:szCs w:val="22"/>
        </w:rPr>
        <w:t>Möhler</w:t>
      </w:r>
      <w:proofErr w:type="spellEnd"/>
      <w:r w:rsidRPr="00147541">
        <w:rPr>
          <w:rFonts w:ascii="Arial" w:hAnsi="Arial" w:cs="Arial"/>
          <w:sz w:val="22"/>
          <w:szCs w:val="22"/>
        </w:rPr>
        <w:t xml:space="preserve">, R., Calo, S., Renom, A., Renom, H. and Meyer, G. (2023) ‘Personally tailored activities for improving psychosocial outcomes for people with dementia in long-term care’, </w:t>
      </w:r>
      <w:r w:rsidRPr="00147541">
        <w:rPr>
          <w:rStyle w:val="Emphasis"/>
          <w:rFonts w:ascii="Arial" w:hAnsi="Arial" w:cs="Arial"/>
          <w:sz w:val="22"/>
          <w:szCs w:val="22"/>
        </w:rPr>
        <w:t>Cochrane Database of Systematic Reviews</w:t>
      </w:r>
      <w:r w:rsidRPr="00147541">
        <w:rPr>
          <w:rFonts w:ascii="Arial" w:hAnsi="Arial" w:cs="Arial"/>
          <w:sz w:val="22"/>
          <w:szCs w:val="22"/>
        </w:rPr>
        <w:t xml:space="preserve">, 3, CD009812. </w:t>
      </w:r>
      <w:proofErr w:type="spellStart"/>
      <w:r w:rsidRPr="00147541">
        <w:rPr>
          <w:rFonts w:ascii="Arial" w:hAnsi="Arial" w:cs="Arial"/>
          <w:sz w:val="22"/>
          <w:szCs w:val="22"/>
        </w:rPr>
        <w:t>doi</w:t>
      </w:r>
      <w:proofErr w:type="spellEnd"/>
      <w:r w:rsidRPr="00147541">
        <w:rPr>
          <w:rFonts w:ascii="Arial" w:hAnsi="Arial" w:cs="Arial"/>
          <w:sz w:val="22"/>
          <w:szCs w:val="22"/>
        </w:rPr>
        <w:t>: 10.1002/14651858.CD009812.pub3.</w:t>
      </w:r>
    </w:p>
    <w:p w14:paraId="76DF9BB5" w14:textId="72F9114E" w:rsidR="00147541" w:rsidRPr="00147541" w:rsidRDefault="00147541" w:rsidP="00147541">
      <w:pPr>
        <w:pStyle w:val="isselectedend"/>
        <w:spacing w:line="360" w:lineRule="auto"/>
        <w:jc w:val="both"/>
        <w:rPr>
          <w:rFonts w:ascii="Arial" w:hAnsi="Arial" w:cs="Arial"/>
          <w:sz w:val="22"/>
          <w:szCs w:val="22"/>
        </w:rPr>
      </w:pPr>
      <w:r w:rsidRPr="00147541">
        <w:rPr>
          <w:rFonts w:ascii="Arial" w:hAnsi="Arial" w:cs="Arial"/>
          <w:sz w:val="22"/>
          <w:szCs w:val="22"/>
        </w:rPr>
        <w:t xml:space="preserve">NICE (2018) </w:t>
      </w:r>
      <w:r w:rsidRPr="00147541">
        <w:rPr>
          <w:rStyle w:val="Emphasis"/>
          <w:rFonts w:ascii="Arial" w:hAnsi="Arial" w:cs="Arial"/>
          <w:sz w:val="22"/>
          <w:szCs w:val="22"/>
        </w:rPr>
        <w:t>Dementia: assessment, management and support for people living with dementia and their carers (NG97)</w:t>
      </w:r>
      <w:r w:rsidRPr="00147541">
        <w:rPr>
          <w:rFonts w:ascii="Arial" w:hAnsi="Arial" w:cs="Arial"/>
          <w:sz w:val="22"/>
          <w:szCs w:val="22"/>
        </w:rPr>
        <w:t xml:space="preserve">. London: National Institute for Health and Care Excellence. Available at: </w:t>
      </w:r>
      <w:hyperlink r:id="rId13" w:history="1">
        <w:r w:rsidRPr="00147541">
          <w:rPr>
            <w:rStyle w:val="Hyperlink"/>
            <w:rFonts w:ascii="Arial" w:hAnsi="Arial" w:cs="Arial"/>
            <w:sz w:val="22"/>
            <w:szCs w:val="22"/>
          </w:rPr>
          <w:t>https://www.nice.org.uk/guidance/ng97</w:t>
        </w:r>
      </w:hyperlink>
      <w:r w:rsidRPr="00147541">
        <w:rPr>
          <w:rFonts w:ascii="Arial" w:hAnsi="Arial" w:cs="Arial"/>
          <w:sz w:val="22"/>
          <w:szCs w:val="22"/>
        </w:rPr>
        <w:t xml:space="preserve"> (Accessed: 1</w:t>
      </w:r>
      <w:r w:rsidRPr="00147541">
        <w:rPr>
          <w:rFonts w:ascii="Arial" w:hAnsi="Arial" w:cs="Arial"/>
          <w:sz w:val="22"/>
          <w:szCs w:val="22"/>
        </w:rPr>
        <w:t>1</w:t>
      </w:r>
      <w:r w:rsidRPr="00147541">
        <w:rPr>
          <w:rFonts w:ascii="Arial" w:hAnsi="Arial" w:cs="Arial"/>
          <w:sz w:val="22"/>
          <w:szCs w:val="22"/>
        </w:rPr>
        <w:t xml:space="preserve"> August 2026).</w:t>
      </w:r>
    </w:p>
    <w:p w14:paraId="7B655E2B" w14:textId="77777777" w:rsidR="00147541" w:rsidRPr="00147541" w:rsidRDefault="00147541" w:rsidP="00147541">
      <w:pPr>
        <w:pStyle w:val="isselectedend"/>
        <w:spacing w:line="360" w:lineRule="auto"/>
        <w:jc w:val="both"/>
        <w:rPr>
          <w:rFonts w:ascii="Arial" w:hAnsi="Arial" w:cs="Arial"/>
          <w:sz w:val="22"/>
          <w:szCs w:val="22"/>
        </w:rPr>
      </w:pPr>
      <w:proofErr w:type="spellStart"/>
      <w:r w:rsidRPr="00147541">
        <w:rPr>
          <w:rFonts w:ascii="Arial" w:hAnsi="Arial" w:cs="Arial"/>
          <w:sz w:val="22"/>
          <w:szCs w:val="22"/>
        </w:rPr>
        <w:t>O’Philbin</w:t>
      </w:r>
      <w:proofErr w:type="spellEnd"/>
      <w:r w:rsidRPr="00147541">
        <w:rPr>
          <w:rFonts w:ascii="Arial" w:hAnsi="Arial" w:cs="Arial"/>
          <w:sz w:val="22"/>
          <w:szCs w:val="22"/>
        </w:rPr>
        <w:t xml:space="preserve">, L., Woods, B., Farrell, E.M., Spector, A.E. and Orrell, M. (2018) ‘Reminiscence therapy for dementia: an abridged Cochrane systematic review of the evidence from randomized controlled trials’, </w:t>
      </w:r>
      <w:r w:rsidRPr="00147541">
        <w:rPr>
          <w:rStyle w:val="Emphasis"/>
          <w:rFonts w:ascii="Arial" w:hAnsi="Arial" w:cs="Arial"/>
          <w:sz w:val="22"/>
          <w:szCs w:val="22"/>
        </w:rPr>
        <w:t>Expert Review of Neurotherapeutics</w:t>
      </w:r>
      <w:r w:rsidRPr="00147541">
        <w:rPr>
          <w:rFonts w:ascii="Arial" w:hAnsi="Arial" w:cs="Arial"/>
          <w:sz w:val="22"/>
          <w:szCs w:val="22"/>
        </w:rPr>
        <w:t xml:space="preserve">, 18(9), pp. 715–727. </w:t>
      </w:r>
      <w:proofErr w:type="spellStart"/>
      <w:r w:rsidRPr="00147541">
        <w:rPr>
          <w:rFonts w:ascii="Arial" w:hAnsi="Arial" w:cs="Arial"/>
          <w:sz w:val="22"/>
          <w:szCs w:val="22"/>
        </w:rPr>
        <w:t>doi</w:t>
      </w:r>
      <w:proofErr w:type="spellEnd"/>
      <w:r w:rsidRPr="00147541">
        <w:rPr>
          <w:rFonts w:ascii="Arial" w:hAnsi="Arial" w:cs="Arial"/>
          <w:sz w:val="22"/>
          <w:szCs w:val="22"/>
        </w:rPr>
        <w:t>: 10.1080/14737175.2018.1509709.</w:t>
      </w:r>
    </w:p>
    <w:p w14:paraId="7ADA9BB7" w14:textId="5DBA2168" w:rsidR="00147541" w:rsidRPr="00147541" w:rsidRDefault="00147541" w:rsidP="00147541">
      <w:pPr>
        <w:pStyle w:val="isselectedend"/>
        <w:spacing w:line="360" w:lineRule="auto"/>
        <w:jc w:val="both"/>
        <w:rPr>
          <w:rFonts w:ascii="Arial" w:hAnsi="Arial" w:cs="Arial"/>
          <w:sz w:val="22"/>
          <w:szCs w:val="22"/>
        </w:rPr>
      </w:pPr>
      <w:r w:rsidRPr="00147541">
        <w:rPr>
          <w:rFonts w:ascii="Arial" w:hAnsi="Arial" w:cs="Arial"/>
          <w:sz w:val="22"/>
          <w:szCs w:val="22"/>
        </w:rPr>
        <w:t xml:space="preserve">Page, M.J., </w:t>
      </w:r>
      <w:r w:rsidRPr="00147541">
        <w:rPr>
          <w:rFonts w:ascii="Arial" w:hAnsi="Arial" w:cs="Arial"/>
          <w:sz w:val="22"/>
          <w:szCs w:val="22"/>
        </w:rPr>
        <w:t xml:space="preserve">et al </w:t>
      </w:r>
      <w:r w:rsidRPr="00147541">
        <w:rPr>
          <w:rFonts w:ascii="Arial" w:hAnsi="Arial" w:cs="Arial"/>
          <w:sz w:val="22"/>
          <w:szCs w:val="22"/>
        </w:rPr>
        <w:t xml:space="preserve">(2021) ‘The PRISMA 2020 statement: an updated guideline for reporting systematic reviews’, </w:t>
      </w:r>
      <w:r w:rsidRPr="00147541">
        <w:rPr>
          <w:rStyle w:val="Emphasis"/>
          <w:rFonts w:ascii="Arial" w:hAnsi="Arial" w:cs="Arial"/>
          <w:sz w:val="22"/>
          <w:szCs w:val="22"/>
        </w:rPr>
        <w:t>BMJ</w:t>
      </w:r>
      <w:r w:rsidRPr="00147541">
        <w:rPr>
          <w:rFonts w:ascii="Arial" w:hAnsi="Arial" w:cs="Arial"/>
          <w:sz w:val="22"/>
          <w:szCs w:val="22"/>
        </w:rPr>
        <w:t xml:space="preserve">, 372, n71. </w:t>
      </w:r>
      <w:proofErr w:type="spellStart"/>
      <w:r w:rsidRPr="00147541">
        <w:rPr>
          <w:rFonts w:ascii="Arial" w:hAnsi="Arial" w:cs="Arial"/>
          <w:sz w:val="22"/>
          <w:szCs w:val="22"/>
        </w:rPr>
        <w:t>doi</w:t>
      </w:r>
      <w:proofErr w:type="spellEnd"/>
      <w:r w:rsidRPr="00147541">
        <w:rPr>
          <w:rFonts w:ascii="Arial" w:hAnsi="Arial" w:cs="Arial"/>
          <w:sz w:val="22"/>
          <w:szCs w:val="22"/>
        </w:rPr>
        <w:t>: 10.1136/</w:t>
      </w:r>
      <w:proofErr w:type="gramStart"/>
      <w:r w:rsidRPr="00147541">
        <w:rPr>
          <w:rFonts w:ascii="Arial" w:hAnsi="Arial" w:cs="Arial"/>
          <w:sz w:val="22"/>
          <w:szCs w:val="22"/>
        </w:rPr>
        <w:t>bmj.n</w:t>
      </w:r>
      <w:proofErr w:type="gramEnd"/>
      <w:r w:rsidRPr="00147541">
        <w:rPr>
          <w:rFonts w:ascii="Arial" w:hAnsi="Arial" w:cs="Arial"/>
          <w:sz w:val="22"/>
          <w:szCs w:val="22"/>
        </w:rPr>
        <w:t>71.</w:t>
      </w:r>
    </w:p>
    <w:p w14:paraId="2F94C4AD" w14:textId="77777777" w:rsidR="00147541" w:rsidRPr="00147541" w:rsidRDefault="00147541" w:rsidP="00147541">
      <w:pPr>
        <w:pStyle w:val="isselectedend"/>
        <w:spacing w:line="360" w:lineRule="auto"/>
        <w:jc w:val="both"/>
        <w:rPr>
          <w:rFonts w:ascii="Arial" w:hAnsi="Arial" w:cs="Arial"/>
          <w:sz w:val="22"/>
          <w:szCs w:val="22"/>
        </w:rPr>
      </w:pPr>
      <w:proofErr w:type="spellStart"/>
      <w:r w:rsidRPr="00147541">
        <w:rPr>
          <w:rFonts w:ascii="Arial" w:hAnsi="Arial" w:cs="Arial"/>
          <w:sz w:val="22"/>
          <w:szCs w:val="22"/>
        </w:rPr>
        <w:t>Penninkilampi</w:t>
      </w:r>
      <w:proofErr w:type="spellEnd"/>
      <w:r w:rsidRPr="00147541">
        <w:rPr>
          <w:rFonts w:ascii="Arial" w:hAnsi="Arial" w:cs="Arial"/>
          <w:sz w:val="22"/>
          <w:szCs w:val="22"/>
        </w:rPr>
        <w:t xml:space="preserve">, R., Casey, A.N., </w:t>
      </w:r>
      <w:proofErr w:type="spellStart"/>
      <w:r w:rsidRPr="00147541">
        <w:rPr>
          <w:rFonts w:ascii="Arial" w:hAnsi="Arial" w:cs="Arial"/>
          <w:sz w:val="22"/>
          <w:szCs w:val="22"/>
        </w:rPr>
        <w:t>Fiatarone</w:t>
      </w:r>
      <w:proofErr w:type="spellEnd"/>
      <w:r w:rsidRPr="00147541">
        <w:rPr>
          <w:rFonts w:ascii="Arial" w:hAnsi="Arial" w:cs="Arial"/>
          <w:sz w:val="22"/>
          <w:szCs w:val="22"/>
        </w:rPr>
        <w:t xml:space="preserve"> Singh, M. and </w:t>
      </w:r>
      <w:proofErr w:type="spellStart"/>
      <w:r w:rsidRPr="00147541">
        <w:rPr>
          <w:rFonts w:ascii="Arial" w:hAnsi="Arial" w:cs="Arial"/>
          <w:sz w:val="22"/>
          <w:szCs w:val="22"/>
        </w:rPr>
        <w:t>Brodaty</w:t>
      </w:r>
      <w:proofErr w:type="spellEnd"/>
      <w:r w:rsidRPr="00147541">
        <w:rPr>
          <w:rFonts w:ascii="Arial" w:hAnsi="Arial" w:cs="Arial"/>
          <w:sz w:val="22"/>
          <w:szCs w:val="22"/>
        </w:rPr>
        <w:t xml:space="preserve">, H. (2018) ‘The association between social engagement, loneliness, and risk of dementia: a systematic review and meta-analysis’, </w:t>
      </w:r>
      <w:r w:rsidRPr="00147541">
        <w:rPr>
          <w:rStyle w:val="Emphasis"/>
          <w:rFonts w:ascii="Arial" w:hAnsi="Arial" w:cs="Arial"/>
          <w:sz w:val="22"/>
          <w:szCs w:val="22"/>
        </w:rPr>
        <w:t>Journal of Alzheimer’s Disease</w:t>
      </w:r>
      <w:r w:rsidRPr="00147541">
        <w:rPr>
          <w:rFonts w:ascii="Arial" w:hAnsi="Arial" w:cs="Arial"/>
          <w:sz w:val="22"/>
          <w:szCs w:val="22"/>
        </w:rPr>
        <w:t xml:space="preserve">, 66(4), pp. 1619–1633. </w:t>
      </w:r>
      <w:proofErr w:type="spellStart"/>
      <w:r w:rsidRPr="00147541">
        <w:rPr>
          <w:rFonts w:ascii="Arial" w:hAnsi="Arial" w:cs="Arial"/>
          <w:sz w:val="22"/>
          <w:szCs w:val="22"/>
        </w:rPr>
        <w:t>doi</w:t>
      </w:r>
      <w:proofErr w:type="spellEnd"/>
      <w:r w:rsidRPr="00147541">
        <w:rPr>
          <w:rFonts w:ascii="Arial" w:hAnsi="Arial" w:cs="Arial"/>
          <w:sz w:val="22"/>
          <w:szCs w:val="22"/>
        </w:rPr>
        <w:t>: 10.3233/JAD-180439.</w:t>
      </w:r>
    </w:p>
    <w:p w14:paraId="7949EACC" w14:textId="2389F78B" w:rsidR="00147541" w:rsidRPr="00147541" w:rsidRDefault="00147541" w:rsidP="00147541">
      <w:pPr>
        <w:pStyle w:val="isselectedend"/>
        <w:spacing w:line="360" w:lineRule="auto"/>
        <w:jc w:val="both"/>
        <w:rPr>
          <w:rFonts w:ascii="Arial" w:hAnsi="Arial" w:cs="Arial"/>
          <w:sz w:val="22"/>
          <w:szCs w:val="22"/>
        </w:rPr>
      </w:pPr>
      <w:r w:rsidRPr="00147541">
        <w:rPr>
          <w:rFonts w:ascii="Arial" w:hAnsi="Arial" w:cs="Arial"/>
          <w:sz w:val="22"/>
          <w:szCs w:val="22"/>
        </w:rPr>
        <w:t xml:space="preserve">Shea, B.J., </w:t>
      </w:r>
      <w:r w:rsidRPr="00147541">
        <w:rPr>
          <w:rFonts w:ascii="Arial" w:hAnsi="Arial" w:cs="Arial"/>
          <w:sz w:val="22"/>
          <w:szCs w:val="22"/>
        </w:rPr>
        <w:t>et al</w:t>
      </w:r>
      <w:r w:rsidRPr="00147541">
        <w:rPr>
          <w:rFonts w:ascii="Arial" w:hAnsi="Arial" w:cs="Arial"/>
          <w:sz w:val="22"/>
          <w:szCs w:val="22"/>
        </w:rPr>
        <w:t xml:space="preserve">. (2017) ‘AMSTAR 2: a critical appraisal tool for systematic reviews that include randomised or non-randomised studies of healthcare interventions, or both’, </w:t>
      </w:r>
      <w:r w:rsidRPr="00147541">
        <w:rPr>
          <w:rStyle w:val="Emphasis"/>
          <w:rFonts w:ascii="Arial" w:hAnsi="Arial" w:cs="Arial"/>
          <w:sz w:val="22"/>
          <w:szCs w:val="22"/>
        </w:rPr>
        <w:t>BMJ</w:t>
      </w:r>
      <w:r w:rsidRPr="00147541">
        <w:rPr>
          <w:rFonts w:ascii="Arial" w:hAnsi="Arial" w:cs="Arial"/>
          <w:sz w:val="22"/>
          <w:szCs w:val="22"/>
        </w:rPr>
        <w:t xml:space="preserve">, 358, j4008. </w:t>
      </w:r>
      <w:proofErr w:type="spellStart"/>
      <w:r w:rsidRPr="00147541">
        <w:rPr>
          <w:rFonts w:ascii="Arial" w:hAnsi="Arial" w:cs="Arial"/>
          <w:sz w:val="22"/>
          <w:szCs w:val="22"/>
        </w:rPr>
        <w:t>doi</w:t>
      </w:r>
      <w:proofErr w:type="spellEnd"/>
      <w:r w:rsidRPr="00147541">
        <w:rPr>
          <w:rFonts w:ascii="Arial" w:hAnsi="Arial" w:cs="Arial"/>
          <w:sz w:val="22"/>
          <w:szCs w:val="22"/>
        </w:rPr>
        <w:t>: 10.1136/</w:t>
      </w:r>
      <w:proofErr w:type="gramStart"/>
      <w:r w:rsidRPr="00147541">
        <w:rPr>
          <w:rFonts w:ascii="Arial" w:hAnsi="Arial" w:cs="Arial"/>
          <w:sz w:val="22"/>
          <w:szCs w:val="22"/>
        </w:rPr>
        <w:t>bmj.j</w:t>
      </w:r>
      <w:proofErr w:type="gramEnd"/>
      <w:r w:rsidRPr="00147541">
        <w:rPr>
          <w:rFonts w:ascii="Arial" w:hAnsi="Arial" w:cs="Arial"/>
          <w:sz w:val="22"/>
          <w:szCs w:val="22"/>
        </w:rPr>
        <w:t>4008.</w:t>
      </w:r>
    </w:p>
    <w:p w14:paraId="23C19F07" w14:textId="77777777" w:rsidR="00147541" w:rsidRPr="00147541" w:rsidRDefault="00147541" w:rsidP="00147541">
      <w:pPr>
        <w:pStyle w:val="isselectedend"/>
        <w:spacing w:line="360" w:lineRule="auto"/>
        <w:jc w:val="both"/>
        <w:rPr>
          <w:rFonts w:ascii="Arial" w:hAnsi="Arial" w:cs="Arial"/>
          <w:sz w:val="22"/>
          <w:szCs w:val="22"/>
        </w:rPr>
      </w:pPr>
      <w:r w:rsidRPr="00147541">
        <w:rPr>
          <w:rFonts w:ascii="Arial" w:hAnsi="Arial" w:cs="Arial"/>
          <w:sz w:val="22"/>
          <w:szCs w:val="22"/>
        </w:rPr>
        <w:lastRenderedPageBreak/>
        <w:t xml:space="preserve">Thomas, J.M. and Sezgin, D. (2021) ‘Effectiveness of reminiscence therapy in reducing agitation and depression and improving quality of life and cognition in long-term care residents with dementia: a systematic review and meta-analysis’, </w:t>
      </w:r>
      <w:r w:rsidRPr="00147541">
        <w:rPr>
          <w:rStyle w:val="Emphasis"/>
          <w:rFonts w:ascii="Arial" w:hAnsi="Arial" w:cs="Arial"/>
          <w:sz w:val="22"/>
          <w:szCs w:val="22"/>
        </w:rPr>
        <w:t>Geriatric Nursing</w:t>
      </w:r>
      <w:r w:rsidRPr="00147541">
        <w:rPr>
          <w:rFonts w:ascii="Arial" w:hAnsi="Arial" w:cs="Arial"/>
          <w:sz w:val="22"/>
          <w:szCs w:val="22"/>
        </w:rPr>
        <w:t xml:space="preserve">, 42(6), pp. 1497–1506. </w:t>
      </w:r>
      <w:proofErr w:type="spellStart"/>
      <w:r w:rsidRPr="00147541">
        <w:rPr>
          <w:rFonts w:ascii="Arial" w:hAnsi="Arial" w:cs="Arial"/>
          <w:sz w:val="22"/>
          <w:szCs w:val="22"/>
        </w:rPr>
        <w:t>doi</w:t>
      </w:r>
      <w:proofErr w:type="spellEnd"/>
      <w:r w:rsidRPr="00147541">
        <w:rPr>
          <w:rFonts w:ascii="Arial" w:hAnsi="Arial" w:cs="Arial"/>
          <w:sz w:val="22"/>
          <w:szCs w:val="22"/>
        </w:rPr>
        <w:t>: 10.1016/j.gerinurse.2021.10.014.</w:t>
      </w:r>
    </w:p>
    <w:p w14:paraId="55FEA064" w14:textId="77777777" w:rsidR="00147541" w:rsidRPr="00147541" w:rsidRDefault="00147541" w:rsidP="00147541">
      <w:pPr>
        <w:pStyle w:val="isselectedend"/>
        <w:spacing w:line="360" w:lineRule="auto"/>
        <w:jc w:val="both"/>
        <w:rPr>
          <w:rFonts w:ascii="Arial" w:hAnsi="Arial" w:cs="Arial"/>
          <w:sz w:val="22"/>
          <w:szCs w:val="22"/>
        </w:rPr>
      </w:pPr>
      <w:r w:rsidRPr="00147541">
        <w:rPr>
          <w:rFonts w:ascii="Arial" w:hAnsi="Arial" w:cs="Arial"/>
          <w:sz w:val="22"/>
          <w:szCs w:val="22"/>
        </w:rPr>
        <w:t xml:space="preserve">Ward, M.C., Milligan, C., Rose, E., Elliott, M. and Wainwright, B.R. (2021) ‘The benefits of community-based participatory arts activities for people living with dementia: a thematic scoping review’, </w:t>
      </w:r>
      <w:r w:rsidRPr="00147541">
        <w:rPr>
          <w:rStyle w:val="Emphasis"/>
          <w:rFonts w:ascii="Arial" w:hAnsi="Arial" w:cs="Arial"/>
          <w:sz w:val="22"/>
          <w:szCs w:val="22"/>
        </w:rPr>
        <w:t>Arts &amp; Health</w:t>
      </w:r>
      <w:r w:rsidRPr="00147541">
        <w:rPr>
          <w:rFonts w:ascii="Arial" w:hAnsi="Arial" w:cs="Arial"/>
          <w:sz w:val="22"/>
          <w:szCs w:val="22"/>
        </w:rPr>
        <w:t xml:space="preserve">, 13(3), pp. 213–239. </w:t>
      </w:r>
      <w:proofErr w:type="spellStart"/>
      <w:r w:rsidRPr="00147541">
        <w:rPr>
          <w:rFonts w:ascii="Arial" w:hAnsi="Arial" w:cs="Arial"/>
          <w:sz w:val="22"/>
          <w:szCs w:val="22"/>
        </w:rPr>
        <w:t>doi</w:t>
      </w:r>
      <w:proofErr w:type="spellEnd"/>
      <w:r w:rsidRPr="00147541">
        <w:rPr>
          <w:rFonts w:ascii="Arial" w:hAnsi="Arial" w:cs="Arial"/>
          <w:sz w:val="22"/>
          <w:szCs w:val="22"/>
        </w:rPr>
        <w:t>: 10.1080/17533015.2020.1781217.</w:t>
      </w:r>
    </w:p>
    <w:p w14:paraId="245BF5CB" w14:textId="4808D0FC" w:rsidR="00147541" w:rsidRPr="00147541" w:rsidRDefault="00147541" w:rsidP="00147541">
      <w:pPr>
        <w:pStyle w:val="isselectedend"/>
        <w:spacing w:line="360" w:lineRule="auto"/>
        <w:jc w:val="both"/>
        <w:rPr>
          <w:rFonts w:ascii="Arial" w:hAnsi="Arial" w:cs="Arial"/>
          <w:sz w:val="22"/>
          <w:szCs w:val="22"/>
        </w:rPr>
      </w:pPr>
      <w:r w:rsidRPr="00147541">
        <w:rPr>
          <w:rFonts w:ascii="Arial" w:hAnsi="Arial" w:cs="Arial"/>
          <w:sz w:val="22"/>
          <w:szCs w:val="22"/>
        </w:rPr>
        <w:t>Woods, B</w:t>
      </w:r>
      <w:r w:rsidRPr="00147541">
        <w:rPr>
          <w:rFonts w:ascii="Arial" w:hAnsi="Arial" w:cs="Arial"/>
          <w:sz w:val="22"/>
          <w:szCs w:val="22"/>
        </w:rPr>
        <w:t xml:space="preserve">., et al. </w:t>
      </w:r>
      <w:r w:rsidRPr="00147541">
        <w:rPr>
          <w:rFonts w:ascii="Arial" w:hAnsi="Arial" w:cs="Arial"/>
          <w:sz w:val="22"/>
          <w:szCs w:val="22"/>
        </w:rPr>
        <w:t xml:space="preserve">(2018) ‘Reminiscence therapy for dementia’, </w:t>
      </w:r>
      <w:r w:rsidRPr="00147541">
        <w:rPr>
          <w:rStyle w:val="Emphasis"/>
          <w:rFonts w:ascii="Arial" w:hAnsi="Arial" w:cs="Arial"/>
          <w:sz w:val="22"/>
          <w:szCs w:val="22"/>
        </w:rPr>
        <w:t>Cochrane Database of Systematic Reviews</w:t>
      </w:r>
      <w:r w:rsidRPr="00147541">
        <w:rPr>
          <w:rFonts w:ascii="Arial" w:hAnsi="Arial" w:cs="Arial"/>
          <w:sz w:val="22"/>
          <w:szCs w:val="22"/>
        </w:rPr>
        <w:t xml:space="preserve">, 3, CD001120. </w:t>
      </w:r>
      <w:proofErr w:type="spellStart"/>
      <w:r w:rsidRPr="00147541">
        <w:rPr>
          <w:rFonts w:ascii="Arial" w:hAnsi="Arial" w:cs="Arial"/>
          <w:sz w:val="22"/>
          <w:szCs w:val="22"/>
        </w:rPr>
        <w:t>doi</w:t>
      </w:r>
      <w:proofErr w:type="spellEnd"/>
      <w:r w:rsidRPr="00147541">
        <w:rPr>
          <w:rFonts w:ascii="Arial" w:hAnsi="Arial" w:cs="Arial"/>
          <w:sz w:val="22"/>
          <w:szCs w:val="22"/>
        </w:rPr>
        <w:t>: 10.1002/14651858.CD001120.pub3.</w:t>
      </w:r>
    </w:p>
    <w:p w14:paraId="76F141F0" w14:textId="77777777" w:rsidR="00147541" w:rsidRPr="00147541" w:rsidRDefault="00147541" w:rsidP="00147541">
      <w:pPr>
        <w:pStyle w:val="NormalWeb"/>
        <w:spacing w:line="360" w:lineRule="auto"/>
        <w:jc w:val="both"/>
        <w:rPr>
          <w:rFonts w:ascii="Arial" w:hAnsi="Arial" w:cs="Arial"/>
          <w:sz w:val="22"/>
          <w:szCs w:val="22"/>
        </w:rPr>
      </w:pPr>
      <w:r w:rsidRPr="00147541">
        <w:rPr>
          <w:rFonts w:ascii="Arial" w:hAnsi="Arial" w:cs="Arial"/>
          <w:sz w:val="22"/>
          <w:szCs w:val="22"/>
        </w:rPr>
        <w:t xml:space="preserve">Woods, B., Rai, H.K., Elliott, E., Aguirre, E., Orrell, M. and Spector, A. (2023) ‘Cognitive stimulation to improve cognitive functioning in people with dementia’, </w:t>
      </w:r>
      <w:r w:rsidRPr="00147541">
        <w:rPr>
          <w:rStyle w:val="Emphasis"/>
          <w:rFonts w:ascii="Arial" w:hAnsi="Arial" w:cs="Arial"/>
          <w:sz w:val="22"/>
          <w:szCs w:val="22"/>
        </w:rPr>
        <w:t>Cochrane Database of Systematic Reviews</w:t>
      </w:r>
      <w:r w:rsidRPr="00147541">
        <w:rPr>
          <w:rFonts w:ascii="Arial" w:hAnsi="Arial" w:cs="Arial"/>
          <w:sz w:val="22"/>
          <w:szCs w:val="22"/>
        </w:rPr>
        <w:t xml:space="preserve">, 1, CD005562. </w:t>
      </w:r>
      <w:proofErr w:type="spellStart"/>
      <w:r w:rsidRPr="00147541">
        <w:rPr>
          <w:rFonts w:ascii="Arial" w:hAnsi="Arial" w:cs="Arial"/>
          <w:sz w:val="22"/>
          <w:szCs w:val="22"/>
        </w:rPr>
        <w:t>doi</w:t>
      </w:r>
      <w:proofErr w:type="spellEnd"/>
      <w:r w:rsidRPr="00147541">
        <w:rPr>
          <w:rFonts w:ascii="Arial" w:hAnsi="Arial" w:cs="Arial"/>
          <w:sz w:val="22"/>
          <w:szCs w:val="22"/>
        </w:rPr>
        <w:t>: 10.1002/14651858.CD005562.pub3.</w:t>
      </w:r>
    </w:p>
    <w:p w14:paraId="4FEBCF5C" w14:textId="77777777" w:rsidR="00147541" w:rsidRPr="00147541" w:rsidRDefault="00147541" w:rsidP="00147541">
      <w:pPr>
        <w:rPr>
          <w:rFonts w:cs="Arial"/>
        </w:rPr>
      </w:pPr>
    </w:p>
    <w:sectPr w:rsidR="00147541" w:rsidRPr="00147541" w:rsidSect="00034616">
      <w:footerReference w:type="default" r:id="rId14"/>
      <w:pgSz w:w="12240" w:h="15840"/>
      <w:pgMar w:top="1440" w:right="1440" w:bottom="1440" w:left="1440" w:header="706" w:footer="706"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8ADAD8" w14:textId="77777777" w:rsidR="0066011F" w:rsidRDefault="0066011F">
      <w:pPr>
        <w:spacing w:after="0" w:line="240" w:lineRule="auto"/>
      </w:pPr>
      <w:r>
        <w:separator/>
      </w:r>
    </w:p>
  </w:endnote>
  <w:endnote w:type="continuationSeparator" w:id="0">
    <w:p w14:paraId="3EFDB127" w14:textId="77777777" w:rsidR="0066011F" w:rsidRDefault="006601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655FF9" w14:textId="77777777" w:rsidR="003100EE" w:rsidRDefault="00000000">
    <w:pPr>
      <w:pStyle w:val="Footer"/>
      <w:jc w:val="center"/>
    </w:pPr>
    <w:r>
      <w:rPr>
        <w:color w:val="666666"/>
        <w:sz w:val="18"/>
      </w:rPr>
      <w:fldChar w:fldCharType="begin"/>
    </w:r>
    <w:r>
      <w:rPr>
        <w:color w:val="666666"/>
        <w:sz w:val="18"/>
      </w:rPr>
      <w:instrText xml:space="preserve"> PAGE </w:instrText>
    </w:r>
    <w:r>
      <w:rPr>
        <w:color w:val="666666"/>
        <w:sz w:val="18"/>
      </w:rPr>
      <w:fldChar w:fldCharType="separate"/>
    </w:r>
    <w:r w:rsidR="007F4E25">
      <w:rPr>
        <w:noProof/>
        <w:color w:val="666666"/>
        <w:sz w:val="18"/>
      </w:rPr>
      <w:t>1</w:t>
    </w:r>
    <w:r>
      <w:rPr>
        <w:color w:val="666666"/>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83CDC8" w14:textId="77777777" w:rsidR="0066011F" w:rsidRDefault="0066011F">
      <w:pPr>
        <w:spacing w:after="0" w:line="240" w:lineRule="auto"/>
      </w:pPr>
      <w:r>
        <w:separator/>
      </w:r>
    </w:p>
  </w:footnote>
  <w:footnote w:type="continuationSeparator" w:id="0">
    <w:p w14:paraId="6156E1DE" w14:textId="77777777" w:rsidR="0066011F" w:rsidRDefault="006601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4700"/>
        </w:tabs>
        <w:ind w:left="47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AB72A218"/>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C7B0147"/>
    <w:multiLevelType w:val="hybridMultilevel"/>
    <w:tmpl w:val="677C6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057C89"/>
    <w:multiLevelType w:val="hybridMultilevel"/>
    <w:tmpl w:val="BD32A426"/>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0321AB0"/>
    <w:multiLevelType w:val="hybridMultilevel"/>
    <w:tmpl w:val="1A00F45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224320"/>
    <w:multiLevelType w:val="hybridMultilevel"/>
    <w:tmpl w:val="E5BC1A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3228421">
    <w:abstractNumId w:val="8"/>
  </w:num>
  <w:num w:numId="2" w16cid:durableId="1444038710">
    <w:abstractNumId w:val="6"/>
  </w:num>
  <w:num w:numId="3" w16cid:durableId="1132214748">
    <w:abstractNumId w:val="5"/>
  </w:num>
  <w:num w:numId="4" w16cid:durableId="390471073">
    <w:abstractNumId w:val="4"/>
  </w:num>
  <w:num w:numId="5" w16cid:durableId="223755727">
    <w:abstractNumId w:val="7"/>
  </w:num>
  <w:num w:numId="6" w16cid:durableId="862548070">
    <w:abstractNumId w:val="3"/>
  </w:num>
  <w:num w:numId="7" w16cid:durableId="905145041">
    <w:abstractNumId w:val="2"/>
  </w:num>
  <w:num w:numId="8" w16cid:durableId="1840266169">
    <w:abstractNumId w:val="1"/>
  </w:num>
  <w:num w:numId="9" w16cid:durableId="796992058">
    <w:abstractNumId w:val="0"/>
  </w:num>
  <w:num w:numId="10" w16cid:durableId="2128813123">
    <w:abstractNumId w:val="11"/>
  </w:num>
  <w:num w:numId="11" w16cid:durableId="125973335">
    <w:abstractNumId w:val="10"/>
  </w:num>
  <w:num w:numId="12" w16cid:durableId="419181719">
    <w:abstractNumId w:val="9"/>
  </w:num>
  <w:num w:numId="13" w16cid:durableId="12440728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4BB2"/>
    <w:rsid w:val="0006063C"/>
    <w:rsid w:val="00147541"/>
    <w:rsid w:val="0015074B"/>
    <w:rsid w:val="001C18F9"/>
    <w:rsid w:val="00284F72"/>
    <w:rsid w:val="0029639D"/>
    <w:rsid w:val="003100EE"/>
    <w:rsid w:val="00326F90"/>
    <w:rsid w:val="005F79AB"/>
    <w:rsid w:val="00647744"/>
    <w:rsid w:val="0066011F"/>
    <w:rsid w:val="00742A58"/>
    <w:rsid w:val="00761332"/>
    <w:rsid w:val="007F4E25"/>
    <w:rsid w:val="008144C6"/>
    <w:rsid w:val="00AA1D8D"/>
    <w:rsid w:val="00B47730"/>
    <w:rsid w:val="00B76A88"/>
    <w:rsid w:val="00C27F22"/>
    <w:rsid w:val="00C43211"/>
    <w:rsid w:val="00CB0664"/>
    <w:rsid w:val="00D75B88"/>
    <w:rsid w:val="00FC693F"/>
    <w:rsid w:val="00FF7EF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805392A"/>
  <w14:defaultImageDpi w14:val="300"/>
  <w15:docId w15:val="{03FBBF37-4134-4D6F-9EDC-59DADF001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60" w:line="360" w:lineRule="auto"/>
      <w:jc w:val="both"/>
    </w:pPr>
    <w:rPr>
      <w:rFonts w:ascii="Arial" w:eastAsia="Arial" w:hAnsi="Arial"/>
      <w:color w:val="000000"/>
    </w:rPr>
  </w:style>
  <w:style w:type="paragraph" w:styleId="Heading1">
    <w:name w:val="heading 1"/>
    <w:basedOn w:val="Normal"/>
    <w:next w:val="Normal"/>
    <w:link w:val="Heading1Char"/>
    <w:uiPriority w:val="9"/>
    <w:qFormat/>
    <w:rsid w:val="00FC693F"/>
    <w:pPr>
      <w:keepNext/>
      <w:keepLines/>
      <w:spacing w:before="320"/>
      <w:outlineLvl w:val="0"/>
    </w:pPr>
    <w:rPr>
      <w:rFonts w:asciiTheme="majorHAnsi" w:eastAsiaTheme="majorEastAsia" w:hAnsiTheme="majorHAnsi" w:cstheme="majorBidi"/>
      <w:b/>
      <w:bCs/>
      <w:sz w:val="30"/>
      <w:szCs w:val="28"/>
    </w:rPr>
  </w:style>
  <w:style w:type="paragraph" w:styleId="Heading2">
    <w:name w:val="heading 2"/>
    <w:basedOn w:val="Normal"/>
    <w:next w:val="Normal"/>
    <w:link w:val="Heading2Char"/>
    <w:uiPriority w:val="9"/>
    <w:unhideWhenUsed/>
    <w:qFormat/>
    <w:rsid w:val="00FC693F"/>
    <w:pPr>
      <w:keepNext/>
      <w:keepLines/>
      <w:spacing w:before="240" w:after="120"/>
      <w:outlineLvl w:val="1"/>
    </w:pPr>
    <w:rPr>
      <w:rFonts w:asciiTheme="majorHAnsi" w:eastAsiaTheme="majorEastAsia" w:hAnsiTheme="majorHAnsi" w:cstheme="majorBidi"/>
      <w:b/>
      <w:bCs/>
      <w:sz w:val="24"/>
      <w:szCs w:val="26"/>
    </w:rPr>
  </w:style>
  <w:style w:type="paragraph" w:styleId="Heading3">
    <w:name w:val="heading 3"/>
    <w:basedOn w:val="Normal"/>
    <w:next w:val="Normal"/>
    <w:link w:val="Heading3Char"/>
    <w:uiPriority w:val="9"/>
    <w:unhideWhenUsed/>
    <w:qFormat/>
    <w:rsid w:val="00FC693F"/>
    <w:pPr>
      <w:keepNext/>
      <w:keepLines/>
      <w:spacing w:before="160" w:after="8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spacing w:after="80"/>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spacing w:after="80"/>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Reference">
    <w:name w:val="Reference"/>
    <w:pPr>
      <w:spacing w:after="100"/>
      <w:ind w:left="360" w:hanging="360"/>
    </w:pPr>
    <w:rPr>
      <w:rFonts w:ascii="Arial" w:eastAsia="Arial" w:hAnsi="Arial"/>
      <w:color w:val="000000"/>
      <w:sz w:val="20"/>
    </w:rPr>
  </w:style>
  <w:style w:type="paragraph" w:styleId="NormalWeb">
    <w:name w:val="Normal (Web)"/>
    <w:basedOn w:val="Normal"/>
    <w:uiPriority w:val="99"/>
    <w:semiHidden/>
    <w:unhideWhenUsed/>
    <w:rsid w:val="00761332"/>
    <w:pPr>
      <w:spacing w:before="100" w:beforeAutospacing="1" w:after="100" w:afterAutospacing="1" w:line="240" w:lineRule="auto"/>
      <w:jc w:val="left"/>
    </w:pPr>
    <w:rPr>
      <w:rFonts w:ascii="Times New Roman" w:eastAsia="Times New Roman" w:hAnsi="Times New Roman" w:cs="Times New Roman"/>
      <w:color w:val="auto"/>
      <w:sz w:val="24"/>
      <w:szCs w:val="24"/>
      <w:lang w:val="en-GB" w:eastAsia="en-GB"/>
    </w:rPr>
  </w:style>
  <w:style w:type="table" w:customStyle="1" w:styleId="TableGrid1">
    <w:name w:val="Table Grid1"/>
    <w:basedOn w:val="TableNormal"/>
    <w:next w:val="TableGrid"/>
    <w:uiPriority w:val="39"/>
    <w:rsid w:val="00FF7EF9"/>
    <w:pPr>
      <w:spacing w:after="0" w:line="240" w:lineRule="auto"/>
    </w:pPr>
    <w:rPr>
      <w:rFonts w:eastAsia="Calibri"/>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147541"/>
    <w:rPr>
      <w:sz w:val="16"/>
      <w:szCs w:val="16"/>
    </w:rPr>
  </w:style>
  <w:style w:type="paragraph" w:styleId="CommentText">
    <w:name w:val="annotation text"/>
    <w:basedOn w:val="Normal"/>
    <w:link w:val="CommentTextChar"/>
    <w:uiPriority w:val="99"/>
    <w:unhideWhenUsed/>
    <w:rsid w:val="00147541"/>
    <w:pPr>
      <w:spacing w:line="240" w:lineRule="auto"/>
      <w:jc w:val="left"/>
    </w:pPr>
    <w:rPr>
      <w:rFonts w:ascii="Times New Roman" w:eastAsiaTheme="minorHAnsi" w:hAnsi="Times New Roman"/>
      <w:color w:val="auto"/>
      <w:sz w:val="20"/>
      <w:szCs w:val="20"/>
      <w:lang w:val="en-GB"/>
    </w:rPr>
  </w:style>
  <w:style w:type="character" w:customStyle="1" w:styleId="CommentTextChar">
    <w:name w:val="Comment Text Char"/>
    <w:basedOn w:val="DefaultParagraphFont"/>
    <w:link w:val="CommentText"/>
    <w:uiPriority w:val="99"/>
    <w:rsid w:val="00147541"/>
    <w:rPr>
      <w:rFonts w:ascii="Times New Roman" w:eastAsiaTheme="minorHAnsi" w:hAnsi="Times New Roman"/>
      <w:sz w:val="20"/>
      <w:szCs w:val="20"/>
      <w:lang w:val="en-GB"/>
    </w:rPr>
  </w:style>
  <w:style w:type="paragraph" w:customStyle="1" w:styleId="isselectedend">
    <w:name w:val="isselectedend"/>
    <w:basedOn w:val="Normal"/>
    <w:rsid w:val="00147541"/>
    <w:pPr>
      <w:spacing w:before="100" w:beforeAutospacing="1" w:after="100" w:afterAutospacing="1" w:line="240" w:lineRule="auto"/>
      <w:jc w:val="left"/>
    </w:pPr>
    <w:rPr>
      <w:rFonts w:ascii="Times New Roman" w:eastAsia="Times New Roman" w:hAnsi="Times New Roman" w:cs="Times New Roman"/>
      <w:color w:val="auto"/>
      <w:sz w:val="24"/>
      <w:szCs w:val="24"/>
      <w:lang w:val="en-GB" w:eastAsia="en-GB"/>
    </w:rPr>
  </w:style>
  <w:style w:type="character" w:styleId="Hyperlink">
    <w:name w:val="Hyperlink"/>
    <w:basedOn w:val="DefaultParagraphFont"/>
    <w:uiPriority w:val="99"/>
    <w:semiHidden/>
    <w:unhideWhenUsed/>
    <w:rsid w:val="0014754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ice.org.uk/guidance/ng9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ynthesismanual.jbi.globa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nhs.uk/planning-and-improving-research/research-planning/student-research/"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v.uk/government/statistics/dementia-profile-march-2025-update" TargetMode="External"/><Relationship Id="rId4" Type="http://schemas.openxmlformats.org/officeDocument/2006/relationships/settings" Target="settings.xml"/><Relationship Id="rId9" Type="http://schemas.openxmlformats.org/officeDocument/2006/relationships/hyperlink" Target="https://www.alzheimers.org.uk/what-we-do/policy-and-influencing/economic-impact-of-dementia"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368</TotalTime>
  <Pages>14</Pages>
  <Words>3657</Words>
  <Characters>20851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Research Proposal: Social Interventions and Dementia Quality of Life</vt:lpstr>
    </vt:vector>
  </TitlesOfParts>
  <Manager/>
  <Company/>
  <LinksUpToDate>false</LinksUpToDate>
  <CharactersWithSpaces>24460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Social Interventions and Dementia Quality of Life</dc:title>
  <dc:subject>Originality-edited mini research project proposal</dc:subject>
  <dc:creator>[Insert student name]</dc:creator>
  <cp:keywords>dementia; social interventions; quality of life; qualitative research; United Kingdom</cp:keywords>
  <dc:description/>
  <cp:lastModifiedBy>Josephine Amoah (2233505)</cp:lastModifiedBy>
  <cp:revision>1</cp:revision>
  <dcterms:created xsi:type="dcterms:W3CDTF">2026-08-14T04:21:00Z</dcterms:created>
  <dcterms:modified xsi:type="dcterms:W3CDTF">2026-08-17T07:23:00Z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12a68c59-71a3-4edf-b7fe-c60b02baff5f</vt:lpwstr>
  </property>
</Properties>
</file>