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FEC0E" w14:textId="77777777" w:rsidR="00C138A8" w:rsidRPr="00B10792" w:rsidRDefault="00C138A8" w:rsidP="00C138A8">
      <w:pPr>
        <w:jc w:val="center"/>
        <w:rPr>
          <w:rFonts w:cs="Times New Roman"/>
        </w:rPr>
      </w:pPr>
      <w:bookmarkStart w:id="0" w:name="_Toc303070346"/>
      <w:r w:rsidRPr="00B10792">
        <w:rPr>
          <w:rFonts w:cs="Times New Roman"/>
          <w:noProof/>
        </w:rPr>
        <w:drawing>
          <wp:inline distT="0" distB="0" distL="0" distR="0" wp14:anchorId="205CD7A1" wp14:editId="24C91208">
            <wp:extent cx="2880000" cy="1132916"/>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bookmarkEnd w:id="0"/>
    </w:p>
    <w:p w14:paraId="30DFC089" w14:textId="77777777" w:rsidR="00C138A8" w:rsidRPr="00B10792" w:rsidRDefault="00C138A8" w:rsidP="00C138A8">
      <w:pPr>
        <w:pStyle w:val="Title"/>
        <w:rPr>
          <w:rFonts w:cs="Times New Roman"/>
        </w:rPr>
      </w:pPr>
    </w:p>
    <w:p w14:paraId="12EA0D62" w14:textId="77777777" w:rsidR="00C138A8" w:rsidRPr="00B10792" w:rsidRDefault="00C138A8" w:rsidP="00C138A8">
      <w:pPr>
        <w:pStyle w:val="Title"/>
        <w:rPr>
          <w:rFonts w:cs="Times New Roman"/>
          <w:bCs/>
        </w:rPr>
      </w:pPr>
      <w:r w:rsidRPr="00B10792">
        <w:rPr>
          <w:rFonts w:cs="Times New Roman"/>
        </w:rPr>
        <w:t>The Relationship Between Work-Life Conflict and Employee Turnover Intentions in the UK Healthcare Sector</w:t>
      </w:r>
    </w:p>
    <w:p w14:paraId="38101243" w14:textId="77777777" w:rsidR="00C138A8" w:rsidRPr="00B10792" w:rsidRDefault="00C138A8" w:rsidP="00C138A8">
      <w:pPr>
        <w:rPr>
          <w:rFonts w:cs="Times New Roman"/>
        </w:rPr>
      </w:pPr>
    </w:p>
    <w:p w14:paraId="5B996DE1" w14:textId="77777777" w:rsidR="00C138A8" w:rsidRPr="00B10792" w:rsidRDefault="00C138A8" w:rsidP="00DA1B4D">
      <w:pPr>
        <w:jc w:val="center"/>
        <w:rPr>
          <w:rFonts w:cs="Times New Roman"/>
        </w:rPr>
      </w:pPr>
    </w:p>
    <w:p w14:paraId="28192CE7" w14:textId="77777777" w:rsidR="00C138A8" w:rsidRPr="00B10792" w:rsidRDefault="00C138A8" w:rsidP="00DA1B4D">
      <w:pPr>
        <w:jc w:val="center"/>
        <w:rPr>
          <w:rFonts w:cs="Times New Roman"/>
        </w:rPr>
      </w:pPr>
      <w:r w:rsidRPr="00B10792">
        <w:rPr>
          <w:rFonts w:cs="Times New Roman"/>
        </w:rPr>
        <w:t>Name: Fozley Rabby</w:t>
      </w:r>
    </w:p>
    <w:p w14:paraId="68DC5D6D" w14:textId="77777777" w:rsidR="00C138A8" w:rsidRPr="00B10792" w:rsidRDefault="00C138A8" w:rsidP="00DA1B4D">
      <w:pPr>
        <w:jc w:val="center"/>
        <w:rPr>
          <w:rFonts w:cs="Times New Roman"/>
        </w:rPr>
      </w:pPr>
      <w:r w:rsidRPr="00B10792">
        <w:rPr>
          <w:rFonts w:cs="Times New Roman"/>
        </w:rPr>
        <w:t>Student ID:  2515911</w:t>
      </w:r>
    </w:p>
    <w:p w14:paraId="68F911AF" w14:textId="77777777" w:rsidR="00C138A8" w:rsidRDefault="00C138A8" w:rsidP="00DA1B4D">
      <w:pPr>
        <w:jc w:val="center"/>
        <w:rPr>
          <w:rFonts w:cs="Times New Roman"/>
        </w:rPr>
      </w:pPr>
    </w:p>
    <w:p w14:paraId="362866C7" w14:textId="77777777" w:rsidR="00DA1B4D" w:rsidRDefault="00DA1B4D" w:rsidP="00DA1B4D">
      <w:pPr>
        <w:spacing w:after="160" w:line="360" w:lineRule="auto"/>
        <w:jc w:val="center"/>
      </w:pPr>
      <w:r>
        <w:t xml:space="preserve">Supervisor: </w:t>
      </w:r>
    </w:p>
    <w:p w14:paraId="46FBB1F7" w14:textId="77777777" w:rsidR="00DA1B4D" w:rsidRDefault="00DA1B4D" w:rsidP="00DA1B4D">
      <w:pPr>
        <w:jc w:val="center"/>
        <w:rPr>
          <w:rFonts w:cs="Times New Roman"/>
        </w:rPr>
      </w:pPr>
    </w:p>
    <w:p w14:paraId="40E72A1F" w14:textId="77777777" w:rsidR="00DA1B4D" w:rsidRDefault="00DA1B4D" w:rsidP="00DA1B4D">
      <w:pPr>
        <w:spacing w:after="160" w:line="360" w:lineRule="auto"/>
        <w:jc w:val="center"/>
      </w:pPr>
      <w:r>
        <w:t>MBA Dissertation (BMMB7003)</w:t>
      </w:r>
    </w:p>
    <w:p w14:paraId="7F47B57C" w14:textId="77777777" w:rsidR="00DA1B4D" w:rsidRDefault="00DA1B4D" w:rsidP="00DA1B4D">
      <w:pPr>
        <w:spacing w:after="160" w:line="360" w:lineRule="auto"/>
        <w:jc w:val="center"/>
      </w:pPr>
      <w:r>
        <w:t>Swansea Business School</w:t>
      </w:r>
    </w:p>
    <w:p w14:paraId="7D0A4829" w14:textId="77777777" w:rsidR="00DA1B4D" w:rsidRDefault="00DA1B4D" w:rsidP="00DA1B4D">
      <w:pPr>
        <w:spacing w:after="160" w:line="360" w:lineRule="auto"/>
        <w:jc w:val="center"/>
      </w:pPr>
      <w:r>
        <w:t>University of Wales Trinity Saint David</w:t>
      </w:r>
    </w:p>
    <w:p w14:paraId="0E7F3F50" w14:textId="77777777" w:rsidR="00DA1B4D" w:rsidRDefault="00DA1B4D" w:rsidP="00DA1B4D">
      <w:pPr>
        <w:jc w:val="center"/>
        <w:rPr>
          <w:rFonts w:cs="Times New Roman"/>
        </w:rPr>
      </w:pPr>
    </w:p>
    <w:p w14:paraId="42ACA1A0" w14:textId="77777777" w:rsidR="00DA1B4D" w:rsidRPr="00B10792" w:rsidRDefault="00DA1B4D" w:rsidP="00DA1B4D">
      <w:pPr>
        <w:jc w:val="center"/>
        <w:rPr>
          <w:rFonts w:cs="Times New Roman"/>
        </w:rPr>
      </w:pPr>
    </w:p>
    <w:p w14:paraId="73C14E7D" w14:textId="77777777" w:rsidR="00DA1B4D" w:rsidRPr="00DA1B4D" w:rsidRDefault="00DA1B4D" w:rsidP="00DA1B4D">
      <w:pPr>
        <w:spacing w:after="160" w:line="360" w:lineRule="auto"/>
        <w:jc w:val="center"/>
      </w:pPr>
      <w:r>
        <w:t>2026</w:t>
      </w:r>
    </w:p>
    <w:p w14:paraId="59ED09AB" w14:textId="77777777" w:rsidR="00C138A8" w:rsidRPr="00B10792" w:rsidRDefault="00C138A8" w:rsidP="00DA1B4D">
      <w:pPr>
        <w:spacing w:line="240" w:lineRule="auto"/>
        <w:jc w:val="center"/>
        <w:rPr>
          <w:rFonts w:cs="Times New Roman"/>
        </w:rPr>
      </w:pPr>
      <w:r w:rsidRPr="00B10792">
        <w:rPr>
          <w:rFonts w:cs="Times New Roman"/>
        </w:rPr>
        <w:br w:type="page"/>
      </w:r>
    </w:p>
    <w:p w14:paraId="7598D37D" w14:textId="77777777" w:rsidR="00DA1B4D" w:rsidRDefault="00DA1B4D" w:rsidP="00DA1B4D">
      <w:pPr>
        <w:pStyle w:val="Heading1"/>
        <w:spacing w:before="240" w:after="140" w:line="360" w:lineRule="auto"/>
      </w:pPr>
      <w:bookmarkStart w:id="1" w:name="_Toc239961450"/>
      <w:bookmarkStart w:id="2" w:name="_Toc240407558"/>
      <w:bookmarkStart w:id="3" w:name="_Toc240913029"/>
      <w:r>
        <w:rPr>
          <w:bCs/>
          <w:color w:val="000000"/>
        </w:rPr>
        <w:lastRenderedPageBreak/>
        <w:t>Declaration and Statements</w:t>
      </w:r>
      <w:bookmarkEnd w:id="1"/>
      <w:bookmarkEnd w:id="2"/>
      <w:bookmarkEnd w:id="3"/>
    </w:p>
    <w:p w14:paraId="02F6519C" w14:textId="77777777" w:rsidR="00DA1B4D" w:rsidRDefault="00DA1B4D" w:rsidP="00DA1B4D">
      <w:pPr>
        <w:spacing w:after="200" w:line="360" w:lineRule="auto"/>
      </w:pPr>
      <w:r>
        <w:rPr>
          <w:b/>
          <w:bCs/>
        </w:rPr>
        <w:t>DECLARATION</w:t>
      </w:r>
    </w:p>
    <w:p w14:paraId="3EA57010" w14:textId="77777777" w:rsidR="00DA1B4D" w:rsidRDefault="00DA1B4D" w:rsidP="00DA1B4D">
      <w:pPr>
        <w:spacing w:after="200" w:line="360" w:lineRule="auto"/>
      </w:pPr>
      <w:r>
        <w:t>This work has not previously been accepted in substance for any degree and is not being concurrently submitted in candidature for any degree.</w:t>
      </w:r>
    </w:p>
    <w:p w14:paraId="6BC8FDF6" w14:textId="62A4B1B6" w:rsidR="00DA1B4D" w:rsidRDefault="00DA1B4D" w:rsidP="00DA1B4D">
      <w:pPr>
        <w:spacing w:after="200" w:line="360" w:lineRule="auto"/>
      </w:pPr>
      <w:r>
        <w:t>Signed .......................</w:t>
      </w:r>
      <w:r w:rsidR="00ED0AC5" w:rsidRPr="00ED0AC5">
        <w:rPr>
          <w:rFonts w:cs="Times New Roman"/>
        </w:rPr>
        <w:t xml:space="preserve"> </w:t>
      </w:r>
      <w:r w:rsidR="00ED0AC5" w:rsidRPr="00B10792">
        <w:rPr>
          <w:rFonts w:cs="Times New Roman"/>
        </w:rPr>
        <w:t>Fozley Rabby</w:t>
      </w:r>
      <w:r>
        <w:t>............................................... (candidate)</w:t>
      </w:r>
    </w:p>
    <w:p w14:paraId="18C3C9A5" w14:textId="05AF133E" w:rsidR="00DA1B4D" w:rsidRDefault="00DA1B4D" w:rsidP="00DA1B4D">
      <w:pPr>
        <w:spacing w:after="200" w:line="360" w:lineRule="auto"/>
      </w:pPr>
      <w:r>
        <w:t>Date ...............................</w:t>
      </w:r>
      <w:r w:rsidR="00ED0AC5">
        <w:t>21/09/2026</w:t>
      </w:r>
      <w:r>
        <w:t>.........................................</w:t>
      </w:r>
    </w:p>
    <w:p w14:paraId="2881EAB2" w14:textId="77777777" w:rsidR="00ED0AC5" w:rsidRDefault="00ED0AC5" w:rsidP="00DA1B4D">
      <w:pPr>
        <w:spacing w:after="200" w:line="360" w:lineRule="auto"/>
      </w:pPr>
    </w:p>
    <w:p w14:paraId="2A1B7B69" w14:textId="77777777" w:rsidR="00DA1B4D" w:rsidRDefault="00DA1B4D" w:rsidP="00DA1B4D">
      <w:pPr>
        <w:spacing w:after="200" w:line="360" w:lineRule="auto"/>
      </w:pPr>
      <w:r>
        <w:rPr>
          <w:b/>
          <w:bCs/>
        </w:rPr>
        <w:t>STATEMENT 1</w:t>
      </w:r>
    </w:p>
    <w:p w14:paraId="7B5A3505" w14:textId="77777777" w:rsidR="00DA1B4D" w:rsidRDefault="00DA1B4D" w:rsidP="00DA1B4D">
      <w:pPr>
        <w:spacing w:after="200" w:line="360" w:lineRule="auto"/>
      </w:pPr>
      <w:r>
        <w:t>This work is the result of my own investigations, except where otherwise stated. Other sources are acknowledged by footnotes giving explicit references. A bibliography is appended.</w:t>
      </w:r>
    </w:p>
    <w:p w14:paraId="14BE7BDD" w14:textId="77777777" w:rsidR="00ED0AC5" w:rsidRDefault="00ED0AC5" w:rsidP="00ED0AC5">
      <w:pPr>
        <w:spacing w:after="200" w:line="360" w:lineRule="auto"/>
      </w:pPr>
      <w:r>
        <w:t>Signed .......................</w:t>
      </w:r>
      <w:r w:rsidRPr="00ED0AC5">
        <w:rPr>
          <w:rFonts w:cs="Times New Roman"/>
        </w:rPr>
        <w:t xml:space="preserve"> </w:t>
      </w:r>
      <w:r w:rsidRPr="00B10792">
        <w:rPr>
          <w:rFonts w:cs="Times New Roman"/>
        </w:rPr>
        <w:t>Fozley Rabby</w:t>
      </w:r>
      <w:r>
        <w:t>............................................... (candidate)</w:t>
      </w:r>
    </w:p>
    <w:p w14:paraId="6AA28BA0" w14:textId="046DE3A6" w:rsidR="00ED0AC5" w:rsidRDefault="00ED0AC5" w:rsidP="00ED0AC5">
      <w:pPr>
        <w:spacing w:after="200" w:line="360" w:lineRule="auto"/>
      </w:pPr>
      <w:r>
        <w:t>Date ...............................21/09/2026.........................................</w:t>
      </w:r>
    </w:p>
    <w:p w14:paraId="06C31952" w14:textId="77777777" w:rsidR="00ED0AC5" w:rsidRDefault="00ED0AC5" w:rsidP="00ED0AC5">
      <w:pPr>
        <w:spacing w:after="200" w:line="360" w:lineRule="auto"/>
      </w:pPr>
    </w:p>
    <w:p w14:paraId="320D9934" w14:textId="77777777" w:rsidR="00DA1B4D" w:rsidRDefault="00DA1B4D" w:rsidP="00DA1B4D">
      <w:pPr>
        <w:spacing w:after="200" w:line="360" w:lineRule="auto"/>
      </w:pPr>
      <w:r>
        <w:rPr>
          <w:b/>
          <w:bCs/>
        </w:rPr>
        <w:t>STATEMENT 2</w:t>
      </w:r>
    </w:p>
    <w:p w14:paraId="4EBB3CBA" w14:textId="77777777" w:rsidR="00DA1B4D" w:rsidRDefault="00DA1B4D" w:rsidP="00DA1B4D">
      <w:pPr>
        <w:spacing w:after="200" w:line="360" w:lineRule="auto"/>
      </w:pPr>
      <w:r>
        <w:t>I hereby give consent for my work, if accepted, to be available for photocopying and for inter-library loan, and for the title and summary to be made available to outside organisations.</w:t>
      </w:r>
    </w:p>
    <w:p w14:paraId="525F16C0" w14:textId="77777777" w:rsidR="00ED0AC5" w:rsidRDefault="00ED0AC5" w:rsidP="00ED0AC5">
      <w:pPr>
        <w:spacing w:after="200" w:line="360" w:lineRule="auto"/>
      </w:pPr>
      <w:r>
        <w:t>Signed .......................</w:t>
      </w:r>
      <w:r w:rsidRPr="00ED0AC5">
        <w:rPr>
          <w:rFonts w:cs="Times New Roman"/>
        </w:rPr>
        <w:t xml:space="preserve"> </w:t>
      </w:r>
      <w:r w:rsidRPr="00B10792">
        <w:rPr>
          <w:rFonts w:cs="Times New Roman"/>
        </w:rPr>
        <w:t>Fozley Rabby</w:t>
      </w:r>
      <w:r>
        <w:t>............................................... (candidate)</w:t>
      </w:r>
    </w:p>
    <w:p w14:paraId="24F89918" w14:textId="1531794E" w:rsidR="00ED0AC5" w:rsidRDefault="00ED0AC5" w:rsidP="00ED0AC5">
      <w:pPr>
        <w:spacing w:after="200" w:line="360" w:lineRule="auto"/>
      </w:pPr>
      <w:r>
        <w:t>Date ...............................21/09/2026.........................................</w:t>
      </w:r>
    </w:p>
    <w:p w14:paraId="26076301" w14:textId="77777777" w:rsidR="00ED0AC5" w:rsidRDefault="00ED0AC5" w:rsidP="00ED0AC5">
      <w:pPr>
        <w:spacing w:after="200" w:line="360" w:lineRule="auto"/>
      </w:pPr>
    </w:p>
    <w:p w14:paraId="01FCFC5E" w14:textId="77777777" w:rsidR="00DA1B4D" w:rsidRDefault="00DA1B4D" w:rsidP="00DA1B4D">
      <w:pPr>
        <w:spacing w:line="240" w:lineRule="auto"/>
        <w:jc w:val="left"/>
      </w:pPr>
      <w:r>
        <w:br w:type="page"/>
      </w:r>
    </w:p>
    <w:p w14:paraId="616A61C3" w14:textId="77777777" w:rsidR="00DA1B4D" w:rsidRDefault="00DA1B4D" w:rsidP="00DA1B4D">
      <w:pPr>
        <w:pStyle w:val="Heading1"/>
        <w:jc w:val="both"/>
      </w:pPr>
      <w:bookmarkStart w:id="4" w:name="_Toc240913030"/>
      <w:r>
        <w:lastRenderedPageBreak/>
        <w:t>Acknowledgement</w:t>
      </w:r>
      <w:bookmarkEnd w:id="4"/>
    </w:p>
    <w:p w14:paraId="493557D9" w14:textId="1B1578D8" w:rsidR="00DA1B4D" w:rsidRDefault="00DA1B4D" w:rsidP="00DA1B4D">
      <w:r>
        <w:t>I would like to express my deepest gratitude to my supervisor for their invaluable guidance, rigorous feedback, and continuous support throughout this entire dissertation. My sincere thanks go to the NHS healthcare professionals who generously participated in this research despite their immense workloads. Finally, I am profoundly grateful to my family and friends for their unwavering encouragement.</w:t>
      </w:r>
    </w:p>
    <w:p w14:paraId="21C9C991" w14:textId="55468402" w:rsidR="00ED0AC5" w:rsidRDefault="00ED0AC5" w:rsidP="00DA1B4D"/>
    <w:p w14:paraId="0D4333BF" w14:textId="77777777" w:rsidR="00ED0AC5" w:rsidRPr="00DA1B4D" w:rsidRDefault="00ED0AC5" w:rsidP="00DA1B4D"/>
    <w:p w14:paraId="1E7800CB" w14:textId="77777777" w:rsidR="00DA1B4D" w:rsidRPr="00DA1B4D" w:rsidRDefault="00DA1B4D">
      <w:pPr>
        <w:spacing w:line="240" w:lineRule="auto"/>
        <w:jc w:val="left"/>
        <w:rPr>
          <w:rFonts w:cs="Times New Roman"/>
        </w:rPr>
      </w:pPr>
      <w:r>
        <w:rPr>
          <w:rFonts w:cs="Times New Roman"/>
        </w:rPr>
        <w:br w:type="page"/>
      </w:r>
    </w:p>
    <w:p w14:paraId="7CC320DE" w14:textId="77777777" w:rsidR="00DA1B4D" w:rsidRDefault="00DA1B4D" w:rsidP="00DA1B4D">
      <w:pPr>
        <w:pStyle w:val="Heading1"/>
        <w:jc w:val="both"/>
      </w:pPr>
      <w:bookmarkStart w:id="5" w:name="_Toc240913031"/>
      <w:r>
        <w:lastRenderedPageBreak/>
        <w:t>Abstract</w:t>
      </w:r>
      <w:bookmarkEnd w:id="5"/>
    </w:p>
    <w:p w14:paraId="64D0DC88" w14:textId="6624D2E4" w:rsidR="00DA1B4D" w:rsidRDefault="00DA1B4D" w:rsidP="00DA1B4D">
      <w:pPr>
        <w:rPr>
          <w:lang w:eastAsia="en-GB" w:bidi="hi-IN"/>
        </w:rPr>
      </w:pPr>
      <w:r w:rsidRPr="00DA1B4D">
        <w:rPr>
          <w:lang w:eastAsia="en-GB" w:bidi="hi-IN"/>
        </w:rPr>
        <w:t>The purpose of this study is to examine the effect of work-life conflict as a multi-dimensional phenomenon on turnover intentions of the employees of the UK National Health Service (NHS) in order to critically examine the buffering assumptions in the Job Demands-Resources model. A quantitative, cross</w:t>
      </w:r>
      <w:r>
        <w:rPr>
          <w:lang w:val="en-US" w:eastAsia="en-GB" w:bidi="hi-IN"/>
        </w:rPr>
        <w:t>-</w:t>
      </w:r>
      <w:r w:rsidRPr="00DA1B4D">
        <w:rPr>
          <w:lang w:eastAsia="en-GB" w:bidi="hi-IN"/>
        </w:rPr>
        <w:t>sectional survey was undertaken using a post-positivist philosophy with 135 substantive NHS staff. Bivariate correlations and hierarchical multiple linear regression were used to analyse the data. Results show that two types of conflict, namely, time-based and behaviour-based conflict</w:t>
      </w:r>
      <w:r>
        <w:rPr>
          <w:lang w:val="en-US" w:eastAsia="en-GB" w:bidi="hi-IN"/>
        </w:rPr>
        <w:t>,</w:t>
      </w:r>
      <w:r w:rsidRPr="00DA1B4D">
        <w:rPr>
          <w:lang w:eastAsia="en-GB" w:bidi="hi-IN"/>
        </w:rPr>
        <w:t xml:space="preserve"> are strong positive predictors of turnover intention. On the other hand, there were no significant differences in strain</w:t>
      </w:r>
      <w:r>
        <w:rPr>
          <w:lang w:val="en-US" w:eastAsia="en-GB" w:bidi="hi-IN"/>
        </w:rPr>
        <w:t>-</w:t>
      </w:r>
      <w:r w:rsidRPr="00DA1B4D">
        <w:rPr>
          <w:lang w:eastAsia="en-GB" w:bidi="hi-IN"/>
        </w:rPr>
        <w:t xml:space="preserve">based conflict effects because of the high psychometric ceiling effect, that is, universal format exhaustion. Importantly, the buffering of organisational resources did not </w:t>
      </w:r>
      <w:r>
        <w:rPr>
          <w:lang w:eastAsia="en-GB" w:bidi="hi-IN"/>
        </w:rPr>
        <w:t>hold</w:t>
      </w:r>
      <w:r w:rsidRPr="00DA1B4D">
        <w:rPr>
          <w:lang w:eastAsia="en-GB" w:bidi="hi-IN"/>
        </w:rPr>
        <w:t xml:space="preserve"> </w:t>
      </w:r>
      <w:r>
        <w:rPr>
          <w:lang w:eastAsia="en-GB" w:bidi="hi-IN"/>
        </w:rPr>
        <w:t>up</w:t>
      </w:r>
      <w:r w:rsidRPr="00DA1B4D">
        <w:rPr>
          <w:lang w:eastAsia="en-GB" w:bidi="hi-IN"/>
        </w:rPr>
        <w:t xml:space="preserve"> </w:t>
      </w:r>
      <w:r>
        <w:rPr>
          <w:lang w:eastAsia="en-GB" w:bidi="hi-IN"/>
        </w:rPr>
        <w:t>in</w:t>
      </w:r>
      <w:r w:rsidRPr="00DA1B4D">
        <w:rPr>
          <w:lang w:eastAsia="en-GB" w:bidi="hi-IN"/>
        </w:rPr>
        <w:t xml:space="preserve"> the moderation analysis in a categori</w:t>
      </w:r>
      <w:r>
        <w:rPr>
          <w:lang w:eastAsia="en-GB" w:bidi="hi-IN"/>
        </w:rPr>
        <w:t>cal</w:t>
      </w:r>
      <w:r w:rsidRPr="00DA1B4D">
        <w:rPr>
          <w:lang w:eastAsia="en-GB" w:bidi="hi-IN"/>
        </w:rPr>
        <w:t xml:space="preserve"> way. Workload intensity did not function as a dynamic moderator </w:t>
      </w:r>
      <w:r>
        <w:rPr>
          <w:lang w:eastAsia="en-GB" w:bidi="hi-IN"/>
        </w:rPr>
        <w:t>of</w:t>
      </w:r>
      <w:r w:rsidRPr="00DA1B4D">
        <w:rPr>
          <w:lang w:eastAsia="en-GB" w:bidi="hi-IN"/>
        </w:rPr>
        <w:t xml:space="preserve"> the withdrawal trajectory, and managerial support and flexible employment practices did not help to reduce the withdrawal trajectory. Results indicate that in structurally inelastic clinical contexts</w:t>
      </w:r>
      <w:r>
        <w:rPr>
          <w:lang w:val="en-US" w:eastAsia="en-GB" w:bidi="hi-IN"/>
        </w:rPr>
        <w:t>,</w:t>
      </w:r>
      <w:r w:rsidRPr="00DA1B4D">
        <w:rPr>
          <w:lang w:eastAsia="en-GB" w:bidi="hi-IN"/>
        </w:rPr>
        <w:t xml:space="preserve"> demands break down psychosocial protections. From personalised interventions in resilience, retention strategies need to shift to macro-level structures that suppress load in the system.</w:t>
      </w:r>
    </w:p>
    <w:p w14:paraId="2DBB70FC" w14:textId="77777777" w:rsidR="00ED0AC5" w:rsidRPr="00DA1B4D" w:rsidRDefault="00ED0AC5" w:rsidP="00DA1B4D">
      <w:pPr>
        <w:rPr>
          <w:lang w:eastAsia="en-GB" w:bidi="hi-IN"/>
        </w:rPr>
      </w:pPr>
    </w:p>
    <w:p w14:paraId="66EB442C" w14:textId="0AEA4C91" w:rsidR="00DA1B4D" w:rsidRDefault="00DA1B4D" w:rsidP="00ED0AC5">
      <w:pPr>
        <w:rPr>
          <w:lang w:eastAsia="en-GB" w:bidi="hi-IN"/>
        </w:rPr>
      </w:pPr>
      <w:r w:rsidRPr="00DA1B4D">
        <w:rPr>
          <w:b/>
          <w:bCs/>
          <w:lang w:eastAsia="en-GB" w:bidi="hi-IN"/>
        </w:rPr>
        <w:t>Keywords:</w:t>
      </w:r>
      <w:r w:rsidRPr="00DA1B4D">
        <w:rPr>
          <w:lang w:eastAsia="en-GB" w:bidi="hi-IN"/>
        </w:rPr>
        <w:t> Work-Life Conflict, Turnover Intention, Job Demands-Resources, National Health Service, Burnout, Moderation Analysis, Flexible Working.</w:t>
      </w:r>
    </w:p>
    <w:p w14:paraId="6AA33D59" w14:textId="77777777" w:rsidR="00DA1B4D" w:rsidRDefault="00DA1B4D">
      <w:pPr>
        <w:spacing w:line="240" w:lineRule="auto"/>
        <w:jc w:val="left"/>
        <w:rPr>
          <w:b/>
          <w:sz w:val="32"/>
        </w:rPr>
      </w:pPr>
      <w:r>
        <w:br w:type="page"/>
      </w:r>
    </w:p>
    <w:bookmarkStart w:id="6" w:name="_Toc240913032" w:displacedByCustomXml="next"/>
    <w:sdt>
      <w:sdtPr>
        <w:rPr>
          <w:bCs/>
        </w:rPr>
        <w:id w:val="-1175101263"/>
        <w:docPartObj>
          <w:docPartGallery w:val="Table of Contents"/>
          <w:docPartUnique/>
        </w:docPartObj>
      </w:sdtPr>
      <w:sdtEndPr>
        <w:rPr>
          <w:rFonts w:cs="Times New Roman"/>
          <w:b w:val="0"/>
          <w:bCs w:val="0"/>
          <w:noProof/>
          <w:sz w:val="24"/>
          <w:szCs w:val="24"/>
        </w:rPr>
      </w:sdtEndPr>
      <w:sdtContent>
        <w:p w14:paraId="137578B8" w14:textId="77777777" w:rsidR="00DA1B4D" w:rsidRPr="00421331" w:rsidRDefault="00DA1B4D" w:rsidP="00ED0AC5">
          <w:pPr>
            <w:pStyle w:val="Heading1"/>
          </w:pPr>
          <w:r w:rsidRPr="00421331">
            <w:t>Table of Contents</w:t>
          </w:r>
          <w:bookmarkEnd w:id="6"/>
        </w:p>
        <w:p w14:paraId="017D00D9" w14:textId="48217F59" w:rsidR="00ED0AC5" w:rsidRPr="00ED0AC5" w:rsidRDefault="00DA1B4D"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r w:rsidRPr="00421331">
            <w:rPr>
              <w:rFonts w:ascii="Times New Roman" w:hAnsi="Times New Roman" w:cs="Times New Roman"/>
              <w:b w:val="0"/>
              <w:bCs w:val="0"/>
              <w:i w:val="0"/>
              <w:iCs w:val="0"/>
            </w:rPr>
            <w:fldChar w:fldCharType="begin"/>
          </w:r>
          <w:r w:rsidRPr="00421331">
            <w:rPr>
              <w:rFonts w:ascii="Times New Roman" w:hAnsi="Times New Roman" w:cs="Times New Roman"/>
              <w:i w:val="0"/>
              <w:iCs w:val="0"/>
            </w:rPr>
            <w:instrText xml:space="preserve"> TOC \o "1-3" \h \z \u </w:instrText>
          </w:r>
          <w:r w:rsidRPr="00421331">
            <w:rPr>
              <w:rFonts w:ascii="Times New Roman" w:hAnsi="Times New Roman" w:cs="Times New Roman"/>
              <w:b w:val="0"/>
              <w:bCs w:val="0"/>
              <w:i w:val="0"/>
              <w:iCs w:val="0"/>
            </w:rPr>
            <w:fldChar w:fldCharType="separate"/>
          </w:r>
          <w:hyperlink w:anchor="_Toc240913029" w:history="1">
            <w:r w:rsidR="00ED0AC5" w:rsidRPr="00ED0AC5">
              <w:rPr>
                <w:rStyle w:val="Hyperlink"/>
                <w:rFonts w:ascii="Times New Roman" w:hAnsi="Times New Roman" w:cs="Times New Roman"/>
                <w:b w:val="0"/>
                <w:bCs w:val="0"/>
                <w:i w:val="0"/>
                <w:iCs w:val="0"/>
                <w:noProof/>
              </w:rPr>
              <w:t>Declaration and Statements</w:t>
            </w:r>
            <w:r w:rsidR="00ED0AC5" w:rsidRPr="00ED0AC5">
              <w:rPr>
                <w:rFonts w:ascii="Times New Roman" w:hAnsi="Times New Roman" w:cs="Times New Roman"/>
                <w:b w:val="0"/>
                <w:bCs w:val="0"/>
                <w:i w:val="0"/>
                <w:iCs w:val="0"/>
                <w:noProof/>
                <w:webHidden/>
              </w:rPr>
              <w:tab/>
            </w:r>
            <w:r w:rsidR="00ED0AC5" w:rsidRPr="00ED0AC5">
              <w:rPr>
                <w:rFonts w:ascii="Times New Roman" w:hAnsi="Times New Roman" w:cs="Times New Roman"/>
                <w:b w:val="0"/>
                <w:bCs w:val="0"/>
                <w:i w:val="0"/>
                <w:iCs w:val="0"/>
                <w:noProof/>
                <w:webHidden/>
              </w:rPr>
              <w:fldChar w:fldCharType="begin"/>
            </w:r>
            <w:r w:rsidR="00ED0AC5" w:rsidRPr="00ED0AC5">
              <w:rPr>
                <w:rFonts w:ascii="Times New Roman" w:hAnsi="Times New Roman" w:cs="Times New Roman"/>
                <w:b w:val="0"/>
                <w:bCs w:val="0"/>
                <w:i w:val="0"/>
                <w:iCs w:val="0"/>
                <w:noProof/>
                <w:webHidden/>
              </w:rPr>
              <w:instrText xml:space="preserve"> PAGEREF _Toc240913029 \h </w:instrText>
            </w:r>
            <w:r w:rsidR="00ED0AC5" w:rsidRPr="00ED0AC5">
              <w:rPr>
                <w:rFonts w:ascii="Times New Roman" w:hAnsi="Times New Roman" w:cs="Times New Roman"/>
                <w:b w:val="0"/>
                <w:bCs w:val="0"/>
                <w:i w:val="0"/>
                <w:iCs w:val="0"/>
                <w:noProof/>
                <w:webHidden/>
              </w:rPr>
            </w:r>
            <w:r w:rsidR="00ED0AC5" w:rsidRPr="00ED0AC5">
              <w:rPr>
                <w:rFonts w:ascii="Times New Roman" w:hAnsi="Times New Roman" w:cs="Times New Roman"/>
                <w:b w:val="0"/>
                <w:bCs w:val="0"/>
                <w:i w:val="0"/>
                <w:iCs w:val="0"/>
                <w:noProof/>
                <w:webHidden/>
              </w:rPr>
              <w:fldChar w:fldCharType="separate"/>
            </w:r>
            <w:r w:rsidR="00ED0AC5">
              <w:rPr>
                <w:rFonts w:ascii="Times New Roman" w:hAnsi="Times New Roman" w:cs="Times New Roman"/>
                <w:b w:val="0"/>
                <w:bCs w:val="0"/>
                <w:i w:val="0"/>
                <w:iCs w:val="0"/>
                <w:noProof/>
                <w:webHidden/>
              </w:rPr>
              <w:t>2</w:t>
            </w:r>
            <w:r w:rsidR="00ED0AC5" w:rsidRPr="00ED0AC5">
              <w:rPr>
                <w:rFonts w:ascii="Times New Roman" w:hAnsi="Times New Roman" w:cs="Times New Roman"/>
                <w:b w:val="0"/>
                <w:bCs w:val="0"/>
                <w:i w:val="0"/>
                <w:iCs w:val="0"/>
                <w:noProof/>
                <w:webHidden/>
              </w:rPr>
              <w:fldChar w:fldCharType="end"/>
            </w:r>
          </w:hyperlink>
        </w:p>
        <w:p w14:paraId="339633D0" w14:textId="7242AD9F"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0" w:history="1">
            <w:r w:rsidRPr="00ED0AC5">
              <w:rPr>
                <w:rStyle w:val="Hyperlink"/>
                <w:rFonts w:ascii="Times New Roman" w:hAnsi="Times New Roman" w:cs="Times New Roman"/>
                <w:b w:val="0"/>
                <w:bCs w:val="0"/>
                <w:i w:val="0"/>
                <w:iCs w:val="0"/>
                <w:noProof/>
              </w:rPr>
              <w:t>Acknowledgement</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_Toc240913030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3</w:t>
            </w:r>
            <w:r w:rsidRPr="00ED0AC5">
              <w:rPr>
                <w:rFonts w:ascii="Times New Roman" w:hAnsi="Times New Roman" w:cs="Times New Roman"/>
                <w:b w:val="0"/>
                <w:bCs w:val="0"/>
                <w:i w:val="0"/>
                <w:iCs w:val="0"/>
                <w:noProof/>
                <w:webHidden/>
              </w:rPr>
              <w:fldChar w:fldCharType="end"/>
            </w:r>
          </w:hyperlink>
        </w:p>
        <w:p w14:paraId="244E8822" w14:textId="72420E1D"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1" w:history="1">
            <w:r w:rsidRPr="00ED0AC5">
              <w:rPr>
                <w:rStyle w:val="Hyperlink"/>
                <w:rFonts w:ascii="Times New Roman" w:hAnsi="Times New Roman" w:cs="Times New Roman"/>
                <w:b w:val="0"/>
                <w:bCs w:val="0"/>
                <w:i w:val="0"/>
                <w:iCs w:val="0"/>
                <w:noProof/>
              </w:rPr>
              <w:t>Abstract</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_Toc240913031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4</w:t>
            </w:r>
            <w:r w:rsidRPr="00ED0AC5">
              <w:rPr>
                <w:rFonts w:ascii="Times New Roman" w:hAnsi="Times New Roman" w:cs="Times New Roman"/>
                <w:b w:val="0"/>
                <w:bCs w:val="0"/>
                <w:i w:val="0"/>
                <w:iCs w:val="0"/>
                <w:noProof/>
                <w:webHidden/>
              </w:rPr>
              <w:fldChar w:fldCharType="end"/>
            </w:r>
          </w:hyperlink>
        </w:p>
        <w:p w14:paraId="73C94FF6" w14:textId="6C243AAA"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2" w:history="1">
            <w:r w:rsidRPr="00ED0AC5">
              <w:rPr>
                <w:rStyle w:val="Hyperlink"/>
                <w:rFonts w:ascii="Times New Roman" w:hAnsi="Times New Roman" w:cs="Times New Roman"/>
                <w:b w:val="0"/>
                <w:bCs w:val="0"/>
                <w:i w:val="0"/>
                <w:iCs w:val="0"/>
                <w:noProof/>
              </w:rPr>
              <w:t>Table of Contents</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_Toc240913032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5</w:t>
            </w:r>
            <w:r w:rsidRPr="00ED0AC5">
              <w:rPr>
                <w:rFonts w:ascii="Times New Roman" w:hAnsi="Times New Roman" w:cs="Times New Roman"/>
                <w:b w:val="0"/>
                <w:bCs w:val="0"/>
                <w:i w:val="0"/>
                <w:iCs w:val="0"/>
                <w:noProof/>
                <w:webHidden/>
              </w:rPr>
              <w:fldChar w:fldCharType="end"/>
            </w:r>
          </w:hyperlink>
        </w:p>
        <w:p w14:paraId="0D0D7D21" w14:textId="16D062E2"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3" w:history="1">
            <w:r w:rsidRPr="00ED0AC5">
              <w:rPr>
                <w:rStyle w:val="Hyperlink"/>
                <w:rFonts w:ascii="Times New Roman" w:hAnsi="Times New Roman" w:cs="Times New Roman"/>
                <w:b w:val="0"/>
                <w:bCs w:val="0"/>
                <w:i w:val="0"/>
                <w:iCs w:val="0"/>
                <w:noProof/>
              </w:rPr>
              <w:t>List of Figures</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_Toc240913033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8</w:t>
            </w:r>
            <w:r w:rsidRPr="00ED0AC5">
              <w:rPr>
                <w:rFonts w:ascii="Times New Roman" w:hAnsi="Times New Roman" w:cs="Times New Roman"/>
                <w:b w:val="0"/>
                <w:bCs w:val="0"/>
                <w:i w:val="0"/>
                <w:iCs w:val="0"/>
                <w:noProof/>
                <w:webHidden/>
              </w:rPr>
              <w:fldChar w:fldCharType="end"/>
            </w:r>
          </w:hyperlink>
        </w:p>
        <w:p w14:paraId="5986144F" w14:textId="4487BE91"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4" w:history="1">
            <w:r w:rsidRPr="00ED0AC5">
              <w:rPr>
                <w:rStyle w:val="Hyperlink"/>
                <w:rFonts w:ascii="Times New Roman" w:hAnsi="Times New Roman" w:cs="Times New Roman"/>
                <w:b w:val="0"/>
                <w:bCs w:val="0"/>
                <w:i w:val="0"/>
                <w:iCs w:val="0"/>
                <w:noProof/>
              </w:rPr>
              <w:t>List of Tables</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_Toc240913034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8</w:t>
            </w:r>
            <w:r w:rsidRPr="00ED0AC5">
              <w:rPr>
                <w:rFonts w:ascii="Times New Roman" w:hAnsi="Times New Roman" w:cs="Times New Roman"/>
                <w:b w:val="0"/>
                <w:bCs w:val="0"/>
                <w:i w:val="0"/>
                <w:iCs w:val="0"/>
                <w:noProof/>
                <w:webHidden/>
              </w:rPr>
              <w:fldChar w:fldCharType="end"/>
            </w:r>
          </w:hyperlink>
        </w:p>
        <w:p w14:paraId="07C5F2D2" w14:textId="610F6549"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35" w:history="1">
            <w:r w:rsidRPr="00ED0AC5">
              <w:rPr>
                <w:rStyle w:val="Hyperlink"/>
                <w:rFonts w:ascii="Times New Roman" w:hAnsi="Times New Roman" w:cs="Times New Roman"/>
                <w:b w:val="0"/>
                <w:bCs w:val="0"/>
                <w:i w:val="0"/>
                <w:iCs w:val="0"/>
                <w:noProof/>
              </w:rPr>
              <w:t>Chapter One: Introduction</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_Toc240913035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9</w:t>
            </w:r>
            <w:r w:rsidRPr="00ED0AC5">
              <w:rPr>
                <w:rFonts w:ascii="Times New Roman" w:hAnsi="Times New Roman" w:cs="Times New Roman"/>
                <w:b w:val="0"/>
                <w:bCs w:val="0"/>
                <w:i w:val="0"/>
                <w:iCs w:val="0"/>
                <w:noProof/>
                <w:webHidden/>
              </w:rPr>
              <w:fldChar w:fldCharType="end"/>
            </w:r>
          </w:hyperlink>
        </w:p>
        <w:p w14:paraId="500106C7" w14:textId="6C8CBA1D"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36" w:history="1">
            <w:r w:rsidRPr="00ED0AC5">
              <w:rPr>
                <w:rStyle w:val="Hyperlink"/>
                <w:rFonts w:ascii="Times New Roman" w:hAnsi="Times New Roman" w:cs="Times New Roman"/>
                <w:b w:val="0"/>
                <w:bCs w:val="0"/>
                <w:noProof/>
                <w:sz w:val="24"/>
                <w:szCs w:val="24"/>
                <w:lang w:eastAsia="en-GB" w:bidi="hi-IN"/>
              </w:rPr>
              <w:t>1.1 Background of the study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_Toc240913036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9</w:t>
            </w:r>
            <w:r w:rsidRPr="00ED0AC5">
              <w:rPr>
                <w:rFonts w:ascii="Times New Roman" w:hAnsi="Times New Roman" w:cs="Times New Roman"/>
                <w:b w:val="0"/>
                <w:bCs w:val="0"/>
                <w:noProof/>
                <w:webHidden/>
                <w:sz w:val="24"/>
                <w:szCs w:val="24"/>
              </w:rPr>
              <w:fldChar w:fldCharType="end"/>
            </w:r>
          </w:hyperlink>
        </w:p>
        <w:p w14:paraId="526DEBBD" w14:textId="645CBF9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37" w:history="1">
            <w:r w:rsidRPr="00ED0AC5">
              <w:rPr>
                <w:rStyle w:val="Hyperlink"/>
                <w:rFonts w:ascii="Times New Roman" w:hAnsi="Times New Roman" w:cs="Times New Roman"/>
                <w:b w:val="0"/>
                <w:bCs w:val="0"/>
                <w:noProof/>
                <w:sz w:val="24"/>
                <w:szCs w:val="24"/>
                <w:lang w:eastAsia="en-GB" w:bidi="hi-IN"/>
              </w:rPr>
              <w:t>1.2 Problem Statement</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_Toc240913037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10</w:t>
            </w:r>
            <w:r w:rsidRPr="00ED0AC5">
              <w:rPr>
                <w:rFonts w:ascii="Times New Roman" w:hAnsi="Times New Roman" w:cs="Times New Roman"/>
                <w:b w:val="0"/>
                <w:bCs w:val="0"/>
                <w:noProof/>
                <w:webHidden/>
                <w:sz w:val="24"/>
                <w:szCs w:val="24"/>
              </w:rPr>
              <w:fldChar w:fldCharType="end"/>
            </w:r>
          </w:hyperlink>
        </w:p>
        <w:p w14:paraId="5DF99DA1" w14:textId="334C8F56"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38" w:history="1">
            <w:r w:rsidRPr="00ED0AC5">
              <w:rPr>
                <w:rStyle w:val="Hyperlink"/>
                <w:rFonts w:ascii="Times New Roman" w:hAnsi="Times New Roman" w:cs="Times New Roman"/>
                <w:b w:val="0"/>
                <w:bCs w:val="0"/>
                <w:noProof/>
                <w:sz w:val="24"/>
                <w:szCs w:val="24"/>
                <w:lang w:eastAsia="en-GB" w:bidi="hi-IN"/>
              </w:rPr>
              <w:t>1.3 Research Rationale</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_Toc240913038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12</w:t>
            </w:r>
            <w:r w:rsidRPr="00ED0AC5">
              <w:rPr>
                <w:rFonts w:ascii="Times New Roman" w:hAnsi="Times New Roman" w:cs="Times New Roman"/>
                <w:b w:val="0"/>
                <w:bCs w:val="0"/>
                <w:noProof/>
                <w:webHidden/>
                <w:sz w:val="24"/>
                <w:szCs w:val="24"/>
              </w:rPr>
              <w:fldChar w:fldCharType="end"/>
            </w:r>
          </w:hyperlink>
        </w:p>
        <w:p w14:paraId="4C211FE0" w14:textId="44409AA0"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39" w:history="1">
            <w:r w:rsidRPr="00ED0AC5">
              <w:rPr>
                <w:rStyle w:val="Hyperlink"/>
                <w:rFonts w:ascii="Times New Roman" w:hAnsi="Times New Roman" w:cs="Times New Roman"/>
                <w:b w:val="0"/>
                <w:bCs w:val="0"/>
                <w:noProof/>
                <w:sz w:val="24"/>
                <w:szCs w:val="24"/>
                <w:lang w:eastAsia="en-GB" w:bidi="hi-IN"/>
              </w:rPr>
              <w:t>1.4 Research Aim</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_Toc240913039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13</w:t>
            </w:r>
            <w:r w:rsidRPr="00ED0AC5">
              <w:rPr>
                <w:rFonts w:ascii="Times New Roman" w:hAnsi="Times New Roman" w:cs="Times New Roman"/>
                <w:b w:val="0"/>
                <w:bCs w:val="0"/>
                <w:noProof/>
                <w:webHidden/>
                <w:sz w:val="24"/>
                <w:szCs w:val="24"/>
              </w:rPr>
              <w:fldChar w:fldCharType="end"/>
            </w:r>
          </w:hyperlink>
        </w:p>
        <w:p w14:paraId="2DD0ADEA" w14:textId="1FF5C7E2"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40" w:history="1">
            <w:r w:rsidRPr="00ED0AC5">
              <w:rPr>
                <w:rStyle w:val="Hyperlink"/>
                <w:rFonts w:ascii="Times New Roman" w:hAnsi="Times New Roman" w:cs="Times New Roman"/>
                <w:b w:val="0"/>
                <w:bCs w:val="0"/>
                <w:noProof/>
                <w:sz w:val="24"/>
                <w:szCs w:val="24"/>
                <w:lang w:eastAsia="en-GB" w:bidi="hi-IN"/>
              </w:rPr>
              <w:t>1.5 Research Objectives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_Toc240913040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13</w:t>
            </w:r>
            <w:r w:rsidRPr="00ED0AC5">
              <w:rPr>
                <w:rFonts w:ascii="Times New Roman" w:hAnsi="Times New Roman" w:cs="Times New Roman"/>
                <w:b w:val="0"/>
                <w:bCs w:val="0"/>
                <w:noProof/>
                <w:webHidden/>
                <w:sz w:val="24"/>
                <w:szCs w:val="24"/>
              </w:rPr>
              <w:fldChar w:fldCharType="end"/>
            </w:r>
          </w:hyperlink>
        </w:p>
        <w:p w14:paraId="39ACC62C" w14:textId="6D26C104"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41" w:history="1">
            <w:r w:rsidRPr="00ED0AC5">
              <w:rPr>
                <w:rStyle w:val="Hyperlink"/>
                <w:rFonts w:ascii="Times New Roman" w:hAnsi="Times New Roman" w:cs="Times New Roman"/>
                <w:b w:val="0"/>
                <w:bCs w:val="0"/>
                <w:noProof/>
                <w:sz w:val="24"/>
                <w:szCs w:val="24"/>
                <w:lang w:eastAsia="en-GB" w:bidi="hi-IN"/>
              </w:rPr>
              <w:t>1.6 Research Question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_Toc240913041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14</w:t>
            </w:r>
            <w:r w:rsidRPr="00ED0AC5">
              <w:rPr>
                <w:rFonts w:ascii="Times New Roman" w:hAnsi="Times New Roman" w:cs="Times New Roman"/>
                <w:b w:val="0"/>
                <w:bCs w:val="0"/>
                <w:noProof/>
                <w:webHidden/>
                <w:sz w:val="24"/>
                <w:szCs w:val="24"/>
              </w:rPr>
              <w:fldChar w:fldCharType="end"/>
            </w:r>
          </w:hyperlink>
        </w:p>
        <w:p w14:paraId="343B497F" w14:textId="414CED13"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42" w:history="1">
            <w:r w:rsidRPr="00ED0AC5">
              <w:rPr>
                <w:rStyle w:val="Hyperlink"/>
                <w:rFonts w:ascii="Times New Roman" w:hAnsi="Times New Roman" w:cs="Times New Roman"/>
                <w:b w:val="0"/>
                <w:bCs w:val="0"/>
                <w:i w:val="0"/>
                <w:iCs w:val="0"/>
                <w:noProof/>
              </w:rPr>
              <w:t>Chapter Two: Literature Review</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_Toc240913042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15</w:t>
            </w:r>
            <w:r w:rsidRPr="00ED0AC5">
              <w:rPr>
                <w:rFonts w:ascii="Times New Roman" w:hAnsi="Times New Roman" w:cs="Times New Roman"/>
                <w:b w:val="0"/>
                <w:bCs w:val="0"/>
                <w:i w:val="0"/>
                <w:iCs w:val="0"/>
                <w:noProof/>
                <w:webHidden/>
              </w:rPr>
              <w:fldChar w:fldCharType="end"/>
            </w:r>
          </w:hyperlink>
        </w:p>
        <w:p w14:paraId="617F59DD" w14:textId="25F6143A"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43" w:history="1">
            <w:r w:rsidRPr="00ED0AC5">
              <w:rPr>
                <w:rStyle w:val="Hyperlink"/>
                <w:rFonts w:ascii="Times New Roman" w:hAnsi="Times New Roman" w:cs="Times New Roman"/>
                <w:b w:val="0"/>
                <w:bCs w:val="0"/>
                <w:noProof/>
                <w:sz w:val="24"/>
                <w:szCs w:val="24"/>
              </w:rPr>
              <w:t>2.1 Introduction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_Toc240913043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15</w:t>
            </w:r>
            <w:r w:rsidRPr="00ED0AC5">
              <w:rPr>
                <w:rFonts w:ascii="Times New Roman" w:hAnsi="Times New Roman" w:cs="Times New Roman"/>
                <w:b w:val="0"/>
                <w:bCs w:val="0"/>
                <w:noProof/>
                <w:webHidden/>
                <w:sz w:val="24"/>
                <w:szCs w:val="24"/>
              </w:rPr>
              <w:fldChar w:fldCharType="end"/>
            </w:r>
          </w:hyperlink>
        </w:p>
        <w:p w14:paraId="6DA74D1F" w14:textId="0B505421"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44" w:history="1">
            <w:r w:rsidRPr="00ED0AC5">
              <w:rPr>
                <w:rStyle w:val="Hyperlink"/>
                <w:rFonts w:ascii="Times New Roman" w:hAnsi="Times New Roman" w:cs="Times New Roman"/>
                <w:b w:val="0"/>
                <w:bCs w:val="0"/>
                <w:noProof/>
                <w:sz w:val="24"/>
                <w:szCs w:val="24"/>
              </w:rPr>
              <w:t>2.2 Theoretical Foundations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_Toc240913044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15</w:t>
            </w:r>
            <w:r w:rsidRPr="00ED0AC5">
              <w:rPr>
                <w:rFonts w:ascii="Times New Roman" w:hAnsi="Times New Roman" w:cs="Times New Roman"/>
                <w:b w:val="0"/>
                <w:bCs w:val="0"/>
                <w:noProof/>
                <w:webHidden/>
                <w:sz w:val="24"/>
                <w:szCs w:val="24"/>
              </w:rPr>
              <w:fldChar w:fldCharType="end"/>
            </w:r>
          </w:hyperlink>
        </w:p>
        <w:p w14:paraId="4646964C" w14:textId="6DEFEB4F"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45" w:history="1">
            <w:r w:rsidRPr="00ED0AC5">
              <w:rPr>
                <w:rStyle w:val="Hyperlink"/>
                <w:rFonts w:ascii="Times New Roman" w:hAnsi="Times New Roman" w:cs="Times New Roman"/>
                <w:noProof/>
                <w:sz w:val="24"/>
                <w:szCs w:val="24"/>
              </w:rPr>
              <w:t>2.2.1 The Job Demands-Resources Model</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_Toc240913045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ED0AC5">
              <w:rPr>
                <w:rFonts w:ascii="Times New Roman" w:hAnsi="Times New Roman" w:cs="Times New Roman"/>
                <w:noProof/>
                <w:webHidden/>
                <w:sz w:val="24"/>
                <w:szCs w:val="24"/>
              </w:rPr>
              <w:fldChar w:fldCharType="end"/>
            </w:r>
          </w:hyperlink>
        </w:p>
        <w:p w14:paraId="1D00BB27" w14:textId="695EF618"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46" w:history="1">
            <w:r w:rsidRPr="00ED0AC5">
              <w:rPr>
                <w:rStyle w:val="Hyperlink"/>
                <w:rFonts w:ascii="Times New Roman" w:hAnsi="Times New Roman" w:cs="Times New Roman"/>
                <w:noProof/>
                <w:sz w:val="24"/>
                <w:szCs w:val="24"/>
              </w:rPr>
              <w:t>2.2.2 The Health-Impairment Process and Resource Depletion</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_Toc240913046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ED0AC5">
              <w:rPr>
                <w:rFonts w:ascii="Times New Roman" w:hAnsi="Times New Roman" w:cs="Times New Roman"/>
                <w:noProof/>
                <w:webHidden/>
                <w:sz w:val="24"/>
                <w:szCs w:val="24"/>
              </w:rPr>
              <w:fldChar w:fldCharType="end"/>
            </w:r>
          </w:hyperlink>
        </w:p>
        <w:p w14:paraId="40187CF8" w14:textId="4620027C"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47" w:history="1">
            <w:r w:rsidRPr="00ED0AC5">
              <w:rPr>
                <w:rStyle w:val="Hyperlink"/>
                <w:rFonts w:ascii="Times New Roman" w:hAnsi="Times New Roman" w:cs="Times New Roman"/>
                <w:noProof/>
                <w:sz w:val="24"/>
                <w:szCs w:val="24"/>
              </w:rPr>
              <w:t>2.2.3 The Motivational and Buffering Process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_Toc240913047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ED0AC5">
              <w:rPr>
                <w:rFonts w:ascii="Times New Roman" w:hAnsi="Times New Roman" w:cs="Times New Roman"/>
                <w:noProof/>
                <w:webHidden/>
                <w:sz w:val="24"/>
                <w:szCs w:val="24"/>
              </w:rPr>
              <w:fldChar w:fldCharType="end"/>
            </w:r>
          </w:hyperlink>
        </w:p>
        <w:p w14:paraId="067EF99C" w14:textId="51693D07"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48" w:history="1">
            <w:r w:rsidRPr="00ED0AC5">
              <w:rPr>
                <w:rStyle w:val="Hyperlink"/>
                <w:rFonts w:ascii="Times New Roman" w:hAnsi="Times New Roman" w:cs="Times New Roman"/>
                <w:noProof/>
                <w:sz w:val="24"/>
                <w:szCs w:val="24"/>
              </w:rPr>
              <w:t>2.2.4 Critique: Limitations of the JD-R Model in the Post-Pandemic NHS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_Toc240913048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ED0AC5">
              <w:rPr>
                <w:rFonts w:ascii="Times New Roman" w:hAnsi="Times New Roman" w:cs="Times New Roman"/>
                <w:noProof/>
                <w:webHidden/>
                <w:sz w:val="24"/>
                <w:szCs w:val="24"/>
              </w:rPr>
              <w:fldChar w:fldCharType="end"/>
            </w:r>
          </w:hyperlink>
        </w:p>
        <w:p w14:paraId="503A7C09" w14:textId="22C493F2"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49" w:history="1">
            <w:r w:rsidRPr="00ED0AC5">
              <w:rPr>
                <w:rStyle w:val="Hyperlink"/>
                <w:rFonts w:ascii="Times New Roman" w:hAnsi="Times New Roman" w:cs="Times New Roman"/>
                <w:b w:val="0"/>
                <w:bCs w:val="0"/>
                <w:noProof/>
                <w:sz w:val="24"/>
                <w:szCs w:val="24"/>
              </w:rPr>
              <w:t>2.3 The Multidimensional Nature of Work-Life Conflict in Healthcare</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_Toc240913049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19</w:t>
            </w:r>
            <w:r w:rsidRPr="00ED0AC5">
              <w:rPr>
                <w:rFonts w:ascii="Times New Roman" w:hAnsi="Times New Roman" w:cs="Times New Roman"/>
                <w:b w:val="0"/>
                <w:bCs w:val="0"/>
                <w:noProof/>
                <w:webHidden/>
                <w:sz w:val="24"/>
                <w:szCs w:val="24"/>
              </w:rPr>
              <w:fldChar w:fldCharType="end"/>
            </w:r>
          </w:hyperlink>
        </w:p>
        <w:p w14:paraId="6EB53F1B" w14:textId="5B316B34"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0" w:history="1">
            <w:r w:rsidRPr="00ED0AC5">
              <w:rPr>
                <w:rStyle w:val="Hyperlink"/>
                <w:rFonts w:ascii="Times New Roman" w:hAnsi="Times New Roman" w:cs="Times New Roman"/>
                <w:b w:val="0"/>
                <w:bCs w:val="0"/>
                <w:noProof/>
                <w:sz w:val="24"/>
                <w:szCs w:val="24"/>
              </w:rPr>
              <w:t>2.4 Work-Life Conflict as an Antecedent to Employee Turnover Intention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22</w:t>
            </w:r>
            <w:r w:rsidRPr="00ED0AC5">
              <w:rPr>
                <w:rFonts w:ascii="Times New Roman" w:hAnsi="Times New Roman" w:cs="Times New Roman"/>
                <w:b w:val="0"/>
                <w:bCs w:val="0"/>
                <w:noProof/>
                <w:webHidden/>
                <w:sz w:val="24"/>
                <w:szCs w:val="24"/>
              </w:rPr>
              <w:fldChar w:fldCharType="end"/>
            </w:r>
          </w:hyperlink>
        </w:p>
        <w:p w14:paraId="3A42E6D8" w14:textId="70BA8157"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1" w:history="1">
            <w:r w:rsidRPr="00ED0AC5">
              <w:rPr>
                <w:rStyle w:val="Hyperlink"/>
                <w:rFonts w:ascii="Times New Roman" w:hAnsi="Times New Roman" w:cs="Times New Roman"/>
                <w:b w:val="0"/>
                <w:bCs w:val="0"/>
                <w:noProof/>
                <w:sz w:val="24"/>
                <w:szCs w:val="24"/>
              </w:rPr>
              <w:t>2.5 The Moderating Role of Organisational Factors: Workload, Support, and Flexibility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_Toc240913051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25</w:t>
            </w:r>
            <w:r w:rsidRPr="00ED0AC5">
              <w:rPr>
                <w:rFonts w:ascii="Times New Roman" w:hAnsi="Times New Roman" w:cs="Times New Roman"/>
                <w:b w:val="0"/>
                <w:bCs w:val="0"/>
                <w:noProof/>
                <w:webHidden/>
                <w:sz w:val="24"/>
                <w:szCs w:val="24"/>
              </w:rPr>
              <w:fldChar w:fldCharType="end"/>
            </w:r>
          </w:hyperlink>
        </w:p>
        <w:p w14:paraId="339EC602" w14:textId="40228D4C"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2" w:history="1">
            <w:r w:rsidRPr="00ED0AC5">
              <w:rPr>
                <w:rStyle w:val="Hyperlink"/>
                <w:rFonts w:ascii="Times New Roman" w:hAnsi="Times New Roman" w:cs="Times New Roman"/>
                <w:b w:val="0"/>
                <w:bCs w:val="0"/>
                <w:noProof/>
                <w:sz w:val="24"/>
                <w:szCs w:val="24"/>
              </w:rPr>
              <w:t>2.6 Conceptual Framework and Hypotheses Development</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_Toc240913052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27</w:t>
            </w:r>
            <w:r w:rsidRPr="00ED0AC5">
              <w:rPr>
                <w:rFonts w:ascii="Times New Roman" w:hAnsi="Times New Roman" w:cs="Times New Roman"/>
                <w:b w:val="0"/>
                <w:bCs w:val="0"/>
                <w:noProof/>
                <w:webHidden/>
                <w:sz w:val="24"/>
                <w:szCs w:val="24"/>
              </w:rPr>
              <w:fldChar w:fldCharType="end"/>
            </w:r>
          </w:hyperlink>
        </w:p>
        <w:p w14:paraId="6D1F16E3" w14:textId="1A652046"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53" w:history="1">
            <w:r w:rsidRPr="00ED0AC5">
              <w:rPr>
                <w:rStyle w:val="Hyperlink"/>
                <w:rFonts w:ascii="Times New Roman" w:hAnsi="Times New Roman" w:cs="Times New Roman"/>
                <w:b w:val="0"/>
                <w:bCs w:val="0"/>
                <w:i w:val="0"/>
                <w:iCs w:val="0"/>
                <w:noProof/>
              </w:rPr>
              <w:t>Chapter 3: Methodology</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_Toc240913053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30</w:t>
            </w:r>
            <w:r w:rsidRPr="00ED0AC5">
              <w:rPr>
                <w:rFonts w:ascii="Times New Roman" w:hAnsi="Times New Roman" w:cs="Times New Roman"/>
                <w:b w:val="0"/>
                <w:bCs w:val="0"/>
                <w:i w:val="0"/>
                <w:iCs w:val="0"/>
                <w:noProof/>
                <w:webHidden/>
              </w:rPr>
              <w:fldChar w:fldCharType="end"/>
            </w:r>
          </w:hyperlink>
        </w:p>
        <w:p w14:paraId="5CBDEC56" w14:textId="2762F334"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4" w:history="1">
            <w:r w:rsidRPr="00ED0AC5">
              <w:rPr>
                <w:rStyle w:val="Hyperlink"/>
                <w:rFonts w:ascii="Times New Roman" w:hAnsi="Times New Roman" w:cs="Times New Roman"/>
                <w:b w:val="0"/>
                <w:bCs w:val="0"/>
                <w:noProof/>
                <w:sz w:val="24"/>
                <w:szCs w:val="24"/>
              </w:rPr>
              <w:t>3.1 Introduction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_Toc240913054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30</w:t>
            </w:r>
            <w:r w:rsidRPr="00ED0AC5">
              <w:rPr>
                <w:rFonts w:ascii="Times New Roman" w:hAnsi="Times New Roman" w:cs="Times New Roman"/>
                <w:b w:val="0"/>
                <w:bCs w:val="0"/>
                <w:noProof/>
                <w:webHidden/>
                <w:sz w:val="24"/>
                <w:szCs w:val="24"/>
              </w:rPr>
              <w:fldChar w:fldCharType="end"/>
            </w:r>
          </w:hyperlink>
        </w:p>
        <w:p w14:paraId="7D209267" w14:textId="45B6FD88"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5" w:history="1">
            <w:r w:rsidRPr="00ED0AC5">
              <w:rPr>
                <w:rStyle w:val="Hyperlink"/>
                <w:rFonts w:ascii="Times New Roman" w:hAnsi="Times New Roman" w:cs="Times New Roman"/>
                <w:b w:val="0"/>
                <w:bCs w:val="0"/>
                <w:noProof/>
                <w:sz w:val="24"/>
                <w:szCs w:val="24"/>
              </w:rPr>
              <w:t>3.2 Research Paradigm and Philosophy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_Toc240913055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30</w:t>
            </w:r>
            <w:r w:rsidRPr="00ED0AC5">
              <w:rPr>
                <w:rFonts w:ascii="Times New Roman" w:hAnsi="Times New Roman" w:cs="Times New Roman"/>
                <w:b w:val="0"/>
                <w:bCs w:val="0"/>
                <w:noProof/>
                <w:webHidden/>
                <w:sz w:val="24"/>
                <w:szCs w:val="24"/>
              </w:rPr>
              <w:fldChar w:fldCharType="end"/>
            </w:r>
          </w:hyperlink>
        </w:p>
        <w:p w14:paraId="659D8096" w14:textId="7F3AA137"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6" w:history="1">
            <w:r w:rsidRPr="00ED0AC5">
              <w:rPr>
                <w:rStyle w:val="Hyperlink"/>
                <w:rFonts w:ascii="Times New Roman" w:hAnsi="Times New Roman" w:cs="Times New Roman"/>
                <w:b w:val="0"/>
                <w:bCs w:val="0"/>
                <w:noProof/>
                <w:sz w:val="24"/>
                <w:szCs w:val="24"/>
              </w:rPr>
              <w:t>3.3 Research Design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_Toc240913056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31</w:t>
            </w:r>
            <w:r w:rsidRPr="00ED0AC5">
              <w:rPr>
                <w:rFonts w:ascii="Times New Roman" w:hAnsi="Times New Roman" w:cs="Times New Roman"/>
                <w:b w:val="0"/>
                <w:bCs w:val="0"/>
                <w:noProof/>
                <w:webHidden/>
                <w:sz w:val="24"/>
                <w:szCs w:val="24"/>
              </w:rPr>
              <w:fldChar w:fldCharType="end"/>
            </w:r>
          </w:hyperlink>
        </w:p>
        <w:p w14:paraId="665AEE67" w14:textId="6768DA6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7" w:history="1">
            <w:r w:rsidRPr="00ED0AC5">
              <w:rPr>
                <w:rStyle w:val="Hyperlink"/>
                <w:rFonts w:ascii="Times New Roman" w:hAnsi="Times New Roman" w:cs="Times New Roman"/>
                <w:b w:val="0"/>
                <w:bCs w:val="0"/>
                <w:noProof/>
                <w:sz w:val="24"/>
                <w:szCs w:val="24"/>
              </w:rPr>
              <w:t>3.4 Data Collection and Instruments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_Toc240913057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32</w:t>
            </w:r>
            <w:r w:rsidRPr="00ED0AC5">
              <w:rPr>
                <w:rFonts w:ascii="Times New Roman" w:hAnsi="Times New Roman" w:cs="Times New Roman"/>
                <w:b w:val="0"/>
                <w:bCs w:val="0"/>
                <w:noProof/>
                <w:webHidden/>
                <w:sz w:val="24"/>
                <w:szCs w:val="24"/>
              </w:rPr>
              <w:fldChar w:fldCharType="end"/>
            </w:r>
          </w:hyperlink>
        </w:p>
        <w:p w14:paraId="4978E58C" w14:textId="1A58BAAD"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8" w:history="1">
            <w:r w:rsidRPr="00ED0AC5">
              <w:rPr>
                <w:rStyle w:val="Hyperlink"/>
                <w:rFonts w:ascii="Times New Roman" w:hAnsi="Times New Roman" w:cs="Times New Roman"/>
                <w:b w:val="0"/>
                <w:bCs w:val="0"/>
                <w:noProof/>
                <w:sz w:val="24"/>
                <w:szCs w:val="24"/>
              </w:rPr>
              <w:t>3.5 Population and Sampling Strategy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_Toc240913058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32</w:t>
            </w:r>
            <w:r w:rsidRPr="00ED0AC5">
              <w:rPr>
                <w:rFonts w:ascii="Times New Roman" w:hAnsi="Times New Roman" w:cs="Times New Roman"/>
                <w:b w:val="0"/>
                <w:bCs w:val="0"/>
                <w:noProof/>
                <w:webHidden/>
                <w:sz w:val="24"/>
                <w:szCs w:val="24"/>
              </w:rPr>
              <w:fldChar w:fldCharType="end"/>
            </w:r>
          </w:hyperlink>
        </w:p>
        <w:p w14:paraId="3E0AF690" w14:textId="2C5BBAA0"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59" w:history="1">
            <w:r w:rsidRPr="00ED0AC5">
              <w:rPr>
                <w:rStyle w:val="Hyperlink"/>
                <w:rFonts w:ascii="Times New Roman" w:hAnsi="Times New Roman" w:cs="Times New Roman"/>
                <w:b w:val="0"/>
                <w:bCs w:val="0"/>
                <w:noProof/>
                <w:sz w:val="24"/>
                <w:szCs w:val="24"/>
              </w:rPr>
              <w:t>3.6 Data Analysis Procedures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_Toc240913059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33</w:t>
            </w:r>
            <w:r w:rsidRPr="00ED0AC5">
              <w:rPr>
                <w:rFonts w:ascii="Times New Roman" w:hAnsi="Times New Roman" w:cs="Times New Roman"/>
                <w:b w:val="0"/>
                <w:bCs w:val="0"/>
                <w:noProof/>
                <w:webHidden/>
                <w:sz w:val="24"/>
                <w:szCs w:val="24"/>
              </w:rPr>
              <w:fldChar w:fldCharType="end"/>
            </w:r>
          </w:hyperlink>
        </w:p>
        <w:p w14:paraId="45A1CFD3" w14:textId="3F83BA31"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60" w:history="1">
            <w:r w:rsidRPr="00ED0AC5">
              <w:rPr>
                <w:rStyle w:val="Hyperlink"/>
                <w:rFonts w:ascii="Times New Roman" w:hAnsi="Times New Roman" w:cs="Times New Roman"/>
                <w:b w:val="0"/>
                <w:bCs w:val="0"/>
                <w:noProof/>
                <w:sz w:val="24"/>
                <w:szCs w:val="24"/>
              </w:rPr>
              <w:t>3.7 Reliability and Validity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_Toc240913060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34</w:t>
            </w:r>
            <w:r w:rsidRPr="00ED0AC5">
              <w:rPr>
                <w:rFonts w:ascii="Times New Roman" w:hAnsi="Times New Roman" w:cs="Times New Roman"/>
                <w:b w:val="0"/>
                <w:bCs w:val="0"/>
                <w:noProof/>
                <w:webHidden/>
                <w:sz w:val="24"/>
                <w:szCs w:val="24"/>
              </w:rPr>
              <w:fldChar w:fldCharType="end"/>
            </w:r>
          </w:hyperlink>
        </w:p>
        <w:p w14:paraId="6BAE9F80" w14:textId="52304266"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61" w:history="1">
            <w:r w:rsidRPr="00ED0AC5">
              <w:rPr>
                <w:rStyle w:val="Hyperlink"/>
                <w:rFonts w:ascii="Times New Roman" w:hAnsi="Times New Roman" w:cs="Times New Roman"/>
                <w:b w:val="0"/>
                <w:bCs w:val="0"/>
                <w:noProof/>
                <w:sz w:val="24"/>
                <w:szCs w:val="24"/>
              </w:rPr>
              <w:t>3.8 Research Ethics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_Toc240913061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35</w:t>
            </w:r>
            <w:r w:rsidRPr="00ED0AC5">
              <w:rPr>
                <w:rFonts w:ascii="Times New Roman" w:hAnsi="Times New Roman" w:cs="Times New Roman"/>
                <w:b w:val="0"/>
                <w:bCs w:val="0"/>
                <w:noProof/>
                <w:webHidden/>
                <w:sz w:val="24"/>
                <w:szCs w:val="24"/>
              </w:rPr>
              <w:fldChar w:fldCharType="end"/>
            </w:r>
          </w:hyperlink>
        </w:p>
        <w:p w14:paraId="2529E724" w14:textId="0BF6C1FE"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62" w:history="1">
            <w:r w:rsidRPr="00ED0AC5">
              <w:rPr>
                <w:rStyle w:val="Hyperlink"/>
                <w:rFonts w:ascii="Times New Roman" w:hAnsi="Times New Roman" w:cs="Times New Roman"/>
                <w:b w:val="0"/>
                <w:bCs w:val="0"/>
                <w:noProof/>
                <w:sz w:val="24"/>
                <w:szCs w:val="24"/>
              </w:rPr>
              <w:t>3.9 Limitations of the Methodology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_Toc240913062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35</w:t>
            </w:r>
            <w:r w:rsidRPr="00ED0AC5">
              <w:rPr>
                <w:rFonts w:ascii="Times New Roman" w:hAnsi="Times New Roman" w:cs="Times New Roman"/>
                <w:b w:val="0"/>
                <w:bCs w:val="0"/>
                <w:noProof/>
                <w:webHidden/>
                <w:sz w:val="24"/>
                <w:szCs w:val="24"/>
              </w:rPr>
              <w:fldChar w:fldCharType="end"/>
            </w:r>
          </w:hyperlink>
        </w:p>
        <w:p w14:paraId="53950A72" w14:textId="14206A70"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63" w:history="1">
            <w:r w:rsidRPr="00ED0AC5">
              <w:rPr>
                <w:rStyle w:val="Hyperlink"/>
                <w:rFonts w:ascii="Times New Roman" w:hAnsi="Times New Roman" w:cs="Times New Roman"/>
                <w:b w:val="0"/>
                <w:bCs w:val="0"/>
                <w:i w:val="0"/>
                <w:iCs w:val="0"/>
                <w:noProof/>
              </w:rPr>
              <w:t>Chapter Four: Findings and Discussion</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_Toc240913063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37</w:t>
            </w:r>
            <w:r w:rsidRPr="00ED0AC5">
              <w:rPr>
                <w:rFonts w:ascii="Times New Roman" w:hAnsi="Times New Roman" w:cs="Times New Roman"/>
                <w:b w:val="0"/>
                <w:bCs w:val="0"/>
                <w:i w:val="0"/>
                <w:iCs w:val="0"/>
                <w:noProof/>
                <w:webHidden/>
              </w:rPr>
              <w:fldChar w:fldCharType="end"/>
            </w:r>
          </w:hyperlink>
        </w:p>
        <w:p w14:paraId="17BEA45D" w14:textId="25A1918C"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64" w:history="1">
            <w:r w:rsidRPr="00ED0AC5">
              <w:rPr>
                <w:rStyle w:val="Hyperlink"/>
                <w:rFonts w:ascii="Times New Roman" w:hAnsi="Times New Roman" w:cs="Times New Roman"/>
                <w:b w:val="0"/>
                <w:bCs w:val="0"/>
                <w:noProof/>
                <w:sz w:val="24"/>
                <w:szCs w:val="24"/>
              </w:rPr>
              <w:t>4.1 Introduction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_Toc240913064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37</w:t>
            </w:r>
            <w:r w:rsidRPr="00ED0AC5">
              <w:rPr>
                <w:rFonts w:ascii="Times New Roman" w:hAnsi="Times New Roman" w:cs="Times New Roman"/>
                <w:b w:val="0"/>
                <w:bCs w:val="0"/>
                <w:noProof/>
                <w:webHidden/>
                <w:sz w:val="24"/>
                <w:szCs w:val="24"/>
              </w:rPr>
              <w:fldChar w:fldCharType="end"/>
            </w:r>
          </w:hyperlink>
        </w:p>
        <w:p w14:paraId="07B43B50" w14:textId="79CC9B81"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65" w:history="1">
            <w:r w:rsidRPr="00ED0AC5">
              <w:rPr>
                <w:rStyle w:val="Hyperlink"/>
                <w:rFonts w:ascii="Times New Roman" w:hAnsi="Times New Roman" w:cs="Times New Roman"/>
                <w:b w:val="0"/>
                <w:bCs w:val="0"/>
                <w:noProof/>
                <w:sz w:val="24"/>
                <w:szCs w:val="24"/>
              </w:rPr>
              <w:t>4.2 Findings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_Toc240913065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37</w:t>
            </w:r>
            <w:r w:rsidRPr="00ED0AC5">
              <w:rPr>
                <w:rFonts w:ascii="Times New Roman" w:hAnsi="Times New Roman" w:cs="Times New Roman"/>
                <w:b w:val="0"/>
                <w:bCs w:val="0"/>
                <w:noProof/>
                <w:webHidden/>
                <w:sz w:val="24"/>
                <w:szCs w:val="24"/>
              </w:rPr>
              <w:fldChar w:fldCharType="end"/>
            </w:r>
          </w:hyperlink>
        </w:p>
        <w:p w14:paraId="28541008" w14:textId="1789919D"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66" w:history="1">
            <w:r w:rsidRPr="00ED0AC5">
              <w:rPr>
                <w:rStyle w:val="Hyperlink"/>
                <w:rFonts w:ascii="Times New Roman" w:hAnsi="Times New Roman" w:cs="Times New Roman"/>
                <w:noProof/>
                <w:sz w:val="24"/>
                <w:szCs w:val="24"/>
              </w:rPr>
              <w:t>4.2.1 Demographic Findings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_Toc240913066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37</w:t>
            </w:r>
            <w:r w:rsidRPr="00ED0AC5">
              <w:rPr>
                <w:rFonts w:ascii="Times New Roman" w:hAnsi="Times New Roman" w:cs="Times New Roman"/>
                <w:noProof/>
                <w:webHidden/>
                <w:sz w:val="24"/>
                <w:szCs w:val="24"/>
              </w:rPr>
              <w:fldChar w:fldCharType="end"/>
            </w:r>
          </w:hyperlink>
        </w:p>
        <w:p w14:paraId="3BF7BD93" w14:textId="12207C53"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67" w:history="1">
            <w:r w:rsidRPr="00ED0AC5">
              <w:rPr>
                <w:rStyle w:val="Hyperlink"/>
                <w:rFonts w:ascii="Times New Roman" w:hAnsi="Times New Roman" w:cs="Times New Roman"/>
                <w:noProof/>
                <w:sz w:val="24"/>
                <w:szCs w:val="24"/>
              </w:rPr>
              <w:t>4.2.2 Reliability Test</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_Toc240913067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sidRPr="00ED0AC5">
              <w:rPr>
                <w:rFonts w:ascii="Times New Roman" w:hAnsi="Times New Roman" w:cs="Times New Roman"/>
                <w:noProof/>
                <w:webHidden/>
                <w:sz w:val="24"/>
                <w:szCs w:val="24"/>
              </w:rPr>
              <w:fldChar w:fldCharType="end"/>
            </w:r>
          </w:hyperlink>
        </w:p>
        <w:p w14:paraId="2A3092DC" w14:textId="6BB0CC33"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68" w:history="1">
            <w:r w:rsidRPr="00ED0AC5">
              <w:rPr>
                <w:rStyle w:val="Hyperlink"/>
                <w:rFonts w:ascii="Times New Roman" w:hAnsi="Times New Roman" w:cs="Times New Roman"/>
                <w:noProof/>
                <w:sz w:val="24"/>
                <w:szCs w:val="24"/>
              </w:rPr>
              <w:t>4.2.3 Descriptive Analysis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_Toc240913068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sidRPr="00ED0AC5">
              <w:rPr>
                <w:rFonts w:ascii="Times New Roman" w:hAnsi="Times New Roman" w:cs="Times New Roman"/>
                <w:noProof/>
                <w:webHidden/>
                <w:sz w:val="24"/>
                <w:szCs w:val="24"/>
              </w:rPr>
              <w:fldChar w:fldCharType="end"/>
            </w:r>
          </w:hyperlink>
        </w:p>
        <w:p w14:paraId="247ECF53" w14:textId="46257FF5"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69" w:history="1">
            <w:r w:rsidRPr="00ED0AC5">
              <w:rPr>
                <w:rStyle w:val="Hyperlink"/>
                <w:rFonts w:ascii="Times New Roman" w:hAnsi="Times New Roman" w:cs="Times New Roman"/>
                <w:noProof/>
                <w:sz w:val="24"/>
                <w:szCs w:val="24"/>
              </w:rPr>
              <w:t>4.2.4 Inferential Analysis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_Toc240913069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45</w:t>
            </w:r>
            <w:r w:rsidRPr="00ED0AC5">
              <w:rPr>
                <w:rFonts w:ascii="Times New Roman" w:hAnsi="Times New Roman" w:cs="Times New Roman"/>
                <w:noProof/>
                <w:webHidden/>
                <w:sz w:val="24"/>
                <w:szCs w:val="24"/>
              </w:rPr>
              <w:fldChar w:fldCharType="end"/>
            </w:r>
          </w:hyperlink>
        </w:p>
        <w:p w14:paraId="2FE46EFB" w14:textId="59F90031"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70" w:history="1">
            <w:r w:rsidRPr="00ED0AC5">
              <w:rPr>
                <w:rStyle w:val="Hyperlink"/>
                <w:rFonts w:ascii="Times New Roman" w:eastAsia="Times New Roman" w:hAnsi="Times New Roman" w:cs="Times New Roman"/>
                <w:b w:val="0"/>
                <w:bCs w:val="0"/>
                <w:noProof/>
                <w:sz w:val="24"/>
                <w:szCs w:val="24"/>
                <w:lang w:eastAsia="en-GB" w:bidi="hi-IN"/>
              </w:rPr>
              <w:t>4.5 Discussion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_Toc240913070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49</w:t>
            </w:r>
            <w:r w:rsidRPr="00ED0AC5">
              <w:rPr>
                <w:rFonts w:ascii="Times New Roman" w:hAnsi="Times New Roman" w:cs="Times New Roman"/>
                <w:b w:val="0"/>
                <w:bCs w:val="0"/>
                <w:noProof/>
                <w:webHidden/>
                <w:sz w:val="24"/>
                <w:szCs w:val="24"/>
              </w:rPr>
              <w:fldChar w:fldCharType="end"/>
            </w:r>
          </w:hyperlink>
        </w:p>
        <w:p w14:paraId="69826621" w14:textId="6D2D909F"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71" w:history="1">
            <w:r w:rsidRPr="00ED0AC5">
              <w:rPr>
                <w:rStyle w:val="Hyperlink"/>
                <w:rFonts w:ascii="Times New Roman" w:eastAsia="Times New Roman" w:hAnsi="Times New Roman" w:cs="Times New Roman"/>
                <w:noProof/>
                <w:sz w:val="24"/>
                <w:szCs w:val="24"/>
                <w:lang w:eastAsia="en-GB" w:bidi="hi-IN"/>
              </w:rPr>
              <w:t>4.5.1 The Pervasiveness of Multidimensional Work-Life Conflict</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_Toc240913071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50</w:t>
            </w:r>
            <w:r w:rsidRPr="00ED0AC5">
              <w:rPr>
                <w:rFonts w:ascii="Times New Roman" w:hAnsi="Times New Roman" w:cs="Times New Roman"/>
                <w:noProof/>
                <w:webHidden/>
                <w:sz w:val="24"/>
                <w:szCs w:val="24"/>
              </w:rPr>
              <w:fldChar w:fldCharType="end"/>
            </w:r>
          </w:hyperlink>
        </w:p>
        <w:p w14:paraId="4A94DCC0" w14:textId="3B50C899"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72" w:history="1">
            <w:r w:rsidRPr="00ED0AC5">
              <w:rPr>
                <w:rStyle w:val="Hyperlink"/>
                <w:rFonts w:ascii="Times New Roman" w:eastAsia="Times New Roman" w:hAnsi="Times New Roman" w:cs="Times New Roman"/>
                <w:noProof/>
                <w:sz w:val="24"/>
                <w:szCs w:val="24"/>
                <w:lang w:eastAsia="en-GB" w:bidi="hi-IN"/>
              </w:rPr>
              <w:t>4.5.2 Evaluating the Impact of WLC Dimensions on Turnover Intention</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_Toc240913072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51</w:t>
            </w:r>
            <w:r w:rsidRPr="00ED0AC5">
              <w:rPr>
                <w:rFonts w:ascii="Times New Roman" w:hAnsi="Times New Roman" w:cs="Times New Roman"/>
                <w:noProof/>
                <w:webHidden/>
                <w:sz w:val="24"/>
                <w:szCs w:val="24"/>
              </w:rPr>
              <w:fldChar w:fldCharType="end"/>
            </w:r>
          </w:hyperlink>
        </w:p>
        <w:p w14:paraId="4BE586A5" w14:textId="346DB766"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73" w:history="1">
            <w:r w:rsidRPr="00ED0AC5">
              <w:rPr>
                <w:rStyle w:val="Hyperlink"/>
                <w:rFonts w:ascii="Times New Roman" w:eastAsia="Times New Roman" w:hAnsi="Times New Roman" w:cs="Times New Roman"/>
                <w:noProof/>
                <w:sz w:val="24"/>
                <w:szCs w:val="24"/>
                <w:lang w:eastAsia="en-GB" w:bidi="hi-IN"/>
              </w:rPr>
              <w:t>4.5.3 The Collapse of the JD-R Buffering Hypothesis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_Toc240913073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52</w:t>
            </w:r>
            <w:r w:rsidRPr="00ED0AC5">
              <w:rPr>
                <w:rFonts w:ascii="Times New Roman" w:hAnsi="Times New Roman" w:cs="Times New Roman"/>
                <w:noProof/>
                <w:webHidden/>
                <w:sz w:val="24"/>
                <w:szCs w:val="24"/>
              </w:rPr>
              <w:fldChar w:fldCharType="end"/>
            </w:r>
          </w:hyperlink>
        </w:p>
        <w:p w14:paraId="3F6B3A10" w14:textId="540F533C"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74" w:history="1">
            <w:r w:rsidRPr="00ED0AC5">
              <w:rPr>
                <w:rStyle w:val="Hyperlink"/>
                <w:rFonts w:ascii="Times New Roman" w:eastAsia="Times New Roman" w:hAnsi="Times New Roman" w:cs="Times New Roman"/>
                <w:noProof/>
                <w:sz w:val="24"/>
                <w:szCs w:val="24"/>
                <w:lang w:eastAsia="en-GB" w:bidi="hi-IN"/>
              </w:rPr>
              <w:t>4.5.4 Implications and Evidence-Based Retention Recommendations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_Toc240913074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54</w:t>
            </w:r>
            <w:r w:rsidRPr="00ED0AC5">
              <w:rPr>
                <w:rFonts w:ascii="Times New Roman" w:hAnsi="Times New Roman" w:cs="Times New Roman"/>
                <w:noProof/>
                <w:webHidden/>
                <w:sz w:val="24"/>
                <w:szCs w:val="24"/>
              </w:rPr>
              <w:fldChar w:fldCharType="end"/>
            </w:r>
          </w:hyperlink>
        </w:p>
        <w:p w14:paraId="0F9F54A7" w14:textId="6DF43D62" w:rsidR="00ED0AC5" w:rsidRPr="00ED0AC5" w:rsidRDefault="00ED0AC5" w:rsidP="00ED0AC5">
          <w:pPr>
            <w:pStyle w:val="TOC3"/>
            <w:tabs>
              <w:tab w:val="right" w:leader="dot" w:pos="9016"/>
            </w:tabs>
            <w:spacing w:after="160" w:line="360" w:lineRule="auto"/>
            <w:rPr>
              <w:rFonts w:ascii="Times New Roman" w:eastAsiaTheme="minorEastAsia" w:hAnsi="Times New Roman" w:cs="Times New Roman"/>
              <w:noProof/>
              <w:color w:val="auto"/>
              <w:kern w:val="0"/>
              <w:sz w:val="24"/>
              <w:szCs w:val="24"/>
              <w:lang w:eastAsia="en-GB" w:bidi="ar-SA"/>
              <w14:ligatures w14:val="none"/>
            </w:rPr>
          </w:pPr>
          <w:hyperlink w:anchor="_Toc240913075" w:history="1">
            <w:r w:rsidRPr="00ED0AC5">
              <w:rPr>
                <w:rStyle w:val="Hyperlink"/>
                <w:rFonts w:ascii="Times New Roman" w:eastAsia="Times New Roman" w:hAnsi="Times New Roman" w:cs="Times New Roman"/>
                <w:noProof/>
                <w:sz w:val="24"/>
                <w:szCs w:val="24"/>
                <w:lang w:eastAsia="en-GB" w:bidi="hi-IN"/>
              </w:rPr>
              <w:t>4.5.5 Methodological Limitations</w:t>
            </w:r>
            <w:r w:rsidRPr="00ED0AC5">
              <w:rPr>
                <w:rFonts w:ascii="Times New Roman" w:hAnsi="Times New Roman" w:cs="Times New Roman"/>
                <w:noProof/>
                <w:webHidden/>
                <w:sz w:val="24"/>
                <w:szCs w:val="24"/>
              </w:rPr>
              <w:tab/>
            </w:r>
            <w:r w:rsidRPr="00ED0AC5">
              <w:rPr>
                <w:rFonts w:ascii="Times New Roman" w:hAnsi="Times New Roman" w:cs="Times New Roman"/>
                <w:noProof/>
                <w:webHidden/>
                <w:sz w:val="24"/>
                <w:szCs w:val="24"/>
              </w:rPr>
              <w:fldChar w:fldCharType="begin"/>
            </w:r>
            <w:r w:rsidRPr="00ED0AC5">
              <w:rPr>
                <w:rFonts w:ascii="Times New Roman" w:hAnsi="Times New Roman" w:cs="Times New Roman"/>
                <w:noProof/>
                <w:webHidden/>
                <w:sz w:val="24"/>
                <w:szCs w:val="24"/>
              </w:rPr>
              <w:instrText xml:space="preserve"> PAGEREF _Toc240913075 \h </w:instrText>
            </w:r>
            <w:r w:rsidRPr="00ED0AC5">
              <w:rPr>
                <w:rFonts w:ascii="Times New Roman" w:hAnsi="Times New Roman" w:cs="Times New Roman"/>
                <w:noProof/>
                <w:webHidden/>
                <w:sz w:val="24"/>
                <w:szCs w:val="24"/>
              </w:rPr>
            </w:r>
            <w:r w:rsidRPr="00ED0A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55</w:t>
            </w:r>
            <w:r w:rsidRPr="00ED0AC5">
              <w:rPr>
                <w:rFonts w:ascii="Times New Roman" w:hAnsi="Times New Roman" w:cs="Times New Roman"/>
                <w:noProof/>
                <w:webHidden/>
                <w:sz w:val="24"/>
                <w:szCs w:val="24"/>
              </w:rPr>
              <w:fldChar w:fldCharType="end"/>
            </w:r>
          </w:hyperlink>
        </w:p>
        <w:p w14:paraId="6E7F402A" w14:textId="379CB89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76" w:history="1">
            <w:r w:rsidRPr="00ED0AC5">
              <w:rPr>
                <w:rStyle w:val="Hyperlink"/>
                <w:rFonts w:ascii="Times New Roman" w:eastAsia="Times New Roman" w:hAnsi="Times New Roman" w:cs="Times New Roman"/>
                <w:b w:val="0"/>
                <w:bCs w:val="0"/>
                <w:noProof/>
                <w:sz w:val="24"/>
                <w:szCs w:val="24"/>
                <w:lang w:eastAsia="en-GB" w:bidi="hi-IN"/>
              </w:rPr>
              <w:t>4.6 Chapter Summary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_Toc240913076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55</w:t>
            </w:r>
            <w:r w:rsidRPr="00ED0AC5">
              <w:rPr>
                <w:rFonts w:ascii="Times New Roman" w:hAnsi="Times New Roman" w:cs="Times New Roman"/>
                <w:b w:val="0"/>
                <w:bCs w:val="0"/>
                <w:noProof/>
                <w:webHidden/>
                <w:sz w:val="24"/>
                <w:szCs w:val="24"/>
              </w:rPr>
              <w:fldChar w:fldCharType="end"/>
            </w:r>
          </w:hyperlink>
        </w:p>
        <w:p w14:paraId="22CD7FA0" w14:textId="0C1AF860"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77" w:history="1">
            <w:r w:rsidRPr="00ED0AC5">
              <w:rPr>
                <w:rStyle w:val="Hyperlink"/>
                <w:rFonts w:ascii="Times New Roman" w:hAnsi="Times New Roman" w:cs="Times New Roman"/>
                <w:b w:val="0"/>
                <w:bCs w:val="0"/>
                <w:i w:val="0"/>
                <w:iCs w:val="0"/>
                <w:noProof/>
                <w:lang w:eastAsia="en-GB" w:bidi="hi-IN"/>
              </w:rPr>
              <w:t>Chapter Five: Conclusions and Recommendations</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_Toc240913077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57</w:t>
            </w:r>
            <w:r w:rsidRPr="00ED0AC5">
              <w:rPr>
                <w:rFonts w:ascii="Times New Roman" w:hAnsi="Times New Roman" w:cs="Times New Roman"/>
                <w:b w:val="0"/>
                <w:bCs w:val="0"/>
                <w:i w:val="0"/>
                <w:iCs w:val="0"/>
                <w:noProof/>
                <w:webHidden/>
              </w:rPr>
              <w:fldChar w:fldCharType="end"/>
            </w:r>
          </w:hyperlink>
        </w:p>
        <w:p w14:paraId="40A5D40C" w14:textId="6B9F62A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78" w:history="1">
            <w:r w:rsidRPr="00ED0AC5">
              <w:rPr>
                <w:rStyle w:val="Hyperlink"/>
                <w:rFonts w:ascii="Times New Roman" w:hAnsi="Times New Roman" w:cs="Times New Roman"/>
                <w:b w:val="0"/>
                <w:bCs w:val="0"/>
                <w:noProof/>
                <w:sz w:val="24"/>
                <w:szCs w:val="24"/>
                <w:lang w:eastAsia="en-GB" w:bidi="hi-IN"/>
              </w:rPr>
              <w:t>5.1 Introduction</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_Toc240913078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57</w:t>
            </w:r>
            <w:r w:rsidRPr="00ED0AC5">
              <w:rPr>
                <w:rFonts w:ascii="Times New Roman" w:hAnsi="Times New Roman" w:cs="Times New Roman"/>
                <w:b w:val="0"/>
                <w:bCs w:val="0"/>
                <w:noProof/>
                <w:webHidden/>
                <w:sz w:val="24"/>
                <w:szCs w:val="24"/>
              </w:rPr>
              <w:fldChar w:fldCharType="end"/>
            </w:r>
          </w:hyperlink>
        </w:p>
        <w:p w14:paraId="34C4AFAB" w14:textId="12059D13"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79" w:history="1">
            <w:r w:rsidRPr="00ED0AC5">
              <w:rPr>
                <w:rStyle w:val="Hyperlink"/>
                <w:rFonts w:ascii="Times New Roman" w:hAnsi="Times New Roman" w:cs="Times New Roman"/>
                <w:b w:val="0"/>
                <w:bCs w:val="0"/>
                <w:noProof/>
                <w:sz w:val="24"/>
                <w:szCs w:val="24"/>
                <w:lang w:eastAsia="en-GB" w:bidi="hi-IN"/>
              </w:rPr>
              <w:t>5.2 Summary of Conclusions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_Toc240913079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57</w:t>
            </w:r>
            <w:r w:rsidRPr="00ED0AC5">
              <w:rPr>
                <w:rFonts w:ascii="Times New Roman" w:hAnsi="Times New Roman" w:cs="Times New Roman"/>
                <w:b w:val="0"/>
                <w:bCs w:val="0"/>
                <w:noProof/>
                <w:webHidden/>
                <w:sz w:val="24"/>
                <w:szCs w:val="24"/>
              </w:rPr>
              <w:fldChar w:fldCharType="end"/>
            </w:r>
          </w:hyperlink>
        </w:p>
        <w:p w14:paraId="78940EC1" w14:textId="2F10C26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0" w:history="1">
            <w:r w:rsidRPr="00ED0AC5">
              <w:rPr>
                <w:rStyle w:val="Hyperlink"/>
                <w:rFonts w:ascii="Times New Roman" w:hAnsi="Times New Roman" w:cs="Times New Roman"/>
                <w:b w:val="0"/>
                <w:bCs w:val="0"/>
                <w:noProof/>
                <w:sz w:val="24"/>
                <w:szCs w:val="24"/>
                <w:lang w:eastAsia="en-GB" w:bidi="hi-IN"/>
              </w:rPr>
              <w:t>5.3 Achievement of the Research Objectives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58</w:t>
            </w:r>
            <w:r w:rsidRPr="00ED0AC5">
              <w:rPr>
                <w:rFonts w:ascii="Times New Roman" w:hAnsi="Times New Roman" w:cs="Times New Roman"/>
                <w:b w:val="0"/>
                <w:bCs w:val="0"/>
                <w:noProof/>
                <w:webHidden/>
                <w:sz w:val="24"/>
                <w:szCs w:val="24"/>
              </w:rPr>
              <w:fldChar w:fldCharType="end"/>
            </w:r>
          </w:hyperlink>
        </w:p>
        <w:p w14:paraId="630707EF" w14:textId="6596864F"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1" w:history="1">
            <w:r w:rsidRPr="00ED0AC5">
              <w:rPr>
                <w:rStyle w:val="Hyperlink"/>
                <w:rFonts w:ascii="Times New Roman" w:hAnsi="Times New Roman" w:cs="Times New Roman"/>
                <w:b w:val="0"/>
                <w:bCs w:val="0"/>
                <w:noProof/>
                <w:sz w:val="24"/>
                <w:szCs w:val="24"/>
                <w:lang w:eastAsia="en-GB" w:bidi="hi-IN"/>
              </w:rPr>
              <w:t>5.4 Recommendations for Managerial Practice</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_Toc240913081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59</w:t>
            </w:r>
            <w:r w:rsidRPr="00ED0AC5">
              <w:rPr>
                <w:rFonts w:ascii="Times New Roman" w:hAnsi="Times New Roman" w:cs="Times New Roman"/>
                <w:b w:val="0"/>
                <w:bCs w:val="0"/>
                <w:noProof/>
                <w:webHidden/>
                <w:sz w:val="24"/>
                <w:szCs w:val="24"/>
              </w:rPr>
              <w:fldChar w:fldCharType="end"/>
            </w:r>
          </w:hyperlink>
        </w:p>
        <w:p w14:paraId="1FC8458D" w14:textId="7DE04893"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2" w:history="1">
            <w:r w:rsidRPr="00ED0AC5">
              <w:rPr>
                <w:rStyle w:val="Hyperlink"/>
                <w:rFonts w:ascii="Times New Roman" w:hAnsi="Times New Roman" w:cs="Times New Roman"/>
                <w:b w:val="0"/>
                <w:bCs w:val="0"/>
                <w:noProof/>
                <w:sz w:val="24"/>
                <w:szCs w:val="24"/>
                <w:lang w:eastAsia="en-GB" w:bidi="hi-IN"/>
              </w:rPr>
              <w:t>5.5 Contributions to Theory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_Toc240913082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61</w:t>
            </w:r>
            <w:r w:rsidRPr="00ED0AC5">
              <w:rPr>
                <w:rFonts w:ascii="Times New Roman" w:hAnsi="Times New Roman" w:cs="Times New Roman"/>
                <w:b w:val="0"/>
                <w:bCs w:val="0"/>
                <w:noProof/>
                <w:webHidden/>
                <w:sz w:val="24"/>
                <w:szCs w:val="24"/>
              </w:rPr>
              <w:fldChar w:fldCharType="end"/>
            </w:r>
          </w:hyperlink>
        </w:p>
        <w:p w14:paraId="6120F103" w14:textId="4A7EB232"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3" w:history="1">
            <w:r w:rsidRPr="00ED0AC5">
              <w:rPr>
                <w:rStyle w:val="Hyperlink"/>
                <w:rFonts w:ascii="Times New Roman" w:hAnsi="Times New Roman" w:cs="Times New Roman"/>
                <w:b w:val="0"/>
                <w:bCs w:val="0"/>
                <w:noProof/>
                <w:sz w:val="24"/>
                <w:szCs w:val="24"/>
                <w:lang w:eastAsia="en-GB" w:bidi="hi-IN"/>
              </w:rPr>
              <w:t>5.6 Limitations of the Study</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_Toc240913083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62</w:t>
            </w:r>
            <w:r w:rsidRPr="00ED0AC5">
              <w:rPr>
                <w:rFonts w:ascii="Times New Roman" w:hAnsi="Times New Roman" w:cs="Times New Roman"/>
                <w:b w:val="0"/>
                <w:bCs w:val="0"/>
                <w:noProof/>
                <w:webHidden/>
                <w:sz w:val="24"/>
                <w:szCs w:val="24"/>
              </w:rPr>
              <w:fldChar w:fldCharType="end"/>
            </w:r>
          </w:hyperlink>
        </w:p>
        <w:p w14:paraId="47CAE22C" w14:textId="4BC94D82"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4" w:history="1">
            <w:r w:rsidRPr="00ED0AC5">
              <w:rPr>
                <w:rStyle w:val="Hyperlink"/>
                <w:rFonts w:ascii="Times New Roman" w:hAnsi="Times New Roman" w:cs="Times New Roman"/>
                <w:b w:val="0"/>
                <w:bCs w:val="0"/>
                <w:noProof/>
                <w:sz w:val="24"/>
                <w:szCs w:val="24"/>
                <w:lang w:eastAsia="en-GB" w:bidi="hi-IN"/>
              </w:rPr>
              <w:t>5.7 Recommendations for Future Research</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_Toc240913084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63</w:t>
            </w:r>
            <w:r w:rsidRPr="00ED0AC5">
              <w:rPr>
                <w:rFonts w:ascii="Times New Roman" w:hAnsi="Times New Roman" w:cs="Times New Roman"/>
                <w:b w:val="0"/>
                <w:bCs w:val="0"/>
                <w:noProof/>
                <w:webHidden/>
                <w:sz w:val="24"/>
                <w:szCs w:val="24"/>
              </w:rPr>
              <w:fldChar w:fldCharType="end"/>
            </w:r>
          </w:hyperlink>
        </w:p>
        <w:p w14:paraId="4D5382E8" w14:textId="55A5E496"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5" w:history="1">
            <w:r w:rsidRPr="00ED0AC5">
              <w:rPr>
                <w:rStyle w:val="Hyperlink"/>
                <w:rFonts w:ascii="Times New Roman" w:hAnsi="Times New Roman" w:cs="Times New Roman"/>
                <w:b w:val="0"/>
                <w:bCs w:val="0"/>
                <w:noProof/>
                <w:sz w:val="24"/>
                <w:szCs w:val="24"/>
                <w:lang w:eastAsia="en-GB" w:bidi="hi-IN"/>
              </w:rPr>
              <w:t>5.8 Concluding Remarks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_Toc240913085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64</w:t>
            </w:r>
            <w:r w:rsidRPr="00ED0AC5">
              <w:rPr>
                <w:rFonts w:ascii="Times New Roman" w:hAnsi="Times New Roman" w:cs="Times New Roman"/>
                <w:b w:val="0"/>
                <w:bCs w:val="0"/>
                <w:noProof/>
                <w:webHidden/>
                <w:sz w:val="24"/>
                <w:szCs w:val="24"/>
              </w:rPr>
              <w:fldChar w:fldCharType="end"/>
            </w:r>
          </w:hyperlink>
        </w:p>
        <w:p w14:paraId="17D1DEB7" w14:textId="0BC701DD"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86" w:history="1">
            <w:r w:rsidRPr="00ED0AC5">
              <w:rPr>
                <w:rStyle w:val="Hyperlink"/>
                <w:rFonts w:ascii="Times New Roman" w:hAnsi="Times New Roman" w:cs="Times New Roman"/>
                <w:b w:val="0"/>
                <w:bCs w:val="0"/>
                <w:i w:val="0"/>
                <w:iCs w:val="0"/>
                <w:noProof/>
                <w:lang w:eastAsia="en-GB" w:bidi="hi-IN"/>
              </w:rPr>
              <w:t>Reference</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_Toc240913086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65</w:t>
            </w:r>
            <w:r w:rsidRPr="00ED0AC5">
              <w:rPr>
                <w:rFonts w:ascii="Times New Roman" w:hAnsi="Times New Roman" w:cs="Times New Roman"/>
                <w:b w:val="0"/>
                <w:bCs w:val="0"/>
                <w:i w:val="0"/>
                <w:iCs w:val="0"/>
                <w:noProof/>
                <w:webHidden/>
              </w:rPr>
              <w:fldChar w:fldCharType="end"/>
            </w:r>
          </w:hyperlink>
        </w:p>
        <w:p w14:paraId="6959E38D" w14:textId="30AC8DB4" w:rsidR="00ED0AC5" w:rsidRPr="00ED0AC5" w:rsidRDefault="00ED0AC5" w:rsidP="00ED0AC5">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lang w:eastAsia="en-GB" w:bidi="ar-SA"/>
              <w14:ligatures w14:val="none"/>
            </w:rPr>
          </w:pPr>
          <w:hyperlink w:anchor="_Toc240913087" w:history="1">
            <w:r w:rsidRPr="00ED0AC5">
              <w:rPr>
                <w:rStyle w:val="Hyperlink"/>
                <w:rFonts w:ascii="Times New Roman" w:hAnsi="Times New Roman" w:cs="Times New Roman"/>
                <w:b w:val="0"/>
                <w:bCs w:val="0"/>
                <w:i w:val="0"/>
                <w:iCs w:val="0"/>
                <w:noProof/>
              </w:rPr>
              <w:t>Appendices</w:t>
            </w:r>
            <w:r w:rsidRPr="00ED0AC5">
              <w:rPr>
                <w:rFonts w:ascii="Times New Roman" w:hAnsi="Times New Roman" w:cs="Times New Roman"/>
                <w:b w:val="0"/>
                <w:bCs w:val="0"/>
                <w:i w:val="0"/>
                <w:iCs w:val="0"/>
                <w:noProof/>
                <w:webHidden/>
              </w:rPr>
              <w:tab/>
            </w:r>
            <w:r w:rsidRPr="00ED0AC5">
              <w:rPr>
                <w:rFonts w:ascii="Times New Roman" w:hAnsi="Times New Roman" w:cs="Times New Roman"/>
                <w:b w:val="0"/>
                <w:bCs w:val="0"/>
                <w:i w:val="0"/>
                <w:iCs w:val="0"/>
                <w:noProof/>
                <w:webHidden/>
              </w:rPr>
              <w:fldChar w:fldCharType="begin"/>
            </w:r>
            <w:r w:rsidRPr="00ED0AC5">
              <w:rPr>
                <w:rFonts w:ascii="Times New Roman" w:hAnsi="Times New Roman" w:cs="Times New Roman"/>
                <w:b w:val="0"/>
                <w:bCs w:val="0"/>
                <w:i w:val="0"/>
                <w:iCs w:val="0"/>
                <w:noProof/>
                <w:webHidden/>
              </w:rPr>
              <w:instrText xml:space="preserve"> PAGEREF _Toc240913087 \h </w:instrText>
            </w:r>
            <w:r w:rsidRPr="00ED0AC5">
              <w:rPr>
                <w:rFonts w:ascii="Times New Roman" w:hAnsi="Times New Roman" w:cs="Times New Roman"/>
                <w:b w:val="0"/>
                <w:bCs w:val="0"/>
                <w:i w:val="0"/>
                <w:iCs w:val="0"/>
                <w:noProof/>
                <w:webHidden/>
              </w:rPr>
            </w:r>
            <w:r w:rsidRPr="00ED0AC5">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85</w:t>
            </w:r>
            <w:r w:rsidRPr="00ED0AC5">
              <w:rPr>
                <w:rFonts w:ascii="Times New Roman" w:hAnsi="Times New Roman" w:cs="Times New Roman"/>
                <w:b w:val="0"/>
                <w:bCs w:val="0"/>
                <w:i w:val="0"/>
                <w:iCs w:val="0"/>
                <w:noProof/>
                <w:webHidden/>
              </w:rPr>
              <w:fldChar w:fldCharType="end"/>
            </w:r>
          </w:hyperlink>
        </w:p>
        <w:p w14:paraId="387B8698" w14:textId="302288BA"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8" w:history="1">
            <w:r w:rsidRPr="00ED0AC5">
              <w:rPr>
                <w:rStyle w:val="Hyperlink"/>
                <w:rFonts w:ascii="Times New Roman" w:hAnsi="Times New Roman" w:cs="Times New Roman"/>
                <w:b w:val="0"/>
                <w:bCs w:val="0"/>
                <w:noProof/>
                <w:sz w:val="24"/>
                <w:szCs w:val="24"/>
              </w:rPr>
              <w:t>Appendix-A: Research Structure</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_Toc240913088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85</w:t>
            </w:r>
            <w:r w:rsidRPr="00ED0AC5">
              <w:rPr>
                <w:rFonts w:ascii="Times New Roman" w:hAnsi="Times New Roman" w:cs="Times New Roman"/>
                <w:b w:val="0"/>
                <w:bCs w:val="0"/>
                <w:noProof/>
                <w:webHidden/>
                <w:sz w:val="24"/>
                <w:szCs w:val="24"/>
              </w:rPr>
              <w:fldChar w:fldCharType="end"/>
            </w:r>
          </w:hyperlink>
        </w:p>
        <w:p w14:paraId="75E73E0C" w14:textId="45DCCB13" w:rsidR="00ED0AC5" w:rsidRPr="00ED0AC5" w:rsidRDefault="00ED0AC5" w:rsidP="00ED0AC5">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sz w:val="24"/>
              <w:szCs w:val="24"/>
              <w:lang w:eastAsia="en-GB" w:bidi="ar-SA"/>
              <w14:ligatures w14:val="none"/>
            </w:rPr>
          </w:pPr>
          <w:hyperlink w:anchor="_Toc240913089" w:history="1">
            <w:r w:rsidRPr="00ED0AC5">
              <w:rPr>
                <w:rStyle w:val="Hyperlink"/>
                <w:rFonts w:ascii="Times New Roman" w:hAnsi="Times New Roman" w:cs="Times New Roman"/>
                <w:b w:val="0"/>
                <w:bCs w:val="0"/>
                <w:noProof/>
                <w:sz w:val="24"/>
                <w:szCs w:val="24"/>
              </w:rPr>
              <w:t>Appendix-B: Ethics Form</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_Toc240913089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86</w:t>
            </w:r>
            <w:r w:rsidRPr="00ED0AC5">
              <w:rPr>
                <w:rFonts w:ascii="Times New Roman" w:hAnsi="Times New Roman" w:cs="Times New Roman"/>
                <w:b w:val="0"/>
                <w:bCs w:val="0"/>
                <w:noProof/>
                <w:webHidden/>
                <w:sz w:val="24"/>
                <w:szCs w:val="24"/>
              </w:rPr>
              <w:fldChar w:fldCharType="end"/>
            </w:r>
          </w:hyperlink>
        </w:p>
        <w:p w14:paraId="4344417A" w14:textId="16AE4A40" w:rsidR="00ED0AC5" w:rsidRDefault="00ED0AC5" w:rsidP="00ED0AC5">
          <w:pPr>
            <w:pStyle w:val="TOC2"/>
            <w:tabs>
              <w:tab w:val="right" w:leader="dot" w:pos="9016"/>
            </w:tabs>
            <w:spacing w:before="0" w:after="160" w:line="360" w:lineRule="auto"/>
            <w:rPr>
              <w:rFonts w:eastAsiaTheme="minorEastAsia" w:cstheme="minorBidi"/>
              <w:b w:val="0"/>
              <w:bCs w:val="0"/>
              <w:noProof/>
              <w:color w:val="auto"/>
              <w:kern w:val="0"/>
              <w:lang w:eastAsia="en-GB" w:bidi="ar-SA"/>
              <w14:ligatures w14:val="none"/>
            </w:rPr>
          </w:pPr>
          <w:hyperlink w:anchor="_Toc240913090" w:history="1">
            <w:r w:rsidRPr="00ED0AC5">
              <w:rPr>
                <w:rStyle w:val="Hyperlink"/>
                <w:rFonts w:ascii="Times New Roman" w:hAnsi="Times New Roman" w:cs="Times New Roman"/>
                <w:b w:val="0"/>
                <w:bCs w:val="0"/>
                <w:noProof/>
                <w:sz w:val="24"/>
                <w:szCs w:val="24"/>
              </w:rPr>
              <w:t>Appendix-C: Survey and Data Files</w:t>
            </w:r>
            <w:r w:rsidRPr="00ED0AC5">
              <w:rPr>
                <w:rFonts w:ascii="Times New Roman" w:hAnsi="Times New Roman" w:cs="Times New Roman"/>
                <w:b w:val="0"/>
                <w:bCs w:val="0"/>
                <w:noProof/>
                <w:webHidden/>
                <w:sz w:val="24"/>
                <w:szCs w:val="24"/>
              </w:rPr>
              <w:tab/>
            </w:r>
            <w:r w:rsidRPr="00ED0AC5">
              <w:rPr>
                <w:rFonts w:ascii="Times New Roman" w:hAnsi="Times New Roman" w:cs="Times New Roman"/>
                <w:b w:val="0"/>
                <w:bCs w:val="0"/>
                <w:noProof/>
                <w:webHidden/>
                <w:sz w:val="24"/>
                <w:szCs w:val="24"/>
              </w:rPr>
              <w:fldChar w:fldCharType="begin"/>
            </w:r>
            <w:r w:rsidRPr="00ED0AC5">
              <w:rPr>
                <w:rFonts w:ascii="Times New Roman" w:hAnsi="Times New Roman" w:cs="Times New Roman"/>
                <w:b w:val="0"/>
                <w:bCs w:val="0"/>
                <w:noProof/>
                <w:webHidden/>
                <w:sz w:val="24"/>
                <w:szCs w:val="24"/>
              </w:rPr>
              <w:instrText xml:space="preserve"> PAGEREF _Toc240913090 \h </w:instrText>
            </w:r>
            <w:r w:rsidRPr="00ED0AC5">
              <w:rPr>
                <w:rFonts w:ascii="Times New Roman" w:hAnsi="Times New Roman" w:cs="Times New Roman"/>
                <w:b w:val="0"/>
                <w:bCs w:val="0"/>
                <w:noProof/>
                <w:webHidden/>
                <w:sz w:val="24"/>
                <w:szCs w:val="24"/>
              </w:rPr>
            </w:r>
            <w:r w:rsidRPr="00ED0AC5">
              <w:rPr>
                <w:rFonts w:ascii="Times New Roman" w:hAnsi="Times New Roman" w:cs="Times New Roman"/>
                <w:b w:val="0"/>
                <w:bCs w:val="0"/>
                <w:noProof/>
                <w:webHidden/>
                <w:sz w:val="24"/>
                <w:szCs w:val="24"/>
              </w:rPr>
              <w:fldChar w:fldCharType="separate"/>
            </w:r>
            <w:r>
              <w:rPr>
                <w:rFonts w:ascii="Times New Roman" w:hAnsi="Times New Roman" w:cs="Times New Roman"/>
                <w:b w:val="0"/>
                <w:bCs w:val="0"/>
                <w:noProof/>
                <w:webHidden/>
                <w:sz w:val="24"/>
                <w:szCs w:val="24"/>
              </w:rPr>
              <w:t>87</w:t>
            </w:r>
            <w:r w:rsidRPr="00ED0AC5">
              <w:rPr>
                <w:rFonts w:ascii="Times New Roman" w:hAnsi="Times New Roman" w:cs="Times New Roman"/>
                <w:b w:val="0"/>
                <w:bCs w:val="0"/>
                <w:noProof/>
                <w:webHidden/>
                <w:sz w:val="24"/>
                <w:szCs w:val="24"/>
              </w:rPr>
              <w:fldChar w:fldCharType="end"/>
            </w:r>
          </w:hyperlink>
        </w:p>
        <w:p w14:paraId="60EF66F2" w14:textId="2C90CD8C" w:rsidR="00DA1B4D" w:rsidRPr="00421331" w:rsidRDefault="00DA1B4D">
          <w:pPr>
            <w:rPr>
              <w:rFonts w:cs="Times New Roman"/>
              <w:szCs w:val="24"/>
            </w:rPr>
          </w:pPr>
          <w:r w:rsidRPr="00421331">
            <w:rPr>
              <w:rFonts w:cs="Times New Roman"/>
              <w:b/>
              <w:bCs/>
              <w:noProof/>
              <w:szCs w:val="24"/>
            </w:rPr>
            <w:fldChar w:fldCharType="end"/>
          </w:r>
        </w:p>
      </w:sdtContent>
    </w:sdt>
    <w:p w14:paraId="5B4D466D" w14:textId="77777777" w:rsidR="00DA1B4D" w:rsidRDefault="00DA1B4D">
      <w:pPr>
        <w:spacing w:line="240" w:lineRule="auto"/>
        <w:jc w:val="left"/>
        <w:rPr>
          <w:b/>
          <w:sz w:val="32"/>
        </w:rPr>
      </w:pPr>
      <w:r>
        <w:br w:type="page"/>
      </w:r>
    </w:p>
    <w:p w14:paraId="3E93AEBF" w14:textId="77777777" w:rsidR="00DA1B4D" w:rsidRPr="00DA1B4D" w:rsidRDefault="00DA1B4D" w:rsidP="00ED0AC5">
      <w:pPr>
        <w:pStyle w:val="Heading1"/>
      </w:pPr>
      <w:bookmarkStart w:id="7" w:name="_Toc240913033"/>
      <w:r w:rsidRPr="00DA1B4D">
        <w:lastRenderedPageBreak/>
        <w:t>List of Figures</w:t>
      </w:r>
      <w:bookmarkEnd w:id="7"/>
    </w:p>
    <w:p w14:paraId="42A3A57C" w14:textId="0DA31B32" w:rsidR="00DA1B4D" w:rsidRDefault="00DA1B4D">
      <w:pPr>
        <w:pStyle w:val="TableofFigures"/>
        <w:tabs>
          <w:tab w:val="right" w:leader="dot" w:pos="9016"/>
        </w:tabs>
        <w:rPr>
          <w:noProof/>
        </w:rPr>
      </w:pPr>
      <w:r>
        <w:fldChar w:fldCharType="begin"/>
      </w:r>
      <w:r>
        <w:instrText xml:space="preserve"> TOC \h \z \c "Figure" </w:instrText>
      </w:r>
      <w:r>
        <w:fldChar w:fldCharType="separate"/>
      </w:r>
      <w:hyperlink w:anchor="_Toc240872621" w:history="1">
        <w:r w:rsidRPr="003C7CF2">
          <w:rPr>
            <w:rStyle w:val="Hyperlink"/>
            <w:noProof/>
          </w:rPr>
          <w:t xml:space="preserve">Figure </w:t>
        </w:r>
        <w:r w:rsidRPr="003C7CF2">
          <w:rPr>
            <w:rStyle w:val="Hyperlink"/>
            <w:noProof/>
          </w:rPr>
          <w:t>1</w:t>
        </w:r>
        <w:r w:rsidRPr="003C7CF2">
          <w:rPr>
            <w:rStyle w:val="Hyperlink"/>
            <w:noProof/>
          </w:rPr>
          <w:t xml:space="preserve">: </w:t>
        </w:r>
        <w:r w:rsidRPr="003C7CF2">
          <w:rPr>
            <w:rStyle w:val="Hyperlink"/>
            <w:bCs/>
            <w:noProof/>
          </w:rPr>
          <w:t xml:space="preserve">The Job Demands-Resources Model by </w:t>
        </w:r>
        <w:r w:rsidRPr="003C7CF2">
          <w:rPr>
            <w:rStyle w:val="Hyperlink"/>
            <w:rFonts w:cs="Times New Roman"/>
            <w:bCs/>
            <w:noProof/>
          </w:rPr>
          <w:t>Bakker and Demerouti (2017)</w:t>
        </w:r>
        <w:r>
          <w:rPr>
            <w:noProof/>
            <w:webHidden/>
          </w:rPr>
          <w:tab/>
        </w:r>
        <w:r>
          <w:rPr>
            <w:noProof/>
            <w:webHidden/>
          </w:rPr>
          <w:fldChar w:fldCharType="begin"/>
        </w:r>
        <w:r>
          <w:rPr>
            <w:noProof/>
            <w:webHidden/>
          </w:rPr>
          <w:instrText xml:space="preserve"> PAGEREF _Toc240872621 \h </w:instrText>
        </w:r>
        <w:r>
          <w:rPr>
            <w:noProof/>
            <w:webHidden/>
          </w:rPr>
        </w:r>
        <w:r>
          <w:rPr>
            <w:noProof/>
            <w:webHidden/>
          </w:rPr>
          <w:fldChar w:fldCharType="separate"/>
        </w:r>
        <w:r w:rsidR="00ED0AC5">
          <w:rPr>
            <w:noProof/>
            <w:webHidden/>
          </w:rPr>
          <w:t>16</w:t>
        </w:r>
        <w:r>
          <w:rPr>
            <w:noProof/>
            <w:webHidden/>
          </w:rPr>
          <w:fldChar w:fldCharType="end"/>
        </w:r>
      </w:hyperlink>
    </w:p>
    <w:p w14:paraId="1B10668F" w14:textId="77777777" w:rsidR="00DA1B4D" w:rsidRDefault="00DA1B4D" w:rsidP="00DA1B4D">
      <w:r>
        <w:fldChar w:fldCharType="end"/>
      </w:r>
    </w:p>
    <w:p w14:paraId="5F3B2DA0" w14:textId="77777777" w:rsidR="00DA1B4D" w:rsidRPr="00DA1B4D" w:rsidRDefault="00DA1B4D" w:rsidP="00ED0AC5">
      <w:pPr>
        <w:pStyle w:val="Heading1"/>
      </w:pPr>
      <w:bookmarkStart w:id="8" w:name="_Toc240913034"/>
      <w:r w:rsidRPr="00DA1B4D">
        <w:t>List of Tables</w:t>
      </w:r>
      <w:bookmarkEnd w:id="8"/>
    </w:p>
    <w:p w14:paraId="7C523D5F" w14:textId="722ACDE2" w:rsidR="00DA1B4D" w:rsidRDefault="00DA1B4D">
      <w:pPr>
        <w:pStyle w:val="TableofFigures"/>
        <w:tabs>
          <w:tab w:val="right" w:leader="dot" w:pos="9016"/>
        </w:tabs>
        <w:rPr>
          <w:rFonts w:asciiTheme="minorHAnsi" w:eastAsiaTheme="minorEastAsia" w:hAnsiTheme="minorHAnsi" w:cs="Mangal"/>
          <w:noProof/>
          <w:color w:val="auto"/>
          <w:szCs w:val="21"/>
          <w:lang w:eastAsia="en-GB" w:bidi="hi-IN"/>
        </w:rPr>
      </w:pPr>
      <w:r>
        <w:fldChar w:fldCharType="begin"/>
      </w:r>
      <w:r>
        <w:instrText xml:space="preserve"> TOC \h \z \c "Table" </w:instrText>
      </w:r>
      <w:r>
        <w:fldChar w:fldCharType="separate"/>
      </w:r>
      <w:hyperlink w:anchor="_Toc240872622" w:history="1">
        <w:r w:rsidRPr="00DB0844">
          <w:rPr>
            <w:rStyle w:val="Hyperlink"/>
            <w:noProof/>
          </w:rPr>
          <w:t xml:space="preserve">Table 1: </w:t>
        </w:r>
        <w:r w:rsidRPr="00DB0844">
          <w:rPr>
            <w:rStyle w:val="Hyperlink"/>
            <w:bCs/>
            <w:noProof/>
          </w:rPr>
          <w:t>Demographic Findings</w:t>
        </w:r>
        <w:r>
          <w:rPr>
            <w:noProof/>
            <w:webHidden/>
          </w:rPr>
          <w:tab/>
        </w:r>
        <w:r>
          <w:rPr>
            <w:noProof/>
            <w:webHidden/>
          </w:rPr>
          <w:fldChar w:fldCharType="begin"/>
        </w:r>
        <w:r>
          <w:rPr>
            <w:noProof/>
            <w:webHidden/>
          </w:rPr>
          <w:instrText xml:space="preserve"> PAGEREF _Toc240872622 \h </w:instrText>
        </w:r>
        <w:r>
          <w:rPr>
            <w:noProof/>
            <w:webHidden/>
          </w:rPr>
        </w:r>
        <w:r>
          <w:rPr>
            <w:noProof/>
            <w:webHidden/>
          </w:rPr>
          <w:fldChar w:fldCharType="separate"/>
        </w:r>
        <w:r w:rsidR="00ED0AC5">
          <w:rPr>
            <w:noProof/>
            <w:webHidden/>
          </w:rPr>
          <w:t>37</w:t>
        </w:r>
        <w:r>
          <w:rPr>
            <w:noProof/>
            <w:webHidden/>
          </w:rPr>
          <w:fldChar w:fldCharType="end"/>
        </w:r>
      </w:hyperlink>
    </w:p>
    <w:p w14:paraId="7A095514" w14:textId="5A1AB763"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3" w:history="1">
        <w:r w:rsidR="00DA1B4D" w:rsidRPr="00DB0844">
          <w:rPr>
            <w:rStyle w:val="Hyperlink"/>
            <w:noProof/>
          </w:rPr>
          <w:t xml:space="preserve">Table 2: </w:t>
        </w:r>
        <w:r w:rsidR="00DA1B4D" w:rsidRPr="00DB0844">
          <w:rPr>
            <w:rStyle w:val="Hyperlink"/>
            <w:bCs/>
            <w:noProof/>
          </w:rPr>
          <w:t>Reliability Analysis using Cronbach's Alpha</w:t>
        </w:r>
        <w:r w:rsidR="00DA1B4D">
          <w:rPr>
            <w:noProof/>
            <w:webHidden/>
          </w:rPr>
          <w:tab/>
        </w:r>
        <w:r w:rsidR="00DA1B4D">
          <w:rPr>
            <w:noProof/>
            <w:webHidden/>
          </w:rPr>
          <w:fldChar w:fldCharType="begin"/>
        </w:r>
        <w:r w:rsidR="00DA1B4D">
          <w:rPr>
            <w:noProof/>
            <w:webHidden/>
          </w:rPr>
          <w:instrText xml:space="preserve"> PAGEREF _Toc240872623 \h </w:instrText>
        </w:r>
        <w:r w:rsidR="00DA1B4D">
          <w:rPr>
            <w:noProof/>
            <w:webHidden/>
          </w:rPr>
        </w:r>
        <w:r w:rsidR="00DA1B4D">
          <w:rPr>
            <w:noProof/>
            <w:webHidden/>
          </w:rPr>
          <w:fldChar w:fldCharType="separate"/>
        </w:r>
        <w:r w:rsidR="00ED0AC5">
          <w:rPr>
            <w:noProof/>
            <w:webHidden/>
          </w:rPr>
          <w:t>39</w:t>
        </w:r>
        <w:r w:rsidR="00DA1B4D">
          <w:rPr>
            <w:noProof/>
            <w:webHidden/>
          </w:rPr>
          <w:fldChar w:fldCharType="end"/>
        </w:r>
      </w:hyperlink>
    </w:p>
    <w:p w14:paraId="5311CBF0" w14:textId="61F85269"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4" w:history="1">
        <w:r w:rsidR="00DA1B4D" w:rsidRPr="00DB0844">
          <w:rPr>
            <w:rStyle w:val="Hyperlink"/>
            <w:noProof/>
          </w:rPr>
          <w:t>Table 3</w:t>
        </w:r>
        <w:r w:rsidR="00DA1B4D" w:rsidRPr="00DB0844">
          <w:rPr>
            <w:rStyle w:val="Hyperlink"/>
            <w:noProof/>
            <w:lang w:val="en-US"/>
          </w:rPr>
          <w:t xml:space="preserve">: </w:t>
        </w:r>
        <w:r w:rsidR="00DA1B4D" w:rsidRPr="00DB0844">
          <w:rPr>
            <w:rStyle w:val="Hyperlink"/>
            <w:noProof/>
          </w:rPr>
          <w:t>Time-Based Conflict (TBC)</w:t>
        </w:r>
        <w:r w:rsidR="00DA1B4D">
          <w:rPr>
            <w:noProof/>
            <w:webHidden/>
          </w:rPr>
          <w:tab/>
        </w:r>
        <w:r w:rsidR="00DA1B4D">
          <w:rPr>
            <w:noProof/>
            <w:webHidden/>
          </w:rPr>
          <w:fldChar w:fldCharType="begin"/>
        </w:r>
        <w:r w:rsidR="00DA1B4D">
          <w:rPr>
            <w:noProof/>
            <w:webHidden/>
          </w:rPr>
          <w:instrText xml:space="preserve"> PAGEREF _Toc240872624 \h </w:instrText>
        </w:r>
        <w:r w:rsidR="00DA1B4D">
          <w:rPr>
            <w:noProof/>
            <w:webHidden/>
          </w:rPr>
        </w:r>
        <w:r w:rsidR="00DA1B4D">
          <w:rPr>
            <w:noProof/>
            <w:webHidden/>
          </w:rPr>
          <w:fldChar w:fldCharType="separate"/>
        </w:r>
        <w:r w:rsidR="00ED0AC5">
          <w:rPr>
            <w:noProof/>
            <w:webHidden/>
          </w:rPr>
          <w:t>39</w:t>
        </w:r>
        <w:r w:rsidR="00DA1B4D">
          <w:rPr>
            <w:noProof/>
            <w:webHidden/>
          </w:rPr>
          <w:fldChar w:fldCharType="end"/>
        </w:r>
      </w:hyperlink>
    </w:p>
    <w:p w14:paraId="6CC990C6" w14:textId="2E3D03AD"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5" w:history="1">
        <w:r w:rsidR="00DA1B4D" w:rsidRPr="00DB0844">
          <w:rPr>
            <w:rStyle w:val="Hyperlink"/>
            <w:noProof/>
          </w:rPr>
          <w:t>Table 4: Strain-Based Conflict (SBC)</w:t>
        </w:r>
        <w:r w:rsidR="00DA1B4D">
          <w:rPr>
            <w:noProof/>
            <w:webHidden/>
          </w:rPr>
          <w:tab/>
        </w:r>
        <w:r w:rsidR="00DA1B4D">
          <w:rPr>
            <w:noProof/>
            <w:webHidden/>
          </w:rPr>
          <w:fldChar w:fldCharType="begin"/>
        </w:r>
        <w:r w:rsidR="00DA1B4D">
          <w:rPr>
            <w:noProof/>
            <w:webHidden/>
          </w:rPr>
          <w:instrText xml:space="preserve"> PAGEREF _Toc240872625 \h </w:instrText>
        </w:r>
        <w:r w:rsidR="00DA1B4D">
          <w:rPr>
            <w:noProof/>
            <w:webHidden/>
          </w:rPr>
        </w:r>
        <w:r w:rsidR="00DA1B4D">
          <w:rPr>
            <w:noProof/>
            <w:webHidden/>
          </w:rPr>
          <w:fldChar w:fldCharType="separate"/>
        </w:r>
        <w:r w:rsidR="00ED0AC5">
          <w:rPr>
            <w:noProof/>
            <w:webHidden/>
          </w:rPr>
          <w:t>40</w:t>
        </w:r>
        <w:r w:rsidR="00DA1B4D">
          <w:rPr>
            <w:noProof/>
            <w:webHidden/>
          </w:rPr>
          <w:fldChar w:fldCharType="end"/>
        </w:r>
      </w:hyperlink>
    </w:p>
    <w:p w14:paraId="0BC3ECED" w14:textId="54DFECC5"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6" w:history="1">
        <w:r w:rsidR="00DA1B4D" w:rsidRPr="00DB0844">
          <w:rPr>
            <w:rStyle w:val="Hyperlink"/>
            <w:noProof/>
          </w:rPr>
          <w:t>Table 5: Behaviour-Based Conflict (BBC)</w:t>
        </w:r>
        <w:r w:rsidR="00DA1B4D">
          <w:rPr>
            <w:noProof/>
            <w:webHidden/>
          </w:rPr>
          <w:tab/>
        </w:r>
        <w:r w:rsidR="00DA1B4D">
          <w:rPr>
            <w:noProof/>
            <w:webHidden/>
          </w:rPr>
          <w:fldChar w:fldCharType="begin"/>
        </w:r>
        <w:r w:rsidR="00DA1B4D">
          <w:rPr>
            <w:noProof/>
            <w:webHidden/>
          </w:rPr>
          <w:instrText xml:space="preserve"> PAGEREF _Toc240872626 \h </w:instrText>
        </w:r>
        <w:r w:rsidR="00DA1B4D">
          <w:rPr>
            <w:noProof/>
            <w:webHidden/>
          </w:rPr>
        </w:r>
        <w:r w:rsidR="00DA1B4D">
          <w:rPr>
            <w:noProof/>
            <w:webHidden/>
          </w:rPr>
          <w:fldChar w:fldCharType="separate"/>
        </w:r>
        <w:r w:rsidR="00ED0AC5">
          <w:rPr>
            <w:noProof/>
            <w:webHidden/>
          </w:rPr>
          <w:t>41</w:t>
        </w:r>
        <w:r w:rsidR="00DA1B4D">
          <w:rPr>
            <w:noProof/>
            <w:webHidden/>
          </w:rPr>
          <w:fldChar w:fldCharType="end"/>
        </w:r>
      </w:hyperlink>
    </w:p>
    <w:p w14:paraId="7664F046" w14:textId="53CCA783"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7" w:history="1">
        <w:r w:rsidR="00DA1B4D" w:rsidRPr="00DB0844">
          <w:rPr>
            <w:rStyle w:val="Hyperlink"/>
            <w:noProof/>
          </w:rPr>
          <w:t>Table 6: Workload Intensity (WI)</w:t>
        </w:r>
        <w:r w:rsidR="00DA1B4D">
          <w:rPr>
            <w:noProof/>
            <w:webHidden/>
          </w:rPr>
          <w:tab/>
        </w:r>
        <w:r w:rsidR="00DA1B4D">
          <w:rPr>
            <w:noProof/>
            <w:webHidden/>
          </w:rPr>
          <w:fldChar w:fldCharType="begin"/>
        </w:r>
        <w:r w:rsidR="00DA1B4D">
          <w:rPr>
            <w:noProof/>
            <w:webHidden/>
          </w:rPr>
          <w:instrText xml:space="preserve"> PAGEREF _Toc240872627 \h </w:instrText>
        </w:r>
        <w:r w:rsidR="00DA1B4D">
          <w:rPr>
            <w:noProof/>
            <w:webHidden/>
          </w:rPr>
        </w:r>
        <w:r w:rsidR="00DA1B4D">
          <w:rPr>
            <w:noProof/>
            <w:webHidden/>
          </w:rPr>
          <w:fldChar w:fldCharType="separate"/>
        </w:r>
        <w:r w:rsidR="00ED0AC5">
          <w:rPr>
            <w:noProof/>
            <w:webHidden/>
          </w:rPr>
          <w:t>42</w:t>
        </w:r>
        <w:r w:rsidR="00DA1B4D">
          <w:rPr>
            <w:noProof/>
            <w:webHidden/>
          </w:rPr>
          <w:fldChar w:fldCharType="end"/>
        </w:r>
      </w:hyperlink>
    </w:p>
    <w:p w14:paraId="1962A5C4" w14:textId="12CBA045"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8" w:history="1">
        <w:r w:rsidR="00DA1B4D" w:rsidRPr="00DB0844">
          <w:rPr>
            <w:rStyle w:val="Hyperlink"/>
            <w:noProof/>
          </w:rPr>
          <w:t>Table 7: Managerial Support (MS)</w:t>
        </w:r>
        <w:r w:rsidR="00DA1B4D">
          <w:rPr>
            <w:noProof/>
            <w:webHidden/>
          </w:rPr>
          <w:tab/>
        </w:r>
        <w:r w:rsidR="00DA1B4D">
          <w:rPr>
            <w:noProof/>
            <w:webHidden/>
          </w:rPr>
          <w:fldChar w:fldCharType="begin"/>
        </w:r>
        <w:r w:rsidR="00DA1B4D">
          <w:rPr>
            <w:noProof/>
            <w:webHidden/>
          </w:rPr>
          <w:instrText xml:space="preserve"> PAGEREF _Toc240872628 \h </w:instrText>
        </w:r>
        <w:r w:rsidR="00DA1B4D">
          <w:rPr>
            <w:noProof/>
            <w:webHidden/>
          </w:rPr>
        </w:r>
        <w:r w:rsidR="00DA1B4D">
          <w:rPr>
            <w:noProof/>
            <w:webHidden/>
          </w:rPr>
          <w:fldChar w:fldCharType="separate"/>
        </w:r>
        <w:r w:rsidR="00ED0AC5">
          <w:rPr>
            <w:noProof/>
            <w:webHidden/>
          </w:rPr>
          <w:t>43</w:t>
        </w:r>
        <w:r w:rsidR="00DA1B4D">
          <w:rPr>
            <w:noProof/>
            <w:webHidden/>
          </w:rPr>
          <w:fldChar w:fldCharType="end"/>
        </w:r>
      </w:hyperlink>
    </w:p>
    <w:p w14:paraId="787E1F40" w14:textId="24E9D9FF"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29" w:history="1">
        <w:r w:rsidR="00DA1B4D" w:rsidRPr="00DB0844">
          <w:rPr>
            <w:rStyle w:val="Hyperlink"/>
            <w:noProof/>
          </w:rPr>
          <w:t>Table 8: Flexible Working Arrangements (FWA)</w:t>
        </w:r>
        <w:r w:rsidR="00DA1B4D">
          <w:rPr>
            <w:noProof/>
            <w:webHidden/>
          </w:rPr>
          <w:tab/>
        </w:r>
        <w:r w:rsidR="00DA1B4D">
          <w:rPr>
            <w:noProof/>
            <w:webHidden/>
          </w:rPr>
          <w:fldChar w:fldCharType="begin"/>
        </w:r>
        <w:r w:rsidR="00DA1B4D">
          <w:rPr>
            <w:noProof/>
            <w:webHidden/>
          </w:rPr>
          <w:instrText xml:space="preserve"> PAGEREF _Toc240872629 \h </w:instrText>
        </w:r>
        <w:r w:rsidR="00DA1B4D">
          <w:rPr>
            <w:noProof/>
            <w:webHidden/>
          </w:rPr>
        </w:r>
        <w:r w:rsidR="00DA1B4D">
          <w:rPr>
            <w:noProof/>
            <w:webHidden/>
          </w:rPr>
          <w:fldChar w:fldCharType="separate"/>
        </w:r>
        <w:r w:rsidR="00ED0AC5">
          <w:rPr>
            <w:noProof/>
            <w:webHidden/>
          </w:rPr>
          <w:t>43</w:t>
        </w:r>
        <w:r w:rsidR="00DA1B4D">
          <w:rPr>
            <w:noProof/>
            <w:webHidden/>
          </w:rPr>
          <w:fldChar w:fldCharType="end"/>
        </w:r>
      </w:hyperlink>
    </w:p>
    <w:p w14:paraId="1981CC4B" w14:textId="2F331188"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30" w:history="1">
        <w:r w:rsidR="00DA1B4D" w:rsidRPr="00DB0844">
          <w:rPr>
            <w:rStyle w:val="Hyperlink"/>
            <w:noProof/>
          </w:rPr>
          <w:t>Table 9: Turnover Intention (TI)</w:t>
        </w:r>
        <w:r w:rsidR="00DA1B4D">
          <w:rPr>
            <w:noProof/>
            <w:webHidden/>
          </w:rPr>
          <w:tab/>
        </w:r>
        <w:r w:rsidR="00DA1B4D">
          <w:rPr>
            <w:noProof/>
            <w:webHidden/>
          </w:rPr>
          <w:fldChar w:fldCharType="begin"/>
        </w:r>
        <w:r w:rsidR="00DA1B4D">
          <w:rPr>
            <w:noProof/>
            <w:webHidden/>
          </w:rPr>
          <w:instrText xml:space="preserve"> PAGEREF _Toc240872630 \h </w:instrText>
        </w:r>
        <w:r w:rsidR="00DA1B4D">
          <w:rPr>
            <w:noProof/>
            <w:webHidden/>
          </w:rPr>
        </w:r>
        <w:r w:rsidR="00DA1B4D">
          <w:rPr>
            <w:noProof/>
            <w:webHidden/>
          </w:rPr>
          <w:fldChar w:fldCharType="separate"/>
        </w:r>
        <w:r w:rsidR="00ED0AC5">
          <w:rPr>
            <w:noProof/>
            <w:webHidden/>
          </w:rPr>
          <w:t>44</w:t>
        </w:r>
        <w:r w:rsidR="00DA1B4D">
          <w:rPr>
            <w:noProof/>
            <w:webHidden/>
          </w:rPr>
          <w:fldChar w:fldCharType="end"/>
        </w:r>
      </w:hyperlink>
    </w:p>
    <w:p w14:paraId="23871E68" w14:textId="00E9B9AA"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31" w:history="1">
        <w:r w:rsidR="00DA1B4D" w:rsidRPr="00DB0844">
          <w:rPr>
            <w:rStyle w:val="Hyperlink"/>
            <w:noProof/>
          </w:rPr>
          <w:t xml:space="preserve">Table 10: </w:t>
        </w:r>
        <w:r w:rsidR="00DA1B4D" w:rsidRPr="00DB0844">
          <w:rPr>
            <w:rStyle w:val="Hyperlink"/>
            <w:bCs/>
            <w:noProof/>
          </w:rPr>
          <w:t>Bivariate Pearson Correlation Matrix</w:t>
        </w:r>
        <w:r w:rsidR="00DA1B4D">
          <w:rPr>
            <w:noProof/>
            <w:webHidden/>
          </w:rPr>
          <w:tab/>
        </w:r>
        <w:r w:rsidR="00DA1B4D">
          <w:rPr>
            <w:noProof/>
            <w:webHidden/>
          </w:rPr>
          <w:fldChar w:fldCharType="begin"/>
        </w:r>
        <w:r w:rsidR="00DA1B4D">
          <w:rPr>
            <w:noProof/>
            <w:webHidden/>
          </w:rPr>
          <w:instrText xml:space="preserve"> PAGEREF _Toc240872631 \h </w:instrText>
        </w:r>
        <w:r w:rsidR="00DA1B4D">
          <w:rPr>
            <w:noProof/>
            <w:webHidden/>
          </w:rPr>
        </w:r>
        <w:r w:rsidR="00DA1B4D">
          <w:rPr>
            <w:noProof/>
            <w:webHidden/>
          </w:rPr>
          <w:fldChar w:fldCharType="separate"/>
        </w:r>
        <w:r w:rsidR="00ED0AC5">
          <w:rPr>
            <w:noProof/>
            <w:webHidden/>
          </w:rPr>
          <w:t>45</w:t>
        </w:r>
        <w:r w:rsidR="00DA1B4D">
          <w:rPr>
            <w:noProof/>
            <w:webHidden/>
          </w:rPr>
          <w:fldChar w:fldCharType="end"/>
        </w:r>
      </w:hyperlink>
    </w:p>
    <w:p w14:paraId="11A6485C" w14:textId="08EC8A17"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32" w:history="1">
        <w:r w:rsidR="00DA1B4D" w:rsidRPr="00DB0844">
          <w:rPr>
            <w:rStyle w:val="Hyperlink"/>
            <w:noProof/>
          </w:rPr>
          <w:t xml:space="preserve">Table 11: </w:t>
        </w:r>
        <w:r w:rsidR="00DA1B4D" w:rsidRPr="00DB0844">
          <w:rPr>
            <w:rStyle w:val="Hyperlink"/>
            <w:bCs/>
            <w:noProof/>
          </w:rPr>
          <w:t>Hierarchical Multiple Regression Analysis Testing the Moderating Effects of Workload, Managerial Support, and Flexible Working Arrangements on the WLC-Turnover Intention Relationship</w:t>
        </w:r>
        <w:r w:rsidR="00DA1B4D">
          <w:rPr>
            <w:noProof/>
            <w:webHidden/>
          </w:rPr>
          <w:tab/>
        </w:r>
        <w:r w:rsidR="00DA1B4D">
          <w:rPr>
            <w:noProof/>
            <w:webHidden/>
          </w:rPr>
          <w:fldChar w:fldCharType="begin"/>
        </w:r>
        <w:r w:rsidR="00DA1B4D">
          <w:rPr>
            <w:noProof/>
            <w:webHidden/>
          </w:rPr>
          <w:instrText xml:space="preserve"> PAGEREF _Toc240872632 \h </w:instrText>
        </w:r>
        <w:r w:rsidR="00DA1B4D">
          <w:rPr>
            <w:noProof/>
            <w:webHidden/>
          </w:rPr>
        </w:r>
        <w:r w:rsidR="00DA1B4D">
          <w:rPr>
            <w:noProof/>
            <w:webHidden/>
          </w:rPr>
          <w:fldChar w:fldCharType="separate"/>
        </w:r>
        <w:r w:rsidR="00ED0AC5">
          <w:rPr>
            <w:noProof/>
            <w:webHidden/>
          </w:rPr>
          <w:t>46</w:t>
        </w:r>
        <w:r w:rsidR="00DA1B4D">
          <w:rPr>
            <w:noProof/>
            <w:webHidden/>
          </w:rPr>
          <w:fldChar w:fldCharType="end"/>
        </w:r>
      </w:hyperlink>
    </w:p>
    <w:p w14:paraId="3332BD53" w14:textId="02FE9AA5" w:rsidR="00DA1B4D" w:rsidRDefault="00DB083F">
      <w:pPr>
        <w:pStyle w:val="TableofFigures"/>
        <w:tabs>
          <w:tab w:val="right" w:leader="dot" w:pos="9016"/>
        </w:tabs>
        <w:rPr>
          <w:rFonts w:asciiTheme="minorHAnsi" w:eastAsiaTheme="minorEastAsia" w:hAnsiTheme="minorHAnsi" w:cs="Mangal"/>
          <w:noProof/>
          <w:color w:val="auto"/>
          <w:szCs w:val="21"/>
          <w:lang w:eastAsia="en-GB" w:bidi="hi-IN"/>
        </w:rPr>
      </w:pPr>
      <w:hyperlink w:anchor="_Toc240872633" w:history="1">
        <w:r w:rsidR="00DA1B4D" w:rsidRPr="00DB0844">
          <w:rPr>
            <w:rStyle w:val="Hyperlink"/>
            <w:rFonts w:cs="Times New Roman"/>
            <w:noProof/>
          </w:rPr>
          <w:t>Table 12: Research Structure</w:t>
        </w:r>
        <w:r w:rsidR="00DA1B4D">
          <w:rPr>
            <w:noProof/>
            <w:webHidden/>
          </w:rPr>
          <w:tab/>
        </w:r>
        <w:r w:rsidR="00DA1B4D">
          <w:rPr>
            <w:noProof/>
            <w:webHidden/>
          </w:rPr>
          <w:fldChar w:fldCharType="begin"/>
        </w:r>
        <w:r w:rsidR="00DA1B4D">
          <w:rPr>
            <w:noProof/>
            <w:webHidden/>
          </w:rPr>
          <w:instrText xml:space="preserve"> PAGEREF _Toc240872633 \h </w:instrText>
        </w:r>
        <w:r w:rsidR="00DA1B4D">
          <w:rPr>
            <w:noProof/>
            <w:webHidden/>
          </w:rPr>
        </w:r>
        <w:r w:rsidR="00DA1B4D">
          <w:rPr>
            <w:noProof/>
            <w:webHidden/>
          </w:rPr>
          <w:fldChar w:fldCharType="separate"/>
        </w:r>
        <w:r w:rsidR="00ED0AC5">
          <w:rPr>
            <w:noProof/>
            <w:webHidden/>
          </w:rPr>
          <w:t>85</w:t>
        </w:r>
        <w:r w:rsidR="00DA1B4D">
          <w:rPr>
            <w:noProof/>
            <w:webHidden/>
          </w:rPr>
          <w:fldChar w:fldCharType="end"/>
        </w:r>
      </w:hyperlink>
    </w:p>
    <w:p w14:paraId="3C95F311" w14:textId="77777777" w:rsidR="00C138A8" w:rsidRPr="00B10792" w:rsidRDefault="00DA1B4D" w:rsidP="00DA1B4D">
      <w:r>
        <w:fldChar w:fldCharType="end"/>
      </w:r>
      <w:r w:rsidR="00C138A8" w:rsidRPr="00B10792">
        <w:br w:type="page"/>
      </w:r>
    </w:p>
    <w:p w14:paraId="5F9AABD0" w14:textId="77777777" w:rsidR="00797CC3" w:rsidRPr="00B10792" w:rsidRDefault="00C138A8" w:rsidP="00C138A8">
      <w:pPr>
        <w:pStyle w:val="Heading1"/>
        <w:rPr>
          <w:rFonts w:cs="Times New Roman"/>
        </w:rPr>
      </w:pPr>
      <w:bookmarkStart w:id="9" w:name="_Toc240913035"/>
      <w:r w:rsidRPr="00B10792">
        <w:rPr>
          <w:rFonts w:cs="Times New Roman"/>
        </w:rPr>
        <w:lastRenderedPageBreak/>
        <w:t>Chapter One: Introduction</w:t>
      </w:r>
      <w:bookmarkEnd w:id="9"/>
    </w:p>
    <w:p w14:paraId="4BBE4632" w14:textId="77777777" w:rsidR="00775C83" w:rsidRPr="00775C83" w:rsidRDefault="00C138A8" w:rsidP="00775C83">
      <w:pPr>
        <w:pStyle w:val="Heading2"/>
        <w:rPr>
          <w:rFonts w:cs="Times New Roman"/>
          <w:lang w:eastAsia="en-GB" w:bidi="hi-IN"/>
        </w:rPr>
      </w:pPr>
      <w:bookmarkStart w:id="10" w:name="_Toc240913036"/>
      <w:r w:rsidRPr="00B10792">
        <w:rPr>
          <w:rFonts w:cs="Times New Roman"/>
          <w:lang w:eastAsia="en-GB" w:bidi="hi-IN"/>
        </w:rPr>
        <w:t>1.1 Background of the study</w:t>
      </w:r>
      <w:bookmarkEnd w:id="10"/>
    </w:p>
    <w:p w14:paraId="5D97BAC3" w14:textId="77777777" w:rsidR="00775C83" w:rsidRPr="00775C83" w:rsidRDefault="00775C83" w:rsidP="00775C83">
      <w:pPr>
        <w:rPr>
          <w:rFonts w:cs="Times New Roman"/>
          <w:lang w:eastAsia="en-GB" w:bidi="hi-IN"/>
        </w:rPr>
      </w:pPr>
      <w:r w:rsidRPr="00775C83">
        <w:rPr>
          <w:rFonts w:cs="Times New Roman"/>
          <w:lang w:eastAsia="en-GB" w:bidi="hi-IN"/>
        </w:rPr>
        <w:t>The United Kingdom's (UK) National Health Service (NHS) is in the midst of a workforce retention crisis unlike anything seen before, with the rate of voluntary turnover increasing in both clinical and non-clinical careers. NHS Digital (2024) and Moscelli et al. (2024) both suggest that current workforce statistics suggest this is a significantly hampered operational state of the NHS in terms of highly trained professionals. The acute systemic shocks brought on by the COVID-19 pandemic left the healthcare workforce united for a time, but the prolonged recovery period has clearly revealed preexisting structural weaknesses (Gilles et al., 2025; Maunder et al., 2022). Thus, a large part of NHS staff is actively considering leaving the profession, not just because of pay negotiations but because of the inability to balance systemic, escalating working demands with their personal lives (West and Wallbank, 2024; Onyejesi et al., 2025).</w:t>
      </w:r>
    </w:p>
    <w:p w14:paraId="20E4B970" w14:textId="77777777" w:rsidR="00775C83" w:rsidRPr="00775C83" w:rsidRDefault="00775C83" w:rsidP="00775C83">
      <w:pPr>
        <w:rPr>
          <w:rFonts w:cs="Times New Roman"/>
          <w:lang w:eastAsia="en-GB" w:bidi="hi-IN"/>
        </w:rPr>
      </w:pPr>
      <w:r w:rsidRPr="00775C83">
        <w:rPr>
          <w:rFonts w:cs="Times New Roman"/>
          <w:lang w:eastAsia="en-GB" w:bidi="hi-IN"/>
        </w:rPr>
        <w:t xml:space="preserve">In the middle of this attrition problem lies the phenomenon of work-life conflict (WLC), which is a bidirectional inter-role type of conflict arises when overall demands from the work domain and non-work domain are essentially incompatible (Netemeyer et al., 1996; Rathi and Kumar, 2023). WLC is structurally entrenched in the contemporary health care system. The environment features a higher prevalence of inflexible, isolating shift arrangements, high emotional labor, and low staffing levels, all uniquely contributing to the time, strain and behaviour dimensions of inter-role conflict (Komlenac et al., 2021; Lee et al., 2021). Meta-analytical evidence clearly indicates that WLC is an effective primary, pervasive catalyst to psychological withdrawal and turnover intention in healthcare systems around the globe (Campos-García et al., 2021; Harun et al., 2020; Maniscalco et al., 2024). Especially in the UK environment, poor management of the boundaries between work activity and rest time has </w:t>
      </w:r>
      <w:r w:rsidRPr="00775C83">
        <w:rPr>
          <w:rFonts w:cs="Times New Roman"/>
          <w:lang w:eastAsia="en-GB" w:bidi="hi-IN"/>
        </w:rPr>
        <w:lastRenderedPageBreak/>
        <w:t>become a major driver for early retirement (Boy and Sürmeli, 2023; Huseynova and İslamoğlu, 2024;).</w:t>
      </w:r>
    </w:p>
    <w:p w14:paraId="01AAB510" w14:textId="77777777" w:rsidR="00775C83" w:rsidRPr="00775C83" w:rsidRDefault="00775C83" w:rsidP="00775C83">
      <w:pPr>
        <w:rPr>
          <w:rFonts w:cs="Times New Roman"/>
          <w:lang w:eastAsia="en-GB" w:bidi="hi-IN"/>
        </w:rPr>
      </w:pPr>
      <w:r w:rsidRPr="00775C83">
        <w:rPr>
          <w:rFonts w:cs="Times New Roman"/>
          <w:lang w:eastAsia="en-GB" w:bidi="hi-IN"/>
        </w:rPr>
        <w:t>Psychological mechanisms are best conceptualized by using a Job Demands-Resources (JD-R) model (Bakker and Demerouti, 2017). The demand to repeatedly exceed individual psychological and physiological limits is a common occurrence in the NHS workplace (Heijden et al., 2018). Prolonged work demands without proper recuperation result in increased WLC and a health impairment process eventually leading to serious occupational burnout (Alblihed and Alzghaibi, 2022; Wen et al., 2023). The emotional exhaustion in turn acts as the key intervening variable that makes up the bridge between chronic work-life imbalance and clear manifestation of intention to quit the organisation (Rotenstein et al., 2023; Shetu et al., 2025).</w:t>
      </w:r>
    </w:p>
    <w:p w14:paraId="0CF0E335" w14:textId="77777777" w:rsidR="00C138A8" w:rsidRPr="00B10792" w:rsidRDefault="00775C83" w:rsidP="00775C83">
      <w:pPr>
        <w:rPr>
          <w:rFonts w:cs="Times New Roman"/>
          <w:lang w:eastAsia="en-GB" w:bidi="hi-IN"/>
        </w:rPr>
      </w:pPr>
      <w:r w:rsidRPr="00775C83">
        <w:rPr>
          <w:rFonts w:cs="Times New Roman"/>
          <w:lang w:eastAsia="en-GB" w:bidi="hi-IN"/>
        </w:rPr>
        <w:t>Although the consequences of WLC have been documented, there is still a large empirical void regarding what currently available organisational interventions might do to mitigate the effects of WLC (Kamboj and Eronimus, 2025). Theories imply that there are job resources that can buffer the adverse effects of high workload, such as proactive managerial support and strong flexible working policies, but the reality is that the implementation of such resources can differ considerably across different devolved NHS trusts (Bogaert et al., 2017; Picker, 2025; Weyman et al., 2026). Identifying the exact statistical capability of these particular organisational resources in moderating the relationship between WLC and turnover intention is therefore an immediate call to action in developing a sustainable healthcare retention policy and stabili</w:t>
      </w:r>
      <w:r>
        <w:rPr>
          <w:rFonts w:cs="Times New Roman"/>
          <w:lang w:val="en-US" w:eastAsia="en-GB" w:bidi="hi-IN"/>
        </w:rPr>
        <w:t>s</w:t>
      </w:r>
      <w:r w:rsidRPr="00775C83">
        <w:rPr>
          <w:rFonts w:cs="Times New Roman"/>
          <w:lang w:eastAsia="en-GB" w:bidi="hi-IN"/>
        </w:rPr>
        <w:t>ing the healthcare system of the nation (Obeng et al., 2025).</w:t>
      </w:r>
    </w:p>
    <w:p w14:paraId="10492B2C" w14:textId="77777777" w:rsidR="00C138A8" w:rsidRPr="00B10792" w:rsidRDefault="00C138A8" w:rsidP="00C138A8">
      <w:pPr>
        <w:pStyle w:val="Heading2"/>
        <w:rPr>
          <w:rFonts w:cs="Times New Roman"/>
          <w:lang w:eastAsia="en-GB" w:bidi="hi-IN"/>
        </w:rPr>
      </w:pPr>
      <w:bookmarkStart w:id="11" w:name="_Toc240913037"/>
      <w:r w:rsidRPr="00B10792">
        <w:rPr>
          <w:rFonts w:cs="Times New Roman"/>
          <w:lang w:eastAsia="en-GB" w:bidi="hi-IN"/>
        </w:rPr>
        <w:t>1.2 Problem Statement</w:t>
      </w:r>
      <w:bookmarkEnd w:id="11"/>
    </w:p>
    <w:p w14:paraId="6209E2F5" w14:textId="0FF27D88" w:rsidR="00775C83" w:rsidRPr="00775C83" w:rsidRDefault="00775C83" w:rsidP="00775C83">
      <w:pPr>
        <w:rPr>
          <w:rFonts w:cs="Times New Roman"/>
          <w:lang w:eastAsia="en-GB" w:bidi="hi-IN"/>
        </w:rPr>
      </w:pPr>
      <w:r w:rsidRPr="00775C83">
        <w:rPr>
          <w:rFonts w:cs="Times New Roman"/>
          <w:lang w:eastAsia="en-GB" w:bidi="hi-IN"/>
        </w:rPr>
        <w:t xml:space="preserve">The UK National Health Service (NHS) is in the throes of a significant destabilisation of its workforce structure, caused by an unsustainable rise in employee turnover (NHS Digital, 2024). Even though there are nationwide initiatives to recruit frontline staff members, volunteers continue to resign in significant numbers, affecting the continuity of care and </w:t>
      </w:r>
      <w:r w:rsidRPr="00775C83">
        <w:rPr>
          <w:rFonts w:cs="Times New Roman"/>
          <w:lang w:eastAsia="en-GB" w:bidi="hi-IN"/>
        </w:rPr>
        <w:lastRenderedPageBreak/>
        <w:t>efficiency of operations (Lihua et al., 2025; Maben et al., 2024). Work-life conflict (WLC)</w:t>
      </w:r>
      <w:r w:rsidR="00ED0AC5">
        <w:rPr>
          <w:rFonts w:cs="Times New Roman"/>
          <w:lang w:eastAsia="en-GB" w:bidi="hi-IN"/>
        </w:rPr>
        <w:t>-</w:t>
      </w:r>
      <w:r w:rsidRPr="00775C83">
        <w:rPr>
          <w:rFonts w:cs="Times New Roman"/>
          <w:lang w:eastAsia="en-GB" w:bidi="hi-IN"/>
        </w:rPr>
        <w:t>the common experience of healthcare professionals (Hander et al., 2021; West and Wallbank, 2024) is a key driver of this attrition but is often poorly managed. The work context in the NHS is also very stressful, with high stakes, often strict shift management, frequent understaffing and a high degree of emotional labour which are all foundational conflicting factors between work and non-work domains (Komlenac et al., 2021; Ocean and Meyer, 2023).</w:t>
      </w:r>
    </w:p>
    <w:p w14:paraId="3054B380" w14:textId="77777777" w:rsidR="00775C83" w:rsidRPr="00775C83" w:rsidRDefault="00775C83" w:rsidP="00775C83">
      <w:pPr>
        <w:rPr>
          <w:rFonts w:cs="Times New Roman"/>
          <w:lang w:eastAsia="en-GB" w:bidi="hi-IN"/>
        </w:rPr>
      </w:pPr>
      <w:r w:rsidRPr="00775C83">
        <w:rPr>
          <w:rFonts w:cs="Times New Roman"/>
          <w:lang w:eastAsia="en-GB" w:bidi="hi-IN"/>
        </w:rPr>
        <w:t>Although there is vast meta-analytical evidence that WLC and its three subscales: time, strain and behaviour, predict psychological withdrawal and turnover intention (Li et al., 2025; Rotenstein et al., 2023), there is a clear gap in the existing literature. In particular, much of the current research deals with the unmitigated, direct path of WLC on burnout and attrition, viewing it as a natural outcome of working in healthcare (Alblihed and Alzghaibi, 2022; Sehanovic et al., 2025). Thus, the evidence of the effectiveness of specifically targeted organisational interventions aimed at breaking open this causal pathway in the post-pandemic NHS is currently extremely limited (Frias et al., 2025).</w:t>
      </w:r>
    </w:p>
    <w:p w14:paraId="3C76F33E" w14:textId="77777777" w:rsidR="00775C83" w:rsidRPr="00775C83" w:rsidRDefault="00775C83" w:rsidP="00775C83">
      <w:pPr>
        <w:rPr>
          <w:rFonts w:cs="Times New Roman"/>
          <w:lang w:eastAsia="en-GB" w:bidi="hi-IN"/>
        </w:rPr>
      </w:pPr>
      <w:r w:rsidRPr="00775C83">
        <w:rPr>
          <w:rFonts w:cs="Times New Roman"/>
          <w:lang w:eastAsia="en-GB" w:bidi="hi-IN"/>
        </w:rPr>
        <w:t>Theoretical models are rooted in Job Demands-Resources (JD-R) theory, which suggests job resources (such as management support, flexibility) should buffer the depleting effects of overwhelming job demands (Bakker and Demerouti, 2017). These resources, however, are therefore hotly debated and poorly studied in terms of their moderating effect in the NHS (Picker, 2025; Weyman et al., 2026). Despite current policy directives calling for increased flexibility in the workplace, it is not yet evident from an empirical perspective of whether these resources are statistically adequate to neutralise the unique dimensions of WLC, and hence, future turnover among substantive NHS staff (Blake et al., 2024).</w:t>
      </w:r>
    </w:p>
    <w:p w14:paraId="3A5E5EC6" w14:textId="77777777" w:rsidR="00F02E34" w:rsidRPr="00B10792" w:rsidRDefault="00775C83" w:rsidP="00775C83">
      <w:pPr>
        <w:rPr>
          <w:rFonts w:cs="Times New Roman"/>
          <w:lang w:eastAsia="en-GB" w:bidi="hi-IN"/>
        </w:rPr>
      </w:pPr>
      <w:r w:rsidRPr="00775C83">
        <w:rPr>
          <w:rFonts w:cs="Times New Roman"/>
          <w:lang w:eastAsia="en-GB" w:bidi="hi-IN"/>
        </w:rPr>
        <w:t xml:space="preserve">Thus, the major puzzle to be solved in this study is that of the role, and level, of organisational resources as moderators between WLC and intention to quit in the UK healthcare industry. However, NHS trusts currently have to rely on theoretical assumptions and undertake retention </w:t>
      </w:r>
      <w:r w:rsidRPr="00775C83">
        <w:rPr>
          <w:rFonts w:cs="Times New Roman"/>
          <w:lang w:eastAsia="en-GB" w:bidi="hi-IN"/>
        </w:rPr>
        <w:lastRenderedPageBreak/>
        <w:t>initiatives without strong quantitative evidence to identify these moderating effects, potentially continuing to misallocate resources and perpetuate a wider collapse of the system (Alkan et al., 2024; Bimpong et al., 2020; Kelly et al., 2022).</w:t>
      </w:r>
    </w:p>
    <w:p w14:paraId="5166B62F" w14:textId="77777777" w:rsidR="00C138A8" w:rsidRPr="00B10792" w:rsidRDefault="00C138A8" w:rsidP="00C138A8">
      <w:pPr>
        <w:pStyle w:val="Heading2"/>
        <w:rPr>
          <w:rFonts w:cs="Times New Roman"/>
          <w:lang w:eastAsia="en-GB" w:bidi="hi-IN"/>
        </w:rPr>
      </w:pPr>
      <w:bookmarkStart w:id="12" w:name="_Toc240913038"/>
      <w:r w:rsidRPr="00B10792">
        <w:rPr>
          <w:rFonts w:cs="Times New Roman"/>
          <w:lang w:eastAsia="en-GB" w:bidi="hi-IN"/>
        </w:rPr>
        <w:t>1.3 Research Rationale</w:t>
      </w:r>
      <w:bookmarkEnd w:id="12"/>
    </w:p>
    <w:p w14:paraId="6C680442" w14:textId="77777777" w:rsidR="00775C83" w:rsidRPr="00775C83" w:rsidRDefault="00775C83" w:rsidP="00775C83">
      <w:pPr>
        <w:rPr>
          <w:rFonts w:cs="Times New Roman"/>
          <w:lang w:eastAsia="en-GB" w:bidi="hi-IN"/>
        </w:rPr>
      </w:pPr>
      <w:r w:rsidRPr="00775C83">
        <w:rPr>
          <w:rFonts w:cs="Times New Roman"/>
          <w:lang w:eastAsia="en-GB" w:bidi="hi-IN"/>
        </w:rPr>
        <w:t>The practical need and theoretical gaps that underlie and justify a study of this kind are related to the field of occupational psychology. In terms of practice, the United Kingdom (UK) National Health Service (NHS) is facing a sudden and devastating retention problem. A staff turnover rate of more than 11% will persist in the NHS, based on latest workforce data (2025), with the health service carrying more than 100,000 live vacancies. This ongoing turnover of substantive clinical and non-clinical staff members disrupts continuity of patient care and exerts a heavy cost, with the NHS known to spend around £3 billion a year on agency locums just to plug these gaps in doctors' and nurses' availability (Platts, 2023; Walker, 2025). Additionally, survey evidence clearly suggests that poor work-life balance is the top growing reason for voluntary exit from the NHS workforce, with West and Wallbank (2024) proving that 29% of current staff is considering leaving their job. Although work-life conflict (WLC) is now a recognised catalyst for this migration (Datta and Narayanamma, 2024; Li et al., 2025), there are currently no precise frameworks, with clear data, to effectively restore this trend in the NHS (Lundmark et al., 2024; Onyejesi et al., 2025). There is therefore a strong need for a practical imperative to consider how the workforce architecture (Fletcher and French, 2026) can be salvaged through specific organisational measures: managerial support and flexible working.</w:t>
      </w:r>
    </w:p>
    <w:p w14:paraId="6D785A59" w14:textId="77777777" w:rsidR="00775C83" w:rsidRPr="00775C83" w:rsidRDefault="00775C83" w:rsidP="00775C83">
      <w:pPr>
        <w:rPr>
          <w:rFonts w:cs="Times New Roman"/>
          <w:lang w:eastAsia="en-GB" w:bidi="hi-IN"/>
        </w:rPr>
      </w:pPr>
      <w:r w:rsidRPr="00775C83">
        <w:rPr>
          <w:rFonts w:cs="Times New Roman"/>
          <w:lang w:eastAsia="en-GB" w:bidi="hi-IN"/>
        </w:rPr>
        <w:t xml:space="preserve">Theoretically, this research is justified by the need to advance the empirical application of the Job Demands-Resources (JD-R) model (Bakker and Demerouti, 2017). Prior studies mainly employed the JD-R framework to map the direct health-impairment pathway from excess job demands to occupational burnout-turnover (Alblihed and Alzghaibi, 2022; Rotenstein et al., </w:t>
      </w:r>
      <w:r w:rsidRPr="00775C83">
        <w:rPr>
          <w:rFonts w:cs="Times New Roman"/>
          <w:lang w:eastAsia="en-GB" w:bidi="hi-IN"/>
        </w:rPr>
        <w:lastRenderedPageBreak/>
        <w:t>2023). But, quantitative studies on time-, strain-, and behaviour-based WLC separating out the buffering mechanisms through which job resources operate in the post-pandemic UK healthcare industry remain sorely lacking (Harris et al., 2024). This study will formally test these moderating variables, thereby adding finer-grained theoretical lenses to the JD-R model that can inform the potential interactions between organisational resources and boundary-spanning stressors (Weyman et al., 2026).</w:t>
      </w:r>
    </w:p>
    <w:p w14:paraId="3D2F0AA2" w14:textId="77777777" w:rsidR="00F02E34" w:rsidRPr="00B10792" w:rsidRDefault="00775C83" w:rsidP="00775C83">
      <w:pPr>
        <w:rPr>
          <w:rFonts w:cs="Times New Roman"/>
          <w:lang w:val="en-US" w:eastAsia="en-GB" w:bidi="hi-IN"/>
        </w:rPr>
      </w:pPr>
      <w:r w:rsidRPr="00775C83">
        <w:rPr>
          <w:rFonts w:cs="Times New Roman"/>
          <w:lang w:eastAsia="en-GB" w:bidi="hi-IN"/>
        </w:rPr>
        <w:t>The methodology underpinning the use of a positivist, quantitative cross-sectional approach is motivated by the need for macro-level policy impact. Qualitative studies have well described the lived experience of healthcare workers who are under stress (Ramsay and Edwards, 2025), but statistical prediction power in quantitative studies is needed (Saunders et al., 2023) by NHS policymakers to allocate scarce human resource budgets. This study will provide robust, generalisable, empirical evidence by quantifying the moderating thresholds of managerial support and flexible working arrangements among a large NHS sample (Khan and Wadhwa, 2026). Overall, this personali</w:t>
      </w:r>
      <w:r>
        <w:rPr>
          <w:rFonts w:cs="Times New Roman"/>
          <w:lang w:val="en-US" w:eastAsia="en-GB" w:bidi="hi-IN"/>
        </w:rPr>
        <w:t>s</w:t>
      </w:r>
      <w:r w:rsidRPr="00775C83">
        <w:rPr>
          <w:rFonts w:cs="Times New Roman"/>
          <w:lang w:eastAsia="en-GB" w:bidi="hi-IN"/>
        </w:rPr>
        <w:t>ed strategy helps to ensure that future retention efforts are not vague concepts; they are tangible, data-backed interventions that can actually make a significant, lasting impact on turnover intention on a sector level (Hur, 2024).</w:t>
      </w:r>
    </w:p>
    <w:p w14:paraId="50B7BDE5" w14:textId="77777777" w:rsidR="00C138A8" w:rsidRPr="00B10792" w:rsidRDefault="00C138A8" w:rsidP="00C138A8">
      <w:pPr>
        <w:pStyle w:val="Heading2"/>
        <w:rPr>
          <w:rFonts w:cs="Times New Roman"/>
          <w:lang w:eastAsia="en-GB" w:bidi="hi-IN"/>
        </w:rPr>
      </w:pPr>
      <w:bookmarkStart w:id="13" w:name="_Toc240913039"/>
      <w:r w:rsidRPr="00B10792">
        <w:rPr>
          <w:rFonts w:cs="Times New Roman"/>
          <w:lang w:eastAsia="en-GB" w:bidi="hi-IN"/>
        </w:rPr>
        <w:t>1.4 Research Aim</w:t>
      </w:r>
      <w:bookmarkEnd w:id="13"/>
    </w:p>
    <w:p w14:paraId="33FCDA40" w14:textId="77777777" w:rsidR="00C138A8" w:rsidRPr="00B10792" w:rsidRDefault="00AD3AFB" w:rsidP="00C138A8">
      <w:pPr>
        <w:rPr>
          <w:rFonts w:cs="Times New Roman"/>
          <w:lang w:eastAsia="en-GB" w:bidi="hi-IN"/>
        </w:rPr>
      </w:pPr>
      <w:r w:rsidRPr="00B10792">
        <w:rPr>
          <w:rFonts w:cs="Times New Roman"/>
        </w:rPr>
        <w:t>The aim of the study is to investigate how dimensions of work-life conflict affect turnover intentions among NHS employees, and how organisational factors moderate this relationship.</w:t>
      </w:r>
    </w:p>
    <w:p w14:paraId="064D9DD9" w14:textId="77777777" w:rsidR="00C138A8" w:rsidRPr="00B10792" w:rsidRDefault="00C138A8" w:rsidP="00C138A8">
      <w:pPr>
        <w:pStyle w:val="Heading2"/>
        <w:rPr>
          <w:rFonts w:cs="Times New Roman"/>
          <w:lang w:eastAsia="en-GB" w:bidi="hi-IN"/>
        </w:rPr>
      </w:pPr>
      <w:bookmarkStart w:id="14" w:name="_Toc240913040"/>
      <w:r w:rsidRPr="00B10792">
        <w:rPr>
          <w:rFonts w:cs="Times New Roman"/>
          <w:lang w:eastAsia="en-GB" w:bidi="hi-IN"/>
        </w:rPr>
        <w:t>1.5 Research Objectives</w:t>
      </w:r>
      <w:bookmarkEnd w:id="14"/>
    </w:p>
    <w:p w14:paraId="6AAD4414" w14:textId="77777777" w:rsidR="00C138A8" w:rsidRPr="00B10792" w:rsidRDefault="00C534AE" w:rsidP="00C138A8">
      <w:pPr>
        <w:rPr>
          <w:rFonts w:cs="Times New Roman"/>
          <w:lang w:eastAsia="en-GB" w:bidi="hi-IN"/>
        </w:rPr>
      </w:pPr>
      <w:r w:rsidRPr="00B10792">
        <w:rPr>
          <w:rFonts w:cs="Times New Roman"/>
          <w:lang w:eastAsia="en-GB" w:bidi="hi-IN"/>
        </w:rPr>
        <w:t>The objectives of the study are:</w:t>
      </w:r>
    </w:p>
    <w:p w14:paraId="1419A097" w14:textId="77777777" w:rsidR="00C534AE" w:rsidRPr="00B10792" w:rsidRDefault="00C534AE" w:rsidP="00C534AE">
      <w:pPr>
        <w:pStyle w:val="ListParagraph"/>
        <w:numPr>
          <w:ilvl w:val="0"/>
          <w:numId w:val="2"/>
        </w:numPr>
      </w:pPr>
      <w:r w:rsidRPr="00B10792">
        <w:t>To measure the levels of time, strain, and behaviour-based work-life conflict among NHS employees.</w:t>
      </w:r>
    </w:p>
    <w:p w14:paraId="363274DB" w14:textId="77777777" w:rsidR="00C534AE" w:rsidRPr="00B10792" w:rsidRDefault="00C534AE" w:rsidP="00C534AE">
      <w:pPr>
        <w:pStyle w:val="ListParagraph"/>
        <w:numPr>
          <w:ilvl w:val="0"/>
          <w:numId w:val="2"/>
        </w:numPr>
      </w:pPr>
      <w:r w:rsidRPr="00B10792">
        <w:t>To evaluate the statistical impact of these conflict dimensions on turnover intention.</w:t>
      </w:r>
    </w:p>
    <w:p w14:paraId="48B9D1A5" w14:textId="77777777" w:rsidR="00C534AE" w:rsidRPr="00B10792" w:rsidRDefault="00C534AE" w:rsidP="00C534AE">
      <w:pPr>
        <w:pStyle w:val="ListParagraph"/>
        <w:numPr>
          <w:ilvl w:val="0"/>
          <w:numId w:val="2"/>
        </w:numPr>
      </w:pPr>
      <w:r w:rsidRPr="00B10792">
        <w:lastRenderedPageBreak/>
        <w:t>To evaluate the moderating effects of organisational factors (workload, managerial support, and flexibility) on this relationship.</w:t>
      </w:r>
    </w:p>
    <w:p w14:paraId="1BAC89D9" w14:textId="77777777" w:rsidR="00C534AE" w:rsidRPr="00B10792" w:rsidRDefault="00C534AE" w:rsidP="00C138A8">
      <w:pPr>
        <w:pStyle w:val="ListParagraph"/>
        <w:numPr>
          <w:ilvl w:val="0"/>
          <w:numId w:val="2"/>
        </w:numPr>
      </w:pPr>
      <w:r w:rsidRPr="00B10792">
        <w:t>To develop evidence-based retention recommendations for NHS management.</w:t>
      </w:r>
    </w:p>
    <w:p w14:paraId="45311AAE" w14:textId="77777777" w:rsidR="00C138A8" w:rsidRPr="00B10792" w:rsidRDefault="00C138A8" w:rsidP="00C138A8">
      <w:pPr>
        <w:pStyle w:val="Heading2"/>
        <w:rPr>
          <w:rFonts w:cs="Times New Roman"/>
          <w:lang w:eastAsia="en-GB" w:bidi="hi-IN"/>
        </w:rPr>
      </w:pPr>
      <w:bookmarkStart w:id="15" w:name="_Toc240913041"/>
      <w:r w:rsidRPr="00B10792">
        <w:rPr>
          <w:rFonts w:cs="Times New Roman"/>
          <w:lang w:eastAsia="en-GB" w:bidi="hi-IN"/>
        </w:rPr>
        <w:t>1.6 Research Question</w:t>
      </w:r>
      <w:bookmarkEnd w:id="15"/>
    </w:p>
    <w:p w14:paraId="07D95EAE" w14:textId="77777777" w:rsidR="00C138A8" w:rsidRPr="00B10792" w:rsidRDefault="008079E8" w:rsidP="00C138A8">
      <w:pPr>
        <w:rPr>
          <w:rFonts w:cs="Times New Roman"/>
          <w:lang w:eastAsia="en-GB" w:bidi="hi-IN"/>
        </w:rPr>
      </w:pPr>
      <w:r w:rsidRPr="00B10792">
        <w:rPr>
          <w:rFonts w:cs="Times New Roman"/>
        </w:rPr>
        <w:t>How do the multidimensional constructs of work-life conflict (time-based, strain-based, and behaviour-based) predict turnover intentions among UK National Health Service (NHS) staff, and to what extent do organisational resources, specifically managerial support and flexible working arrangements, statistically moderate this relationship?</w:t>
      </w:r>
    </w:p>
    <w:p w14:paraId="3911E80B" w14:textId="77777777" w:rsidR="00C138A8" w:rsidRPr="00B10792" w:rsidRDefault="00C138A8" w:rsidP="004B0120">
      <w:pPr>
        <w:pStyle w:val="Heading2"/>
        <w:rPr>
          <w:rFonts w:cs="Times New Roman"/>
          <w:sz w:val="32"/>
        </w:rPr>
      </w:pPr>
      <w:r w:rsidRPr="00B10792">
        <w:rPr>
          <w:rFonts w:cs="Times New Roman"/>
        </w:rPr>
        <w:br w:type="page"/>
      </w:r>
    </w:p>
    <w:p w14:paraId="7EFFB5A0" w14:textId="77777777" w:rsidR="00C138A8" w:rsidRPr="00B10792" w:rsidRDefault="00C138A8" w:rsidP="00C138A8">
      <w:pPr>
        <w:pStyle w:val="Heading1"/>
        <w:rPr>
          <w:rFonts w:cs="Times New Roman"/>
        </w:rPr>
      </w:pPr>
      <w:bookmarkStart w:id="16" w:name="_Toc240913042"/>
      <w:r w:rsidRPr="00B10792">
        <w:rPr>
          <w:rFonts w:cs="Times New Roman"/>
        </w:rPr>
        <w:lastRenderedPageBreak/>
        <w:t>Chapter Two: Literature Review</w:t>
      </w:r>
      <w:bookmarkEnd w:id="16"/>
    </w:p>
    <w:p w14:paraId="32E7ADD7" w14:textId="77777777" w:rsidR="00D17B96" w:rsidRPr="00B10792" w:rsidRDefault="00D17B96" w:rsidP="00D17B96">
      <w:pPr>
        <w:pStyle w:val="Heading2"/>
        <w:rPr>
          <w:rFonts w:cs="Times New Roman"/>
        </w:rPr>
      </w:pPr>
      <w:bookmarkStart w:id="17" w:name="_Toc240913043"/>
      <w:r w:rsidRPr="00B10792">
        <w:rPr>
          <w:rFonts w:cs="Times New Roman"/>
        </w:rPr>
        <w:t>2.1 Introduction</w:t>
      </w:r>
      <w:bookmarkEnd w:id="17"/>
    </w:p>
    <w:p w14:paraId="7D04EE8A" w14:textId="77777777" w:rsidR="00D17B96" w:rsidRPr="00B10792" w:rsidRDefault="00775C83" w:rsidP="00D17B96">
      <w:pPr>
        <w:rPr>
          <w:rFonts w:cs="Times New Roman"/>
        </w:rPr>
      </w:pPr>
      <w:r w:rsidRPr="00775C83">
        <w:rPr>
          <w:rFonts w:cs="Times New Roman"/>
        </w:rPr>
        <w:t>The chapter examines the research related to WLC, employee turnover intentions, and buffering strategies in healthcare organisations. The review starts from the general theory to specific concepts. To establish the theoretical perspective</w:t>
      </w:r>
      <w:r>
        <w:rPr>
          <w:rFonts w:cs="Times New Roman"/>
        </w:rPr>
        <w:t>,</w:t>
      </w:r>
      <w:r w:rsidRPr="00775C83">
        <w:rPr>
          <w:rFonts w:cs="Times New Roman"/>
        </w:rPr>
        <w:t xml:space="preserve"> the Job Demands-Resources (JD-R) paradigm and its relation to current healthcare is critically discussed. Second, the chapter explores the ways in which NHS personnel demonstrate strain-based, time-based, and behavio</w:t>
      </w:r>
      <w:r>
        <w:rPr>
          <w:rFonts w:cs="Times New Roman"/>
        </w:rPr>
        <w:t>u</w:t>
      </w:r>
      <w:r w:rsidRPr="00775C83">
        <w:rPr>
          <w:rFonts w:cs="Times New Roman"/>
        </w:rPr>
        <w:t>r-based WLC. Third, it reviews existing studies that relate these aspects of conflict to psychological withdrawal and intentions to quit. The review synthesises the moderating influence of management assistance and flexible working arrangements and builds a conceptual framework that shows the key gaps in the literature that informed this research.</w:t>
      </w:r>
    </w:p>
    <w:p w14:paraId="41401161" w14:textId="77777777" w:rsidR="00CE3A43" w:rsidRPr="00B10792" w:rsidRDefault="00CE3A43" w:rsidP="00CE3A43">
      <w:pPr>
        <w:pStyle w:val="Heading2"/>
        <w:rPr>
          <w:rFonts w:cs="Times New Roman"/>
        </w:rPr>
      </w:pPr>
      <w:bookmarkStart w:id="18" w:name="_Toc240913044"/>
      <w:r w:rsidRPr="00B10792">
        <w:rPr>
          <w:rFonts w:cs="Times New Roman"/>
        </w:rPr>
        <w:t>2.2 Theoretical Foundations</w:t>
      </w:r>
      <w:bookmarkEnd w:id="18"/>
    </w:p>
    <w:p w14:paraId="51E789C8" w14:textId="77777777" w:rsidR="00CE3A43" w:rsidRPr="00B10792" w:rsidRDefault="00CE3A43" w:rsidP="00CE3A43">
      <w:pPr>
        <w:pStyle w:val="Heading3"/>
        <w:rPr>
          <w:rFonts w:cs="Times New Roman"/>
        </w:rPr>
      </w:pPr>
      <w:bookmarkStart w:id="19" w:name="_Toc240913045"/>
      <w:r w:rsidRPr="00B10792">
        <w:rPr>
          <w:rFonts w:cs="Times New Roman"/>
        </w:rPr>
        <w:t>2.2.1 The Job Demands-Resources Model</w:t>
      </w:r>
      <w:bookmarkEnd w:id="19"/>
    </w:p>
    <w:p w14:paraId="3A9DABCD" w14:textId="77777777" w:rsidR="00DA1B4D" w:rsidRDefault="00775C83" w:rsidP="00B10792">
      <w:pPr>
        <w:rPr>
          <w:rFonts w:cs="Times New Roman"/>
        </w:rPr>
      </w:pPr>
      <w:r w:rsidRPr="00775C83">
        <w:rPr>
          <w:rFonts w:cs="Times New Roman"/>
        </w:rPr>
        <w:t xml:space="preserve">The Job Demands-Resources (JD-R) model is used to examine workforce attrition processes. It </w:t>
      </w:r>
      <w:r>
        <w:rPr>
          <w:rFonts w:cs="Times New Roman"/>
        </w:rPr>
        <w:t>was</w:t>
      </w:r>
      <w:r w:rsidRPr="00775C83">
        <w:rPr>
          <w:rFonts w:cs="Times New Roman"/>
        </w:rPr>
        <w:t xml:space="preserve"> developed by Demerouti et al. </w:t>
      </w:r>
      <w:r>
        <w:rPr>
          <w:rFonts w:cs="Times New Roman"/>
        </w:rPr>
        <w:t xml:space="preserve">(2017) </w:t>
      </w:r>
      <w:r w:rsidRPr="00775C83">
        <w:rPr>
          <w:rFonts w:cs="Times New Roman"/>
        </w:rPr>
        <w:t xml:space="preserve">and was updated by Bakker and Demerouti (2017). JD-R is the most prevalent paradigm in psychology today. In contrast to the Job Demand-Control model developed by Karasek, the JD-R model suggests that every job entails psychosocial demands that can be classified universally as job demands and job resources (Roskams et al., 2021). </w:t>
      </w:r>
    </w:p>
    <w:p w14:paraId="4DD4B1C3" w14:textId="77777777" w:rsidR="00DA1B4D" w:rsidRDefault="00DA1B4D" w:rsidP="00DA1B4D">
      <w:pPr>
        <w:jc w:val="center"/>
        <w:rPr>
          <w:rFonts w:cs="Times New Roman"/>
        </w:rPr>
      </w:pPr>
      <w:r>
        <w:rPr>
          <w:rFonts w:cs="Times New Roman"/>
          <w:noProof/>
        </w:rPr>
        <w:lastRenderedPageBreak/>
        <w:drawing>
          <wp:inline distT="0" distB="0" distL="0" distR="0" wp14:anchorId="6B41A254" wp14:editId="4FFD73DD">
            <wp:extent cx="4631473" cy="2913528"/>
            <wp:effectExtent l="0" t="0" r="4445" b="0"/>
            <wp:docPr id="1994205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05519" name="Picture 19942055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8279" cy="2930391"/>
                    </a:xfrm>
                    <a:prstGeom prst="rect">
                      <a:avLst/>
                    </a:prstGeom>
                  </pic:spPr>
                </pic:pic>
              </a:graphicData>
            </a:graphic>
          </wp:inline>
        </w:drawing>
      </w:r>
    </w:p>
    <w:p w14:paraId="73B45AF5" w14:textId="77777777" w:rsidR="00DA1B4D" w:rsidRPr="00DA1B4D" w:rsidRDefault="00DA1B4D" w:rsidP="00DA1B4D">
      <w:pPr>
        <w:pStyle w:val="Caption"/>
        <w:rPr>
          <w:rFonts w:cs="Times New Roman"/>
          <w:b w:val="0"/>
          <w:bCs/>
        </w:rPr>
      </w:pPr>
      <w:bookmarkStart w:id="20" w:name="_Toc240872621"/>
      <w:r>
        <w:t xml:space="preserve">Figure </w:t>
      </w:r>
      <w:r>
        <w:fldChar w:fldCharType="begin"/>
      </w:r>
      <w:r>
        <w:instrText xml:space="preserve"> SEQ Figure \* ARABIC </w:instrText>
      </w:r>
      <w:r>
        <w:fldChar w:fldCharType="separate"/>
      </w:r>
      <w:r>
        <w:rPr>
          <w:noProof/>
        </w:rPr>
        <w:t>1</w:t>
      </w:r>
      <w:r>
        <w:fldChar w:fldCharType="end"/>
      </w:r>
      <w:r>
        <w:t xml:space="preserve">: </w:t>
      </w:r>
      <w:r w:rsidRPr="00DA1B4D">
        <w:rPr>
          <w:b w:val="0"/>
          <w:bCs/>
        </w:rPr>
        <w:t>The Job Demands-Resources Model</w:t>
      </w:r>
      <w:r>
        <w:rPr>
          <w:b w:val="0"/>
          <w:bCs/>
        </w:rPr>
        <w:t xml:space="preserve"> by </w:t>
      </w:r>
      <w:r w:rsidRPr="00DA1B4D">
        <w:rPr>
          <w:rFonts w:cs="Times New Roman"/>
          <w:b w:val="0"/>
          <w:bCs/>
        </w:rPr>
        <w:t>Bakker and Demerouti (2017)</w:t>
      </w:r>
      <w:bookmarkEnd w:id="20"/>
    </w:p>
    <w:p w14:paraId="69125007" w14:textId="77777777" w:rsidR="00CE3A43" w:rsidRPr="00B10792" w:rsidRDefault="00775C83" w:rsidP="00B10792">
      <w:pPr>
        <w:rPr>
          <w:rFonts w:cs="Times New Roman"/>
        </w:rPr>
      </w:pPr>
      <w:r w:rsidRPr="00775C83">
        <w:rPr>
          <w:rFonts w:cs="Times New Roman"/>
        </w:rPr>
        <w:t>The theoretical design of the JD-R model is sound</w:t>
      </w:r>
      <w:r>
        <w:rPr>
          <w:rFonts w:cs="Times New Roman"/>
        </w:rPr>
        <w:t>,</w:t>
      </w:r>
      <w:r w:rsidRPr="00775C83">
        <w:rPr>
          <w:rFonts w:cs="Times New Roman"/>
        </w:rPr>
        <w:t xml:space="preserve"> and methodological uniformity can sometimes present challenges with this approach in terms of empirical application. Most model validation studies are done using cross-sectional survey methodology that makes demonstrating temporal causes between work demands and resource depletion challenging (Roskams et al., 2021). These criteria interrelate and trigger two related psychological processes that lead to employee retention and well-being.</w:t>
      </w:r>
    </w:p>
    <w:p w14:paraId="7E951373" w14:textId="77777777" w:rsidR="00CE3A43" w:rsidRPr="00B10792" w:rsidRDefault="00CE3A43" w:rsidP="00CE3A43">
      <w:pPr>
        <w:pStyle w:val="Heading3"/>
        <w:rPr>
          <w:rFonts w:cs="Times New Roman"/>
        </w:rPr>
      </w:pPr>
      <w:bookmarkStart w:id="21" w:name="_Toc240913046"/>
      <w:r w:rsidRPr="00B10792">
        <w:rPr>
          <w:rFonts w:cs="Times New Roman"/>
        </w:rPr>
        <w:t>2.2.2 The Health-Impairment Process and Resource Depletion</w:t>
      </w:r>
      <w:bookmarkEnd w:id="21"/>
    </w:p>
    <w:p w14:paraId="38182D19" w14:textId="77777777" w:rsidR="00775C83" w:rsidRPr="00775C83" w:rsidRDefault="00775C83" w:rsidP="00775C83">
      <w:pPr>
        <w:rPr>
          <w:rFonts w:cs="Times New Roman"/>
          <w:lang w:eastAsia="en-GB" w:bidi="hi-IN"/>
        </w:rPr>
      </w:pPr>
      <w:r w:rsidRPr="00775C83">
        <w:rPr>
          <w:rFonts w:cs="Times New Roman"/>
          <w:lang w:eastAsia="en-GB" w:bidi="hi-IN"/>
        </w:rPr>
        <w:t>One of the major mechanisms of the JD-R model is called "health deterioration. There are physical, psychological, social, or organisational aspects of a job that require continuous cognitive and emotional exertion that result in physiologic</w:t>
      </w:r>
      <w:r>
        <w:rPr>
          <w:rFonts w:cs="Times New Roman"/>
          <w:lang w:val="en-US" w:eastAsia="en-GB" w:bidi="hi-IN"/>
        </w:rPr>
        <w:t>al</w:t>
      </w:r>
      <w:r w:rsidRPr="00775C83">
        <w:rPr>
          <w:rFonts w:cs="Times New Roman"/>
          <w:lang w:eastAsia="en-GB" w:bidi="hi-IN"/>
        </w:rPr>
        <w:t xml:space="preserve"> and psychological costs (Bakker and Demerouti, 2017). This mostly manifests as high workload, harsh emotional labor and antisocial shift times in the health sector (Komlenac et al., 2021; Tucker et al., 2016). Tucker et al. (2016) adopted a multi-sample quantitative design and multiple healthcare settings to illustrate the extent of these requests. Common method bias is a common empirical JD-R measurement problem with self-reported stress measurements.</w:t>
      </w:r>
    </w:p>
    <w:p w14:paraId="1286D78D" w14:textId="77777777" w:rsidR="00CE3A43" w:rsidRPr="00B10792" w:rsidRDefault="00775C83" w:rsidP="00775C83">
      <w:pPr>
        <w:rPr>
          <w:rFonts w:cs="Times New Roman"/>
          <w:lang w:eastAsia="en-GB" w:bidi="hi-IN"/>
        </w:rPr>
      </w:pPr>
      <w:r w:rsidRPr="00775C83">
        <w:rPr>
          <w:rFonts w:cs="Times New Roman"/>
          <w:lang w:eastAsia="en-GB" w:bidi="hi-IN"/>
        </w:rPr>
        <w:lastRenderedPageBreak/>
        <w:t>The JD-R model is sometimes combined with Conservation of Resources (COR) to consider how such demands are responsible for work-life conflict (WLC). According to the COR hypothesis</w:t>
      </w:r>
      <w:r>
        <w:rPr>
          <w:rFonts w:cs="Times New Roman"/>
          <w:lang w:val="en-US" w:eastAsia="en-GB" w:bidi="hi-IN"/>
        </w:rPr>
        <w:t>,</w:t>
      </w:r>
      <w:r w:rsidRPr="00775C83">
        <w:rPr>
          <w:rFonts w:cs="Times New Roman"/>
          <w:lang w:eastAsia="en-GB" w:bidi="hi-IN"/>
        </w:rPr>
        <w:t xml:space="preserve"> a person</w:t>
      </w:r>
      <w:r>
        <w:rPr>
          <w:rFonts w:cs="Times New Roman"/>
          <w:lang w:val="en-US" w:eastAsia="en-GB" w:bidi="hi-IN"/>
        </w:rPr>
        <w:t>’</w:t>
      </w:r>
      <w:r w:rsidRPr="00775C83">
        <w:rPr>
          <w:rFonts w:cs="Times New Roman"/>
          <w:lang w:eastAsia="en-GB" w:bidi="hi-IN"/>
        </w:rPr>
        <w:t>s energy, time and emotional resources are limited. Psychological strain occurs when these stresses are applied continuously and do not get refuelled. WLC is not just a schedul</w:t>
      </w:r>
      <w:r>
        <w:rPr>
          <w:rFonts w:cs="Times New Roman"/>
          <w:lang w:eastAsia="en-GB" w:bidi="hi-IN"/>
        </w:rPr>
        <w:t>ing</w:t>
      </w:r>
      <w:r w:rsidRPr="00775C83">
        <w:rPr>
          <w:rFonts w:cs="Times New Roman"/>
          <w:lang w:eastAsia="en-GB" w:bidi="hi-IN"/>
        </w:rPr>
        <w:t xml:space="preserve"> problem but also </w:t>
      </w:r>
      <w:r>
        <w:rPr>
          <w:rFonts w:cs="Times New Roman"/>
          <w:lang w:val="en-US" w:eastAsia="en-GB" w:bidi="hi-IN"/>
        </w:rPr>
        <w:t xml:space="preserve">a </w:t>
      </w:r>
      <w:r w:rsidRPr="00775C83">
        <w:rPr>
          <w:rFonts w:cs="Times New Roman"/>
          <w:lang w:eastAsia="en-GB" w:bidi="hi-IN"/>
        </w:rPr>
        <w:t>serious strain reaction when occupational resources are reduced to contaminate the personal domain (Wen et al., 2023). Emotional exhaustion and professional burnout, due to long-term health</w:t>
      </w:r>
      <w:r>
        <w:rPr>
          <w:rFonts w:cs="Times New Roman"/>
          <w:lang w:val="en-US" w:eastAsia="en-GB" w:bidi="hi-IN"/>
        </w:rPr>
        <w:t xml:space="preserve"> </w:t>
      </w:r>
      <w:r w:rsidRPr="00775C83">
        <w:rPr>
          <w:rFonts w:cs="Times New Roman"/>
          <w:lang w:eastAsia="en-GB" w:bidi="hi-IN"/>
        </w:rPr>
        <w:t xml:space="preserve">impairment, </w:t>
      </w:r>
      <w:r>
        <w:rPr>
          <w:rFonts w:cs="Times New Roman"/>
          <w:lang w:eastAsia="en-GB" w:bidi="hi-IN"/>
        </w:rPr>
        <w:t>are</w:t>
      </w:r>
      <w:r w:rsidRPr="00775C83">
        <w:rPr>
          <w:rFonts w:cs="Times New Roman"/>
          <w:lang w:eastAsia="en-GB" w:bidi="hi-IN"/>
        </w:rPr>
        <w:t xml:space="preserve"> driver</w:t>
      </w:r>
      <w:r>
        <w:rPr>
          <w:rFonts w:cs="Times New Roman"/>
          <w:lang w:val="en-US" w:eastAsia="en-GB" w:bidi="hi-IN"/>
        </w:rPr>
        <w:t>s</w:t>
      </w:r>
      <w:r w:rsidRPr="00775C83">
        <w:rPr>
          <w:rFonts w:cs="Times New Roman"/>
          <w:lang w:eastAsia="en-GB" w:bidi="hi-IN"/>
        </w:rPr>
        <w:t xml:space="preserve"> of turnover intention. A critical look </w:t>
      </w:r>
      <w:r>
        <w:rPr>
          <w:rFonts w:cs="Times New Roman"/>
          <w:lang w:eastAsia="en-GB" w:bidi="hi-IN"/>
        </w:rPr>
        <w:t>rais</w:t>
      </w:r>
      <w:r w:rsidRPr="00775C83">
        <w:rPr>
          <w:rFonts w:cs="Times New Roman"/>
          <w:lang w:eastAsia="en-GB" w:bidi="hi-IN"/>
        </w:rPr>
        <w:t xml:space="preserve">es a major concern in </w:t>
      </w:r>
      <w:r>
        <w:rPr>
          <w:rFonts w:cs="Times New Roman"/>
          <w:lang w:val="en-US" w:eastAsia="en-GB" w:bidi="hi-IN"/>
        </w:rPr>
        <w:t xml:space="preserve">this </w:t>
      </w:r>
      <w:r w:rsidRPr="00775C83">
        <w:rPr>
          <w:rFonts w:cs="Times New Roman"/>
          <w:lang w:eastAsia="en-GB" w:bidi="hi-IN"/>
        </w:rPr>
        <w:t>context. Although requiring some generalisation of the results of Albulhihed and Alzghaibi (2022) as a quantitative study with a cross-sectional design, these are anchored to the atypical crisis phase of the COVID-19 pandemic. Using large</w:t>
      </w:r>
      <w:r>
        <w:rPr>
          <w:rFonts w:cs="Times New Roman"/>
          <w:lang w:val="en-US" w:eastAsia="en-GB" w:bidi="hi-IN"/>
        </w:rPr>
        <w:t>-</w:t>
      </w:r>
      <w:r w:rsidRPr="00775C83">
        <w:rPr>
          <w:rFonts w:cs="Times New Roman"/>
          <w:lang w:eastAsia="en-GB" w:bidi="hi-IN"/>
        </w:rPr>
        <w:t>scale survey data, Rothenstein et al. (2023) depicted this trajectory, which was translated to the level of findings in a specific context without statistically controlling for regional healthcare funding or cultural contexts, faults commonly found in the literature when empirical findings are translated to a certain context (Chênevert et al., 2021).</w:t>
      </w:r>
    </w:p>
    <w:p w14:paraId="5A07E9ED" w14:textId="77777777" w:rsidR="00CE3A43" w:rsidRPr="00B10792" w:rsidRDefault="00CE3A43" w:rsidP="00CE3A43">
      <w:pPr>
        <w:pStyle w:val="Heading3"/>
        <w:rPr>
          <w:rFonts w:cs="Times New Roman"/>
        </w:rPr>
      </w:pPr>
      <w:bookmarkStart w:id="22" w:name="_Toc240913047"/>
      <w:r w:rsidRPr="00B10792">
        <w:rPr>
          <w:rFonts w:cs="Times New Roman"/>
        </w:rPr>
        <w:t>2.2.3 The Motivational and Buffering Process</w:t>
      </w:r>
      <w:bookmarkEnd w:id="22"/>
    </w:p>
    <w:p w14:paraId="7CA621A7" w14:textId="77777777" w:rsidR="00775C83" w:rsidRPr="00775C83" w:rsidRDefault="00B10792" w:rsidP="00775C83">
      <w:pPr>
        <w:rPr>
          <w:rFonts w:cs="Times New Roman"/>
          <w:lang w:eastAsia="en-GB" w:bidi="hi-IN"/>
        </w:rPr>
      </w:pPr>
      <w:r w:rsidRPr="00B10792">
        <w:rPr>
          <w:rFonts w:cs="Times New Roman"/>
          <w:lang w:eastAsia="en-GB" w:bidi="hi-IN"/>
        </w:rPr>
        <w:t xml:space="preserve">Conversely, </w:t>
      </w:r>
      <w:r w:rsidR="00775C83">
        <w:rPr>
          <w:rFonts w:cs="Times New Roman"/>
          <w:lang w:val="en-US" w:eastAsia="en-GB" w:bidi="hi-IN"/>
        </w:rPr>
        <w:t>t</w:t>
      </w:r>
      <w:r w:rsidR="00775C83" w:rsidRPr="00775C83">
        <w:rPr>
          <w:rFonts w:cs="Times New Roman"/>
          <w:lang w:eastAsia="en-GB" w:bidi="hi-IN"/>
        </w:rPr>
        <w:t>he JD-R model is about motivation through job resources. Job resources are physical, psychological, social or organisational features which facilitate goal attainment, support personal growth and alleviate the stressful physiological and psychological effects of elevated job demands (Bakker &amp; Demerouti, 2017).</w:t>
      </w:r>
    </w:p>
    <w:p w14:paraId="0C660DD7" w14:textId="77777777" w:rsidR="00CE3A43" w:rsidRPr="00B10792" w:rsidRDefault="00775C83" w:rsidP="00775C83">
      <w:pPr>
        <w:rPr>
          <w:rFonts w:cs="Times New Roman"/>
          <w:lang w:eastAsia="en-GB" w:bidi="hi-IN"/>
        </w:rPr>
      </w:pPr>
      <w:r w:rsidRPr="00775C83">
        <w:rPr>
          <w:rFonts w:cs="Times New Roman"/>
          <w:lang w:eastAsia="en-GB" w:bidi="hi-IN"/>
        </w:rPr>
        <w:t>Job resources work via a crucial "buffering" theory in WLC (Gil et al., 2023). The health-impairment process can be halted by proactive management assistance and flexible working arrangements, according to theoretical models. Employee autonomy and psychological safety reduce the conflict between work and personal life, reducing withdrawal behaviours (Picker, 2025; Weyman et al., 2026). Yet there are significant inconsistencies in the results of actual studies for this "buffering" perspective, which reveals a discontinu</w:t>
      </w:r>
      <w:r>
        <w:rPr>
          <w:rFonts w:cs="Times New Roman"/>
          <w:lang w:eastAsia="en-GB" w:bidi="hi-IN"/>
        </w:rPr>
        <w:t>ity</w:t>
      </w:r>
      <w:r w:rsidRPr="00775C83">
        <w:rPr>
          <w:rFonts w:cs="Times New Roman"/>
          <w:lang w:eastAsia="en-GB" w:bidi="hi-IN"/>
        </w:rPr>
        <w:t xml:space="preserve"> between moderation and </w:t>
      </w:r>
      <w:r w:rsidRPr="00775C83">
        <w:rPr>
          <w:rFonts w:cs="Times New Roman"/>
          <w:lang w:eastAsia="en-GB" w:bidi="hi-IN"/>
        </w:rPr>
        <w:lastRenderedPageBreak/>
        <w:t>effects studies. According to Gil et al. (2023)</w:t>
      </w:r>
      <w:r>
        <w:rPr>
          <w:rFonts w:cs="Times New Roman"/>
          <w:lang w:val="en-US" w:eastAsia="en-GB" w:bidi="hi-IN"/>
        </w:rPr>
        <w:t>,</w:t>
      </w:r>
      <w:r w:rsidRPr="00775C83">
        <w:rPr>
          <w:rFonts w:cs="Times New Roman"/>
          <w:lang w:eastAsia="en-GB" w:bidi="hi-IN"/>
        </w:rPr>
        <w:t xml:space="preserve"> using structured equation modelling, it has </w:t>
      </w:r>
      <w:r>
        <w:rPr>
          <w:rFonts w:cs="Times New Roman"/>
          <w:lang w:val="en-US" w:eastAsia="en-GB" w:bidi="hi-IN"/>
        </w:rPr>
        <w:t xml:space="preserve">been </w:t>
      </w:r>
      <w:r w:rsidRPr="00775C83">
        <w:rPr>
          <w:rFonts w:cs="Times New Roman"/>
          <w:lang w:eastAsia="en-GB" w:bidi="hi-IN"/>
        </w:rPr>
        <w:t>shown that job resources buffer strain. In highly constraining clinical settings, seemingly resilient resources (e.g.</w:t>
      </w:r>
      <w:r>
        <w:rPr>
          <w:rFonts w:cs="Times New Roman"/>
          <w:lang w:val="en-US" w:eastAsia="en-GB" w:bidi="hi-IN"/>
        </w:rPr>
        <w:t>,</w:t>
      </w:r>
      <w:r w:rsidRPr="00775C83">
        <w:rPr>
          <w:rFonts w:cs="Times New Roman"/>
          <w:lang w:eastAsia="en-GB" w:bidi="hi-IN"/>
        </w:rPr>
        <w:t xml:space="preserve"> management support) often do not buffer, generally due to management support tools being insufficient to address the structural depletion of managers (Picker, 2025). Recent empirical evidence suggests that workload has an active moderating (structural) or dynamic effect on flexible working arrangements (Weyman et al., 2026). Whereas</w:t>
      </w:r>
      <w:r>
        <w:rPr>
          <w:rFonts w:cs="Times New Roman"/>
          <w:lang w:val="en-US" w:eastAsia="en-GB" w:bidi="hi-IN"/>
        </w:rPr>
        <w:t>,</w:t>
      </w:r>
      <w:r w:rsidRPr="00775C83">
        <w:rPr>
          <w:rFonts w:cs="Times New Roman"/>
          <w:lang w:eastAsia="en-GB" w:bidi="hi-IN"/>
        </w:rPr>
        <w:t xml:space="preserve"> in place of static theoretical assumptions, empirical friction can be represented </w:t>
      </w:r>
      <w:r>
        <w:rPr>
          <w:rFonts w:cs="Times New Roman"/>
          <w:lang w:eastAsia="en-GB" w:bidi="hi-IN"/>
        </w:rPr>
        <w:t>by</w:t>
      </w:r>
      <w:r w:rsidRPr="00775C83">
        <w:rPr>
          <w:rFonts w:cs="Times New Roman"/>
          <w:lang w:eastAsia="en-GB" w:bidi="hi-IN"/>
        </w:rPr>
        <w:t xml:space="preserve"> the need to test workload, support and flexibility as interactive moderating factors instead of independent demand factors.</w:t>
      </w:r>
    </w:p>
    <w:p w14:paraId="422DA27C" w14:textId="77777777" w:rsidR="00CE3A43" w:rsidRPr="00B10792" w:rsidRDefault="00CE3A43" w:rsidP="00CE3A43">
      <w:pPr>
        <w:pStyle w:val="Heading3"/>
        <w:rPr>
          <w:rFonts w:cs="Times New Roman"/>
        </w:rPr>
      </w:pPr>
      <w:bookmarkStart w:id="23" w:name="_Toc240913048"/>
      <w:r w:rsidRPr="00B10792">
        <w:rPr>
          <w:rFonts w:cs="Times New Roman"/>
        </w:rPr>
        <w:t>2.2.4 Critique: Limitations of the JD-R Model in the Post-Pandemic NHS</w:t>
      </w:r>
      <w:bookmarkEnd w:id="23"/>
    </w:p>
    <w:p w14:paraId="6BBF3D6B" w14:textId="77777777" w:rsidR="00775C83" w:rsidRPr="00775C83" w:rsidRDefault="00775C83" w:rsidP="00775C83">
      <w:pPr>
        <w:rPr>
          <w:rFonts w:cs="Times New Roman"/>
        </w:rPr>
      </w:pPr>
      <w:r w:rsidRPr="00775C83">
        <w:rPr>
          <w:rFonts w:cs="Times New Roman"/>
        </w:rPr>
        <w:t>Although the JD-R model is an effective heuristic to understand turnover, there is a need for a gr</w:t>
      </w:r>
      <w:r>
        <w:rPr>
          <w:rFonts w:cs="Times New Roman"/>
        </w:rPr>
        <w:t>eat</w:t>
      </w:r>
      <w:r w:rsidRPr="00775C83">
        <w:rPr>
          <w:rFonts w:cs="Times New Roman"/>
        </w:rPr>
        <w:t xml:space="preserve"> deal of theoretical and methodological analysis to apply this model to the post-pandemic NHS. The JD-R model assumes that organisations are able to add resources on the fly if needed, a significant limitation (Tremblay and Messervey 2011). A lot of evidence for malleability comes from cross</w:t>
      </w:r>
      <w:r>
        <w:rPr>
          <w:rFonts w:cs="Times New Roman"/>
        </w:rPr>
        <w:t>-</w:t>
      </w:r>
      <w:r w:rsidRPr="00775C83">
        <w:rPr>
          <w:rFonts w:cs="Times New Roman"/>
        </w:rPr>
        <w:t xml:space="preserve">sectional studies in very flexible private sector or pre-pandemic settings, which draws on insufficient conclusions </w:t>
      </w:r>
      <w:r>
        <w:rPr>
          <w:rFonts w:cs="Times New Roman"/>
        </w:rPr>
        <w:t>about</w:t>
      </w:r>
      <w:r w:rsidRPr="00775C83">
        <w:rPr>
          <w:rFonts w:cs="Times New Roman"/>
        </w:rPr>
        <w:t xml:space="preserve"> its applicability to modern rigid architecture in acute health and care.</w:t>
      </w:r>
    </w:p>
    <w:p w14:paraId="22A431ED" w14:textId="77777777" w:rsidR="00775C83" w:rsidRPr="00775C83" w:rsidRDefault="00775C83" w:rsidP="00775C83">
      <w:pPr>
        <w:rPr>
          <w:rFonts w:cs="Times New Roman"/>
        </w:rPr>
      </w:pPr>
      <w:r w:rsidRPr="00775C83">
        <w:rPr>
          <w:rFonts w:cs="Times New Roman"/>
        </w:rPr>
        <w:t xml:space="preserve">In highly managed, persistently under-resourced public services, such as the British National Health Service (NHS), this assumption is not often true. Nguyen et al. (2025) use qualitative system dynamics to provide depth of context, but lack the quantitative ability to explicitly test the organisational resource failure threshold on an empirical basis. Traditional HR solutions do not match post-pandemic healthcare's constant </w:t>
      </w:r>
      <w:r>
        <w:rPr>
          <w:rFonts w:cs="Times New Roman"/>
        </w:rPr>
        <w:t>staffing</w:t>
      </w:r>
      <w:r w:rsidRPr="00775C83">
        <w:rPr>
          <w:rFonts w:cs="Times New Roman"/>
        </w:rPr>
        <w:t xml:space="preserve"> ratios, undetermined patient backlog, and harsh economic challenge</w:t>
      </w:r>
      <w:r>
        <w:rPr>
          <w:rFonts w:cs="Times New Roman"/>
        </w:rPr>
        <w:t>s</w:t>
      </w:r>
      <w:r w:rsidRPr="00775C83">
        <w:rPr>
          <w:rFonts w:cs="Times New Roman"/>
        </w:rPr>
        <w:t>. Using huge sample sizes from the annual NHS staff survey, West and Wallbank (2024) describe these intense pressures, but in a descriptive</w:t>
      </w:r>
      <w:r>
        <w:rPr>
          <w:rFonts w:cs="Times New Roman"/>
        </w:rPr>
        <w:t>-</w:t>
      </w:r>
      <w:r w:rsidRPr="00775C83">
        <w:rPr>
          <w:rFonts w:cs="Times New Roman"/>
        </w:rPr>
        <w:t>only way, so that we do not know if HR interventions are there to mitigate systemic pressures.</w:t>
      </w:r>
    </w:p>
    <w:p w14:paraId="101C14E9" w14:textId="77777777" w:rsidR="00CE3A43" w:rsidRPr="00B10792" w:rsidRDefault="00775C83" w:rsidP="00775C83">
      <w:pPr>
        <w:rPr>
          <w:rFonts w:cs="Times New Roman"/>
        </w:rPr>
      </w:pPr>
      <w:r w:rsidRPr="00775C83">
        <w:rPr>
          <w:rFonts w:cs="Times New Roman"/>
        </w:rPr>
        <w:lastRenderedPageBreak/>
        <w:t xml:space="preserve">A key question for critical research is whether there is a contradiction between the need for flexible working regimes, more generally required, and the infrastructures for operational continuity for acute care contexts where flexible working is hard to afford (Baumgartner et al., 2023; Onyejesi, 2025). Despite the absence of longer time periods, the very detailed daily diary-study approach taken by Baumgartner et al. (2023) provides analysis of the cognitive demands upon entering the flexible work phase. A comprehensive </w:t>
      </w:r>
      <w:r>
        <w:rPr>
          <w:rFonts w:cs="Times New Roman"/>
          <w:kern w:val="0"/>
          <w14:ligatures w14:val="none"/>
        </w:rPr>
        <w:t>review by Onyejesi et al. (2025) criticises the approaches used, although, as a secondary source,</w:t>
      </w:r>
      <w:r w:rsidRPr="00775C83">
        <w:rPr>
          <w:rFonts w:cs="Times New Roman"/>
        </w:rPr>
        <w:t xml:space="preserve"> this lacks an empirical test to measure flexibility-strain interaction effects. The use of the premise of the JD-R model of buffering alone can underestimate the turnover issue if structural inelasticity of NHS is not taken into account. This study aims to investigate, based on an empirical study, the buffering effect of some theorised job characteristics against WLC in a context of structurally and chronically elevated work demands.</w:t>
      </w:r>
    </w:p>
    <w:p w14:paraId="205AF0E2" w14:textId="77777777" w:rsidR="00CB46A0" w:rsidRPr="00B10792" w:rsidRDefault="00CB46A0" w:rsidP="00CB46A0">
      <w:pPr>
        <w:pStyle w:val="Heading2"/>
        <w:rPr>
          <w:rFonts w:cs="Times New Roman"/>
        </w:rPr>
      </w:pPr>
      <w:bookmarkStart w:id="24" w:name="_Toc240913049"/>
      <w:r w:rsidRPr="00B10792">
        <w:rPr>
          <w:rFonts w:cs="Times New Roman"/>
        </w:rPr>
        <w:t>2.3 The Multidimensional Nature of Work-Life Conflict in Healthcare</w:t>
      </w:r>
      <w:bookmarkEnd w:id="24"/>
    </w:p>
    <w:p w14:paraId="5BD7D774" w14:textId="77777777" w:rsidR="00775C83" w:rsidRPr="00775C83" w:rsidRDefault="00775C83" w:rsidP="00775C83">
      <w:pPr>
        <w:rPr>
          <w:rFonts w:cs="Times New Roman"/>
        </w:rPr>
      </w:pPr>
      <w:r w:rsidRPr="00775C83">
        <w:rPr>
          <w:rFonts w:cs="Times New Roman"/>
        </w:rPr>
        <w:t>Work-life conflict (WLC) is based on the structural or psychological incompatibility of job and non-work role demands (Netemeyer et al., 1996). Modern interpretations of organisational psychology treat WLC as a three-faceted phenomenon: time conflict, strain conflict and behaviour conflict (Komlenac et al., 2021; Hujová et al., 2025). This conceptualisation is based on methodologically limited primary investigations</w:t>
      </w:r>
      <w:r>
        <w:rPr>
          <w:rFonts w:cs="Times New Roman"/>
        </w:rPr>
        <w:t>,</w:t>
      </w:r>
      <w:r w:rsidRPr="00775C83">
        <w:rPr>
          <w:rFonts w:cs="Times New Roman"/>
        </w:rPr>
        <w:t xml:space="preserve"> as is demonstrated through critical analysis. While Komlenac et al. (2021) psychometrically validated a WLC measure, their cross-sectional sample of 274 Austrian doctors and nurses restricts long</w:t>
      </w:r>
      <w:r>
        <w:rPr>
          <w:rFonts w:cs="Times New Roman"/>
        </w:rPr>
        <w:t>-</w:t>
      </w:r>
      <w:r w:rsidRPr="00775C83">
        <w:rPr>
          <w:rFonts w:cs="Times New Roman"/>
        </w:rPr>
        <w:t xml:space="preserve">term causal conclusions. Similarly, Hujová et al. (2025) examined WLC factors among general nurses, but their cross-sectional approach prevented them from tracking these characteristics over time. Uncritical use of old measuring scales is another methodological flaw in </w:t>
      </w:r>
      <w:r>
        <w:rPr>
          <w:rFonts w:cs="Times New Roman"/>
        </w:rPr>
        <w:t xml:space="preserve">the </w:t>
      </w:r>
      <w:r w:rsidRPr="00775C83">
        <w:rPr>
          <w:rFonts w:cs="Times New Roman"/>
        </w:rPr>
        <w:t xml:space="preserve">present literature. Although widely used, the Netemeyer et al. tools were not validated in healthcare in the UK. Therefore, general psychometric instruments could fail to capture nuances of inter-role friction </w:t>
      </w:r>
      <w:r w:rsidRPr="00775C83">
        <w:rPr>
          <w:rFonts w:cs="Times New Roman"/>
        </w:rPr>
        <w:lastRenderedPageBreak/>
        <w:t>that is relevant to the particular context of the NHS and one that is clearly high-stakes (Mansour et al., 2024).</w:t>
      </w:r>
    </w:p>
    <w:p w14:paraId="027176AE" w14:textId="77777777" w:rsidR="00775C83" w:rsidRPr="00775C83" w:rsidRDefault="00775C83" w:rsidP="00775C83">
      <w:pPr>
        <w:rPr>
          <w:rFonts w:cs="Times New Roman"/>
        </w:rPr>
      </w:pPr>
      <w:r w:rsidRPr="00775C83">
        <w:rPr>
          <w:rFonts w:cs="Times New Roman"/>
        </w:rPr>
        <w:t>Time-based conflict arises when work's tight time requirements clash with personal obligations of an individual. The NHS has rotation rostering, enforced overtime and unpredictable rostering (NHS Digital, 2024). NHS Digital reports provide macro-level observational data</w:t>
      </w:r>
      <w:r>
        <w:rPr>
          <w:rFonts w:cs="Times New Roman"/>
        </w:rPr>
        <w:t>;</w:t>
      </w:r>
      <w:r w:rsidRPr="00775C83">
        <w:rPr>
          <w:rFonts w:cs="Times New Roman"/>
        </w:rPr>
        <w:t xml:space="preserve"> however, there is no qualitative depth to their understanding </w:t>
      </w:r>
      <w:r>
        <w:rPr>
          <w:rFonts w:cs="Times New Roman"/>
        </w:rPr>
        <w:t>of</w:t>
      </w:r>
      <w:r w:rsidRPr="00775C83">
        <w:rPr>
          <w:rFonts w:cs="Times New Roman"/>
        </w:rPr>
        <w:t xml:space="preserve"> </w:t>
      </w:r>
      <w:r>
        <w:rPr>
          <w:rFonts w:cs="Times New Roman"/>
        </w:rPr>
        <w:t>how</w:t>
      </w:r>
      <w:r w:rsidRPr="00775C83">
        <w:rPr>
          <w:rFonts w:cs="Times New Roman"/>
        </w:rPr>
        <w:t xml:space="preserve"> these changes may impact psychologically. Poulose and Sudarsan (2017) tried to study these characteristics experimentally among nurses, but the smaller sample size and the absence of </w:t>
      </w:r>
      <w:r>
        <w:rPr>
          <w:rFonts w:cs="Times New Roman"/>
        </w:rPr>
        <w:t xml:space="preserve">a </w:t>
      </w:r>
      <w:r w:rsidRPr="00775C83">
        <w:rPr>
          <w:rFonts w:cs="Times New Roman"/>
        </w:rPr>
        <w:t>study of specific ward acuities make this study not pertinent to other health care infrastructure. However, recent empirical and peer-reviewed studies reveal that implementing compressed working days (12-hour shifts) can paradoxically exacerbate time-based WLC, as operational days remove the practitioners' non-work time. Weyman et al</w:t>
      </w:r>
      <w:r>
        <w:rPr>
          <w:rFonts w:cs="Times New Roman"/>
        </w:rPr>
        <w:t>.</w:t>
      </w:r>
      <w:r w:rsidRPr="00775C83">
        <w:rPr>
          <w:rFonts w:cs="Times New Roman"/>
        </w:rPr>
        <w:t xml:space="preserve"> (2026) provide compelling statistical grounds for this temporal strain</w:t>
      </w:r>
      <w:r>
        <w:rPr>
          <w:rFonts w:cs="Times New Roman"/>
        </w:rPr>
        <w:t>;</w:t>
      </w:r>
      <w:r w:rsidRPr="00775C83">
        <w:rPr>
          <w:rFonts w:cs="Times New Roman"/>
        </w:rPr>
        <w:t xml:space="preserve"> however, based on cross-sectional methodology that </w:t>
      </w:r>
      <w:r>
        <w:rPr>
          <w:rFonts w:cs="Times New Roman"/>
        </w:rPr>
        <w:t>capture</w:t>
      </w:r>
      <w:r w:rsidRPr="00775C83">
        <w:rPr>
          <w:rFonts w:cs="Times New Roman"/>
        </w:rPr>
        <w:t>s a static effect of redeployment rather than the accumulative tiredness that is the hallmark of shift work. Empirical evidence suggests that friction due to the time factor is gendered and linked to shift patterns with a particular impact on women who combine unpredictability in their working</w:t>
      </w:r>
      <w:r>
        <w:rPr>
          <w:rFonts w:cs="Times New Roman"/>
        </w:rPr>
        <w:t xml:space="preserve"> </w:t>
      </w:r>
      <w:r w:rsidRPr="00775C83">
        <w:rPr>
          <w:rFonts w:cs="Times New Roman"/>
        </w:rPr>
        <w:t>time with inflexibility in their primary care role (Cubas, Juhn and Silos, 2019).</w:t>
      </w:r>
    </w:p>
    <w:p w14:paraId="55E29626" w14:textId="77777777" w:rsidR="00775C83" w:rsidRPr="00775C83" w:rsidRDefault="00775C83" w:rsidP="00775C83">
      <w:pPr>
        <w:rPr>
          <w:rFonts w:cs="Times New Roman"/>
        </w:rPr>
      </w:pPr>
      <w:r w:rsidRPr="00775C83">
        <w:rPr>
          <w:rFonts w:cs="Times New Roman"/>
        </w:rPr>
        <w:t xml:space="preserve">Strain-based conflict is when psychological/physical strain starts to interfere with daily life beyond severe timing limits. A localised validation sample was used and the validity of the scale created by Yilmaz and Soyukz in 2022 for healthcare workers has not been tested in other NHS trusts. Healthcare workers are under immense stress and pressure, dealing with patient deaths, high-risk healthcare choices, and emotional work (Rotenstein et al., 2023). Although Rotenstein et al. (2023) provided interesting empirical data from a large multi-institutional sample of 20,000+ workers, the self-report data </w:t>
      </w:r>
      <w:r>
        <w:rPr>
          <w:rFonts w:cs="Times New Roman"/>
        </w:rPr>
        <w:t>are</w:t>
      </w:r>
      <w:r w:rsidRPr="00775C83">
        <w:rPr>
          <w:rFonts w:cs="Times New Roman"/>
        </w:rPr>
        <w:t xml:space="preserve"> </w:t>
      </w:r>
      <w:r>
        <w:rPr>
          <w:rFonts w:cs="Times New Roman"/>
        </w:rPr>
        <w:t>cross-</w:t>
      </w:r>
      <w:r w:rsidRPr="00775C83">
        <w:rPr>
          <w:rFonts w:cs="Times New Roman"/>
        </w:rPr>
        <w:t xml:space="preserve">sectional, which significantly restricts causal inferences. Statistically, it remains unclear if strain directly influences turnover or </w:t>
      </w:r>
      <w:r w:rsidRPr="00775C83">
        <w:rPr>
          <w:rFonts w:cs="Times New Roman"/>
        </w:rPr>
        <w:lastRenderedPageBreak/>
        <w:t>whether pre-existing turnover intent spuriously boosts strain reporting. Based on the empirical consensus</w:t>
      </w:r>
      <w:r>
        <w:rPr>
          <w:rFonts w:cs="Times New Roman"/>
        </w:rPr>
        <w:t>,</w:t>
      </w:r>
      <w:r w:rsidRPr="00775C83">
        <w:rPr>
          <w:rFonts w:cs="Times New Roman"/>
        </w:rPr>
        <w:t xml:space="preserve"> it is clear that the workers also suffer acute psychological exhaustion and are in a state </w:t>
      </w:r>
      <w:r>
        <w:rPr>
          <w:rFonts w:cs="Times New Roman"/>
        </w:rPr>
        <w:t>of</w:t>
      </w:r>
      <w:r w:rsidRPr="00775C83">
        <w:rPr>
          <w:rFonts w:cs="Times New Roman"/>
        </w:rPr>
        <w:t xml:space="preserve"> </w:t>
      </w:r>
      <w:r>
        <w:rPr>
          <w:rFonts w:cs="Times New Roman"/>
        </w:rPr>
        <w:t>psychological unavailability</w:t>
      </w:r>
      <w:r w:rsidRPr="00775C83">
        <w:rPr>
          <w:rFonts w:cs="Times New Roman"/>
        </w:rPr>
        <w:t xml:space="preserve"> for their families even if physically present, which causes instability in the family. However, the primary studies in this consensus in this scoping review generally rely on subjective questionnaires rather than standardized biological information on stress.</w:t>
      </w:r>
    </w:p>
    <w:p w14:paraId="70A71EB3" w14:textId="77777777" w:rsidR="00775C83" w:rsidRPr="00775C83" w:rsidRDefault="00775C83" w:rsidP="00775C83">
      <w:pPr>
        <w:rPr>
          <w:rFonts w:cs="Times New Roman"/>
        </w:rPr>
      </w:pPr>
      <w:r w:rsidRPr="00775C83">
        <w:rPr>
          <w:rFonts w:cs="Times New Roman"/>
        </w:rPr>
        <w:t xml:space="preserve">Thirdly, the behaviour-based conflict arises where success in one's work demands detachment and action in authority, and success in the family demands empathy and cooperation (Loscalzo et al., 2019). This dimension is limitedly studied because of measurement issues. Isolating and implementing the idea of behavioural spillover is difficult </w:t>
      </w:r>
      <w:r>
        <w:rPr>
          <w:rFonts w:cs="Times New Roman"/>
        </w:rPr>
        <w:t>without</w:t>
      </w:r>
      <w:r w:rsidRPr="00775C83">
        <w:rPr>
          <w:rFonts w:cs="Times New Roman"/>
        </w:rPr>
        <w:t xml:space="preserve"> </w:t>
      </w:r>
      <w:r>
        <w:rPr>
          <w:rFonts w:cs="Times New Roman"/>
        </w:rPr>
        <w:t>relying</w:t>
      </w:r>
      <w:r w:rsidRPr="00775C83">
        <w:rPr>
          <w:rFonts w:cs="Times New Roman"/>
        </w:rPr>
        <w:t xml:space="preserve"> on employees' self-generated perception</w:t>
      </w:r>
      <w:r>
        <w:rPr>
          <w:rFonts w:cs="Times New Roman"/>
        </w:rPr>
        <w:t>s</w:t>
      </w:r>
      <w:r w:rsidRPr="00775C83">
        <w:rPr>
          <w:rFonts w:cs="Times New Roman"/>
        </w:rPr>
        <w:t xml:space="preserve"> of home issues. DeBaylo and Michel (2022) attempted to adapt a scale of emotion-based conflict</w:t>
      </w:r>
      <w:r>
        <w:rPr>
          <w:rFonts w:cs="Times New Roman"/>
        </w:rPr>
        <w:t>,</w:t>
      </w:r>
      <w:r w:rsidRPr="00775C83">
        <w:rPr>
          <w:rFonts w:cs="Times New Roman"/>
        </w:rPr>
        <w:t xml:space="preserve"> but their scale does not utilize dyadic information (e.g.</w:t>
      </w:r>
      <w:r>
        <w:rPr>
          <w:rFonts w:cs="Times New Roman"/>
        </w:rPr>
        <w:t>,</w:t>
      </w:r>
      <w:r w:rsidRPr="00775C83">
        <w:rPr>
          <w:rFonts w:cs="Times New Roman"/>
        </w:rPr>
        <w:t xml:space="preserve"> the clinician's spouse, family). Behaviour</w:t>
      </w:r>
      <w:r>
        <w:rPr>
          <w:rFonts w:cs="Times New Roman"/>
        </w:rPr>
        <w:t>al</w:t>
      </w:r>
      <w:r w:rsidRPr="00775C83">
        <w:rPr>
          <w:rFonts w:cs="Times New Roman"/>
        </w:rPr>
        <w:t xml:space="preserve"> conflict should be observed</w:t>
      </w:r>
      <w:r>
        <w:rPr>
          <w:rFonts w:cs="Times New Roman"/>
        </w:rPr>
        <w:t>,</w:t>
      </w:r>
      <w:r w:rsidRPr="00775C83">
        <w:rPr>
          <w:rFonts w:cs="Times New Roman"/>
        </w:rPr>
        <w:t xml:space="preserve"> but (almost) all research relies on self-administered measures. The majority of studies focus on self-reported data, not actual observation</w:t>
      </w:r>
      <w:r>
        <w:rPr>
          <w:rFonts w:cs="Times New Roman"/>
        </w:rPr>
        <w:t>al</w:t>
      </w:r>
      <w:r w:rsidRPr="00775C83">
        <w:rPr>
          <w:rFonts w:cs="Times New Roman"/>
        </w:rPr>
        <w:t xml:space="preserve"> measurements, leading to social desirability bias</w:t>
      </w:r>
      <w:r>
        <w:rPr>
          <w:rFonts w:cs="Times New Roman"/>
        </w:rPr>
        <w:t>,</w:t>
      </w:r>
      <w:r w:rsidRPr="00775C83">
        <w:rPr>
          <w:rFonts w:cs="Times New Roman"/>
        </w:rPr>
        <w:t xml:space="preserve"> as doctors are unlikely to admit that their “clinical persona” harms their home lives (Rozo and Erazo, 2024). Also, there </w:t>
      </w:r>
      <w:r>
        <w:rPr>
          <w:rFonts w:cs="Times New Roman"/>
        </w:rPr>
        <w:t>are</w:t>
      </w:r>
      <w:r w:rsidRPr="00775C83">
        <w:rPr>
          <w:rFonts w:cs="Times New Roman"/>
        </w:rPr>
        <w:t xml:space="preserve"> cultural differences in defining dysfunctional family </w:t>
      </w:r>
      <w:r w:rsidR="002330B6">
        <w:rPr>
          <w:rFonts w:cs="Times New Roman"/>
        </w:rPr>
        <w:t>behaviour</w:t>
      </w:r>
      <w:r w:rsidRPr="00775C83">
        <w:rPr>
          <w:rFonts w:cs="Times New Roman"/>
        </w:rPr>
        <w:t>s</w:t>
      </w:r>
      <w:r>
        <w:rPr>
          <w:rFonts w:cs="Times New Roman"/>
        </w:rPr>
        <w:t>,</w:t>
      </w:r>
      <w:r w:rsidRPr="00775C83">
        <w:rPr>
          <w:rFonts w:cs="Times New Roman"/>
        </w:rPr>
        <w:t xml:space="preserve"> which makes it difficult </w:t>
      </w:r>
      <w:r>
        <w:rPr>
          <w:rFonts w:cs="Times New Roman"/>
        </w:rPr>
        <w:t>to establish</w:t>
      </w:r>
      <w:r w:rsidRPr="00775C83">
        <w:rPr>
          <w:rFonts w:cs="Times New Roman"/>
        </w:rPr>
        <w:t xml:space="preserve"> a uniform baseline </w:t>
      </w:r>
      <w:r>
        <w:rPr>
          <w:rFonts w:cs="Times New Roman"/>
        </w:rPr>
        <w:t>for</w:t>
      </w:r>
      <w:r w:rsidRPr="00775C83">
        <w:rPr>
          <w:rFonts w:cs="Times New Roman"/>
        </w:rPr>
        <w:t xml:space="preserve"> behavio</w:t>
      </w:r>
      <w:r>
        <w:rPr>
          <w:rFonts w:cs="Times New Roman"/>
        </w:rPr>
        <w:t>u</w:t>
      </w:r>
      <w:r w:rsidRPr="00775C83">
        <w:rPr>
          <w:rFonts w:cs="Times New Roman"/>
        </w:rPr>
        <w:t>r</w:t>
      </w:r>
      <w:r>
        <w:rPr>
          <w:rFonts w:cs="Times New Roman"/>
        </w:rPr>
        <w:t>al</w:t>
      </w:r>
      <w:r w:rsidRPr="00775C83">
        <w:rPr>
          <w:rFonts w:cs="Times New Roman"/>
        </w:rPr>
        <w:t xml:space="preserve"> conflict (Akinwale, Edegwa and Ofuani, 2024).</w:t>
      </w:r>
    </w:p>
    <w:p w14:paraId="5651A346" w14:textId="2F566793" w:rsidR="00775C83" w:rsidRPr="00775C83" w:rsidRDefault="00775C83" w:rsidP="00775C83">
      <w:pPr>
        <w:rPr>
          <w:rFonts w:cs="Times New Roman"/>
        </w:rPr>
      </w:pPr>
      <w:r w:rsidRPr="00775C83">
        <w:rPr>
          <w:rFonts w:cs="Times New Roman"/>
        </w:rPr>
        <w:t xml:space="preserve">Notably, the study questions the impact of WLC factor on the retention of staff (Urban et al., 2024). The primary reason, according to some experts, is time-based conflict </w:t>
      </w:r>
      <w:r w:rsidR="00ED0AC5">
        <w:rPr>
          <w:rFonts w:cs="Times New Roman"/>
        </w:rPr>
        <w:t>-</w:t>
      </w:r>
      <w:r w:rsidRPr="00775C83">
        <w:rPr>
          <w:rFonts w:cs="Times New Roman"/>
        </w:rPr>
        <w:t xml:space="preserve"> it's simply too difficult to work around NHS schedules to get childcare. Some of these conceptual articles are advocacy submi</w:t>
      </w:r>
      <w:r>
        <w:rPr>
          <w:rFonts w:cs="Times New Roman"/>
        </w:rPr>
        <w:t>ssions</w:t>
      </w:r>
      <w:r w:rsidRPr="00775C83">
        <w:rPr>
          <w:rFonts w:cs="Times New Roman"/>
        </w:rPr>
        <w:t xml:space="preserve"> to influence HR rostering policy rather than impartial empirical ones (Negt and Haunschild, 2024; Poon et al., 2022; Witter, 2020). Many quantitative studies indicate that strain-based conflict is far more damaging since the strong psychological impact </w:t>
      </w:r>
      <w:r w:rsidRPr="00775C83">
        <w:rPr>
          <w:rFonts w:cs="Times New Roman"/>
        </w:rPr>
        <w:lastRenderedPageBreak/>
        <w:t>leaves coping processes fundamentally compromised and produces “attrition” irrespective of the number of hours spent.</w:t>
      </w:r>
    </w:p>
    <w:p w14:paraId="14F1A427" w14:textId="77777777" w:rsidR="00B10792" w:rsidRPr="007E1112" w:rsidRDefault="00775C83" w:rsidP="00775C83">
      <w:pPr>
        <w:rPr>
          <w:rFonts w:cs="Times New Roman"/>
        </w:rPr>
      </w:pPr>
      <w:r w:rsidRPr="00775C83">
        <w:rPr>
          <w:rFonts w:cs="Times New Roman"/>
        </w:rPr>
        <w:t>Some of the sampling techniques are responsible for th</w:t>
      </w:r>
      <w:r>
        <w:rPr>
          <w:rFonts w:cs="Times New Roman"/>
        </w:rPr>
        <w:t>ese</w:t>
      </w:r>
      <w:r w:rsidRPr="00775C83">
        <w:rPr>
          <w:rFonts w:cs="Times New Roman"/>
        </w:rPr>
        <w:t xml:space="preserve"> </w:t>
      </w:r>
      <w:r>
        <w:rPr>
          <w:rFonts w:cs="Times New Roman"/>
        </w:rPr>
        <w:t>differences</w:t>
      </w:r>
      <w:r w:rsidRPr="00775C83">
        <w:rPr>
          <w:rFonts w:cs="Times New Roman"/>
        </w:rPr>
        <w:t xml:space="preserve"> </w:t>
      </w:r>
      <w:r>
        <w:rPr>
          <w:rFonts w:cs="Times New Roman"/>
        </w:rPr>
        <w:t>in the literature</w:t>
      </w:r>
      <w:r w:rsidRPr="00775C83">
        <w:rPr>
          <w:rFonts w:cs="Times New Roman"/>
        </w:rPr>
        <w:t xml:space="preserve">. Research that </w:t>
      </w:r>
      <w:r w:rsidR="002330B6">
        <w:rPr>
          <w:rFonts w:cs="Times New Roman"/>
        </w:rPr>
        <w:t>emphasis</w:t>
      </w:r>
      <w:r w:rsidRPr="00775C83">
        <w:rPr>
          <w:rFonts w:cs="Times New Roman"/>
        </w:rPr>
        <w:t>es time-based conflict (Parida et al., 2021) has anecdotally shown to sample a mix of cohorts or primary care providers where structure</w:t>
      </w:r>
      <w:r>
        <w:rPr>
          <w:rFonts w:cs="Times New Roman"/>
        </w:rPr>
        <w:t>d</w:t>
      </w:r>
      <w:r w:rsidRPr="00775C83">
        <w:rPr>
          <w:rFonts w:cs="Times New Roman"/>
        </w:rPr>
        <w:t xml:space="preserve"> scheduling is the primary measure of satisfaction. The strain-based conflict studies (e.g., Bayot et al., 2024) have front-line acute practitioners and the moral harms are tenfold greater. It is a methodological mistake to assume that one dimension is dominant over the other. Moreover, Lochmann et al. (2026) determined that WLC due to strain has a stronger effect on Acute NEs than time-based WLC, which is more commonly described by Administrative NEs. This theoretical friction necessitates a consideration of WLC multidimensionally to develop effective solutions that will aid its retention.</w:t>
      </w:r>
    </w:p>
    <w:p w14:paraId="153318FA" w14:textId="77777777" w:rsidR="00EC32C5" w:rsidRPr="00B10792" w:rsidRDefault="00EC32C5" w:rsidP="00EC32C5">
      <w:pPr>
        <w:pStyle w:val="Heading2"/>
        <w:rPr>
          <w:rFonts w:cs="Times New Roman"/>
        </w:rPr>
      </w:pPr>
      <w:bookmarkStart w:id="25" w:name="_Toc240913050"/>
      <w:r w:rsidRPr="00B10792">
        <w:rPr>
          <w:rFonts w:cs="Times New Roman"/>
        </w:rPr>
        <w:t>2.4 Work-Life Conflict as an Antecedent to Employee Turnover Intention</w:t>
      </w:r>
      <w:bookmarkEnd w:id="25"/>
    </w:p>
    <w:p w14:paraId="6451FA1F" w14:textId="77777777" w:rsidR="00775C83" w:rsidRPr="00775C83" w:rsidRDefault="00775C83" w:rsidP="00775C83">
      <w:pPr>
        <w:rPr>
          <w:rFonts w:cs="Times New Roman"/>
        </w:rPr>
      </w:pPr>
      <w:r w:rsidRPr="00775C83">
        <w:rPr>
          <w:rFonts w:cs="Times New Roman"/>
        </w:rPr>
        <w:t>Systematic reviews and large</w:t>
      </w:r>
      <w:r>
        <w:rPr>
          <w:rFonts w:cs="Times New Roman"/>
        </w:rPr>
        <w:t>-</w:t>
      </w:r>
      <w:r w:rsidRPr="00775C83">
        <w:rPr>
          <w:rFonts w:cs="Times New Roman"/>
        </w:rPr>
        <w:t xml:space="preserve">scale cohort studies indicate a strong correlation between work-life conflict (WLC) and employee turnover intention in </w:t>
      </w:r>
      <w:r>
        <w:rPr>
          <w:rFonts w:cs="Times New Roman"/>
        </w:rPr>
        <w:t xml:space="preserve">the </w:t>
      </w:r>
      <w:r w:rsidRPr="00775C83">
        <w:rPr>
          <w:rFonts w:cs="Times New Roman"/>
        </w:rPr>
        <w:t xml:space="preserve">global healthcare context. Staff turnover is the highest empirical precedent for turnover, a deliberate and conscious desire to leave an </w:t>
      </w:r>
      <w:r w:rsidR="002330B6">
        <w:rPr>
          <w:rFonts w:cs="Times New Roman"/>
        </w:rPr>
        <w:t>organis</w:t>
      </w:r>
      <w:r w:rsidRPr="00775C83">
        <w:rPr>
          <w:rFonts w:cs="Times New Roman"/>
        </w:rPr>
        <w:t>ation (Hom et al., 2020). Using data from 45 international primary studies, Li et al. (2025) again confirmed this correlation; however, the vast majority of their primary studies were cross</w:t>
      </w:r>
      <w:r>
        <w:rPr>
          <w:rFonts w:cs="Times New Roman"/>
        </w:rPr>
        <w:t>-</w:t>
      </w:r>
      <w:r w:rsidRPr="00775C83">
        <w:rPr>
          <w:rFonts w:cs="Times New Roman"/>
        </w:rPr>
        <w:t xml:space="preserve">sectional, making it challenging to determine temporal causality. Primary empirical evidence should be addressed to counter </w:t>
      </w:r>
      <w:r>
        <w:rPr>
          <w:rFonts w:cs="Times New Roman"/>
        </w:rPr>
        <w:t xml:space="preserve">the </w:t>
      </w:r>
      <w:r w:rsidRPr="00775C83">
        <w:rPr>
          <w:rFonts w:cs="Times New Roman"/>
        </w:rPr>
        <w:t xml:space="preserve">superficiality of meta-analytic aggregates. The multicenter cross-sectional research by Poku et al. (2022) of 348 Ghanaian nurses found a considerable positive statistical connection between poor work-life quality and turnover intention. The finance system in the UK NHS is very different from these, and nurse labour market characteristics vary widely. Despite the methodological limitation, WLC is the prevailing and systemic withdrawal behaviour (Galanis et al., 2025; Sharkey and Caska, 2020). </w:t>
      </w:r>
      <w:r w:rsidRPr="00775C83">
        <w:rPr>
          <w:rFonts w:cs="Times New Roman"/>
        </w:rPr>
        <w:lastRenderedPageBreak/>
        <w:t>Recent meta</w:t>
      </w:r>
      <w:r>
        <w:rPr>
          <w:rFonts w:cs="Times New Roman"/>
        </w:rPr>
        <w:t>-analytic</w:t>
      </w:r>
      <w:r w:rsidRPr="00775C83">
        <w:rPr>
          <w:rFonts w:cs="Times New Roman"/>
        </w:rPr>
        <w:t xml:space="preserve"> information indicates that the more these boundaries vanish</w:t>
      </w:r>
      <w:r>
        <w:rPr>
          <w:rFonts w:cs="Times New Roman"/>
        </w:rPr>
        <w:t>,</w:t>
      </w:r>
      <w:r w:rsidRPr="00775C83">
        <w:rPr>
          <w:rFonts w:cs="Times New Roman"/>
        </w:rPr>
        <w:t xml:space="preserve"> the greater the statistical risk that a practitioner will consider exiting; often, but not always, this risk runs up to and </w:t>
      </w:r>
      <w:r>
        <w:rPr>
          <w:rFonts w:cs="Times New Roman"/>
        </w:rPr>
        <w:t xml:space="preserve">is </w:t>
      </w:r>
      <w:r w:rsidRPr="00775C83">
        <w:rPr>
          <w:rFonts w:cs="Times New Roman"/>
        </w:rPr>
        <w:t>far higher than other determinants of job retention, such as compensation.</w:t>
      </w:r>
    </w:p>
    <w:p w14:paraId="37F56628" w14:textId="77777777" w:rsidR="00775C83" w:rsidRPr="00775C83" w:rsidRDefault="00775C83" w:rsidP="00775C83">
      <w:pPr>
        <w:rPr>
          <w:rFonts w:cs="Times New Roman"/>
        </w:rPr>
      </w:pPr>
      <w:r w:rsidRPr="00775C83">
        <w:rPr>
          <w:rFonts w:cs="Times New Roman"/>
        </w:rPr>
        <w:t xml:space="preserve">Severe emotional weariness mediates the path from WLC to organisational leave (Buruck et al., 2020; Huyghebaert et al., 2018; Laschinger &amp; Fida, 2013). Wen et al. (2023) and Van van Heijden et al. (2019) argued that WLC evokes a very destructive psychological process. Wen et al. (2023) conducted a structural equation modelling study of 1200 employees in primary care and concluded </w:t>
      </w:r>
      <w:r>
        <w:rPr>
          <w:rFonts w:cs="Times New Roman"/>
        </w:rPr>
        <w:t xml:space="preserve">that </w:t>
      </w:r>
      <w:r w:rsidRPr="00775C83">
        <w:rPr>
          <w:rFonts w:cs="Times New Roman"/>
        </w:rPr>
        <w:t xml:space="preserve">emotional weariness fully mediated this link. They are mathematically sound with a large sample size to avoid underpowering with statistics, but their approach is limited ecologically to China, in the sense that it concerns only one province in China. To date, there is evidence in different European hospitals in a longitudinal design that unresolved inter-role friction chronically consumes cognitive or emotional </w:t>
      </w:r>
      <w:r>
        <w:rPr>
          <w:rFonts w:cs="Times New Roman"/>
        </w:rPr>
        <w:t>resource</w:t>
      </w:r>
      <w:r w:rsidRPr="00775C83">
        <w:rPr>
          <w:rFonts w:cs="Times New Roman"/>
        </w:rPr>
        <w:t>s that can ultimately contribute to occupational burnout (Rotenstein et al., 2023) (Van der Heijden et al., 2019). Burnout (particularly emotional weariness and depersonali</w:t>
      </w:r>
      <w:r w:rsidR="002330B6">
        <w:rPr>
          <w:rFonts w:cs="Times New Roman"/>
        </w:rPr>
        <w:t>s</w:t>
      </w:r>
      <w:r w:rsidRPr="00775C83">
        <w:rPr>
          <w:rFonts w:cs="Times New Roman"/>
        </w:rPr>
        <w:t>ation) is a mediator between boundary</w:t>
      </w:r>
      <w:r>
        <w:rPr>
          <w:rFonts w:cs="Times New Roman"/>
        </w:rPr>
        <w:t>-</w:t>
      </w:r>
      <w:r w:rsidRPr="00775C83">
        <w:rPr>
          <w:rFonts w:cs="Times New Roman"/>
        </w:rPr>
        <w:t>spanning stressors and withdrawal behaviour (Harripersaud and Edwards, 2026). According to Ramsay &amp; Edwards (2025)</w:t>
      </w:r>
      <w:r>
        <w:rPr>
          <w:rFonts w:cs="Times New Roman"/>
        </w:rPr>
        <w:t>,</w:t>
      </w:r>
      <w:r w:rsidRPr="00775C83">
        <w:rPr>
          <w:rFonts w:cs="Times New Roman"/>
        </w:rPr>
        <w:t xml:space="preserve"> in their phenomenological study, employees quit when the struggle between work-related duties and their own livelihood is too intense and psychologically unsustainable. Phenomenological studies provide depth and faithfully represent the lived emotional experience of burnout but do not have predictive power like large-scale quantitative regression models such as Alblihed and Alzghaibi (2022). Almost no primary studies combine qualitative and quantitative investigations </w:t>
      </w:r>
      <w:r>
        <w:rPr>
          <w:rFonts w:cs="Times New Roman"/>
        </w:rPr>
        <w:t>that</w:t>
      </w:r>
      <w:r w:rsidRPr="00775C83">
        <w:rPr>
          <w:rFonts w:cs="Times New Roman"/>
        </w:rPr>
        <w:t xml:space="preserve"> explain the why and quantify the how much in the current healthcare context in the UK.</w:t>
      </w:r>
    </w:p>
    <w:p w14:paraId="5C5CDFC6" w14:textId="31F75D67" w:rsidR="00775C83" w:rsidRPr="00775C83" w:rsidRDefault="00775C83" w:rsidP="00775C83">
      <w:pPr>
        <w:rPr>
          <w:rFonts w:cs="Times New Roman"/>
        </w:rPr>
      </w:pPr>
      <w:r w:rsidRPr="00775C83">
        <w:rPr>
          <w:rFonts w:cs="Times New Roman"/>
        </w:rPr>
        <w:t xml:space="preserve">It is most important to note that the association between WLC and turnover is now statistically declining (Liu and Cho 2026). As opposed to explaining turnover in historical terms and attributing this to unfulfilled needs in terms of pay and career progression, current occupational </w:t>
      </w:r>
      <w:r w:rsidRPr="00775C83">
        <w:rPr>
          <w:rFonts w:cs="Times New Roman"/>
        </w:rPr>
        <w:lastRenderedPageBreak/>
        <w:t>psychology describes a systemic failure in the psychological contract between healthcare workers and employers (Buchan and Charlesworth, 2023). In a mixed</w:t>
      </w:r>
      <w:r>
        <w:rPr>
          <w:rFonts w:cs="Times New Roman"/>
        </w:rPr>
        <w:t>-</w:t>
      </w:r>
      <w:r w:rsidRPr="00775C83">
        <w:rPr>
          <w:rFonts w:cs="Times New Roman"/>
        </w:rPr>
        <w:t xml:space="preserve">methods study, Kinman &amp; Teoh (2024) discovered that practitioners were becoming less likely to sacrifice their personal, family and mental health for institutional loyalty. Qualitative exit interviews along with survey data reinforce their finding that WLC events as a whole more explicitly cause apprehensive </w:t>
      </w:r>
      <w:r w:rsidR="002330B6">
        <w:rPr>
          <w:rFonts w:cs="Times New Roman"/>
        </w:rPr>
        <w:t>behaviour</w:t>
      </w:r>
      <w:r w:rsidRPr="00775C83">
        <w:rPr>
          <w:rFonts w:cs="Times New Roman"/>
        </w:rPr>
        <w:t xml:space="preserve">s earlier than in previous decades. Meanwhile, the increasing severity of patient needs and longstanding staff shortages render unpaid work especially perilous and corrosive, and increasingly drive the shift from initial conflict towards bitter resignations (West and Wallbank, 2024). But the evidence is largely descriptive and from annual staff surveys with very large numbers </w:t>
      </w:r>
      <w:r w:rsidR="00ED0AC5">
        <w:rPr>
          <w:rFonts w:cs="Times New Roman"/>
        </w:rPr>
        <w:t>-</w:t>
      </w:r>
      <w:r w:rsidRPr="00775C83">
        <w:rPr>
          <w:rFonts w:cs="Times New Roman"/>
        </w:rPr>
        <w:t xml:space="preserve"> usually (West and Wallbank, 2024) that is what is used. It is important to note that these descriptive macro-surveys cannot measure unique predictive variance of WLC over, and above, generic job dissatisfaction without statistical controls for other factors, such as baseline psychological health, shift patterns, and fine-grained clinical role banding.</w:t>
      </w:r>
    </w:p>
    <w:p w14:paraId="7201A790" w14:textId="77777777" w:rsidR="00B10792" w:rsidRPr="00B10792" w:rsidRDefault="00775C83" w:rsidP="00775C83">
      <w:pPr>
        <w:rPr>
          <w:rFonts w:cs="Times New Roman"/>
        </w:rPr>
      </w:pPr>
      <w:r w:rsidRPr="00775C83">
        <w:rPr>
          <w:rFonts w:cs="Times New Roman"/>
        </w:rPr>
        <w:t>The literature appears to be quite thoroughly reviewed</w:t>
      </w:r>
      <w:r>
        <w:rPr>
          <w:rFonts w:cs="Times New Roman"/>
        </w:rPr>
        <w:t>,</w:t>
      </w:r>
      <w:r w:rsidRPr="00775C83">
        <w:rPr>
          <w:rFonts w:cs="Times New Roman"/>
        </w:rPr>
        <w:t xml:space="preserve"> and the empirical gap is substantial</w:t>
      </w:r>
      <w:r>
        <w:rPr>
          <w:rFonts w:cs="Times New Roman"/>
        </w:rPr>
        <w:t>;</w:t>
      </w:r>
      <w:r w:rsidRPr="00775C83">
        <w:rPr>
          <w:rFonts w:cs="Times New Roman"/>
        </w:rPr>
        <w:t xml:space="preserve"> this work fills this gap in the withdrawal trajectory. Much of the quantitative evidence of the relationship between WLC and turnover is from multinational cohorts (Bolt et al., 2022; Hom et al., 2012). Alblihed and Alzghaibi (2022) analysed 405 Saudi frontline health workers through robust hierarchical regression, but due to the socio-legal context of the Saudi labour market and expatriate dynamics</w:t>
      </w:r>
      <w:r>
        <w:rPr>
          <w:rFonts w:cs="Times New Roman"/>
        </w:rPr>
        <w:t>,</w:t>
      </w:r>
      <w:r w:rsidRPr="00775C83">
        <w:rPr>
          <w:rFonts w:cs="Times New Roman"/>
        </w:rPr>
        <w:t xml:space="preserve"> their results are not applicable to the NHS post-pandemic architecture. A rather different financial and governance arrangement for primary care professionals was found in China by Wen et al. (2023). Western studies on healthcare systems, on the other hand, tend to focus on the acute and atypical Covid-19 crisis phase (Fuentes et al., 2022; Kraus, 2023). Rotenstein et al. (2023) described strange, acute stress, but using pandemic times to predict normal operation</w:t>
      </w:r>
      <w:r>
        <w:rPr>
          <w:rFonts w:cs="Times New Roman"/>
        </w:rPr>
        <w:t>al</w:t>
      </w:r>
      <w:r w:rsidRPr="00775C83">
        <w:rPr>
          <w:rFonts w:cs="Times New Roman"/>
        </w:rPr>
        <w:t xml:space="preserve"> turnovers is flawed. As Bosque-Mercader et al. (2025) highlight, the NHS in the UK currently suffers from unprecedented patient waiting lists, </w:t>
      </w:r>
      <w:r w:rsidRPr="00775C83">
        <w:rPr>
          <w:rFonts w:cs="Times New Roman"/>
        </w:rPr>
        <w:lastRenderedPageBreak/>
        <w:t>industrial action and devolved austerity measures, which do not align with pre-2022 or international data. The need for strong, numerical, UK-specific studies on the statistical effect of all the current dimensions of WLC in the distinctive architecture of the NHS. The general global models which workforce planners in the UK currently use fail to understand workforce dynamics in the UK healthcare system without this geographical and temporal data (Simkin et al., 2024; Willis et al., 2017).</w:t>
      </w:r>
    </w:p>
    <w:p w14:paraId="44862A16" w14:textId="77777777" w:rsidR="00B10792" w:rsidRPr="00B10792" w:rsidRDefault="00CF1C82" w:rsidP="00B10792">
      <w:pPr>
        <w:pStyle w:val="Heading2"/>
        <w:rPr>
          <w:rFonts w:cs="Times New Roman"/>
        </w:rPr>
      </w:pPr>
      <w:bookmarkStart w:id="26" w:name="_Toc240913051"/>
      <w:r w:rsidRPr="00B10792">
        <w:rPr>
          <w:rFonts w:cs="Times New Roman"/>
        </w:rPr>
        <w:t>2.5 The Moderating Role of Organisational Factors: Workload, Support, and Flexibility</w:t>
      </w:r>
      <w:bookmarkEnd w:id="26"/>
    </w:p>
    <w:p w14:paraId="6A0961AF" w14:textId="77777777" w:rsidR="00775C83" w:rsidRPr="00775C83" w:rsidRDefault="00775C83" w:rsidP="00775C83">
      <w:pPr>
        <w:rPr>
          <w:rFonts w:cs="Times New Roman"/>
          <w:lang w:eastAsia="en-GB" w:bidi="hi-IN"/>
        </w:rPr>
      </w:pPr>
      <w:r w:rsidRPr="00775C83">
        <w:rPr>
          <w:rFonts w:cs="Times New Roman"/>
          <w:lang w:eastAsia="en-GB" w:bidi="hi-IN"/>
        </w:rPr>
        <w:t>Organisational variables influence employee well-being under the Job Demands-Resources (JD-R) paradigm (Bakker and Demerouti, 2017). Usually, however, methodological limitations in contemporary research bias the empirical testing of these relationships. Less management support along with the intensity of workload speed up WLC, while flexible working arrangements might help to reduce WLC. There is something of a patchwork quilt of empirical evidence to support the moderation. In a quantitative cross-sectional study of 412 acute care nurses, Afshari et al. (2025) reported decreased WLC-turnover after support</w:t>
      </w:r>
      <w:r>
        <w:rPr>
          <w:rFonts w:cs="Times New Roman"/>
          <w:lang w:val="en-US" w:eastAsia="en-GB" w:bidi="hi-IN"/>
        </w:rPr>
        <w:t>;</w:t>
      </w:r>
      <w:r w:rsidRPr="00775C83">
        <w:rPr>
          <w:rFonts w:cs="Times New Roman"/>
          <w:lang w:eastAsia="en-GB" w:bidi="hi-IN"/>
        </w:rPr>
        <w:t xml:space="preserve"> however</w:t>
      </w:r>
      <w:r>
        <w:rPr>
          <w:rFonts w:cs="Times New Roman"/>
          <w:lang w:val="en-US" w:eastAsia="en-GB" w:bidi="hi-IN"/>
        </w:rPr>
        <w:t>,</w:t>
      </w:r>
      <w:r w:rsidRPr="00775C83">
        <w:rPr>
          <w:rFonts w:cs="Times New Roman"/>
          <w:lang w:eastAsia="en-GB" w:bidi="hi-IN"/>
        </w:rPr>
        <w:t xml:space="preserve"> the measure used was a single item</w:t>
      </w:r>
      <w:r>
        <w:rPr>
          <w:rFonts w:cs="Times New Roman"/>
          <w:lang w:val="en-US" w:eastAsia="en-GB" w:bidi="hi-IN"/>
        </w:rPr>
        <w:t>,</w:t>
      </w:r>
      <w:r w:rsidRPr="00775C83">
        <w:rPr>
          <w:rFonts w:cs="Times New Roman"/>
          <w:lang w:eastAsia="en-GB" w:bidi="hi-IN"/>
        </w:rPr>
        <w:t xml:space="preserve"> which limits structural validity. Both showed significant buffering effects in non-Western healthcare contexts (Alzoubi et al., 2024, N=305; Harun et al., 2020, N=512), and both relied on cross-sectional designs</w:t>
      </w:r>
      <w:r>
        <w:rPr>
          <w:rFonts w:cs="Times New Roman"/>
          <w:lang w:val="en-US" w:eastAsia="en-GB" w:bidi="hi-IN"/>
        </w:rPr>
        <w:t>,</w:t>
      </w:r>
      <w:r w:rsidRPr="00775C83">
        <w:rPr>
          <w:rFonts w:cs="Times New Roman"/>
          <w:lang w:eastAsia="en-GB" w:bidi="hi-IN"/>
        </w:rPr>
        <w:t xml:space="preserve"> which exclude the phenomenon of resource degradation over time in the UK NHS.</w:t>
      </w:r>
    </w:p>
    <w:p w14:paraId="04F572A9" w14:textId="77777777" w:rsidR="00775C83" w:rsidRPr="00775C83" w:rsidRDefault="00775C83" w:rsidP="00775C83">
      <w:pPr>
        <w:rPr>
          <w:rFonts w:cs="Times New Roman"/>
          <w:lang w:eastAsia="en-GB" w:bidi="hi-IN"/>
        </w:rPr>
      </w:pPr>
      <w:r w:rsidRPr="00775C83">
        <w:rPr>
          <w:rFonts w:cs="Times New Roman"/>
          <w:lang w:eastAsia="en-GB" w:bidi="hi-IN"/>
        </w:rPr>
        <w:t>Maitman helps are considered an important psychological aid by all. Structurally empowered leadership leads to reduced strain</w:t>
      </w:r>
      <w:r>
        <w:rPr>
          <w:rFonts w:cs="Times New Roman"/>
          <w:lang w:val="en-US" w:eastAsia="en-GB" w:bidi="hi-IN"/>
        </w:rPr>
        <w:t>-</w:t>
      </w:r>
      <w:r w:rsidRPr="00775C83">
        <w:rPr>
          <w:rFonts w:cs="Times New Roman"/>
          <w:lang w:eastAsia="en-GB" w:bidi="hi-IN"/>
        </w:rPr>
        <w:t>based conflict</w:t>
      </w:r>
      <w:r>
        <w:rPr>
          <w:rFonts w:cs="Times New Roman"/>
          <w:lang w:val="en-US" w:eastAsia="en-GB" w:bidi="hi-IN"/>
        </w:rPr>
        <w:t>,</w:t>
      </w:r>
      <w:r w:rsidRPr="00775C83">
        <w:rPr>
          <w:rFonts w:cs="Times New Roman"/>
          <w:lang w:eastAsia="en-GB" w:bidi="hi-IN"/>
        </w:rPr>
        <w:t xml:space="preserve"> as indicated by the primary studies (Fraboni et al., 2023; Perwal, 2026; Tremblay, 2026). But these studies tend to define "support" in general, often by employing general, self-reported Likert scales which do not differentiate instrumental (task) from emotional support. Data on operational contradictions of NHS-specific personnel are very severe. Chronic WLC </w:t>
      </w:r>
      <w:r>
        <w:rPr>
          <w:rFonts w:cs="Times New Roman"/>
          <w:kern w:val="0"/>
          <w:lang w:eastAsia="en-GB" w:bidi="hi-IN"/>
          <w14:ligatures w14:val="none"/>
        </w:rPr>
        <w:t xml:space="preserve">not only occurs at mid-level, but is often </w:t>
      </w:r>
      <w:r>
        <w:rPr>
          <w:rFonts w:cs="Times New Roman"/>
          <w:kern w:val="0"/>
          <w:lang w:eastAsia="en-GB" w:bidi="hi-IN"/>
          <w14:ligatures w14:val="none"/>
        </w:rPr>
        <w:lastRenderedPageBreak/>
        <w:t>severe</w:t>
      </w:r>
      <w:r w:rsidRPr="00775C83">
        <w:rPr>
          <w:rFonts w:cs="Times New Roman"/>
          <w:lang w:eastAsia="en-GB" w:bidi="hi-IN"/>
        </w:rPr>
        <w:t xml:space="preserve"> (Clarkson et al., 2022; West and Wallbank, 2024). Björk et al. (2023) and Sandberg et al. (2023)</w:t>
      </w:r>
      <w:r>
        <w:rPr>
          <w:rFonts w:cs="Times New Roman"/>
          <w:lang w:val="en-US" w:eastAsia="en-GB" w:bidi="hi-IN"/>
        </w:rPr>
        <w:t>,</w:t>
      </w:r>
      <w:r w:rsidRPr="00775C83">
        <w:rPr>
          <w:rFonts w:cs="Times New Roman"/>
          <w:lang w:eastAsia="en-GB" w:bidi="hi-IN"/>
        </w:rPr>
        <w:t xml:space="preserve"> with clinical leaders </w:t>
      </w:r>
      <w:r>
        <w:rPr>
          <w:rFonts w:cs="Times New Roman"/>
          <w:lang w:val="en-US" w:eastAsia="en-GB" w:bidi="hi-IN"/>
        </w:rPr>
        <w:t>(</w:t>
      </w:r>
      <w:r w:rsidRPr="00775C83">
        <w:rPr>
          <w:rFonts w:cs="Times New Roman"/>
          <w:lang w:eastAsia="en-GB" w:bidi="hi-IN"/>
        </w:rPr>
        <w:t>N = 184</w:t>
      </w:r>
      <w:r>
        <w:rPr>
          <w:rFonts w:cs="Times New Roman"/>
          <w:lang w:val="en-US" w:eastAsia="en-GB" w:bidi="hi-IN"/>
        </w:rPr>
        <w:t>),</w:t>
      </w:r>
      <w:r w:rsidRPr="00775C83">
        <w:rPr>
          <w:rFonts w:cs="Times New Roman"/>
          <w:lang w:eastAsia="en-GB" w:bidi="hi-IN"/>
        </w:rPr>
        <w:t xml:space="preserve"> concluded that mentally exhausted managers are not able to protect their teams with mixed-methods information. They believe that previous quantitative models have false positives because they assess perceived assistance but d</w:t>
      </w:r>
      <w:r>
        <w:rPr>
          <w:rFonts w:cs="Times New Roman"/>
          <w:lang w:val="en-US" w:eastAsia="en-GB" w:bidi="hi-IN"/>
        </w:rPr>
        <w:t>o</w:t>
      </w:r>
      <w:r w:rsidRPr="00775C83">
        <w:rPr>
          <w:rFonts w:cs="Times New Roman"/>
          <w:lang w:eastAsia="en-GB" w:bidi="hi-IN"/>
        </w:rPr>
        <w:t xml:space="preserve"> not consider the manager's capacity to deliver assistance.</w:t>
      </w:r>
    </w:p>
    <w:p w14:paraId="573C6914" w14:textId="77777777" w:rsidR="00775C83" w:rsidRPr="00775C83" w:rsidRDefault="00775C83" w:rsidP="00775C83">
      <w:pPr>
        <w:rPr>
          <w:rFonts w:cs="Times New Roman"/>
          <w:lang w:eastAsia="en-GB" w:bidi="hi-IN"/>
        </w:rPr>
      </w:pPr>
      <w:r w:rsidRPr="00775C83">
        <w:rPr>
          <w:rFonts w:cs="Times New Roman"/>
          <w:lang w:eastAsia="en-GB" w:bidi="hi-IN"/>
        </w:rPr>
        <w:t>Policymakers wholeheartedly embraced FWAs to address time-based WLC (Picker, 2025). The central idea is that temporal autonomy leads to less marital conflict (Arlinghaus et al., 2019; Dixon, 2019). Initial evidence in the UK indicates that the implementation of formal FWAs lessen</w:t>
      </w:r>
      <w:r>
        <w:rPr>
          <w:rFonts w:cs="Times New Roman"/>
          <w:lang w:val="en-US" w:eastAsia="en-GB" w:bidi="hi-IN"/>
        </w:rPr>
        <w:t>s</w:t>
      </w:r>
      <w:r w:rsidRPr="00775C83">
        <w:rPr>
          <w:rFonts w:cs="Times New Roman"/>
          <w:lang w:eastAsia="en-GB" w:bidi="hi-IN"/>
        </w:rPr>
        <w:t xml:space="preserve"> turnover intentions (Weyman et al., 2026). Weyman et al.'s convenience sample (N = 215) in community care limits its application to high-acuity settings.</w:t>
      </w:r>
    </w:p>
    <w:p w14:paraId="4397FA22" w14:textId="77777777" w:rsidR="00775C83" w:rsidRPr="00775C83" w:rsidRDefault="00775C83" w:rsidP="00775C83">
      <w:pPr>
        <w:rPr>
          <w:rFonts w:cs="Times New Roman"/>
          <w:lang w:eastAsia="en-GB" w:bidi="hi-IN"/>
        </w:rPr>
      </w:pPr>
      <w:r w:rsidRPr="00775C83">
        <w:rPr>
          <w:rFonts w:cs="Times New Roman"/>
          <w:lang w:eastAsia="en-GB" w:bidi="hi-IN"/>
        </w:rPr>
        <w:t xml:space="preserve">Acute FWA empirical research exhibits many methodological inconsistencies. Holland et al. (2021) and Lim et al. (2024) used longitudinal ward data to show that acute wards' tight nurse-to-patient ratios make autonomous FWA unachievable. In a large multi-site survey (N = 890), Choudhary and Brookes (2025) show a "flexibility backlash". They noted that provision of the tailored FWAs to a minority has an impact on the workload and WLC for the full-time cohort. It directly calls into question the notion of universal buffering. Multi-level regression </w:t>
      </w:r>
      <w:r>
        <w:rPr>
          <w:rFonts w:cs="Times New Roman"/>
          <w:kern w:val="0"/>
          <w:lang w:eastAsia="en-GB" w:bidi="hi-IN"/>
          <w14:ligatures w14:val="none"/>
        </w:rPr>
        <w:t xml:space="preserve">analyses in Onyejesi et al. </w:t>
      </w:r>
      <w:r>
        <w:rPr>
          <w:rFonts w:cs="Times New Roman"/>
          <w:kern w:val="0"/>
          <w:lang w:val="en-US" w:eastAsia="en-GB" w:bidi="hi-IN"/>
          <w14:ligatures w14:val="none"/>
        </w:rPr>
        <w:t>(</w:t>
      </w:r>
      <w:r>
        <w:rPr>
          <w:rFonts w:cs="Times New Roman"/>
          <w:kern w:val="0"/>
          <w:lang w:eastAsia="en-GB" w:bidi="hi-IN"/>
          <w14:ligatures w14:val="none"/>
        </w:rPr>
        <w:t>2025</w:t>
      </w:r>
      <w:r>
        <w:rPr>
          <w:rFonts w:cs="Times New Roman"/>
          <w:kern w:val="0"/>
          <w:lang w:val="en-US" w:eastAsia="en-GB" w:bidi="hi-IN"/>
          <w14:ligatures w14:val="none"/>
        </w:rPr>
        <w:t>)</w:t>
      </w:r>
      <w:r>
        <w:rPr>
          <w:rFonts w:cs="Times New Roman"/>
          <w:kern w:val="0"/>
          <w:lang w:eastAsia="en-GB" w:bidi="hi-IN"/>
          <w14:ligatures w14:val="none"/>
        </w:rPr>
        <w:t xml:space="preserve">, Poh et al. </w:t>
      </w:r>
      <w:r>
        <w:rPr>
          <w:rFonts w:cs="Times New Roman"/>
          <w:kern w:val="0"/>
          <w:lang w:val="en-US" w:eastAsia="en-GB" w:bidi="hi-IN"/>
          <w14:ligatures w14:val="none"/>
        </w:rPr>
        <w:t>(</w:t>
      </w:r>
      <w:r>
        <w:rPr>
          <w:rFonts w:cs="Times New Roman"/>
          <w:kern w:val="0"/>
          <w:lang w:eastAsia="en-GB" w:bidi="hi-IN"/>
          <w14:ligatures w14:val="none"/>
        </w:rPr>
        <w:t>2022</w:t>
      </w:r>
      <w:r>
        <w:rPr>
          <w:rFonts w:cs="Times New Roman"/>
          <w:kern w:val="0"/>
          <w:lang w:val="en-US" w:eastAsia="en-GB" w:bidi="hi-IN"/>
          <w14:ligatures w14:val="none"/>
        </w:rPr>
        <w:t>)</w:t>
      </w:r>
      <w:r>
        <w:rPr>
          <w:rFonts w:cs="Times New Roman"/>
          <w:kern w:val="0"/>
          <w:lang w:eastAsia="en-GB" w:bidi="hi-IN"/>
          <w14:ligatures w14:val="none"/>
        </w:rPr>
        <w:t xml:space="preserve">, and Hartner-Tiefenthaler et al. </w:t>
      </w:r>
      <w:r>
        <w:rPr>
          <w:rFonts w:cs="Times New Roman"/>
          <w:kern w:val="0"/>
          <w:lang w:val="en-US" w:eastAsia="en-GB" w:bidi="hi-IN"/>
          <w14:ligatures w14:val="none"/>
        </w:rPr>
        <w:t>(</w:t>
      </w:r>
      <w:r>
        <w:rPr>
          <w:rFonts w:cs="Times New Roman"/>
          <w:kern w:val="0"/>
          <w:lang w:eastAsia="en-GB" w:bidi="hi-IN"/>
          <w14:ligatures w14:val="none"/>
        </w:rPr>
        <w:t>2023</w:t>
      </w:r>
      <w:r>
        <w:rPr>
          <w:rFonts w:cs="Times New Roman"/>
          <w:kern w:val="0"/>
          <w:lang w:val="en-US" w:eastAsia="en-GB" w:bidi="hi-IN"/>
          <w14:ligatures w14:val="none"/>
        </w:rPr>
        <w:t>)</w:t>
      </w:r>
      <w:r>
        <w:rPr>
          <w:rFonts w:cs="Times New Roman"/>
          <w:kern w:val="0"/>
          <w:lang w:eastAsia="en-GB" w:bidi="hi-IN"/>
          <w14:ligatures w14:val="none"/>
        </w:rPr>
        <w:t xml:space="preserve"> indicate that asymmetrical FWAs accelerate</w:t>
      </w:r>
      <w:r w:rsidRPr="00775C83">
        <w:rPr>
          <w:rFonts w:cs="Times New Roman"/>
          <w:lang w:eastAsia="en-GB" w:bidi="hi-IN"/>
        </w:rPr>
        <w:t xml:space="preserve"> a workforce collapse. These results differ primarily as a consequence of good FWA results reflecting psychological enjoyment and negative results representing strain to the ward.</w:t>
      </w:r>
    </w:p>
    <w:p w14:paraId="3863CA56" w14:textId="623180E2" w:rsidR="00B10792" w:rsidRPr="007E1112" w:rsidRDefault="00775C83" w:rsidP="00775C83">
      <w:pPr>
        <w:rPr>
          <w:rFonts w:cs="Times New Roman"/>
          <w:lang w:eastAsia="en-GB" w:bidi="hi-IN"/>
        </w:rPr>
      </w:pPr>
      <w:r w:rsidRPr="00775C83">
        <w:rPr>
          <w:rFonts w:cs="Times New Roman"/>
          <w:lang w:eastAsia="en-GB" w:bidi="hi-IN"/>
        </w:rPr>
        <w:t>These statistical differences in the structure are unknown in the UK NHS (Johnson and Davis, 2026). Primarily</w:t>
      </w:r>
      <w:r>
        <w:rPr>
          <w:rFonts w:cs="Times New Roman"/>
          <w:lang w:val="en-US" w:eastAsia="en-GB" w:bidi="hi-IN"/>
        </w:rPr>
        <w:t>,</w:t>
      </w:r>
      <w:r w:rsidRPr="00775C83">
        <w:rPr>
          <w:rFonts w:cs="Times New Roman"/>
          <w:lang w:eastAsia="en-GB" w:bidi="hi-IN"/>
        </w:rPr>
        <w:t xml:space="preserve"> research tend</w:t>
      </w:r>
      <w:r>
        <w:rPr>
          <w:rFonts w:cs="Times New Roman"/>
          <w:lang w:val="en-US" w:eastAsia="en-GB" w:bidi="hi-IN"/>
        </w:rPr>
        <w:t>s</w:t>
      </w:r>
      <w:r w:rsidRPr="00775C83">
        <w:rPr>
          <w:rFonts w:cs="Times New Roman"/>
          <w:lang w:eastAsia="en-GB" w:bidi="hi-IN"/>
        </w:rPr>
        <w:t xml:space="preserve"> to focus on demands, resources, or only test the effect of limited conditions on a specifically theorised mod</w:t>
      </w:r>
      <w:r>
        <w:rPr>
          <w:rFonts w:cs="Times New Roman"/>
          <w:lang w:eastAsia="en-GB" w:bidi="hi-IN"/>
        </w:rPr>
        <w:t>erato</w:t>
      </w:r>
      <w:r w:rsidRPr="00775C83">
        <w:rPr>
          <w:rFonts w:cs="Times New Roman"/>
          <w:lang w:eastAsia="en-GB" w:bidi="hi-IN"/>
        </w:rPr>
        <w:t xml:space="preserve">r. Recent research suggests conflicting moderating effects and that workload cannot be considered a baseline requirement, but rather a dynamic boundary condition, where a significant threshold will first be reached when the </w:t>
      </w:r>
      <w:r w:rsidRPr="00775C83">
        <w:rPr>
          <w:rFonts w:cs="Times New Roman"/>
          <w:lang w:eastAsia="en-GB" w:bidi="hi-IN"/>
        </w:rPr>
        <w:lastRenderedPageBreak/>
        <w:t>workload can no longer be buffered by the available resources. To overcome methodological conflicts and constraints of past non-acute research, this study generates moderation hypotheses (H4</w:t>
      </w:r>
      <w:r w:rsidR="00ED0AC5">
        <w:rPr>
          <w:rFonts w:cs="Times New Roman"/>
          <w:lang w:eastAsia="en-GB" w:bidi="hi-IN"/>
        </w:rPr>
        <w:t>-</w:t>
      </w:r>
      <w:r w:rsidRPr="00775C83">
        <w:rPr>
          <w:rFonts w:cs="Times New Roman"/>
          <w:lang w:eastAsia="en-GB" w:bidi="hi-IN"/>
        </w:rPr>
        <w:t>H6). These hypotheses aim to determine if and to what statistical extent workload intensity suppresses support and flexibility's mitigating effects on WLC and turnover intention among substantial NHS staff.</w:t>
      </w:r>
    </w:p>
    <w:p w14:paraId="675612DE" w14:textId="77777777" w:rsidR="00E24582" w:rsidRPr="00B10792" w:rsidRDefault="00E24582" w:rsidP="00E24582">
      <w:pPr>
        <w:pStyle w:val="Heading2"/>
        <w:rPr>
          <w:rFonts w:cs="Times New Roman"/>
        </w:rPr>
      </w:pPr>
      <w:bookmarkStart w:id="27" w:name="_Toc240913052"/>
      <w:r w:rsidRPr="00B10792">
        <w:rPr>
          <w:rFonts w:cs="Times New Roman"/>
        </w:rPr>
        <w:t>2.6 Conceptual Framework and Hypotheses Development</w:t>
      </w:r>
      <w:bookmarkEnd w:id="27"/>
    </w:p>
    <w:p w14:paraId="6C1EAF61" w14:textId="77777777" w:rsidR="00B10792" w:rsidRPr="00B10792" w:rsidRDefault="00775C83" w:rsidP="00B10792">
      <w:pPr>
        <w:rPr>
          <w:rFonts w:cs="Times New Roman"/>
        </w:rPr>
      </w:pPr>
      <w:r w:rsidRPr="00775C83">
        <w:rPr>
          <w:rFonts w:cs="Times New Roman"/>
        </w:rPr>
        <w:t>This research presents a Job Demands-Resources (JD-R) model-based conceptual framework based on the extensive theoretical and empirical data covered in this chapter (Bakker and Demerouti, 2017). The focal independent variable in the framework is called Work-Life Conflict (WLC). Recognising the complexity of today's healthcare, this variable is operationalised through three dimensions indicative of boundary spanning: time, strain, and behaviour-based conflict (Netemeyer et al., 1996). The total metric of organisation</w:t>
      </w:r>
      <w:r>
        <w:rPr>
          <w:rFonts w:cs="Times New Roman"/>
        </w:rPr>
        <w:t>al</w:t>
      </w:r>
      <w:r w:rsidRPr="00775C83">
        <w:rPr>
          <w:rFonts w:cs="Times New Roman"/>
        </w:rPr>
        <w:t xml:space="preserve"> retreat is staff turnover intention (Li et al., 2025). Almost everyone experiences these multidimensional inter-role frictions over time; the ‘health-impairment' route noted above sets in when these frictions are not stopped from happening. This loss of resources significantly raises the probability of career leave from a statistical point of view (Rotenstein et al., 2023). Large</w:t>
      </w:r>
      <w:r>
        <w:rPr>
          <w:rFonts w:cs="Times New Roman"/>
        </w:rPr>
        <w:t>-</w:t>
      </w:r>
      <w:r w:rsidRPr="00775C83">
        <w:rPr>
          <w:rFonts w:cs="Times New Roman"/>
        </w:rPr>
        <w:t>scale survey data (e.g., Rotenstein et al., 2023</w:t>
      </w:r>
      <w:r>
        <w:rPr>
          <w:rFonts w:cs="Times New Roman"/>
        </w:rPr>
        <w:t>,</w:t>
      </w:r>
      <w:r w:rsidRPr="00775C83">
        <w:rPr>
          <w:rFonts w:cs="Times New Roman"/>
        </w:rPr>
        <w:t xml:space="preserve"> N &gt; 20,000) support this direct trajectory, but the biases in the literature on these models towards cross-sectional research create an associative rather than causal relationship. The first step is the direct, unmoderated predictive validity test of WLC factors on NHS turnover intention.</w:t>
      </w:r>
    </w:p>
    <w:p w14:paraId="703B092E" w14:textId="77777777" w:rsidR="00B10792" w:rsidRPr="00B10792" w:rsidRDefault="00B10792" w:rsidP="00B10792">
      <w:pPr>
        <w:pStyle w:val="ListParagraph"/>
        <w:numPr>
          <w:ilvl w:val="0"/>
          <w:numId w:val="9"/>
        </w:numPr>
      </w:pPr>
      <w:r w:rsidRPr="00B10792">
        <w:rPr>
          <w:b/>
          <w:bCs/>
        </w:rPr>
        <w:t>H1:</w:t>
      </w:r>
      <w:r w:rsidRPr="00B10792">
        <w:t xml:space="preserve"> Time-based work-life conflict is positively associated with turnover intention among NHS employees.</w:t>
      </w:r>
    </w:p>
    <w:p w14:paraId="23DC2E1C" w14:textId="77777777" w:rsidR="00B10792" w:rsidRPr="00B10792" w:rsidRDefault="00B10792" w:rsidP="00B10792">
      <w:pPr>
        <w:pStyle w:val="ListParagraph"/>
        <w:numPr>
          <w:ilvl w:val="0"/>
          <w:numId w:val="9"/>
        </w:numPr>
      </w:pPr>
      <w:r w:rsidRPr="00B10792">
        <w:rPr>
          <w:b/>
          <w:bCs/>
        </w:rPr>
        <w:t>H2:</w:t>
      </w:r>
      <w:r w:rsidRPr="00B10792">
        <w:t xml:space="preserve"> Strain-based work-life conflict is positively associated with turnover intention among NHS employees.</w:t>
      </w:r>
    </w:p>
    <w:p w14:paraId="50E1C083" w14:textId="77777777" w:rsidR="00775C83" w:rsidRPr="00775C83" w:rsidRDefault="00B10792" w:rsidP="00775C83">
      <w:pPr>
        <w:pStyle w:val="ListParagraph"/>
        <w:numPr>
          <w:ilvl w:val="0"/>
          <w:numId w:val="9"/>
        </w:numPr>
      </w:pPr>
      <w:r w:rsidRPr="00B10792">
        <w:rPr>
          <w:b/>
          <w:bCs/>
        </w:rPr>
        <w:lastRenderedPageBreak/>
        <w:t>H3:</w:t>
      </w:r>
      <w:r w:rsidRPr="00B10792">
        <w:t xml:space="preserve"> Behaviour-based work-life conflict is positively associated with turnover intention among NHS employees.</w:t>
      </w:r>
    </w:p>
    <w:p w14:paraId="7FA34158" w14:textId="77777777" w:rsidR="00775C83" w:rsidRPr="00775C83" w:rsidRDefault="00775C83" w:rsidP="00775C83">
      <w:pPr>
        <w:rPr>
          <w:rFonts w:cs="Times New Roman"/>
        </w:rPr>
      </w:pPr>
      <w:r w:rsidRPr="00775C83">
        <w:rPr>
          <w:rFonts w:cs="Times New Roman"/>
        </w:rPr>
        <w:t>The conceptual model implements three key organisational aspects as strategic moderators instead of linear predictions: workload intensity (structural job demand), managerial support (psychosocial job resource) and flexible working arrangements. Using the JD-R model's motivational and buffering assumptions (Demerouti &amp; Bakker, 2022; Heerden &amp; Naicker, 2023), these elements are thought to either worsen or alleviate the main withdrawal trajectory.</w:t>
      </w:r>
    </w:p>
    <w:p w14:paraId="350ED26B" w14:textId="77777777" w:rsidR="00775C83" w:rsidRPr="00775C83" w:rsidRDefault="00775C83" w:rsidP="00775C83">
      <w:pPr>
        <w:rPr>
          <w:rFonts w:cs="Times New Roman"/>
        </w:rPr>
      </w:pPr>
      <w:r w:rsidRPr="00775C83">
        <w:rPr>
          <w:rFonts w:cs="Times New Roman"/>
        </w:rPr>
        <w:t>It is basically essential in this research. This is different from the standard implementation of JD-R</w:t>
      </w:r>
      <w:r>
        <w:rPr>
          <w:rFonts w:cs="Times New Roman"/>
        </w:rPr>
        <w:t>,</w:t>
      </w:r>
      <w:r w:rsidRPr="00775C83">
        <w:rPr>
          <w:rFonts w:cs="Times New Roman"/>
        </w:rPr>
        <w:t xml:space="preserve"> where workload is taken as a baseline dimension. This analytical </w:t>
      </w:r>
      <w:r>
        <w:rPr>
          <w:rFonts w:cs="Times New Roman"/>
        </w:rPr>
        <w:t>approach</w:t>
      </w:r>
      <w:r w:rsidRPr="00775C83">
        <w:rPr>
          <w:rFonts w:cs="Times New Roman"/>
        </w:rPr>
        <w:t xml:space="preserve"> is prompted by a new empirical anomaly that resources only fail at a level where structural demands exceed a threshold. Intensity of workload will completely eliminate the residual recovery capacity, </w:t>
      </w:r>
      <w:r>
        <w:rPr>
          <w:rFonts w:cs="Times New Roman"/>
        </w:rPr>
        <w:t>which</w:t>
      </w:r>
      <w:r w:rsidRPr="00775C83">
        <w:rPr>
          <w:rFonts w:cs="Times New Roman"/>
        </w:rPr>
        <w:t xml:space="preserve"> will further deteriorate WLC (Rosemarino, 2026; Singh et al., 2026). Singh et al.'s (2026) cross-sectional study of 640 health care workers found statistically that work-home friction is compounded by a high workload intensity.</w:t>
      </w:r>
    </w:p>
    <w:p w14:paraId="14AB19AE" w14:textId="122082A7" w:rsidR="00B10792" w:rsidRPr="00B10792" w:rsidRDefault="00775C83" w:rsidP="00775C83">
      <w:pPr>
        <w:rPr>
          <w:rFonts w:cs="Times New Roman"/>
        </w:rPr>
      </w:pPr>
      <w:r w:rsidRPr="00775C83">
        <w:rPr>
          <w:rFonts w:cs="Times New Roman"/>
        </w:rPr>
        <w:t xml:space="preserve">By contrast, robust and proactive container management support and viable flexible practices help to create psychological safety and structural autonomy. The </w:t>
      </w:r>
      <w:r w:rsidR="002330B6">
        <w:rPr>
          <w:rFonts w:cs="Times New Roman"/>
        </w:rPr>
        <w:t>organis</w:t>
      </w:r>
      <w:r w:rsidRPr="00775C83">
        <w:rPr>
          <w:rFonts w:cs="Times New Roman"/>
        </w:rPr>
        <w:t xml:space="preserve">ation injects these resources, and it is supposed to offset the “health impairment” dynamic, reducing the positive statistical association between characteristics of the WLC and abandoning trust. H5 and H6 can be supported empirically by the high discrepancies </w:t>
      </w:r>
      <w:r>
        <w:rPr>
          <w:rFonts w:cs="Times New Roman"/>
        </w:rPr>
        <w:t>in</w:t>
      </w:r>
      <w:r w:rsidRPr="00775C83">
        <w:rPr>
          <w:rFonts w:cs="Times New Roman"/>
        </w:rPr>
        <w:t xml:space="preserve"> the results of the main moderation tests. Based on a sample of N = 384, Åkerström et al. (2021) also observed that the impact of managerial support was moderate in highly rigid public sector contexts, but statistically just above minimal significance. Formal testing of these empirical disparities is required to assess </w:t>
      </w:r>
      <w:r>
        <w:rPr>
          <w:rFonts w:cs="Times New Roman"/>
        </w:rPr>
        <w:t>whether,</w:t>
      </w:r>
      <w:r w:rsidRPr="00775C83">
        <w:rPr>
          <w:rFonts w:cs="Times New Roman"/>
        </w:rPr>
        <w:t xml:space="preserve"> in the current </w:t>
      </w:r>
      <w:r>
        <w:rPr>
          <w:rFonts w:cs="Times New Roman"/>
        </w:rPr>
        <w:t>context,</w:t>
      </w:r>
      <w:r w:rsidRPr="00775C83">
        <w:rPr>
          <w:rFonts w:cs="Times New Roman"/>
        </w:rPr>
        <w:t xml:space="preserve"> H4</w:t>
      </w:r>
      <w:r w:rsidR="00ED0AC5">
        <w:rPr>
          <w:rFonts w:cs="Times New Roman"/>
        </w:rPr>
        <w:t>-</w:t>
      </w:r>
      <w:r w:rsidRPr="00775C83">
        <w:rPr>
          <w:rFonts w:cs="Times New Roman"/>
        </w:rPr>
        <w:t>H6 buffer the NHS.</w:t>
      </w:r>
    </w:p>
    <w:p w14:paraId="0304F4A4" w14:textId="77777777" w:rsidR="00B10792" w:rsidRPr="00B10792" w:rsidRDefault="00B10792" w:rsidP="00B10792">
      <w:pPr>
        <w:pStyle w:val="ListParagraph"/>
        <w:numPr>
          <w:ilvl w:val="0"/>
          <w:numId w:val="10"/>
        </w:numPr>
      </w:pPr>
      <w:r w:rsidRPr="00B10792">
        <w:rPr>
          <w:b/>
          <w:bCs/>
        </w:rPr>
        <w:t>H4:</w:t>
      </w:r>
      <w:r w:rsidRPr="00B10792">
        <w:t xml:space="preserve"> Workload intensity moderates the relationship between work-life conflict and turnover intention, such that higher workload strengthens the association.</w:t>
      </w:r>
    </w:p>
    <w:p w14:paraId="7029F58B" w14:textId="77777777" w:rsidR="00B10792" w:rsidRPr="00B10792" w:rsidRDefault="00B10792" w:rsidP="00B10792">
      <w:pPr>
        <w:pStyle w:val="ListParagraph"/>
        <w:numPr>
          <w:ilvl w:val="0"/>
          <w:numId w:val="10"/>
        </w:numPr>
      </w:pPr>
      <w:r w:rsidRPr="00B10792">
        <w:rPr>
          <w:b/>
          <w:bCs/>
        </w:rPr>
        <w:lastRenderedPageBreak/>
        <w:t>H5:</w:t>
      </w:r>
      <w:r w:rsidRPr="00B10792">
        <w:t xml:space="preserve"> Managerial support moderates the relationship between work-life conflict and turnover intention, such that higher support weakens the association.</w:t>
      </w:r>
    </w:p>
    <w:p w14:paraId="14BDB7A8" w14:textId="77777777" w:rsidR="00B10792" w:rsidRPr="00B10792" w:rsidRDefault="00B10792" w:rsidP="00B10792">
      <w:pPr>
        <w:pStyle w:val="ListParagraph"/>
        <w:numPr>
          <w:ilvl w:val="0"/>
          <w:numId w:val="10"/>
        </w:numPr>
      </w:pPr>
      <w:r w:rsidRPr="00B10792">
        <w:rPr>
          <w:b/>
          <w:bCs/>
        </w:rPr>
        <w:t>H6:</w:t>
      </w:r>
      <w:r w:rsidRPr="00B10792">
        <w:t xml:space="preserve"> Flexible working arrangements moderate the relationship between work-life conflict and turnover intention, such that greater flexibility weakens the association.</w:t>
      </w:r>
    </w:p>
    <w:p w14:paraId="4D3B70A3" w14:textId="77777777" w:rsidR="00775C83" w:rsidRPr="00775C83" w:rsidRDefault="00775C83" w:rsidP="00775C83">
      <w:pPr>
        <w:rPr>
          <w:rFonts w:cs="Times New Roman"/>
        </w:rPr>
      </w:pPr>
      <w:r w:rsidRPr="00775C83">
        <w:rPr>
          <w:rFonts w:cs="Times New Roman"/>
        </w:rPr>
        <w:t xml:space="preserve">This literature review's overarching narrative is that the UK National Health Service is failing to adequately buffer its frontline and administrative workers' profound work-life conflict (Jayawardhana and Karunarathne, 2026). Although the main trend of legacy occupational psychology is strain at work and withdrawal behaviour, the study has been conducted on individuals </w:t>
      </w:r>
      <w:r>
        <w:rPr>
          <w:rFonts w:cs="Times New Roman"/>
        </w:rPr>
        <w:t>in</w:t>
      </w:r>
      <w:r w:rsidRPr="00775C83">
        <w:rPr>
          <w:rFonts w:cs="Times New Roman"/>
        </w:rPr>
        <w:t xml:space="preserve"> Saudi Arabia with only 405 participants</w:t>
      </w:r>
      <w:r>
        <w:rPr>
          <w:rFonts w:cs="Times New Roman"/>
        </w:rPr>
        <w:t>,</w:t>
      </w:r>
      <w:r w:rsidRPr="00775C83">
        <w:rPr>
          <w:rFonts w:cs="Times New Roman"/>
        </w:rPr>
        <w:t xml:space="preserve"> which makes it difficult to </w:t>
      </w:r>
      <w:r>
        <w:rPr>
          <w:rFonts w:cs="Times New Roman"/>
        </w:rPr>
        <w:t>generalise</w:t>
      </w:r>
      <w:r w:rsidRPr="00775C83">
        <w:rPr>
          <w:rFonts w:cs="Times New Roman"/>
        </w:rPr>
        <w:t xml:space="preserve">. In clinical practice, </w:t>
      </w:r>
      <w:r>
        <w:rPr>
          <w:rFonts w:cs="Times New Roman"/>
        </w:rPr>
        <w:t xml:space="preserve">the </w:t>
      </w:r>
      <w:r w:rsidRPr="00775C83">
        <w:rPr>
          <w:rFonts w:cs="Times New Roman"/>
        </w:rPr>
        <w:t>statistical effectiveness of contemporary organisational treatments remains questionable and undefined (Åkerström et al., 2021; Carolan et al., 2017).</w:t>
      </w:r>
    </w:p>
    <w:p w14:paraId="7C5CF76D" w14:textId="77777777" w:rsidR="00AC59D1" w:rsidRPr="00B10792" w:rsidRDefault="00775C83" w:rsidP="00775C83">
      <w:pPr>
        <w:rPr>
          <w:rFonts w:cs="Times New Roman"/>
        </w:rPr>
      </w:pPr>
      <w:r w:rsidRPr="00775C83">
        <w:rPr>
          <w:rFonts w:cs="Times New Roman"/>
        </w:rPr>
        <w:t>There is little quantitative testing of the buffering hypothesis in the multidimensional context of WLC in the UK itself, with its focus on interaction terms. Theoretical constructs in the pre-pandemic era</w:t>
      </w:r>
      <w:r>
        <w:rPr>
          <w:rFonts w:cs="Times New Roman"/>
        </w:rPr>
        <w:t>,</w:t>
      </w:r>
      <w:r w:rsidRPr="00775C83">
        <w:rPr>
          <w:rFonts w:cs="Times New Roman"/>
        </w:rPr>
        <w:t xml:space="preserve"> as well as paradigms from overseas</w:t>
      </w:r>
      <w:r>
        <w:rPr>
          <w:rFonts w:cs="Times New Roman"/>
        </w:rPr>
        <w:t>,</w:t>
      </w:r>
      <w:r w:rsidRPr="00775C83">
        <w:rPr>
          <w:rFonts w:cs="Times New Roman"/>
        </w:rPr>
        <w:t xml:space="preserve"> lack understanding of the real localised structural drivers </w:t>
      </w:r>
      <w:r>
        <w:rPr>
          <w:rFonts w:cs="Times New Roman"/>
        </w:rPr>
        <w:t xml:space="preserve">behind </w:t>
      </w:r>
      <w:r w:rsidRPr="00775C83">
        <w:rPr>
          <w:rFonts w:cs="Times New Roman"/>
        </w:rPr>
        <w:t>why exceptional rates are seen in NHS turnovers (Moss et al., 2025; Weyman, 2026). Existing primary research ha</w:t>
      </w:r>
      <w:r>
        <w:rPr>
          <w:rFonts w:cs="Times New Roman"/>
        </w:rPr>
        <w:t>s</w:t>
      </w:r>
      <w:r w:rsidRPr="00775C83">
        <w:rPr>
          <w:rFonts w:cs="Times New Roman"/>
        </w:rPr>
        <w:t xml:space="preserve"> varying moderating effects and often lack</w:t>
      </w:r>
      <w:r>
        <w:rPr>
          <w:rFonts w:cs="Times New Roman"/>
        </w:rPr>
        <w:t>s</w:t>
      </w:r>
      <w:r w:rsidRPr="00775C83">
        <w:rPr>
          <w:rFonts w:cs="Times New Roman"/>
        </w:rPr>
        <w:t xml:space="preserve"> </w:t>
      </w:r>
      <w:r w:rsidR="002330B6">
        <w:rPr>
          <w:rFonts w:cs="Times New Roman"/>
        </w:rPr>
        <w:t>contextualis</w:t>
      </w:r>
      <w:r w:rsidRPr="00775C83">
        <w:rPr>
          <w:rFonts w:cs="Times New Roman"/>
        </w:rPr>
        <w:t>ation in the context of devolved NHS financial constraints, meaning that abstraction from theory needs to move to empirical measurement. Precise estimates of their buffering capability for these organisational resources require primary data for statistically testing our multi-layered conceptual framework. These hypotheses will be methodologically tested to create strong, evidence-based retention strategies that will skillfully bring together the theoretical foundations rooted in this chapter with the rigorous, post-positivist analytical design embedded in the methodology chapter.</w:t>
      </w:r>
      <w:r w:rsidR="00AC59D1" w:rsidRPr="00B10792">
        <w:rPr>
          <w:rFonts w:cs="Times New Roman"/>
        </w:rPr>
        <w:br w:type="page"/>
      </w:r>
    </w:p>
    <w:p w14:paraId="158D051D" w14:textId="77777777" w:rsidR="00775C83" w:rsidRPr="00775C83" w:rsidRDefault="00AC59D1" w:rsidP="00775C83">
      <w:pPr>
        <w:pStyle w:val="Heading1"/>
        <w:rPr>
          <w:rFonts w:cs="Times New Roman"/>
        </w:rPr>
      </w:pPr>
      <w:bookmarkStart w:id="28" w:name="_Toc240913053"/>
      <w:r w:rsidRPr="00B10792">
        <w:rPr>
          <w:rFonts w:cs="Times New Roman"/>
        </w:rPr>
        <w:lastRenderedPageBreak/>
        <w:t>Chapter 3: Methodology</w:t>
      </w:r>
      <w:bookmarkEnd w:id="28"/>
    </w:p>
    <w:p w14:paraId="5E09EE65" w14:textId="77777777" w:rsidR="00775C83" w:rsidRDefault="00775C83" w:rsidP="00775C83">
      <w:pPr>
        <w:pStyle w:val="Heading2"/>
      </w:pPr>
      <w:bookmarkStart w:id="29" w:name="_Toc240913054"/>
      <w:r>
        <w:t>3.1 Introduction</w:t>
      </w:r>
      <w:bookmarkEnd w:id="29"/>
    </w:p>
    <w:p w14:paraId="3E0B6FC2" w14:textId="77777777" w:rsidR="00775C83" w:rsidRDefault="00775C83" w:rsidP="00775C83">
      <w:r w:rsidRPr="00775C83">
        <w:t xml:space="preserve">This chapter aims to systematically explain the research design, data collection methods, and data analysis procedures used to explore the link between work-life conflict (WLC) and turnover intent (TI) experiences of employees in the UK National Health Service (NHS). The defense of the selection of </w:t>
      </w:r>
      <w:r>
        <w:t xml:space="preserve">a </w:t>
      </w:r>
      <w:r w:rsidRPr="00775C83">
        <w:t>quantitative and cross</w:t>
      </w:r>
      <w:r>
        <w:t>-</w:t>
      </w:r>
      <w:r w:rsidRPr="00775C83">
        <w:t>sectional survey as the operation</w:t>
      </w:r>
      <w:r>
        <w:t>al method</w:t>
      </w:r>
      <w:r w:rsidRPr="00775C83">
        <w:t xml:space="preserve"> of the study is that the above is used to reali</w:t>
      </w:r>
      <w:r w:rsidR="002330B6">
        <w:t>s</w:t>
      </w:r>
      <w:r w:rsidRPr="00775C83">
        <w:t>e the research objectives despite its structural limitations. It includes talking about the shift from the positivist framework, the instruments used for data collection and a methodological justification for the population selected and convenience sampling. Finally, it outlines the methods used to analy</w:t>
      </w:r>
      <w:r>
        <w:t>s</w:t>
      </w:r>
      <w:r w:rsidRPr="00775C83">
        <w:t>e the data using IBM SPSS Statistics, construct validity, psychometric reliability and ethical practices of the University of Wales Trinity Saint David (UWTSD).</w:t>
      </w:r>
    </w:p>
    <w:p w14:paraId="57CB41DD" w14:textId="77777777" w:rsidR="00775C83" w:rsidRDefault="00775C83" w:rsidP="00775C83">
      <w:pPr>
        <w:pStyle w:val="Heading2"/>
      </w:pPr>
      <w:bookmarkStart w:id="30" w:name="_Toc240913055"/>
      <w:r>
        <w:t>3.2 Research Paradigm and Philosophy</w:t>
      </w:r>
      <w:bookmarkEnd w:id="30"/>
    </w:p>
    <w:p w14:paraId="2BAA93B4" w14:textId="77777777" w:rsidR="00775C83" w:rsidRDefault="00775C83" w:rsidP="00775C83">
      <w:r>
        <w:t xml:space="preserve">The underlying research philosophy determines the methodological architecture, which involves ontological and epistemological research beliefs about the nature of reality. Interpretivism approach focuses on localised </w:t>
      </w:r>
      <w:r>
        <w:rPr>
          <w:kern w:val="0"/>
          <w14:ligatures w14:val="none"/>
        </w:rPr>
        <w:t>phenomena and subjective experiences (Bell and Bryman, 2022), and pragmatism uses a mixed-methods approach (Babin et al., 2019); the two are not appropriate for macro-level statistical analysis of this cross-sectional</w:t>
      </w:r>
      <w:r>
        <w:t xml:space="preserve"> study. Traditional positivism is based on objectivism, where the existence of reality is thought to be measured by a researcher without losing objectivity by any means (Park et al., 2020). The strict positivism, however, exaggerates the objectivity that can be attained in social science, ignores researcher bias and the crudities of mixing complex psychological variables into measurements.</w:t>
      </w:r>
    </w:p>
    <w:p w14:paraId="49F120C1" w14:textId="77777777" w:rsidR="00775C83" w:rsidRDefault="00775C83" w:rsidP="00775C83">
      <w:r>
        <w:t xml:space="preserve">Therefore, the philosophy of the post-positivist approach is adopted in this study. The post-positivist perspective recognises that an objective reality (such as those in the NHS structural </w:t>
      </w:r>
      <w:r>
        <w:lastRenderedPageBreak/>
        <w:t>requirements) does exist, but human measurement is flawed. Epistemologically, post-positivism does not believe in absolute objects from which we can get to reality, but through the use of standardi</w:t>
      </w:r>
      <w:r w:rsidR="002330B6">
        <w:t>s</w:t>
      </w:r>
      <w:r>
        <w:t>ed quantitative methods, the researcher can look at approximate reality in search of an approximate relation in the form of probability, and not a definitive causal relation in the form of a law (Maksimović &amp; Evtimov, 2023). This deductive approach allows for systematic data collection of a numerical type while keeping the issues of self-reporting in mind and examining statistical covariance.</w:t>
      </w:r>
    </w:p>
    <w:p w14:paraId="42826714" w14:textId="77777777" w:rsidR="00775C83" w:rsidRDefault="00775C83" w:rsidP="00775C83">
      <w:pPr>
        <w:pStyle w:val="Heading2"/>
      </w:pPr>
      <w:bookmarkStart w:id="31" w:name="_Toc240913056"/>
      <w:r>
        <w:t>3.3 Research Design</w:t>
      </w:r>
      <w:bookmarkEnd w:id="31"/>
    </w:p>
    <w:p w14:paraId="1FB93160" w14:textId="77777777" w:rsidR="00775C83" w:rsidRDefault="00775C83" w:rsidP="00775C83">
      <w:r>
        <w:t>A mono-method quantitative research design, which is a cross-sectional survey design, has been chosen to meet the above post-positivist demand (Casula et al., 2021). The latter is a conscious decision not to use qualitative research, in order to keep the study as statistically focused</w:t>
      </w:r>
      <w:r w:rsidR="002330B6">
        <w:t xml:space="preserve"> as possible</w:t>
      </w:r>
      <w:r>
        <w:t>, and to enable management to be as efficient as possible, as these people are spread out. Experimental designs are also unethical and impracticable, as a clinical workload cannot be artificially manipulated (Saunders et al., 2023). Likewise, it is impossible to carry out a longitudinal design in the time frame of a Master's dissertation.</w:t>
      </w:r>
    </w:p>
    <w:p w14:paraId="1EA7F1D0" w14:textId="77777777" w:rsidR="00775C83" w:rsidRDefault="00775C83" w:rsidP="00775C83">
      <w:r>
        <w:t>A cross-sectional survey, then, is one that takes observations at one point in time (Bonaparte, 2021). Its greatest methodological asset is providing the capacity to capture data in a standardised manner from large numbers of NHS trusts in a geographically widespread population. The survey employs psychometric scales for all variables in the same manner, allowing the systematic interpretation of responses for each variable and minimising response bias on the part of the researcher. The cross-sectional design, however, can only be used to measure covariance and to mathematically indicate a predictive relationship and not the concrete causal process or order of withdrawal behaviour (Xueying et al., 2025). Results will therefore be interpreted in purely associative:</w:t>
      </w:r>
    </w:p>
    <w:p w14:paraId="2BF48C69" w14:textId="77777777" w:rsidR="00775C83" w:rsidRDefault="00775C83" w:rsidP="00775C83">
      <w:pPr>
        <w:pStyle w:val="Heading2"/>
      </w:pPr>
      <w:bookmarkStart w:id="32" w:name="_Toc240913057"/>
      <w:r>
        <w:lastRenderedPageBreak/>
        <w:t>3.4 Data Collection and Instruments</w:t>
      </w:r>
      <w:bookmarkEnd w:id="32"/>
    </w:p>
    <w:p w14:paraId="5FBB556F" w14:textId="77777777" w:rsidR="00775C83" w:rsidRDefault="00775C83" w:rsidP="00775C83">
      <w:r>
        <w:t xml:space="preserve">The data is collected using only a specially designed, self-administrated online questionnaire. Digital administration is needed to reach a time poor demographic with a low response rate using paper-based methodology (Liang et al., 2026). It </w:t>
      </w:r>
      <w:r>
        <w:rPr>
          <w:kern w:val="0"/>
          <w14:ligatures w14:val="none"/>
        </w:rPr>
        <w:t>allows for fast deployment, anonymity and automated data export, resulting in the elimination</w:t>
      </w:r>
      <w:r>
        <w:t xml:space="preserve"> of transcription errors. To establish the construct validity, the instrument incorporates existing psychometric scales which have been validated worldwide.</w:t>
      </w:r>
    </w:p>
    <w:p w14:paraId="30C9737E" w14:textId="77777777" w:rsidR="00775C83" w:rsidRDefault="00775C83" w:rsidP="00775C83">
      <w:r>
        <w:t xml:space="preserve">Work-Life Conflict is measured with the Work-Family Conflict Scale (Netemeyer et al., 1996) in the first section. Inter-role conflict is captured bidirectionally by the time-based, strain-based, and behaviour-based dimensions of this scale. It will be linguistically clear for healthcare workers today in the UK with the support of a pilot. A three-item Likert scale tool with a validity score was used to measure Turnover Intention by asking about the likelihood of leaving the job within the next year. The third section includes adaptation and quantification of workload intensity, management support, and flexible working arrangements items based on the recently validated occupational stress inventories in NHS analyses (Wang et al., 2025). Confounding factors in the regression include Agenda for Change (AfC) role band, type of trust, clinical tenure, gender and outside-of-clinical-responsibility caring responsibilities as recorded in a Demographic section.  </w:t>
      </w:r>
    </w:p>
    <w:p w14:paraId="3B607F64" w14:textId="77777777" w:rsidR="00775C83" w:rsidRDefault="00775C83" w:rsidP="00775C83">
      <w:pPr>
        <w:pStyle w:val="Heading2"/>
      </w:pPr>
      <w:bookmarkStart w:id="33" w:name="_Toc240913058"/>
      <w:r>
        <w:t>3.5 Population and Sampling Strategy</w:t>
      </w:r>
      <w:bookmarkEnd w:id="33"/>
    </w:p>
    <w:p w14:paraId="0003F846" w14:textId="77777777" w:rsidR="00775C83" w:rsidRDefault="00775C83" w:rsidP="00775C83">
      <w:r>
        <w:t xml:space="preserve">The target population includes substantive (permanent or fixed-term) NHS staff working in England. In practice, it is a geographical boundary, which is a methodological control; as NHS Scotland, Wales and England can have a variety of macro-level structural variables as a result of devolved healthcare governance, which would be uncontrollable if combined. Defining the sampling frame to include just NHS England can help to ensure organisational homogeneity, enhancing internal validity (Ahmed, 2024). Agency staff cannot be included as the flexibility </w:t>
      </w:r>
      <w:r>
        <w:lastRenderedPageBreak/>
        <w:t>in their role will increase or decrease the baseline exposure to WLCs. The study aims to have at least 200 completed responses using multivariate parameters set by Hair et al. (2019) and further verified by Saunders et al. (2023). This is above the statistical power threshold necessary for hierarchical multiple linear regression, thus reliable for detecting medium effect sizes.</w:t>
      </w:r>
    </w:p>
    <w:p w14:paraId="335839D9" w14:textId="77777777" w:rsidR="00775C83" w:rsidRDefault="00775C83" w:rsidP="00775C83">
      <w:r>
        <w:t>This study uses a method of convenience sampling with a targeted distribution method. True probability sampling necessitates access to not only a centralised database for HR, but also its unrestricted use, which is impracticable for an independent researcher (Bouncken et al., 2025). The survey is only shared on trustworthy, professional platforms, such as Royal College of Nursing forums and NHS Staff Networks, in order to reduce limitations of convenience sampling. Participating online is largely voluntary, however, and those who are especially burned out in a particular occupation might, say, have a particular interest in completing this survey; one might not really capture the baseline level of the problem.</w:t>
      </w:r>
    </w:p>
    <w:p w14:paraId="5AAFF7F3" w14:textId="77777777" w:rsidR="00775C83" w:rsidRDefault="00775C83" w:rsidP="00775C83">
      <w:pPr>
        <w:pStyle w:val="Heading2"/>
      </w:pPr>
      <w:bookmarkStart w:id="34" w:name="_Toc240913059"/>
      <w:r>
        <w:t>3.6 Data Analysis Procedures</w:t>
      </w:r>
      <w:bookmarkEnd w:id="34"/>
    </w:p>
    <w:p w14:paraId="2BC7FCD5" w14:textId="77777777" w:rsidR="00775C83" w:rsidRDefault="00775C83" w:rsidP="00775C83">
      <w:r>
        <w:t>The quantitative data will be processed and analysed using the IBM SPSS Statistics software using an econometric protocol, and the respective hypotheses will be tested, taking into account that the data are cross-sectional. The first step is to aggressively clean the data to ensure structural consistency (Kim and Mukhiddinov, 2023). Listwise deletion is used to deal with missing data. With help of the parameters of Mahalanobis distance and standard deviation, univariate and multivariate outliers are systematically neutralised (Hair et al., 2019). Descriptive statistics (frequencies, mean, standard deviations) are computed during the second stage so as to provide a descriptive profile of the demographic features and a summary of central tendencies of theoretical constructs.</w:t>
      </w:r>
    </w:p>
    <w:p w14:paraId="323B478E" w14:textId="77777777" w:rsidR="00775C83" w:rsidRDefault="00775C83" w:rsidP="00775C83">
      <w:r>
        <w:t xml:space="preserve">Pearson correlation matrices are performed in the third stage to ascertain the direction and strength of the linear relationships between WLC, organisational moderators and turnover </w:t>
      </w:r>
      <w:r>
        <w:lastRenderedPageBreak/>
        <w:t>intention. This step serves as a screening process for dealing with multicollinearity between independent variables as well.</w:t>
      </w:r>
    </w:p>
    <w:p w14:paraId="2734D3B3" w14:textId="77777777" w:rsidR="00775C83" w:rsidRDefault="00775C83" w:rsidP="00775C83">
      <w:r>
        <w:t>The last phase is a hierarchical multiple linear regression, which enables variables to be sequentially added to show exact changes in variance accounted for. Demographic controls are included first, followed by primary independent variables (WLC dimensions). The last block includes interactions between variables for the purpose of interaction testing to check the moderating effect of workload intensity, managerial support, and flexible working arrangements. All independent and moderating variables will be centred on the mean prior to creation for the reduction of non-essential multicollinearity. The R-squared value of this change can be calculated to see if there is a statistically significant buffering effect of these resources.</w:t>
      </w:r>
    </w:p>
    <w:p w14:paraId="30AA4DF3" w14:textId="77777777" w:rsidR="00775C83" w:rsidRDefault="00775C83" w:rsidP="00775C83">
      <w:pPr>
        <w:pStyle w:val="Heading2"/>
      </w:pPr>
      <w:bookmarkStart w:id="35" w:name="_Toc240913060"/>
      <w:r>
        <w:t>3.7 Reliability and Validity</w:t>
      </w:r>
      <w:bookmarkEnd w:id="35"/>
    </w:p>
    <w:p w14:paraId="107D278A" w14:textId="77777777" w:rsidR="00775C83" w:rsidRDefault="00775C83" w:rsidP="00775C83">
      <w:r>
        <w:t>Construct validity is obtained through the use of scientifically validated and peer-reviewed psychometric scales and not through self-generated, new questions. Common Method Bias (CMB) is one of the largest weaknesses of a cross-sectional self-report survey. Since the independent and dependent variables are taken at the same time, there is a risk of overestimating statistical relationships because of fleeting moods of the respondents or cognitive consistency (Kock et al., 2021). Procedural remedies for CMB include ensuring absolute anonymity of the respondents and, even when different groups may complete the same scales, the anchor scale items differ, as well as procedural separation of the predictor and criterion variables by using different instructional materials and anchor changes.</w:t>
      </w:r>
    </w:p>
    <w:p w14:paraId="2C629ED1" w14:textId="77777777" w:rsidR="00775C83" w:rsidRDefault="00775C83" w:rsidP="00775C83">
      <w:r>
        <w:t xml:space="preserve">Internal consistency is dependent on reliability. In order to measure and test the clarity of the instruction, the survey will be administered to a limited number of healthcare providers (10-15) in a pilot study before mass distribution (Podsakoff et al., 2003). After conducting the main data collection, internal consistency is mathematically examined in accordance with Cronbach's alpha. To meet accepted multivariate reliability criteria (Nunnally, 1978; Tavakol </w:t>
      </w:r>
      <w:r>
        <w:lastRenderedPageBreak/>
        <w:t>and Dennick, 2011), only constructs with an alpha of 0.70 or higher will be included in the regression analysis.</w:t>
      </w:r>
    </w:p>
    <w:p w14:paraId="5E738EEA" w14:textId="77777777" w:rsidR="00775C83" w:rsidRDefault="00775C83" w:rsidP="00775C83">
      <w:pPr>
        <w:pStyle w:val="Heading2"/>
      </w:pPr>
      <w:bookmarkStart w:id="36" w:name="_Toc240913061"/>
      <w:r>
        <w:t>3.8 Research Ethics</w:t>
      </w:r>
      <w:bookmarkEnd w:id="36"/>
    </w:p>
    <w:p w14:paraId="123EA2CB" w14:textId="77777777" w:rsidR="00775C83" w:rsidRDefault="00775C83" w:rsidP="00775C83">
      <w:r>
        <w:t>In adopting this study, the UWTSD Research Ethics and Integrity Code of Practice is followed in strict ethical governance. The core principles are ensuring the welfare of the participants, ensuring they have control over their participation and ensuring they comply with the UK General Data Protection Regulation (UK GDPR) and the Data Protection Act 2018 (UK Government, 2018). One distinction made with regard to data protection is that this study guarantees absolute anonymity and not just confidentiality. Personally identifiable information (PII) such as names, e-mail addresses, employee numbers and/or IP addresses is not collected. This ensures that the participants are able to report strong WLC without fear of institutional reactions.</w:t>
      </w:r>
    </w:p>
    <w:p w14:paraId="07F7FBEC" w14:textId="77777777" w:rsidR="00775C83" w:rsidRDefault="00775C83" w:rsidP="00775C83">
      <w:r>
        <w:t>There must be informed digital consent as a prerequisite. A Participant Information Sheet outlining the academic purpose, usage of the data, anonymity and right to withdraw is included on the survey. Due to the anonymi</w:t>
      </w:r>
      <w:r w:rsidR="002330B6">
        <w:t>s</w:t>
      </w:r>
      <w:r>
        <w:t>ation process applied once the data is collected, participants are notified that they can only apply for withdrawal before clicking on the button "Submit". Raw and anonymised data will be downloaded to the secure server through a secure connection and stored solely on secure UWTSD servers and with due respect to GDPR protocol. Signposting has been used at the end of the debriefing section to direct towards a support network (including NHS Practitioner Health).</w:t>
      </w:r>
    </w:p>
    <w:p w14:paraId="4F884CB9" w14:textId="77777777" w:rsidR="00775C83" w:rsidRDefault="00775C83" w:rsidP="00775C83">
      <w:pPr>
        <w:pStyle w:val="Heading2"/>
      </w:pPr>
      <w:bookmarkStart w:id="37" w:name="_Toc240913062"/>
      <w:r>
        <w:t>3.9 Limitations of the Methodology</w:t>
      </w:r>
      <w:bookmarkEnd w:id="37"/>
    </w:p>
    <w:p w14:paraId="3AF433B1" w14:textId="77777777" w:rsidR="00775C83" w:rsidRDefault="00775C83" w:rsidP="00775C83">
      <w:r>
        <w:t xml:space="preserve">It is necessary to accept the limitations of the empirical approach with a critical understanding in maintaining the post-positivist point of view. Taking measurements of the variables at one single point in time only allows for one kind of statistical analysis: covariance. The hierarchical regression models did not allow us to conclude about the direction of causality because it is </w:t>
      </w:r>
      <w:r>
        <w:lastRenderedPageBreak/>
        <w:t>still possible that an employee may have been totally committed to leaving the organisation, and work-life conflict is more acute due to active withdrawal processes within the mind.</w:t>
      </w:r>
    </w:p>
    <w:p w14:paraId="456FE903" w14:textId="77777777" w:rsidR="00775C83" w:rsidRDefault="00775C83" w:rsidP="00775C83">
      <w:r>
        <w:t>Secondly, measures that are used in self-reporting questionnaires in the quantitative section are subjective measures that reflect how the employee thinks their workload is and many management factors that support or discourage the productivity of an employee. Such dependency implies that factors like negative affectivity can make one think that job demands are more severe than in reality.</w:t>
      </w:r>
    </w:p>
    <w:p w14:paraId="714AFE84" w14:textId="77777777" w:rsidR="00775C83" w:rsidRPr="00775C83" w:rsidRDefault="00775C83" w:rsidP="00775C83">
      <w:r>
        <w:t>Lastly, the participation of convenience samples restricts, in an absolute sense, the generalisability of results. There are no statistical guarantees of a perfect ratio of the final sample to the NHS workforce as a whole. The aggregate data could end up disproportionately capturing professionals who are incredibly active on online platforms or going through a crisis in their work at the time of the study (Aunger et al., 2024). Moreover, the deductive character of the questionnaire deliberately elides the rich and localised context of human lived reality, leaving highly localised factors impacting attrition purposefully out of sight for a final analysis.</w:t>
      </w:r>
    </w:p>
    <w:p w14:paraId="6512F367" w14:textId="77777777" w:rsidR="00AC59D1" w:rsidRPr="00B10792" w:rsidRDefault="00AC59D1" w:rsidP="00E24582">
      <w:pPr>
        <w:rPr>
          <w:rFonts w:cs="Times New Roman"/>
        </w:rPr>
      </w:pPr>
    </w:p>
    <w:p w14:paraId="2310B486" w14:textId="77777777" w:rsidR="00235425" w:rsidRDefault="00235425">
      <w:pPr>
        <w:spacing w:line="240" w:lineRule="auto"/>
        <w:jc w:val="left"/>
        <w:rPr>
          <w:rFonts w:cs="Times New Roman"/>
        </w:rPr>
      </w:pPr>
    </w:p>
    <w:p w14:paraId="52EA470E" w14:textId="77777777" w:rsidR="00235425" w:rsidRDefault="00235425">
      <w:pPr>
        <w:spacing w:line="240" w:lineRule="auto"/>
        <w:jc w:val="left"/>
        <w:rPr>
          <w:rFonts w:cs="Times New Roman"/>
        </w:rPr>
      </w:pPr>
      <w:r>
        <w:rPr>
          <w:rFonts w:cs="Times New Roman"/>
        </w:rPr>
        <w:br w:type="page"/>
      </w:r>
    </w:p>
    <w:p w14:paraId="00B4BDC7" w14:textId="77777777" w:rsidR="00235425" w:rsidRDefault="00235425" w:rsidP="00235425">
      <w:pPr>
        <w:pStyle w:val="Heading1"/>
      </w:pPr>
      <w:bookmarkStart w:id="38" w:name="_Toc238427642"/>
      <w:bookmarkStart w:id="39" w:name="_Toc240913063"/>
      <w:r>
        <w:lastRenderedPageBreak/>
        <w:t>Chapter Four: Findings and Discussion</w:t>
      </w:r>
      <w:bookmarkEnd w:id="38"/>
      <w:bookmarkEnd w:id="39"/>
    </w:p>
    <w:p w14:paraId="30E13F08" w14:textId="77777777" w:rsidR="00235425" w:rsidRDefault="00235425" w:rsidP="00235425">
      <w:pPr>
        <w:pStyle w:val="Heading2"/>
      </w:pPr>
      <w:bookmarkStart w:id="40" w:name="_Toc238427643"/>
      <w:bookmarkStart w:id="41" w:name="_Toc240913064"/>
      <w:r>
        <w:t>4.1 Introduction</w:t>
      </w:r>
      <w:bookmarkEnd w:id="40"/>
      <w:bookmarkEnd w:id="41"/>
    </w:p>
    <w:p w14:paraId="4C3BD12D" w14:textId="77777777" w:rsidR="00775C83" w:rsidRPr="00775C83" w:rsidRDefault="00775C83" w:rsidP="00775C83">
      <w:r w:rsidRPr="00775C83">
        <w:t>This chapter outlines the empirical data that was garnered from quantitative analysis of 135 substantive NHS operators. The analysis goes beyond simply describing the profiling to hard and fast hypothesis testing using IBM SPSS Statistics. First it presents the descriptive statistics and psychometric reliability of measurement instruments. Afterwards, initial statistical relationships are found by bivariate Pearson correlations. Lastly, hierarchical multiple linear regression models are run to formally test the predicting effect of work-life conflict dimensions on turnover intention and to examine the moderating effects of the organisational resources.</w:t>
      </w:r>
    </w:p>
    <w:p w14:paraId="2DD48454" w14:textId="77777777" w:rsidR="00235425" w:rsidRDefault="00235425" w:rsidP="00235425">
      <w:pPr>
        <w:pStyle w:val="Heading2"/>
      </w:pPr>
      <w:bookmarkStart w:id="42" w:name="_Toc238427644"/>
      <w:bookmarkStart w:id="43" w:name="_Toc240913065"/>
      <w:r>
        <w:t>4.2 Findings</w:t>
      </w:r>
      <w:bookmarkEnd w:id="42"/>
      <w:bookmarkEnd w:id="43"/>
    </w:p>
    <w:p w14:paraId="4CE5458F" w14:textId="77777777" w:rsidR="00235425" w:rsidRDefault="00235425" w:rsidP="00235425">
      <w:pPr>
        <w:pStyle w:val="Heading3"/>
      </w:pPr>
      <w:bookmarkStart w:id="44" w:name="_Toc238427645"/>
      <w:bookmarkStart w:id="45" w:name="_Toc240913066"/>
      <w:r>
        <w:t>4.2.1 Demographic Findings</w:t>
      </w:r>
      <w:bookmarkEnd w:id="44"/>
      <w:bookmarkEnd w:id="45"/>
    </w:p>
    <w:p w14:paraId="12AA5DE3" w14:textId="77777777" w:rsidR="00DA1B4D" w:rsidRPr="00DA1B4D" w:rsidRDefault="00DA1B4D" w:rsidP="00DA1B4D">
      <w:pPr>
        <w:pStyle w:val="Caption"/>
        <w:rPr>
          <w:b w:val="0"/>
          <w:bCs/>
        </w:rPr>
      </w:pPr>
      <w:bookmarkStart w:id="46" w:name="_Toc240872622"/>
      <w:r>
        <w:t xml:space="preserve">Table </w:t>
      </w:r>
      <w:r>
        <w:fldChar w:fldCharType="begin"/>
      </w:r>
      <w:r>
        <w:instrText xml:space="preserve"> SEQ Table \* ARABIC </w:instrText>
      </w:r>
      <w:r>
        <w:fldChar w:fldCharType="separate"/>
      </w:r>
      <w:r>
        <w:rPr>
          <w:noProof/>
        </w:rPr>
        <w:t>1</w:t>
      </w:r>
      <w:r>
        <w:fldChar w:fldCharType="end"/>
      </w:r>
      <w:r>
        <w:t xml:space="preserve">: </w:t>
      </w:r>
      <w:r>
        <w:rPr>
          <w:b w:val="0"/>
          <w:bCs/>
        </w:rPr>
        <w:t>Demographic Findings</w:t>
      </w:r>
      <w:bookmarkEnd w:id="46"/>
    </w:p>
    <w:tbl>
      <w:tblPr>
        <w:tblStyle w:val="APA7"/>
        <w:tblW w:w="0" w:type="auto"/>
        <w:tblLook w:val="04A0" w:firstRow="1" w:lastRow="0" w:firstColumn="1" w:lastColumn="0" w:noHBand="0" w:noVBand="1"/>
      </w:tblPr>
      <w:tblGrid>
        <w:gridCol w:w="5342"/>
        <w:gridCol w:w="1703"/>
        <w:gridCol w:w="1809"/>
      </w:tblGrid>
      <w:tr w:rsidR="00235425" w:rsidRPr="00B74CF9" w14:paraId="181946B5"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2CE0864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Demographic Characteristic</w:t>
            </w:r>
          </w:p>
        </w:tc>
        <w:tc>
          <w:tcPr>
            <w:tcW w:w="0" w:type="auto"/>
            <w:hideMark/>
          </w:tcPr>
          <w:p w14:paraId="3C8B860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Frequency (N)</w:t>
            </w:r>
          </w:p>
        </w:tc>
        <w:tc>
          <w:tcPr>
            <w:tcW w:w="0" w:type="auto"/>
            <w:hideMark/>
          </w:tcPr>
          <w:p w14:paraId="4FA2155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Percentage (%)</w:t>
            </w:r>
          </w:p>
        </w:tc>
      </w:tr>
      <w:tr w:rsidR="00235425" w:rsidRPr="00B74CF9" w14:paraId="32FE15B8" w14:textId="77777777" w:rsidTr="00255207">
        <w:tc>
          <w:tcPr>
            <w:tcW w:w="0" w:type="auto"/>
            <w:hideMark/>
          </w:tcPr>
          <w:p w14:paraId="1CBA45A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Gender Identity</w:t>
            </w:r>
          </w:p>
        </w:tc>
        <w:tc>
          <w:tcPr>
            <w:tcW w:w="0" w:type="auto"/>
            <w:hideMark/>
          </w:tcPr>
          <w:p w14:paraId="310EDE7A"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2279BAC0"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0C7596B6" w14:textId="77777777" w:rsidTr="00255207">
        <w:tc>
          <w:tcPr>
            <w:tcW w:w="0" w:type="auto"/>
            <w:hideMark/>
          </w:tcPr>
          <w:p w14:paraId="5893EFA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Female</w:t>
            </w:r>
          </w:p>
        </w:tc>
        <w:tc>
          <w:tcPr>
            <w:tcW w:w="0" w:type="auto"/>
            <w:hideMark/>
          </w:tcPr>
          <w:p w14:paraId="3E5D181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95</w:t>
            </w:r>
          </w:p>
        </w:tc>
        <w:tc>
          <w:tcPr>
            <w:tcW w:w="0" w:type="auto"/>
            <w:hideMark/>
          </w:tcPr>
          <w:p w14:paraId="1472A02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70.4%</w:t>
            </w:r>
          </w:p>
        </w:tc>
      </w:tr>
      <w:tr w:rsidR="00235425" w:rsidRPr="00B74CF9" w14:paraId="19406F99" w14:textId="77777777" w:rsidTr="00255207">
        <w:tc>
          <w:tcPr>
            <w:tcW w:w="0" w:type="auto"/>
            <w:hideMark/>
          </w:tcPr>
          <w:p w14:paraId="1623889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Male</w:t>
            </w:r>
          </w:p>
        </w:tc>
        <w:tc>
          <w:tcPr>
            <w:tcW w:w="0" w:type="auto"/>
            <w:hideMark/>
          </w:tcPr>
          <w:p w14:paraId="6C3C568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40</w:t>
            </w:r>
          </w:p>
        </w:tc>
        <w:tc>
          <w:tcPr>
            <w:tcW w:w="0" w:type="auto"/>
            <w:hideMark/>
          </w:tcPr>
          <w:p w14:paraId="61D0906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29.6%</w:t>
            </w:r>
          </w:p>
        </w:tc>
      </w:tr>
      <w:tr w:rsidR="00235425" w:rsidRPr="00B74CF9" w14:paraId="4FA73A6B" w14:textId="77777777" w:rsidTr="00255207">
        <w:tc>
          <w:tcPr>
            <w:tcW w:w="0" w:type="auto"/>
            <w:hideMark/>
          </w:tcPr>
          <w:p w14:paraId="5806128D"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Caring Responsibilities</w:t>
            </w:r>
          </w:p>
        </w:tc>
        <w:tc>
          <w:tcPr>
            <w:tcW w:w="0" w:type="auto"/>
            <w:hideMark/>
          </w:tcPr>
          <w:p w14:paraId="7C02A07B"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0BD39928"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2D29BF57" w14:textId="77777777" w:rsidTr="00255207">
        <w:tc>
          <w:tcPr>
            <w:tcW w:w="0" w:type="auto"/>
            <w:hideMark/>
          </w:tcPr>
          <w:p w14:paraId="5D78FF2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Yes</w:t>
            </w:r>
          </w:p>
        </w:tc>
        <w:tc>
          <w:tcPr>
            <w:tcW w:w="0" w:type="auto"/>
            <w:hideMark/>
          </w:tcPr>
          <w:p w14:paraId="05E049D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119</w:t>
            </w:r>
          </w:p>
        </w:tc>
        <w:tc>
          <w:tcPr>
            <w:tcW w:w="0" w:type="auto"/>
            <w:hideMark/>
          </w:tcPr>
          <w:p w14:paraId="087C8C9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88.1%</w:t>
            </w:r>
          </w:p>
        </w:tc>
      </w:tr>
      <w:tr w:rsidR="00235425" w:rsidRPr="00B74CF9" w14:paraId="1AE34EA6" w14:textId="77777777" w:rsidTr="00255207">
        <w:tc>
          <w:tcPr>
            <w:tcW w:w="0" w:type="auto"/>
            <w:hideMark/>
          </w:tcPr>
          <w:p w14:paraId="359E419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No</w:t>
            </w:r>
          </w:p>
        </w:tc>
        <w:tc>
          <w:tcPr>
            <w:tcW w:w="0" w:type="auto"/>
            <w:hideMark/>
          </w:tcPr>
          <w:p w14:paraId="13467D7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16</w:t>
            </w:r>
          </w:p>
        </w:tc>
        <w:tc>
          <w:tcPr>
            <w:tcW w:w="0" w:type="auto"/>
            <w:hideMark/>
          </w:tcPr>
          <w:p w14:paraId="1249237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11.9%</w:t>
            </w:r>
          </w:p>
        </w:tc>
      </w:tr>
      <w:tr w:rsidR="00235425" w:rsidRPr="00B74CF9" w14:paraId="03AE3AC2" w14:textId="77777777" w:rsidTr="00255207">
        <w:tc>
          <w:tcPr>
            <w:tcW w:w="0" w:type="auto"/>
            <w:hideMark/>
          </w:tcPr>
          <w:p w14:paraId="1D4D00C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NHS Trust Type</w:t>
            </w:r>
          </w:p>
        </w:tc>
        <w:tc>
          <w:tcPr>
            <w:tcW w:w="0" w:type="auto"/>
            <w:hideMark/>
          </w:tcPr>
          <w:p w14:paraId="2E23E7A0"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3279BF57"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6D307234" w14:textId="77777777" w:rsidTr="00255207">
        <w:tc>
          <w:tcPr>
            <w:tcW w:w="0" w:type="auto"/>
            <w:hideMark/>
          </w:tcPr>
          <w:p w14:paraId="4E10E94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Acute Trust (Hospital)</w:t>
            </w:r>
          </w:p>
        </w:tc>
        <w:tc>
          <w:tcPr>
            <w:tcW w:w="0" w:type="auto"/>
            <w:hideMark/>
          </w:tcPr>
          <w:p w14:paraId="79D17F6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39</w:t>
            </w:r>
          </w:p>
        </w:tc>
        <w:tc>
          <w:tcPr>
            <w:tcW w:w="0" w:type="auto"/>
            <w:hideMark/>
          </w:tcPr>
          <w:p w14:paraId="7512CC3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28.9%</w:t>
            </w:r>
          </w:p>
        </w:tc>
      </w:tr>
      <w:tr w:rsidR="00235425" w:rsidRPr="00B74CF9" w14:paraId="2EB0D3A0" w14:textId="77777777" w:rsidTr="00255207">
        <w:tc>
          <w:tcPr>
            <w:tcW w:w="0" w:type="auto"/>
            <w:hideMark/>
          </w:tcPr>
          <w:p w14:paraId="769A1F3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Ambulance Trust</w:t>
            </w:r>
          </w:p>
        </w:tc>
        <w:tc>
          <w:tcPr>
            <w:tcW w:w="0" w:type="auto"/>
            <w:hideMark/>
          </w:tcPr>
          <w:p w14:paraId="11AC513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5</w:t>
            </w:r>
          </w:p>
        </w:tc>
        <w:tc>
          <w:tcPr>
            <w:tcW w:w="0" w:type="auto"/>
            <w:hideMark/>
          </w:tcPr>
          <w:p w14:paraId="1AB50C9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3.7%</w:t>
            </w:r>
          </w:p>
        </w:tc>
      </w:tr>
      <w:tr w:rsidR="00235425" w:rsidRPr="00B74CF9" w14:paraId="3492B5E4" w14:textId="77777777" w:rsidTr="00255207">
        <w:tc>
          <w:tcPr>
            <w:tcW w:w="0" w:type="auto"/>
            <w:hideMark/>
          </w:tcPr>
          <w:p w14:paraId="50B361A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Community Health Trust</w:t>
            </w:r>
          </w:p>
        </w:tc>
        <w:tc>
          <w:tcPr>
            <w:tcW w:w="0" w:type="auto"/>
            <w:hideMark/>
          </w:tcPr>
          <w:p w14:paraId="0CB5931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38</w:t>
            </w:r>
          </w:p>
        </w:tc>
        <w:tc>
          <w:tcPr>
            <w:tcW w:w="0" w:type="auto"/>
            <w:hideMark/>
          </w:tcPr>
          <w:p w14:paraId="2CD9A4C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28.1%</w:t>
            </w:r>
          </w:p>
        </w:tc>
      </w:tr>
      <w:tr w:rsidR="00235425" w:rsidRPr="00B74CF9" w14:paraId="4B692CA9" w14:textId="77777777" w:rsidTr="00255207">
        <w:tc>
          <w:tcPr>
            <w:tcW w:w="0" w:type="auto"/>
            <w:hideMark/>
          </w:tcPr>
          <w:p w14:paraId="7B58B8A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Mental Health Trust</w:t>
            </w:r>
          </w:p>
        </w:tc>
        <w:tc>
          <w:tcPr>
            <w:tcW w:w="0" w:type="auto"/>
            <w:hideMark/>
          </w:tcPr>
          <w:p w14:paraId="15AFD94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53</w:t>
            </w:r>
          </w:p>
        </w:tc>
        <w:tc>
          <w:tcPr>
            <w:tcW w:w="0" w:type="auto"/>
            <w:hideMark/>
          </w:tcPr>
          <w:p w14:paraId="1630062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39.3%</w:t>
            </w:r>
          </w:p>
        </w:tc>
      </w:tr>
      <w:tr w:rsidR="00235425" w:rsidRPr="00B74CF9" w14:paraId="1110A0D1" w14:textId="77777777" w:rsidTr="00255207">
        <w:tc>
          <w:tcPr>
            <w:tcW w:w="0" w:type="auto"/>
            <w:hideMark/>
          </w:tcPr>
          <w:p w14:paraId="1CE31A1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lastRenderedPageBreak/>
              <w:t>Current NHS Role Band</w:t>
            </w:r>
          </w:p>
        </w:tc>
        <w:tc>
          <w:tcPr>
            <w:tcW w:w="0" w:type="auto"/>
            <w:hideMark/>
          </w:tcPr>
          <w:p w14:paraId="4F6D0E98"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25D5AB12"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51EDA0DC" w14:textId="77777777" w:rsidTr="00255207">
        <w:tc>
          <w:tcPr>
            <w:tcW w:w="0" w:type="auto"/>
            <w:hideMark/>
          </w:tcPr>
          <w:p w14:paraId="45F62C25" w14:textId="4B8F795A"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Bands 2</w:t>
            </w:r>
            <w:r w:rsidR="00ED0AC5">
              <w:rPr>
                <w:rFonts w:eastAsia="Times New Roman" w:cs="Times New Roman"/>
                <w:color w:val="auto"/>
                <w:kern w:val="0"/>
                <w:szCs w:val="24"/>
                <w:lang w:eastAsia="en-GB" w:bidi="hi-IN"/>
                <w14:ligatures w14:val="none"/>
              </w:rPr>
              <w:t>-</w:t>
            </w:r>
            <w:r w:rsidRPr="00B74CF9">
              <w:rPr>
                <w:rFonts w:eastAsia="Times New Roman" w:cs="Times New Roman"/>
                <w:color w:val="auto"/>
                <w:kern w:val="0"/>
                <w:szCs w:val="24"/>
                <w:lang w:eastAsia="en-GB" w:bidi="hi-IN"/>
                <w14:ligatures w14:val="none"/>
              </w:rPr>
              <w:t>4 (Support &amp; Administrative)</w:t>
            </w:r>
          </w:p>
        </w:tc>
        <w:tc>
          <w:tcPr>
            <w:tcW w:w="0" w:type="auto"/>
            <w:hideMark/>
          </w:tcPr>
          <w:p w14:paraId="1008667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57</w:t>
            </w:r>
          </w:p>
        </w:tc>
        <w:tc>
          <w:tcPr>
            <w:tcW w:w="0" w:type="auto"/>
            <w:hideMark/>
          </w:tcPr>
          <w:p w14:paraId="2D4F2FE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42.2%</w:t>
            </w:r>
          </w:p>
        </w:tc>
      </w:tr>
      <w:tr w:rsidR="00235425" w:rsidRPr="00B74CF9" w14:paraId="22AED303" w14:textId="77777777" w:rsidTr="00255207">
        <w:tc>
          <w:tcPr>
            <w:tcW w:w="0" w:type="auto"/>
            <w:hideMark/>
          </w:tcPr>
          <w:p w14:paraId="24410000" w14:textId="6690B47D"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Bands 5</w:t>
            </w:r>
            <w:r w:rsidR="00ED0AC5">
              <w:rPr>
                <w:rFonts w:eastAsia="Times New Roman" w:cs="Times New Roman"/>
                <w:color w:val="auto"/>
                <w:kern w:val="0"/>
                <w:szCs w:val="24"/>
                <w:lang w:eastAsia="en-GB" w:bidi="hi-IN"/>
                <w14:ligatures w14:val="none"/>
              </w:rPr>
              <w:t>-</w:t>
            </w:r>
            <w:r w:rsidRPr="00B74CF9">
              <w:rPr>
                <w:rFonts w:eastAsia="Times New Roman" w:cs="Times New Roman"/>
                <w:color w:val="auto"/>
                <w:kern w:val="0"/>
                <w:szCs w:val="24"/>
                <w:lang w:eastAsia="en-GB" w:bidi="hi-IN"/>
                <w14:ligatures w14:val="none"/>
              </w:rPr>
              <w:t>7 (Clinical/Nursing/Mid-level Management)</w:t>
            </w:r>
          </w:p>
        </w:tc>
        <w:tc>
          <w:tcPr>
            <w:tcW w:w="0" w:type="auto"/>
            <w:hideMark/>
          </w:tcPr>
          <w:p w14:paraId="6CA9BEF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59</w:t>
            </w:r>
          </w:p>
        </w:tc>
        <w:tc>
          <w:tcPr>
            <w:tcW w:w="0" w:type="auto"/>
            <w:hideMark/>
          </w:tcPr>
          <w:p w14:paraId="470EED3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43.7%</w:t>
            </w:r>
          </w:p>
        </w:tc>
      </w:tr>
      <w:tr w:rsidR="00235425" w:rsidRPr="00B74CF9" w14:paraId="36A25E29" w14:textId="77777777" w:rsidTr="00255207">
        <w:tc>
          <w:tcPr>
            <w:tcW w:w="0" w:type="auto"/>
            <w:hideMark/>
          </w:tcPr>
          <w:p w14:paraId="27E1DBE1" w14:textId="4EE6D5A5"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Bands 8a</w:t>
            </w:r>
            <w:r w:rsidR="00ED0AC5">
              <w:rPr>
                <w:rFonts w:eastAsia="Times New Roman" w:cs="Times New Roman"/>
                <w:color w:val="auto"/>
                <w:kern w:val="0"/>
                <w:szCs w:val="24"/>
                <w:lang w:eastAsia="en-GB" w:bidi="hi-IN"/>
                <w14:ligatures w14:val="none"/>
              </w:rPr>
              <w:t>-</w:t>
            </w:r>
            <w:r w:rsidRPr="00B74CF9">
              <w:rPr>
                <w:rFonts w:eastAsia="Times New Roman" w:cs="Times New Roman"/>
                <w:color w:val="auto"/>
                <w:kern w:val="0"/>
                <w:szCs w:val="24"/>
                <w:lang w:eastAsia="en-GB" w:bidi="hi-IN"/>
                <w14:ligatures w14:val="none"/>
              </w:rPr>
              <w:t>9 (Senior Management/Advanced Clinical)</w:t>
            </w:r>
          </w:p>
        </w:tc>
        <w:tc>
          <w:tcPr>
            <w:tcW w:w="0" w:type="auto"/>
            <w:hideMark/>
          </w:tcPr>
          <w:p w14:paraId="1EBD0CA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18</w:t>
            </w:r>
          </w:p>
        </w:tc>
        <w:tc>
          <w:tcPr>
            <w:tcW w:w="0" w:type="auto"/>
            <w:hideMark/>
          </w:tcPr>
          <w:p w14:paraId="559B01D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13.3%</w:t>
            </w:r>
          </w:p>
        </w:tc>
      </w:tr>
      <w:tr w:rsidR="00235425" w:rsidRPr="00B74CF9" w14:paraId="5017CD9D" w14:textId="77777777" w:rsidTr="00255207">
        <w:tc>
          <w:tcPr>
            <w:tcW w:w="0" w:type="auto"/>
            <w:hideMark/>
          </w:tcPr>
          <w:p w14:paraId="0E03288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Medical/Dental (Non-AfC)</w:t>
            </w:r>
          </w:p>
        </w:tc>
        <w:tc>
          <w:tcPr>
            <w:tcW w:w="0" w:type="auto"/>
            <w:hideMark/>
          </w:tcPr>
          <w:p w14:paraId="2A37AB6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w:t>
            </w:r>
          </w:p>
        </w:tc>
        <w:tc>
          <w:tcPr>
            <w:tcW w:w="0" w:type="auto"/>
            <w:hideMark/>
          </w:tcPr>
          <w:p w14:paraId="34B648E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0.7%</w:t>
            </w:r>
          </w:p>
        </w:tc>
      </w:tr>
      <w:tr w:rsidR="00235425" w:rsidRPr="00B74CF9" w14:paraId="66A7A7E7" w14:textId="77777777" w:rsidTr="00255207">
        <w:tc>
          <w:tcPr>
            <w:tcW w:w="0" w:type="auto"/>
            <w:hideMark/>
          </w:tcPr>
          <w:p w14:paraId="3C37D80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Tenure in the NHS</w:t>
            </w:r>
          </w:p>
        </w:tc>
        <w:tc>
          <w:tcPr>
            <w:tcW w:w="0" w:type="auto"/>
            <w:hideMark/>
          </w:tcPr>
          <w:p w14:paraId="45665B48"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02C8A67C"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40AA4623" w14:textId="77777777" w:rsidTr="00255207">
        <w:tc>
          <w:tcPr>
            <w:tcW w:w="0" w:type="auto"/>
            <w:hideMark/>
          </w:tcPr>
          <w:p w14:paraId="48E1465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6 months to 2 years</w:t>
            </w:r>
          </w:p>
        </w:tc>
        <w:tc>
          <w:tcPr>
            <w:tcW w:w="0" w:type="auto"/>
            <w:hideMark/>
          </w:tcPr>
          <w:p w14:paraId="0554B7B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53</w:t>
            </w:r>
          </w:p>
        </w:tc>
        <w:tc>
          <w:tcPr>
            <w:tcW w:w="0" w:type="auto"/>
            <w:hideMark/>
          </w:tcPr>
          <w:p w14:paraId="1E19038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39.3%</w:t>
            </w:r>
          </w:p>
        </w:tc>
      </w:tr>
      <w:tr w:rsidR="00235425" w:rsidRPr="00B74CF9" w14:paraId="211A2F37" w14:textId="77777777" w:rsidTr="00255207">
        <w:tc>
          <w:tcPr>
            <w:tcW w:w="0" w:type="auto"/>
            <w:hideMark/>
          </w:tcPr>
          <w:p w14:paraId="5F51879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 to 5 years</w:t>
            </w:r>
          </w:p>
        </w:tc>
        <w:tc>
          <w:tcPr>
            <w:tcW w:w="0" w:type="auto"/>
            <w:hideMark/>
          </w:tcPr>
          <w:p w14:paraId="55CC0572"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63</w:t>
            </w:r>
          </w:p>
        </w:tc>
        <w:tc>
          <w:tcPr>
            <w:tcW w:w="0" w:type="auto"/>
            <w:hideMark/>
          </w:tcPr>
          <w:p w14:paraId="0EF9D2D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46.7%</w:t>
            </w:r>
          </w:p>
        </w:tc>
      </w:tr>
      <w:tr w:rsidR="00235425" w:rsidRPr="00B74CF9" w14:paraId="74017E0D" w14:textId="77777777" w:rsidTr="00255207">
        <w:tc>
          <w:tcPr>
            <w:tcW w:w="0" w:type="auto"/>
            <w:hideMark/>
          </w:tcPr>
          <w:p w14:paraId="049211C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6 to 10 years</w:t>
            </w:r>
          </w:p>
        </w:tc>
        <w:tc>
          <w:tcPr>
            <w:tcW w:w="0" w:type="auto"/>
            <w:hideMark/>
          </w:tcPr>
          <w:p w14:paraId="72C1772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w:t>
            </w:r>
          </w:p>
        </w:tc>
        <w:tc>
          <w:tcPr>
            <w:tcW w:w="0" w:type="auto"/>
            <w:hideMark/>
          </w:tcPr>
          <w:p w14:paraId="03050E4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11.1%</w:t>
            </w:r>
          </w:p>
        </w:tc>
      </w:tr>
      <w:tr w:rsidR="00235425" w:rsidRPr="00B74CF9" w14:paraId="250BFFE2" w14:textId="77777777" w:rsidTr="00255207">
        <w:tc>
          <w:tcPr>
            <w:tcW w:w="0" w:type="auto"/>
            <w:hideMark/>
          </w:tcPr>
          <w:p w14:paraId="784DA4C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Over 10 years</w:t>
            </w:r>
          </w:p>
        </w:tc>
        <w:tc>
          <w:tcPr>
            <w:tcW w:w="0" w:type="auto"/>
            <w:hideMark/>
          </w:tcPr>
          <w:p w14:paraId="55B707A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w:t>
            </w:r>
          </w:p>
        </w:tc>
        <w:tc>
          <w:tcPr>
            <w:tcW w:w="0" w:type="auto"/>
            <w:hideMark/>
          </w:tcPr>
          <w:p w14:paraId="69ACCB9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3.0%</w:t>
            </w:r>
          </w:p>
        </w:tc>
      </w:tr>
    </w:tbl>
    <w:p w14:paraId="58643D45" w14:textId="77777777" w:rsidR="00775C83" w:rsidRPr="00775C83" w:rsidRDefault="00775C83" w:rsidP="00775C83">
      <w:pPr>
        <w:rPr>
          <w:lang w:eastAsia="en-GB" w:bidi="hi-IN"/>
        </w:rPr>
      </w:pPr>
      <w:r w:rsidRPr="00775C83">
        <w:rPr>
          <w:lang w:eastAsia="en-GB" w:bidi="hi-IN"/>
        </w:rPr>
        <w:t>The participants in the survey (135 people) were mostly female, predominantly middle-tenured and had heavy external caregiving responsibilities. The sample was heavily weighted towards females (70.4%, N = 95) than males (29.6%, N = 40)</w:t>
      </w:r>
      <w:r>
        <w:rPr>
          <w:lang w:val="en-US" w:eastAsia="en-GB" w:bidi="hi-IN"/>
        </w:rPr>
        <w:t>,</w:t>
      </w:r>
      <w:r w:rsidRPr="00775C83">
        <w:rPr>
          <w:lang w:eastAsia="en-GB" w:bidi="hi-IN"/>
        </w:rPr>
        <w:t xml:space="preserve"> which is consistent with the gender distributions of the wider NHS in the United Kingdom. Most significantly, an overwhelming 88.1% (N = 119) of participants have significant or primary role caring responsibilities outside of work, resulting in a vital baseline for a subsequent analysis of work-life conflict.</w:t>
      </w:r>
    </w:p>
    <w:p w14:paraId="188F5470" w14:textId="77777777" w:rsidR="00235425" w:rsidRPr="00775C83" w:rsidRDefault="00775C83" w:rsidP="00775C83">
      <w:pPr>
        <w:rPr>
          <w:lang w:eastAsia="en-GB" w:bidi="hi-IN"/>
        </w:rPr>
      </w:pPr>
      <w:r w:rsidRPr="00775C83">
        <w:rPr>
          <w:lang w:eastAsia="en-GB" w:bidi="hi-IN"/>
        </w:rPr>
        <w:t xml:space="preserve">There is a cross-section of </w:t>
      </w:r>
      <w:r w:rsidR="002330B6">
        <w:rPr>
          <w:lang w:eastAsia="en-GB" w:bidi="hi-IN"/>
        </w:rPr>
        <w:t>organis</w:t>
      </w:r>
      <w:r w:rsidRPr="00775C83">
        <w:rPr>
          <w:lang w:eastAsia="en-GB" w:bidi="hi-IN"/>
        </w:rPr>
        <w:t>ational environments with the highest proportion working in Mental Health Trusts (39.3%), and the next highest in Acute Hospitals (28.9%) and Community Health Trusts (28.1%). In terms of occupational hierarchy, the data show that there are relatively balanced proportions of middle clinical staff (Bands 5-7; 43.7%) and nursing staff (Bands 5-7; 42.2%), with a smaller group of senior management staff (Bands 8a-9; 13.3%). Finally, the tenure data show a rather inexperienced operating sample. The overwhelming majority of respondents have worked in the NHS for 5 years or fewer, with a significant proportion working between 3 and 5 years (46.7%) and between 6 months and 2 years (39.3%), and a very small proportion, more than 10 years (3.0%).</w:t>
      </w:r>
    </w:p>
    <w:p w14:paraId="4DA71465" w14:textId="77777777" w:rsidR="00235425" w:rsidRDefault="00235425" w:rsidP="00235425">
      <w:pPr>
        <w:pStyle w:val="Heading3"/>
      </w:pPr>
      <w:bookmarkStart w:id="47" w:name="_Toc238427646"/>
      <w:bookmarkStart w:id="48" w:name="_Toc240913067"/>
      <w:r>
        <w:lastRenderedPageBreak/>
        <w:t>4.2.2 Reliability Test</w:t>
      </w:r>
      <w:bookmarkEnd w:id="47"/>
      <w:bookmarkEnd w:id="48"/>
    </w:p>
    <w:p w14:paraId="1DC63A04" w14:textId="77777777" w:rsidR="00235425" w:rsidRPr="00DA1B4D" w:rsidRDefault="00DA1B4D" w:rsidP="00DA1B4D">
      <w:pPr>
        <w:pStyle w:val="Caption"/>
        <w:rPr>
          <w:rFonts w:cs="Times New Roman"/>
          <w:b w:val="0"/>
          <w:bCs/>
          <w:color w:val="auto"/>
          <w:kern w:val="0"/>
          <w:szCs w:val="24"/>
          <w:lang w:bidi="hi-IN"/>
        </w:rPr>
      </w:pPr>
      <w:bookmarkStart w:id="49" w:name="_Toc240872623"/>
      <w:r>
        <w:t xml:space="preserve">Table </w:t>
      </w:r>
      <w:r>
        <w:fldChar w:fldCharType="begin"/>
      </w:r>
      <w:r>
        <w:instrText xml:space="preserve"> SEQ Table \* ARABIC </w:instrText>
      </w:r>
      <w:r>
        <w:fldChar w:fldCharType="separate"/>
      </w:r>
      <w:r>
        <w:rPr>
          <w:noProof/>
        </w:rPr>
        <w:t>2</w:t>
      </w:r>
      <w:r>
        <w:fldChar w:fldCharType="end"/>
      </w:r>
      <w:r>
        <w:t xml:space="preserve">: </w:t>
      </w:r>
      <w:r>
        <w:rPr>
          <w:b w:val="0"/>
          <w:bCs/>
        </w:rPr>
        <w:t xml:space="preserve">Reliability Analysis using </w:t>
      </w:r>
      <w:r w:rsidRPr="00DA1B4D">
        <w:rPr>
          <w:b w:val="0"/>
          <w:bCs/>
        </w:rPr>
        <w:t>Cronbach's Alpha</w:t>
      </w:r>
      <w:bookmarkEnd w:id="4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760"/>
        <w:gridCol w:w="4266"/>
      </w:tblGrid>
      <w:tr w:rsidR="00235425" w:rsidRPr="00235425" w14:paraId="67ABA32A" w14:textId="77777777" w:rsidTr="00235425">
        <w:trPr>
          <w:cantSplit/>
          <w:trHeight w:val="227"/>
        </w:trPr>
        <w:tc>
          <w:tcPr>
            <w:tcW w:w="5000" w:type="pct"/>
            <w:gridSpan w:val="2"/>
            <w:tcBorders>
              <w:top w:val="nil"/>
              <w:left w:val="nil"/>
              <w:bottom w:val="nil"/>
              <w:right w:val="nil"/>
            </w:tcBorders>
            <w:shd w:val="clear" w:color="auto" w:fill="FFFFFF"/>
            <w:vAlign w:val="center"/>
          </w:tcPr>
          <w:p w14:paraId="58AC5E54" w14:textId="77777777" w:rsidR="00235425" w:rsidRPr="00235425" w:rsidRDefault="00235425" w:rsidP="00235425">
            <w:pPr>
              <w:autoSpaceDE w:val="0"/>
              <w:autoSpaceDN w:val="0"/>
              <w:adjustRightInd w:val="0"/>
              <w:ind w:left="60" w:right="60"/>
              <w:jc w:val="left"/>
              <w:rPr>
                <w:rFonts w:cs="Times New Roman"/>
                <w:color w:val="000000"/>
                <w:kern w:val="0"/>
                <w:szCs w:val="24"/>
                <w:lang w:bidi="hi-IN"/>
              </w:rPr>
            </w:pPr>
            <w:r w:rsidRPr="00235425">
              <w:rPr>
                <w:rFonts w:cs="Times New Roman"/>
                <w:i/>
                <w:iCs/>
                <w:color w:val="000000"/>
                <w:kern w:val="0"/>
                <w:szCs w:val="24"/>
                <w:lang w:bidi="hi-IN"/>
              </w:rPr>
              <w:t>Reliability Statistics</w:t>
            </w:r>
          </w:p>
        </w:tc>
      </w:tr>
      <w:tr w:rsidR="00235425" w:rsidRPr="00235425" w14:paraId="4EF8D60D" w14:textId="77777777" w:rsidTr="00235425">
        <w:trPr>
          <w:cantSplit/>
          <w:trHeight w:val="227"/>
        </w:trPr>
        <w:tc>
          <w:tcPr>
            <w:tcW w:w="2637" w:type="pct"/>
            <w:tcBorders>
              <w:left w:val="nil"/>
              <w:right w:val="nil"/>
            </w:tcBorders>
            <w:shd w:val="clear" w:color="auto" w:fill="FFFFFF"/>
            <w:vAlign w:val="bottom"/>
          </w:tcPr>
          <w:p w14:paraId="3E9F7C9E" w14:textId="77777777" w:rsidR="00235425" w:rsidRPr="00235425" w:rsidRDefault="00235425" w:rsidP="00235425">
            <w:pPr>
              <w:autoSpaceDE w:val="0"/>
              <w:autoSpaceDN w:val="0"/>
              <w:adjustRightInd w:val="0"/>
              <w:ind w:left="60" w:right="60"/>
              <w:jc w:val="center"/>
              <w:rPr>
                <w:rFonts w:cs="Times New Roman"/>
                <w:color w:val="000000"/>
                <w:kern w:val="0"/>
                <w:szCs w:val="24"/>
                <w:lang w:bidi="hi-IN"/>
              </w:rPr>
            </w:pPr>
            <w:r w:rsidRPr="00235425">
              <w:rPr>
                <w:rFonts w:cs="Times New Roman"/>
                <w:color w:val="000000"/>
                <w:kern w:val="0"/>
                <w:szCs w:val="24"/>
                <w:lang w:bidi="hi-IN"/>
              </w:rPr>
              <w:t>Cronbach's Alpha</w:t>
            </w:r>
          </w:p>
        </w:tc>
        <w:tc>
          <w:tcPr>
            <w:tcW w:w="2363" w:type="pct"/>
            <w:tcBorders>
              <w:left w:val="nil"/>
              <w:right w:val="nil"/>
            </w:tcBorders>
            <w:shd w:val="clear" w:color="auto" w:fill="FFFFFF"/>
            <w:vAlign w:val="bottom"/>
          </w:tcPr>
          <w:p w14:paraId="077C84A1" w14:textId="77777777" w:rsidR="00235425" w:rsidRPr="00235425" w:rsidRDefault="00235425" w:rsidP="00235425">
            <w:pPr>
              <w:autoSpaceDE w:val="0"/>
              <w:autoSpaceDN w:val="0"/>
              <w:adjustRightInd w:val="0"/>
              <w:ind w:left="60" w:right="60"/>
              <w:jc w:val="center"/>
              <w:rPr>
                <w:rFonts w:cs="Times New Roman"/>
                <w:color w:val="000000"/>
                <w:kern w:val="0"/>
                <w:szCs w:val="24"/>
                <w:lang w:bidi="hi-IN"/>
              </w:rPr>
            </w:pPr>
            <w:r w:rsidRPr="00235425">
              <w:rPr>
                <w:rFonts w:cs="Times New Roman"/>
                <w:color w:val="000000"/>
                <w:kern w:val="0"/>
                <w:szCs w:val="24"/>
                <w:lang w:bidi="hi-IN"/>
              </w:rPr>
              <w:t>N of Items</w:t>
            </w:r>
          </w:p>
        </w:tc>
      </w:tr>
      <w:tr w:rsidR="00235425" w:rsidRPr="00235425" w14:paraId="0DE2018C" w14:textId="77777777" w:rsidTr="00235425">
        <w:trPr>
          <w:cantSplit/>
          <w:trHeight w:val="227"/>
        </w:trPr>
        <w:tc>
          <w:tcPr>
            <w:tcW w:w="2637" w:type="pct"/>
            <w:tcBorders>
              <w:left w:val="nil"/>
              <w:right w:val="nil"/>
            </w:tcBorders>
            <w:shd w:val="clear" w:color="auto" w:fill="FFFFFF"/>
          </w:tcPr>
          <w:p w14:paraId="3B388817" w14:textId="77777777" w:rsidR="00235425" w:rsidRPr="00235425" w:rsidRDefault="00235425" w:rsidP="00235425">
            <w:pPr>
              <w:autoSpaceDE w:val="0"/>
              <w:autoSpaceDN w:val="0"/>
              <w:adjustRightInd w:val="0"/>
              <w:ind w:left="60" w:right="60"/>
              <w:jc w:val="right"/>
              <w:rPr>
                <w:rFonts w:cs="Times New Roman"/>
                <w:color w:val="000000"/>
                <w:kern w:val="0"/>
                <w:szCs w:val="24"/>
                <w:lang w:bidi="hi-IN"/>
              </w:rPr>
            </w:pPr>
            <w:r w:rsidRPr="00235425">
              <w:rPr>
                <w:rFonts w:cs="Times New Roman"/>
                <w:color w:val="000000"/>
                <w:kern w:val="0"/>
                <w:szCs w:val="24"/>
                <w:lang w:bidi="hi-IN"/>
              </w:rPr>
              <w:t>.944</w:t>
            </w:r>
          </w:p>
        </w:tc>
        <w:tc>
          <w:tcPr>
            <w:tcW w:w="2363" w:type="pct"/>
            <w:tcBorders>
              <w:left w:val="nil"/>
              <w:right w:val="nil"/>
            </w:tcBorders>
            <w:shd w:val="clear" w:color="auto" w:fill="FFFFFF"/>
          </w:tcPr>
          <w:p w14:paraId="02C9AC42" w14:textId="77777777" w:rsidR="00235425" w:rsidRPr="00235425" w:rsidRDefault="00235425" w:rsidP="00235425">
            <w:pPr>
              <w:autoSpaceDE w:val="0"/>
              <w:autoSpaceDN w:val="0"/>
              <w:adjustRightInd w:val="0"/>
              <w:ind w:left="60" w:right="60"/>
              <w:jc w:val="right"/>
              <w:rPr>
                <w:rFonts w:cs="Times New Roman"/>
                <w:color w:val="000000"/>
                <w:kern w:val="0"/>
                <w:szCs w:val="24"/>
                <w:lang w:bidi="hi-IN"/>
              </w:rPr>
            </w:pPr>
            <w:r w:rsidRPr="00235425">
              <w:rPr>
                <w:rFonts w:cs="Times New Roman"/>
                <w:color w:val="000000"/>
                <w:kern w:val="0"/>
                <w:szCs w:val="24"/>
                <w:lang w:bidi="hi-IN"/>
              </w:rPr>
              <w:t>21</w:t>
            </w:r>
          </w:p>
        </w:tc>
      </w:tr>
    </w:tbl>
    <w:p w14:paraId="326219BA" w14:textId="77777777" w:rsidR="00235425" w:rsidRPr="00235425" w:rsidRDefault="00775C83" w:rsidP="00235425">
      <w:pPr>
        <w:rPr>
          <w:lang w:bidi="hi-IN"/>
        </w:rPr>
      </w:pPr>
      <w:r w:rsidRPr="00775C83">
        <w:rPr>
          <w:lang w:bidi="hi-IN"/>
        </w:rPr>
        <w:t>Cronbach's alpha indicates excellent internal consistency of the survey instrument. The coefficient of .944 obtained on the 21 items of measured responses is far higher than the academic cut-off of .70 and supports the notion that the items are measuring a theoretical construct without too much random error. This is a very high reliability number and shows that the test items have a lot of commonality and act as one assessment instrument. However, high psychometric stability is present, and the data ha</w:t>
      </w:r>
      <w:r>
        <w:rPr>
          <w:lang w:bidi="hi-IN"/>
        </w:rPr>
        <w:t>ve</w:t>
      </w:r>
      <w:r w:rsidRPr="00775C83">
        <w:rPr>
          <w:lang w:bidi="hi-IN"/>
        </w:rPr>
        <w:t xml:space="preserve"> been well validated for entry into more complex inferential regression testing.</w:t>
      </w:r>
    </w:p>
    <w:p w14:paraId="7881B215" w14:textId="77777777" w:rsidR="00235425" w:rsidRDefault="00235425" w:rsidP="00235425">
      <w:pPr>
        <w:pStyle w:val="Heading3"/>
      </w:pPr>
      <w:bookmarkStart w:id="50" w:name="_Toc238427647"/>
      <w:bookmarkStart w:id="51" w:name="_Toc240913068"/>
      <w:r>
        <w:t>4.2.3 Descriptive Analysis</w:t>
      </w:r>
      <w:bookmarkEnd w:id="50"/>
      <w:bookmarkEnd w:id="51"/>
    </w:p>
    <w:p w14:paraId="2299D4B4" w14:textId="77777777" w:rsidR="00235425" w:rsidRPr="00B74CF9" w:rsidRDefault="00DA1B4D" w:rsidP="00DA1B4D">
      <w:pPr>
        <w:pStyle w:val="Caption"/>
        <w:rPr>
          <w:rFonts w:ascii="-webkit-standard" w:hAnsi="-webkit-standard"/>
          <w:color w:val="000000"/>
          <w:sz w:val="27"/>
          <w:szCs w:val="27"/>
        </w:rPr>
      </w:pPr>
      <w:bookmarkStart w:id="52" w:name="_Toc240872624"/>
      <w:r>
        <w:t xml:space="preserve">Table </w:t>
      </w:r>
      <w:r>
        <w:fldChar w:fldCharType="begin"/>
      </w:r>
      <w:r>
        <w:instrText xml:space="preserve"> SEQ Table \* ARABIC </w:instrText>
      </w:r>
      <w:r>
        <w:fldChar w:fldCharType="separate"/>
      </w:r>
      <w:r>
        <w:rPr>
          <w:noProof/>
        </w:rPr>
        <w:t>3</w:t>
      </w:r>
      <w:r>
        <w:fldChar w:fldCharType="end"/>
      </w:r>
      <w:r>
        <w:rPr>
          <w:lang w:val="en-US"/>
        </w:rPr>
        <w:t xml:space="preserve">: </w:t>
      </w:r>
      <w:r w:rsidR="00235425" w:rsidRPr="00DA1B4D">
        <w:rPr>
          <w:b w:val="0"/>
        </w:rPr>
        <w:t>Time-Based Conflict (TBC)</w:t>
      </w:r>
      <w:bookmarkEnd w:id="52"/>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47D4DF01" w14:textId="77777777" w:rsidTr="00255207">
        <w:trPr>
          <w:cantSplit/>
        </w:trPr>
        <w:tc>
          <w:tcPr>
            <w:tcW w:w="5000" w:type="pct"/>
            <w:gridSpan w:val="10"/>
            <w:tcBorders>
              <w:top w:val="nil"/>
              <w:left w:val="nil"/>
              <w:bottom w:val="nil"/>
              <w:right w:val="nil"/>
            </w:tcBorders>
            <w:shd w:val="clear" w:color="auto" w:fill="FFFFFF"/>
            <w:vAlign w:val="center"/>
          </w:tcPr>
          <w:p w14:paraId="0281C7A6"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454DA127" w14:textId="77777777" w:rsidTr="00235425">
        <w:trPr>
          <w:cantSplit/>
        </w:trPr>
        <w:tc>
          <w:tcPr>
            <w:tcW w:w="448" w:type="pct"/>
            <w:vMerge w:val="restart"/>
            <w:tcBorders>
              <w:left w:val="nil"/>
              <w:bottom w:val="nil"/>
              <w:right w:val="nil"/>
            </w:tcBorders>
            <w:shd w:val="clear" w:color="auto" w:fill="FFFFFF"/>
            <w:vAlign w:val="bottom"/>
          </w:tcPr>
          <w:p w14:paraId="4C7C0FF1"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4E7C749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610" w:type="pct"/>
            <w:tcBorders>
              <w:left w:val="nil"/>
            </w:tcBorders>
            <w:shd w:val="clear" w:color="auto" w:fill="FFFFFF"/>
            <w:vAlign w:val="bottom"/>
          </w:tcPr>
          <w:p w14:paraId="17913E6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32" w:type="pct"/>
            <w:tcBorders>
              <w:left w:val="nil"/>
            </w:tcBorders>
            <w:shd w:val="clear" w:color="auto" w:fill="FFFFFF"/>
            <w:vAlign w:val="bottom"/>
          </w:tcPr>
          <w:p w14:paraId="3A142A8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506" w:type="pct"/>
            <w:tcBorders>
              <w:left w:val="nil"/>
            </w:tcBorders>
            <w:shd w:val="clear" w:color="auto" w:fill="FFFFFF"/>
            <w:vAlign w:val="bottom"/>
          </w:tcPr>
          <w:p w14:paraId="32B00B2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602" w:type="pct"/>
            <w:tcBorders>
              <w:left w:val="nil"/>
            </w:tcBorders>
            <w:shd w:val="clear" w:color="auto" w:fill="FFFFFF"/>
            <w:vAlign w:val="bottom"/>
          </w:tcPr>
          <w:p w14:paraId="26A7D08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854" w:type="pct"/>
            <w:gridSpan w:val="2"/>
            <w:tcBorders>
              <w:left w:val="nil"/>
            </w:tcBorders>
            <w:shd w:val="clear" w:color="auto" w:fill="FFFFFF"/>
            <w:vAlign w:val="bottom"/>
          </w:tcPr>
          <w:p w14:paraId="0EF76EDD"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48" w:type="pct"/>
            <w:gridSpan w:val="2"/>
            <w:tcBorders>
              <w:left w:val="nil"/>
              <w:right w:val="nil"/>
            </w:tcBorders>
            <w:shd w:val="clear" w:color="auto" w:fill="FFFFFF"/>
            <w:vAlign w:val="bottom"/>
          </w:tcPr>
          <w:p w14:paraId="4564C10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09AA8A7C" w14:textId="77777777" w:rsidTr="00235425">
        <w:trPr>
          <w:cantSplit/>
        </w:trPr>
        <w:tc>
          <w:tcPr>
            <w:tcW w:w="448" w:type="pct"/>
            <w:vMerge/>
            <w:tcBorders>
              <w:left w:val="nil"/>
              <w:bottom w:val="nil"/>
              <w:right w:val="nil"/>
            </w:tcBorders>
            <w:shd w:val="clear" w:color="auto" w:fill="FFFFFF"/>
            <w:vAlign w:val="bottom"/>
          </w:tcPr>
          <w:p w14:paraId="4E2C21D2"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0E1A482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0" w:type="pct"/>
            <w:tcBorders>
              <w:left w:val="nil"/>
            </w:tcBorders>
            <w:shd w:val="clear" w:color="auto" w:fill="FFFFFF"/>
            <w:vAlign w:val="bottom"/>
          </w:tcPr>
          <w:p w14:paraId="214F22B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32" w:type="pct"/>
            <w:tcBorders>
              <w:left w:val="nil"/>
            </w:tcBorders>
            <w:shd w:val="clear" w:color="auto" w:fill="FFFFFF"/>
            <w:vAlign w:val="bottom"/>
          </w:tcPr>
          <w:p w14:paraId="73F292F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6" w:type="pct"/>
            <w:tcBorders>
              <w:left w:val="nil"/>
            </w:tcBorders>
            <w:shd w:val="clear" w:color="auto" w:fill="FFFFFF"/>
            <w:vAlign w:val="bottom"/>
          </w:tcPr>
          <w:p w14:paraId="3BFC6C6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02" w:type="pct"/>
            <w:tcBorders>
              <w:left w:val="nil"/>
            </w:tcBorders>
            <w:shd w:val="clear" w:color="auto" w:fill="FFFFFF"/>
            <w:vAlign w:val="bottom"/>
          </w:tcPr>
          <w:p w14:paraId="5DD6F26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1" w:type="pct"/>
            <w:tcBorders>
              <w:left w:val="nil"/>
              <w:right w:val="nil"/>
            </w:tcBorders>
            <w:shd w:val="clear" w:color="auto" w:fill="FFFFFF"/>
            <w:vAlign w:val="bottom"/>
          </w:tcPr>
          <w:p w14:paraId="1A1E042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53" w:type="pct"/>
            <w:tcBorders>
              <w:left w:val="nil"/>
            </w:tcBorders>
            <w:shd w:val="clear" w:color="auto" w:fill="FFFFFF"/>
            <w:vAlign w:val="bottom"/>
          </w:tcPr>
          <w:p w14:paraId="0C912DFF"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501" w:type="pct"/>
            <w:tcBorders>
              <w:left w:val="nil"/>
              <w:right w:val="nil"/>
            </w:tcBorders>
            <w:shd w:val="clear" w:color="auto" w:fill="FFFFFF"/>
            <w:vAlign w:val="bottom"/>
          </w:tcPr>
          <w:p w14:paraId="389E587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7" w:type="pct"/>
            <w:tcBorders>
              <w:left w:val="nil"/>
              <w:right w:val="nil"/>
            </w:tcBorders>
            <w:shd w:val="clear" w:color="auto" w:fill="FFFFFF"/>
            <w:vAlign w:val="bottom"/>
          </w:tcPr>
          <w:p w14:paraId="2DB4BC5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0C7AB550" w14:textId="77777777" w:rsidTr="00235425">
        <w:trPr>
          <w:cantSplit/>
        </w:trPr>
        <w:tc>
          <w:tcPr>
            <w:tcW w:w="448" w:type="pct"/>
            <w:tcBorders>
              <w:left w:val="nil"/>
              <w:bottom w:val="nil"/>
              <w:right w:val="nil"/>
            </w:tcBorders>
            <w:shd w:val="clear" w:color="auto" w:fill="FFFFFF"/>
          </w:tcPr>
          <w:p w14:paraId="6E8F7CF4"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TBC1</w:t>
            </w:r>
          </w:p>
        </w:tc>
        <w:tc>
          <w:tcPr>
            <w:tcW w:w="501" w:type="pct"/>
            <w:tcBorders>
              <w:left w:val="nil"/>
              <w:bottom w:val="nil"/>
            </w:tcBorders>
            <w:shd w:val="clear" w:color="auto" w:fill="FFFFFF"/>
          </w:tcPr>
          <w:p w14:paraId="11B9888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left w:val="nil"/>
              <w:bottom w:val="nil"/>
            </w:tcBorders>
            <w:shd w:val="clear" w:color="auto" w:fill="FFFFFF"/>
          </w:tcPr>
          <w:p w14:paraId="15B7DF3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left w:val="nil"/>
              <w:bottom w:val="nil"/>
            </w:tcBorders>
            <w:shd w:val="clear" w:color="auto" w:fill="FFFFFF"/>
          </w:tcPr>
          <w:p w14:paraId="49FA121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left w:val="nil"/>
              <w:bottom w:val="nil"/>
            </w:tcBorders>
            <w:shd w:val="clear" w:color="auto" w:fill="FFFFFF"/>
          </w:tcPr>
          <w:p w14:paraId="199524D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4.84</w:t>
            </w:r>
          </w:p>
        </w:tc>
        <w:tc>
          <w:tcPr>
            <w:tcW w:w="602" w:type="pct"/>
            <w:tcBorders>
              <w:left w:val="nil"/>
              <w:bottom w:val="nil"/>
            </w:tcBorders>
            <w:shd w:val="clear" w:color="auto" w:fill="FFFFFF"/>
          </w:tcPr>
          <w:p w14:paraId="09B4460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.549</w:t>
            </w:r>
          </w:p>
        </w:tc>
        <w:tc>
          <w:tcPr>
            <w:tcW w:w="501" w:type="pct"/>
            <w:tcBorders>
              <w:left w:val="nil"/>
              <w:bottom w:val="nil"/>
              <w:right w:val="nil"/>
            </w:tcBorders>
            <w:shd w:val="clear" w:color="auto" w:fill="FFFFFF"/>
          </w:tcPr>
          <w:p w14:paraId="63EFF55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-3.369</w:t>
            </w:r>
          </w:p>
        </w:tc>
        <w:tc>
          <w:tcPr>
            <w:tcW w:w="353" w:type="pct"/>
            <w:tcBorders>
              <w:left w:val="nil"/>
              <w:bottom w:val="nil"/>
            </w:tcBorders>
            <w:shd w:val="clear" w:color="auto" w:fill="FFFFFF"/>
          </w:tcPr>
          <w:p w14:paraId="07A36F7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left w:val="nil"/>
              <w:bottom w:val="nil"/>
              <w:right w:val="nil"/>
            </w:tcBorders>
            <w:shd w:val="clear" w:color="auto" w:fill="FFFFFF"/>
          </w:tcPr>
          <w:p w14:paraId="23F8A4F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10.440</w:t>
            </w:r>
          </w:p>
        </w:tc>
        <w:tc>
          <w:tcPr>
            <w:tcW w:w="347" w:type="pct"/>
            <w:tcBorders>
              <w:left w:val="nil"/>
              <w:bottom w:val="nil"/>
              <w:right w:val="nil"/>
            </w:tcBorders>
            <w:shd w:val="clear" w:color="auto" w:fill="FFFFFF"/>
          </w:tcPr>
          <w:p w14:paraId="14DD650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4EB5FD36" w14:textId="77777777" w:rsidTr="00235425">
        <w:trPr>
          <w:cantSplit/>
        </w:trPr>
        <w:tc>
          <w:tcPr>
            <w:tcW w:w="448" w:type="pct"/>
            <w:tcBorders>
              <w:top w:val="nil"/>
              <w:left w:val="nil"/>
              <w:bottom w:val="nil"/>
              <w:right w:val="nil"/>
            </w:tcBorders>
            <w:shd w:val="clear" w:color="auto" w:fill="FFFFFF"/>
          </w:tcPr>
          <w:p w14:paraId="5A8A6EC4"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TBC2</w:t>
            </w:r>
          </w:p>
        </w:tc>
        <w:tc>
          <w:tcPr>
            <w:tcW w:w="501" w:type="pct"/>
            <w:tcBorders>
              <w:top w:val="nil"/>
              <w:left w:val="nil"/>
              <w:bottom w:val="nil"/>
            </w:tcBorders>
            <w:shd w:val="clear" w:color="auto" w:fill="FFFFFF"/>
          </w:tcPr>
          <w:p w14:paraId="0BC8319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nil"/>
            </w:tcBorders>
            <w:shd w:val="clear" w:color="auto" w:fill="FFFFFF"/>
          </w:tcPr>
          <w:p w14:paraId="1A23464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nil"/>
            </w:tcBorders>
            <w:shd w:val="clear" w:color="auto" w:fill="FFFFFF"/>
          </w:tcPr>
          <w:p w14:paraId="564BABC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nil"/>
            </w:tcBorders>
            <w:shd w:val="clear" w:color="auto" w:fill="FFFFFF"/>
          </w:tcPr>
          <w:p w14:paraId="300A65B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4.05</w:t>
            </w:r>
          </w:p>
        </w:tc>
        <w:tc>
          <w:tcPr>
            <w:tcW w:w="602" w:type="pct"/>
            <w:tcBorders>
              <w:top w:val="nil"/>
              <w:left w:val="nil"/>
              <w:bottom w:val="nil"/>
            </w:tcBorders>
            <w:shd w:val="clear" w:color="auto" w:fill="FFFFFF"/>
          </w:tcPr>
          <w:p w14:paraId="19ECBE3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.392</w:t>
            </w:r>
          </w:p>
        </w:tc>
        <w:tc>
          <w:tcPr>
            <w:tcW w:w="501" w:type="pct"/>
            <w:tcBorders>
              <w:top w:val="nil"/>
              <w:left w:val="nil"/>
              <w:bottom w:val="nil"/>
              <w:right w:val="nil"/>
            </w:tcBorders>
            <w:shd w:val="clear" w:color="auto" w:fill="FFFFFF"/>
          </w:tcPr>
          <w:p w14:paraId="2A4A790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-2.535</w:t>
            </w:r>
          </w:p>
        </w:tc>
        <w:tc>
          <w:tcPr>
            <w:tcW w:w="353" w:type="pct"/>
            <w:tcBorders>
              <w:top w:val="nil"/>
              <w:left w:val="nil"/>
              <w:bottom w:val="nil"/>
            </w:tcBorders>
            <w:shd w:val="clear" w:color="auto" w:fill="FFFFFF"/>
          </w:tcPr>
          <w:p w14:paraId="0611159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nil"/>
              <w:right w:val="nil"/>
            </w:tcBorders>
            <w:shd w:val="clear" w:color="auto" w:fill="FFFFFF"/>
          </w:tcPr>
          <w:p w14:paraId="587565B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28.804</w:t>
            </w:r>
          </w:p>
        </w:tc>
        <w:tc>
          <w:tcPr>
            <w:tcW w:w="347" w:type="pct"/>
            <w:tcBorders>
              <w:top w:val="nil"/>
              <w:left w:val="nil"/>
              <w:bottom w:val="nil"/>
              <w:right w:val="nil"/>
            </w:tcBorders>
            <w:shd w:val="clear" w:color="auto" w:fill="FFFFFF"/>
          </w:tcPr>
          <w:p w14:paraId="2ACB277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3AD074C0" w14:textId="77777777" w:rsidTr="00235425">
        <w:trPr>
          <w:cantSplit/>
        </w:trPr>
        <w:tc>
          <w:tcPr>
            <w:tcW w:w="448" w:type="pct"/>
            <w:tcBorders>
              <w:top w:val="nil"/>
              <w:left w:val="nil"/>
              <w:bottom w:val="single" w:sz="4" w:space="0" w:color="auto"/>
              <w:right w:val="nil"/>
            </w:tcBorders>
            <w:shd w:val="clear" w:color="auto" w:fill="FFFFFF"/>
          </w:tcPr>
          <w:p w14:paraId="36BFD98F"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TBC3</w:t>
            </w:r>
          </w:p>
        </w:tc>
        <w:tc>
          <w:tcPr>
            <w:tcW w:w="501" w:type="pct"/>
            <w:tcBorders>
              <w:top w:val="nil"/>
              <w:left w:val="nil"/>
              <w:bottom w:val="single" w:sz="4" w:space="0" w:color="auto"/>
            </w:tcBorders>
            <w:shd w:val="clear" w:color="auto" w:fill="FFFFFF"/>
          </w:tcPr>
          <w:p w14:paraId="790A0DB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single" w:sz="4" w:space="0" w:color="auto"/>
            </w:tcBorders>
            <w:shd w:val="clear" w:color="auto" w:fill="FFFFFF"/>
          </w:tcPr>
          <w:p w14:paraId="11BD7D0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top w:val="nil"/>
              <w:left w:val="nil"/>
              <w:bottom w:val="single" w:sz="4" w:space="0" w:color="auto"/>
            </w:tcBorders>
            <w:shd w:val="clear" w:color="auto" w:fill="FFFFFF"/>
          </w:tcPr>
          <w:p w14:paraId="2D73258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single" w:sz="4" w:space="0" w:color="auto"/>
            </w:tcBorders>
            <w:shd w:val="clear" w:color="auto" w:fill="FFFFFF"/>
          </w:tcPr>
          <w:p w14:paraId="357382A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4.90</w:t>
            </w:r>
          </w:p>
        </w:tc>
        <w:tc>
          <w:tcPr>
            <w:tcW w:w="602" w:type="pct"/>
            <w:tcBorders>
              <w:top w:val="nil"/>
              <w:left w:val="nil"/>
              <w:bottom w:val="single" w:sz="4" w:space="0" w:color="auto"/>
            </w:tcBorders>
            <w:shd w:val="clear" w:color="auto" w:fill="FFFFFF"/>
          </w:tcPr>
          <w:p w14:paraId="2B68665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.403</w:t>
            </w:r>
          </w:p>
        </w:tc>
        <w:tc>
          <w:tcPr>
            <w:tcW w:w="501" w:type="pct"/>
            <w:tcBorders>
              <w:top w:val="nil"/>
              <w:left w:val="nil"/>
              <w:bottom w:val="single" w:sz="4" w:space="0" w:color="auto"/>
              <w:right w:val="nil"/>
            </w:tcBorders>
            <w:shd w:val="clear" w:color="auto" w:fill="FFFFFF"/>
          </w:tcPr>
          <w:p w14:paraId="5F2ABC0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-4.935</w:t>
            </w:r>
          </w:p>
        </w:tc>
        <w:tc>
          <w:tcPr>
            <w:tcW w:w="353" w:type="pct"/>
            <w:tcBorders>
              <w:top w:val="nil"/>
              <w:left w:val="nil"/>
              <w:bottom w:val="single" w:sz="4" w:space="0" w:color="auto"/>
            </w:tcBorders>
            <w:shd w:val="clear" w:color="auto" w:fill="FFFFFF"/>
          </w:tcPr>
          <w:p w14:paraId="057BF04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single" w:sz="4" w:space="0" w:color="auto"/>
              <w:right w:val="nil"/>
            </w:tcBorders>
            <w:shd w:val="clear" w:color="auto" w:fill="FFFFFF"/>
          </w:tcPr>
          <w:p w14:paraId="7EBE5D5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26.966</w:t>
            </w:r>
          </w:p>
        </w:tc>
        <w:tc>
          <w:tcPr>
            <w:tcW w:w="347" w:type="pct"/>
            <w:tcBorders>
              <w:top w:val="nil"/>
              <w:left w:val="nil"/>
              <w:bottom w:val="single" w:sz="4" w:space="0" w:color="auto"/>
              <w:right w:val="nil"/>
            </w:tcBorders>
            <w:shd w:val="clear" w:color="auto" w:fill="FFFFFF"/>
          </w:tcPr>
          <w:p w14:paraId="680FA24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6A1BBB1F" w14:textId="77777777" w:rsidR="00235425" w:rsidRPr="00235425" w:rsidRDefault="00A342BE" w:rsidP="00235425">
      <w:pPr>
        <w:rPr>
          <w:rFonts w:cs="Times New Roman"/>
          <w:color w:val="auto"/>
          <w:kern w:val="0"/>
          <w:szCs w:val="24"/>
          <w:lang w:bidi="hi-IN"/>
        </w:rPr>
      </w:pPr>
      <w:r w:rsidRPr="00A342BE">
        <w:t xml:space="preserve">The descriptive statistics of TBC have a peak towards the top of the measurement scale, meaning there is a high temporal strain for the sampled NHS workforce. The mean for Item TBC3 is 4.90, which is close to the mean for Item TBC1 (4.84), and indicates high levels of </w:t>
      </w:r>
      <w:r w:rsidRPr="00A342BE">
        <w:lastRenderedPageBreak/>
        <w:t>agreement that work requirements generally hinder performing personal and domestic responsibilities. The distribution in this type of construction ranged between -2.535 and -4.935 with a high negative skewness. That is, the overwhelming majority of the respondents designated a very high level of temporal friction and very few at the low and moderate levels of friction. Besides, the values of kurtosis obtained were expressive and very high in TBC2 (28.804) and TBC3 (26.966)</w:t>
      </w:r>
      <w:r>
        <w:t>,</w:t>
      </w:r>
      <w:r w:rsidRPr="00A342BE">
        <w:t xml:space="preserve"> which means that the curve was very kurtotic. This represents a clear, consistent and united opinion, along </w:t>
      </w:r>
      <w:r>
        <w:t xml:space="preserve">with </w:t>
      </w:r>
      <w:r w:rsidRPr="00A342BE">
        <w:t>a tight data distribution pattern, on personal times from health care professionals. Overall</w:t>
      </w:r>
      <w:r>
        <w:t>,</w:t>
      </w:r>
      <w:r w:rsidRPr="00A342BE">
        <w:t xml:space="preserve"> these numbers provide </w:t>
      </w:r>
      <w:r>
        <w:t xml:space="preserve">a </w:t>
      </w:r>
      <w:r w:rsidRPr="00A342BE">
        <w:t>good empirical argument of the pervasive nature of inflexibility and long hours in the NHS and the potential to regard the inflexibility as disruptive to staff well</w:t>
      </w:r>
      <w:r>
        <w:t>-</w:t>
      </w:r>
      <w:r w:rsidRPr="00A342BE">
        <w:t>being.</w:t>
      </w:r>
    </w:p>
    <w:p w14:paraId="44E67824" w14:textId="77777777" w:rsidR="00235425" w:rsidRPr="00B74CF9" w:rsidRDefault="00DA1B4D" w:rsidP="00DA1B4D">
      <w:pPr>
        <w:pStyle w:val="Caption"/>
        <w:rPr>
          <w:rFonts w:ascii="-webkit-standard" w:hAnsi="-webkit-standard"/>
          <w:color w:val="000000"/>
          <w:sz w:val="27"/>
          <w:szCs w:val="27"/>
        </w:rPr>
      </w:pPr>
      <w:bookmarkStart w:id="53" w:name="_Toc240872625"/>
      <w:r>
        <w:t xml:space="preserve">Table </w:t>
      </w:r>
      <w:r>
        <w:fldChar w:fldCharType="begin"/>
      </w:r>
      <w:r>
        <w:instrText xml:space="preserve"> SEQ Table \* ARABIC </w:instrText>
      </w:r>
      <w:r>
        <w:fldChar w:fldCharType="separate"/>
      </w:r>
      <w:r>
        <w:rPr>
          <w:noProof/>
        </w:rPr>
        <w:t>4</w:t>
      </w:r>
      <w:r>
        <w:fldChar w:fldCharType="end"/>
      </w:r>
      <w:r>
        <w:t xml:space="preserve">: </w:t>
      </w:r>
      <w:r w:rsidR="00235425" w:rsidRPr="00DA1B4D">
        <w:rPr>
          <w:b w:val="0"/>
          <w:color w:val="000000"/>
        </w:rPr>
        <w:t>Strain-Based Conflict (SBC)</w:t>
      </w:r>
      <w:bookmarkEnd w:id="53"/>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6E4B9EA2" w14:textId="77777777" w:rsidTr="00255207">
        <w:trPr>
          <w:cantSplit/>
        </w:trPr>
        <w:tc>
          <w:tcPr>
            <w:tcW w:w="5000" w:type="pct"/>
            <w:gridSpan w:val="10"/>
            <w:tcBorders>
              <w:top w:val="nil"/>
              <w:left w:val="nil"/>
              <w:bottom w:val="nil"/>
              <w:right w:val="nil"/>
            </w:tcBorders>
            <w:shd w:val="clear" w:color="auto" w:fill="FFFFFF"/>
            <w:vAlign w:val="center"/>
          </w:tcPr>
          <w:p w14:paraId="589BDBC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44463536" w14:textId="77777777" w:rsidTr="00255207">
        <w:trPr>
          <w:cantSplit/>
        </w:trPr>
        <w:tc>
          <w:tcPr>
            <w:tcW w:w="549" w:type="pct"/>
            <w:vMerge w:val="restart"/>
            <w:tcBorders>
              <w:left w:val="nil"/>
              <w:bottom w:val="nil"/>
              <w:right w:val="nil"/>
            </w:tcBorders>
            <w:shd w:val="clear" w:color="auto" w:fill="FFFFFF"/>
            <w:vAlign w:val="bottom"/>
          </w:tcPr>
          <w:p w14:paraId="6611AD47"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489" w:type="pct"/>
            <w:tcBorders>
              <w:left w:val="nil"/>
            </w:tcBorders>
            <w:shd w:val="clear" w:color="auto" w:fill="FFFFFF"/>
            <w:vAlign w:val="bottom"/>
          </w:tcPr>
          <w:p w14:paraId="4F31638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596" w:type="pct"/>
            <w:tcBorders>
              <w:left w:val="nil"/>
            </w:tcBorders>
            <w:shd w:val="clear" w:color="auto" w:fill="FFFFFF"/>
            <w:vAlign w:val="bottom"/>
          </w:tcPr>
          <w:p w14:paraId="34C3C04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18" w:type="pct"/>
            <w:tcBorders>
              <w:left w:val="nil"/>
            </w:tcBorders>
            <w:shd w:val="clear" w:color="auto" w:fill="FFFFFF"/>
            <w:vAlign w:val="bottom"/>
          </w:tcPr>
          <w:p w14:paraId="54B4514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495" w:type="pct"/>
            <w:tcBorders>
              <w:left w:val="nil"/>
            </w:tcBorders>
            <w:shd w:val="clear" w:color="auto" w:fill="FFFFFF"/>
            <w:vAlign w:val="bottom"/>
          </w:tcPr>
          <w:p w14:paraId="249E5FA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589" w:type="pct"/>
            <w:tcBorders>
              <w:left w:val="nil"/>
            </w:tcBorders>
            <w:shd w:val="clear" w:color="auto" w:fill="FFFFFF"/>
            <w:vAlign w:val="bottom"/>
          </w:tcPr>
          <w:p w14:paraId="6AC7EA6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835" w:type="pct"/>
            <w:gridSpan w:val="2"/>
            <w:tcBorders>
              <w:left w:val="nil"/>
            </w:tcBorders>
            <w:shd w:val="clear" w:color="auto" w:fill="FFFFFF"/>
            <w:vAlign w:val="bottom"/>
          </w:tcPr>
          <w:p w14:paraId="127914E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29" w:type="pct"/>
            <w:gridSpan w:val="2"/>
            <w:tcBorders>
              <w:left w:val="nil"/>
              <w:right w:val="nil"/>
            </w:tcBorders>
            <w:shd w:val="clear" w:color="auto" w:fill="FFFFFF"/>
            <w:vAlign w:val="bottom"/>
          </w:tcPr>
          <w:p w14:paraId="4A2338C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3630A114" w14:textId="77777777" w:rsidTr="00255207">
        <w:trPr>
          <w:cantSplit/>
        </w:trPr>
        <w:tc>
          <w:tcPr>
            <w:tcW w:w="549" w:type="pct"/>
            <w:vMerge/>
            <w:tcBorders>
              <w:left w:val="nil"/>
              <w:bottom w:val="nil"/>
              <w:right w:val="nil"/>
            </w:tcBorders>
            <w:shd w:val="clear" w:color="auto" w:fill="FFFFFF"/>
            <w:vAlign w:val="bottom"/>
          </w:tcPr>
          <w:p w14:paraId="54742950"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489" w:type="pct"/>
            <w:tcBorders>
              <w:left w:val="nil"/>
            </w:tcBorders>
            <w:shd w:val="clear" w:color="auto" w:fill="FFFFFF"/>
            <w:vAlign w:val="bottom"/>
          </w:tcPr>
          <w:p w14:paraId="0761D3F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96" w:type="pct"/>
            <w:tcBorders>
              <w:left w:val="nil"/>
            </w:tcBorders>
            <w:shd w:val="clear" w:color="auto" w:fill="FFFFFF"/>
            <w:vAlign w:val="bottom"/>
          </w:tcPr>
          <w:p w14:paraId="4F0D151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8" w:type="pct"/>
            <w:tcBorders>
              <w:left w:val="nil"/>
            </w:tcBorders>
            <w:shd w:val="clear" w:color="auto" w:fill="FFFFFF"/>
            <w:vAlign w:val="bottom"/>
          </w:tcPr>
          <w:p w14:paraId="43EE672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95" w:type="pct"/>
            <w:tcBorders>
              <w:left w:val="nil"/>
            </w:tcBorders>
            <w:shd w:val="clear" w:color="auto" w:fill="FFFFFF"/>
            <w:vAlign w:val="bottom"/>
          </w:tcPr>
          <w:p w14:paraId="2BF7F03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89" w:type="pct"/>
            <w:tcBorders>
              <w:left w:val="nil"/>
            </w:tcBorders>
            <w:shd w:val="clear" w:color="auto" w:fill="FFFFFF"/>
            <w:vAlign w:val="bottom"/>
          </w:tcPr>
          <w:p w14:paraId="61C6B4B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90" w:type="pct"/>
            <w:tcBorders>
              <w:left w:val="nil"/>
              <w:right w:val="nil"/>
            </w:tcBorders>
            <w:shd w:val="clear" w:color="auto" w:fill="FFFFFF"/>
            <w:vAlign w:val="bottom"/>
          </w:tcPr>
          <w:p w14:paraId="1F1072D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5" w:type="pct"/>
            <w:tcBorders>
              <w:left w:val="nil"/>
            </w:tcBorders>
            <w:shd w:val="clear" w:color="auto" w:fill="FFFFFF"/>
            <w:vAlign w:val="bottom"/>
          </w:tcPr>
          <w:p w14:paraId="5512036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490" w:type="pct"/>
            <w:tcBorders>
              <w:left w:val="nil"/>
              <w:right w:val="nil"/>
            </w:tcBorders>
            <w:shd w:val="clear" w:color="auto" w:fill="FFFFFF"/>
            <w:vAlign w:val="bottom"/>
          </w:tcPr>
          <w:p w14:paraId="2F18B4A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0" w:type="pct"/>
            <w:tcBorders>
              <w:left w:val="nil"/>
              <w:right w:val="nil"/>
            </w:tcBorders>
            <w:shd w:val="clear" w:color="auto" w:fill="FFFFFF"/>
            <w:vAlign w:val="bottom"/>
          </w:tcPr>
          <w:p w14:paraId="61D7FDC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123DBA29" w14:textId="77777777" w:rsidTr="00255207">
        <w:trPr>
          <w:cantSplit/>
        </w:trPr>
        <w:tc>
          <w:tcPr>
            <w:tcW w:w="549" w:type="pct"/>
            <w:tcBorders>
              <w:left w:val="nil"/>
              <w:bottom w:val="nil"/>
              <w:right w:val="nil"/>
            </w:tcBorders>
            <w:shd w:val="clear" w:color="auto" w:fill="FFFFFF"/>
          </w:tcPr>
          <w:p w14:paraId="02A03C8F"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SBC1</w:t>
            </w:r>
          </w:p>
        </w:tc>
        <w:tc>
          <w:tcPr>
            <w:tcW w:w="489" w:type="pct"/>
            <w:tcBorders>
              <w:left w:val="nil"/>
              <w:bottom w:val="nil"/>
            </w:tcBorders>
            <w:shd w:val="clear" w:color="auto" w:fill="FFFFFF"/>
          </w:tcPr>
          <w:p w14:paraId="583FE79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596" w:type="pct"/>
            <w:tcBorders>
              <w:left w:val="nil"/>
              <w:bottom w:val="nil"/>
            </w:tcBorders>
            <w:shd w:val="clear" w:color="auto" w:fill="FFFFFF"/>
          </w:tcPr>
          <w:p w14:paraId="26A40A5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18" w:type="pct"/>
            <w:tcBorders>
              <w:left w:val="nil"/>
              <w:bottom w:val="nil"/>
            </w:tcBorders>
            <w:shd w:val="clear" w:color="auto" w:fill="FFFFFF"/>
          </w:tcPr>
          <w:p w14:paraId="7E2E43F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95" w:type="pct"/>
            <w:tcBorders>
              <w:left w:val="nil"/>
              <w:bottom w:val="nil"/>
            </w:tcBorders>
            <w:shd w:val="clear" w:color="auto" w:fill="FFFFFF"/>
          </w:tcPr>
          <w:p w14:paraId="4FF30F3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4.33</w:t>
            </w:r>
          </w:p>
        </w:tc>
        <w:tc>
          <w:tcPr>
            <w:tcW w:w="589" w:type="pct"/>
            <w:tcBorders>
              <w:left w:val="nil"/>
              <w:bottom w:val="nil"/>
            </w:tcBorders>
            <w:shd w:val="clear" w:color="auto" w:fill="FFFFFF"/>
          </w:tcPr>
          <w:p w14:paraId="3A9B5D6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.827</w:t>
            </w:r>
          </w:p>
        </w:tc>
        <w:tc>
          <w:tcPr>
            <w:tcW w:w="490" w:type="pct"/>
            <w:tcBorders>
              <w:left w:val="nil"/>
              <w:bottom w:val="nil"/>
              <w:right w:val="nil"/>
            </w:tcBorders>
            <w:shd w:val="clear" w:color="auto" w:fill="FFFFFF"/>
          </w:tcPr>
          <w:p w14:paraId="755B7A5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-1.155</w:t>
            </w:r>
          </w:p>
        </w:tc>
        <w:tc>
          <w:tcPr>
            <w:tcW w:w="345" w:type="pct"/>
            <w:tcBorders>
              <w:left w:val="nil"/>
              <w:bottom w:val="nil"/>
            </w:tcBorders>
            <w:shd w:val="clear" w:color="auto" w:fill="FFFFFF"/>
          </w:tcPr>
          <w:p w14:paraId="5170EC0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90" w:type="pct"/>
            <w:tcBorders>
              <w:left w:val="nil"/>
              <w:bottom w:val="nil"/>
              <w:right w:val="nil"/>
            </w:tcBorders>
            <w:shd w:val="clear" w:color="auto" w:fill="FFFFFF"/>
          </w:tcPr>
          <w:p w14:paraId="741B26E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.777</w:t>
            </w:r>
          </w:p>
        </w:tc>
        <w:tc>
          <w:tcPr>
            <w:tcW w:w="340" w:type="pct"/>
            <w:tcBorders>
              <w:left w:val="nil"/>
              <w:bottom w:val="nil"/>
              <w:right w:val="nil"/>
            </w:tcBorders>
            <w:shd w:val="clear" w:color="auto" w:fill="FFFFFF"/>
          </w:tcPr>
          <w:p w14:paraId="50B0306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51D92FB2" w14:textId="77777777" w:rsidTr="00255207">
        <w:trPr>
          <w:cantSplit/>
        </w:trPr>
        <w:tc>
          <w:tcPr>
            <w:tcW w:w="549" w:type="pct"/>
            <w:tcBorders>
              <w:top w:val="nil"/>
              <w:left w:val="nil"/>
              <w:bottom w:val="nil"/>
              <w:right w:val="nil"/>
            </w:tcBorders>
            <w:shd w:val="clear" w:color="auto" w:fill="FFFFFF"/>
          </w:tcPr>
          <w:p w14:paraId="651B6918"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SBC2</w:t>
            </w:r>
          </w:p>
        </w:tc>
        <w:tc>
          <w:tcPr>
            <w:tcW w:w="489" w:type="pct"/>
            <w:tcBorders>
              <w:top w:val="nil"/>
              <w:left w:val="nil"/>
              <w:bottom w:val="nil"/>
            </w:tcBorders>
            <w:shd w:val="clear" w:color="auto" w:fill="FFFFFF"/>
          </w:tcPr>
          <w:p w14:paraId="679BB26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596" w:type="pct"/>
            <w:tcBorders>
              <w:top w:val="nil"/>
              <w:left w:val="nil"/>
              <w:bottom w:val="nil"/>
            </w:tcBorders>
            <w:shd w:val="clear" w:color="auto" w:fill="FFFFFF"/>
          </w:tcPr>
          <w:p w14:paraId="5B172C5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18" w:type="pct"/>
            <w:tcBorders>
              <w:top w:val="nil"/>
              <w:left w:val="nil"/>
              <w:bottom w:val="nil"/>
            </w:tcBorders>
            <w:shd w:val="clear" w:color="auto" w:fill="FFFFFF"/>
          </w:tcPr>
          <w:p w14:paraId="230C340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95" w:type="pct"/>
            <w:tcBorders>
              <w:top w:val="nil"/>
              <w:left w:val="nil"/>
              <w:bottom w:val="nil"/>
            </w:tcBorders>
            <w:shd w:val="clear" w:color="auto" w:fill="FFFFFF"/>
          </w:tcPr>
          <w:p w14:paraId="263411F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4.20</w:t>
            </w:r>
          </w:p>
        </w:tc>
        <w:tc>
          <w:tcPr>
            <w:tcW w:w="589" w:type="pct"/>
            <w:tcBorders>
              <w:top w:val="nil"/>
              <w:left w:val="nil"/>
              <w:bottom w:val="nil"/>
            </w:tcBorders>
            <w:shd w:val="clear" w:color="auto" w:fill="FFFFFF"/>
          </w:tcPr>
          <w:p w14:paraId="36A2C18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.501</w:t>
            </w:r>
          </w:p>
        </w:tc>
        <w:tc>
          <w:tcPr>
            <w:tcW w:w="490" w:type="pct"/>
            <w:tcBorders>
              <w:top w:val="nil"/>
              <w:left w:val="nil"/>
              <w:bottom w:val="nil"/>
              <w:right w:val="nil"/>
            </w:tcBorders>
            <w:shd w:val="clear" w:color="auto" w:fill="FFFFFF"/>
          </w:tcPr>
          <w:p w14:paraId="1CE7D8E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-1.100</w:t>
            </w:r>
          </w:p>
        </w:tc>
        <w:tc>
          <w:tcPr>
            <w:tcW w:w="345" w:type="pct"/>
            <w:tcBorders>
              <w:top w:val="nil"/>
              <w:left w:val="nil"/>
              <w:bottom w:val="nil"/>
            </w:tcBorders>
            <w:shd w:val="clear" w:color="auto" w:fill="FFFFFF"/>
          </w:tcPr>
          <w:p w14:paraId="0578BC8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90" w:type="pct"/>
            <w:tcBorders>
              <w:top w:val="nil"/>
              <w:left w:val="nil"/>
              <w:bottom w:val="nil"/>
              <w:right w:val="nil"/>
            </w:tcBorders>
            <w:shd w:val="clear" w:color="auto" w:fill="FFFFFF"/>
          </w:tcPr>
          <w:p w14:paraId="03E48F9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11.493</w:t>
            </w:r>
          </w:p>
        </w:tc>
        <w:tc>
          <w:tcPr>
            <w:tcW w:w="340" w:type="pct"/>
            <w:tcBorders>
              <w:top w:val="nil"/>
              <w:left w:val="nil"/>
              <w:bottom w:val="nil"/>
              <w:right w:val="nil"/>
            </w:tcBorders>
            <w:shd w:val="clear" w:color="auto" w:fill="FFFFFF"/>
          </w:tcPr>
          <w:p w14:paraId="726618F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3961CD39" w14:textId="77777777" w:rsidTr="00255207">
        <w:trPr>
          <w:cantSplit/>
        </w:trPr>
        <w:tc>
          <w:tcPr>
            <w:tcW w:w="549" w:type="pct"/>
            <w:tcBorders>
              <w:top w:val="nil"/>
              <w:left w:val="nil"/>
              <w:bottom w:val="single" w:sz="4" w:space="0" w:color="auto"/>
              <w:right w:val="nil"/>
            </w:tcBorders>
            <w:shd w:val="clear" w:color="auto" w:fill="FFFFFF"/>
          </w:tcPr>
          <w:p w14:paraId="1407A9B1"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SBC3</w:t>
            </w:r>
          </w:p>
        </w:tc>
        <w:tc>
          <w:tcPr>
            <w:tcW w:w="489" w:type="pct"/>
            <w:tcBorders>
              <w:top w:val="nil"/>
              <w:left w:val="nil"/>
              <w:bottom w:val="single" w:sz="4" w:space="0" w:color="auto"/>
            </w:tcBorders>
            <w:shd w:val="clear" w:color="auto" w:fill="FFFFFF"/>
          </w:tcPr>
          <w:p w14:paraId="05059F9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596" w:type="pct"/>
            <w:tcBorders>
              <w:top w:val="nil"/>
              <w:left w:val="nil"/>
              <w:bottom w:val="single" w:sz="4" w:space="0" w:color="auto"/>
            </w:tcBorders>
            <w:shd w:val="clear" w:color="auto" w:fill="FFFFFF"/>
          </w:tcPr>
          <w:p w14:paraId="43C8A88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18" w:type="pct"/>
            <w:tcBorders>
              <w:top w:val="nil"/>
              <w:left w:val="nil"/>
              <w:bottom w:val="single" w:sz="4" w:space="0" w:color="auto"/>
            </w:tcBorders>
            <w:shd w:val="clear" w:color="auto" w:fill="FFFFFF"/>
          </w:tcPr>
          <w:p w14:paraId="03F6AEE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95" w:type="pct"/>
            <w:tcBorders>
              <w:top w:val="nil"/>
              <w:left w:val="nil"/>
              <w:bottom w:val="single" w:sz="4" w:space="0" w:color="auto"/>
            </w:tcBorders>
            <w:shd w:val="clear" w:color="auto" w:fill="FFFFFF"/>
          </w:tcPr>
          <w:p w14:paraId="29A13FB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4.66</w:t>
            </w:r>
          </w:p>
        </w:tc>
        <w:tc>
          <w:tcPr>
            <w:tcW w:w="589" w:type="pct"/>
            <w:tcBorders>
              <w:top w:val="nil"/>
              <w:left w:val="nil"/>
              <w:bottom w:val="single" w:sz="4" w:space="0" w:color="auto"/>
            </w:tcBorders>
            <w:shd w:val="clear" w:color="auto" w:fill="FFFFFF"/>
          </w:tcPr>
          <w:p w14:paraId="2A16413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.637</w:t>
            </w:r>
          </w:p>
        </w:tc>
        <w:tc>
          <w:tcPr>
            <w:tcW w:w="490" w:type="pct"/>
            <w:tcBorders>
              <w:top w:val="nil"/>
              <w:left w:val="nil"/>
              <w:bottom w:val="single" w:sz="4" w:space="0" w:color="auto"/>
              <w:right w:val="nil"/>
            </w:tcBorders>
            <w:shd w:val="clear" w:color="auto" w:fill="FFFFFF"/>
          </w:tcPr>
          <w:p w14:paraId="32D0F73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-2.205</w:t>
            </w:r>
          </w:p>
        </w:tc>
        <w:tc>
          <w:tcPr>
            <w:tcW w:w="345" w:type="pct"/>
            <w:tcBorders>
              <w:top w:val="nil"/>
              <w:left w:val="nil"/>
              <w:bottom w:val="single" w:sz="4" w:space="0" w:color="auto"/>
            </w:tcBorders>
            <w:shd w:val="clear" w:color="auto" w:fill="FFFFFF"/>
          </w:tcPr>
          <w:p w14:paraId="15A87B6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90" w:type="pct"/>
            <w:tcBorders>
              <w:top w:val="nil"/>
              <w:left w:val="nil"/>
              <w:bottom w:val="single" w:sz="4" w:space="0" w:color="auto"/>
              <w:right w:val="nil"/>
            </w:tcBorders>
            <w:shd w:val="clear" w:color="auto" w:fill="FFFFFF"/>
          </w:tcPr>
          <w:p w14:paraId="7B920AE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5.476</w:t>
            </w:r>
          </w:p>
        </w:tc>
        <w:tc>
          <w:tcPr>
            <w:tcW w:w="340" w:type="pct"/>
            <w:tcBorders>
              <w:top w:val="nil"/>
              <w:left w:val="nil"/>
              <w:bottom w:val="single" w:sz="4" w:space="0" w:color="auto"/>
              <w:right w:val="nil"/>
            </w:tcBorders>
            <w:shd w:val="clear" w:color="auto" w:fill="FFFFFF"/>
          </w:tcPr>
          <w:p w14:paraId="2CB8675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780AE243" w14:textId="77777777" w:rsidR="00235425" w:rsidRPr="00B74CF9" w:rsidRDefault="00235425" w:rsidP="00235425">
      <w:pPr>
        <w:autoSpaceDE w:val="0"/>
        <w:autoSpaceDN w:val="0"/>
        <w:adjustRightInd w:val="0"/>
        <w:spacing w:line="400" w:lineRule="atLeast"/>
        <w:jc w:val="left"/>
        <w:rPr>
          <w:rFonts w:cs="Times New Roman"/>
          <w:color w:val="auto"/>
          <w:kern w:val="0"/>
          <w:szCs w:val="24"/>
          <w:lang w:bidi="hi-IN"/>
        </w:rPr>
      </w:pPr>
    </w:p>
    <w:p w14:paraId="54972D62" w14:textId="77777777" w:rsidR="00235425" w:rsidRDefault="00A342BE" w:rsidP="00235425">
      <w:r w:rsidRPr="00A342BE">
        <w:t>The Strain-Based Conflict (SBC) construct brings a statistical profile that aids with a widely reported psychological and bodily fatigue that actively ble</w:t>
      </w:r>
      <w:r>
        <w:t>e</w:t>
      </w:r>
      <w:r w:rsidRPr="00A342BE">
        <w:t xml:space="preserve">ds over into respondents' personal lives. The calculated means are also very high throughout the construct (between 4.20 (SBC2) and 4.66 (SBC3)). This average conveys the impression that the group, on average, is being severely psychologically drained directly due to their clinical and administrative </w:t>
      </w:r>
      <w:r w:rsidRPr="00A342BE">
        <w:lastRenderedPageBreak/>
        <w:t>responsibilities. This variable dispersion index shows a similar and constant occupational strain experience across the board. The standard deviation of SBC1 is 0.827</w:t>
      </w:r>
      <w:r>
        <w:t>,</w:t>
      </w:r>
      <w:r w:rsidRPr="00A342BE">
        <w:t xml:space="preserve"> and the kurtosis is 0.777, suggesting that scores on SBC1 are somewhat distributed but also very heavily skewed towards the high end of the SBC1 scale, with SBC3 showing a skewness of -2.205. The kurtosis value for SBC2 (11.493) further suggests that all the responses may have clustered at the higher end of the continuum. Conceptually, this is deeply connected with the health impairment pathway of the JD-R model that demonstrates that emotional work and pressure decision</w:t>
      </w:r>
      <w:r>
        <w:t>-</w:t>
      </w:r>
      <w:r w:rsidRPr="00A342BE">
        <w:t>making in the current health-care environment erode remaining coping capacity in workers.</w:t>
      </w:r>
    </w:p>
    <w:p w14:paraId="46B4EAFB" w14:textId="77777777" w:rsidR="00235425" w:rsidRPr="00B74CF9" w:rsidRDefault="00DA1B4D" w:rsidP="00DA1B4D">
      <w:pPr>
        <w:pStyle w:val="Caption"/>
        <w:rPr>
          <w:rFonts w:ascii="-webkit-standard" w:hAnsi="-webkit-standard"/>
          <w:color w:val="000000"/>
          <w:sz w:val="27"/>
          <w:szCs w:val="27"/>
        </w:rPr>
      </w:pPr>
      <w:bookmarkStart w:id="54" w:name="_Toc240872626"/>
      <w:r>
        <w:t xml:space="preserve">Table </w:t>
      </w:r>
      <w:r>
        <w:fldChar w:fldCharType="begin"/>
      </w:r>
      <w:r>
        <w:instrText xml:space="preserve"> SEQ Table \* ARABIC </w:instrText>
      </w:r>
      <w:r>
        <w:fldChar w:fldCharType="separate"/>
      </w:r>
      <w:r>
        <w:rPr>
          <w:noProof/>
        </w:rPr>
        <w:t>5</w:t>
      </w:r>
      <w:r>
        <w:fldChar w:fldCharType="end"/>
      </w:r>
      <w:r>
        <w:t xml:space="preserve">: </w:t>
      </w:r>
      <w:r w:rsidR="00235425" w:rsidRPr="00DA1B4D">
        <w:rPr>
          <w:b w:val="0"/>
        </w:rPr>
        <w:t>Behaviour-Based Conflict (BBC)</w:t>
      </w:r>
      <w:bookmarkEnd w:id="54"/>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27B1EC22" w14:textId="77777777" w:rsidTr="00255207">
        <w:trPr>
          <w:cantSplit/>
        </w:trPr>
        <w:tc>
          <w:tcPr>
            <w:tcW w:w="5000" w:type="pct"/>
            <w:gridSpan w:val="10"/>
            <w:tcBorders>
              <w:top w:val="nil"/>
              <w:left w:val="nil"/>
              <w:bottom w:val="nil"/>
              <w:right w:val="nil"/>
            </w:tcBorders>
            <w:shd w:val="clear" w:color="auto" w:fill="FFFFFF"/>
            <w:vAlign w:val="center"/>
          </w:tcPr>
          <w:p w14:paraId="25A78BFB"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5EDBDE10" w14:textId="77777777" w:rsidTr="00A342BE">
        <w:trPr>
          <w:cantSplit/>
        </w:trPr>
        <w:tc>
          <w:tcPr>
            <w:tcW w:w="448" w:type="pct"/>
            <w:vMerge w:val="restart"/>
            <w:tcBorders>
              <w:left w:val="nil"/>
              <w:bottom w:val="nil"/>
              <w:right w:val="nil"/>
            </w:tcBorders>
            <w:shd w:val="clear" w:color="auto" w:fill="FFFFFF"/>
            <w:vAlign w:val="bottom"/>
          </w:tcPr>
          <w:p w14:paraId="6FBCA6EC"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335C8C0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610" w:type="pct"/>
            <w:tcBorders>
              <w:left w:val="nil"/>
            </w:tcBorders>
            <w:shd w:val="clear" w:color="auto" w:fill="FFFFFF"/>
            <w:vAlign w:val="bottom"/>
          </w:tcPr>
          <w:p w14:paraId="00745F0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32" w:type="pct"/>
            <w:tcBorders>
              <w:left w:val="nil"/>
            </w:tcBorders>
            <w:shd w:val="clear" w:color="auto" w:fill="FFFFFF"/>
            <w:vAlign w:val="bottom"/>
          </w:tcPr>
          <w:p w14:paraId="0B6E66C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506" w:type="pct"/>
            <w:tcBorders>
              <w:left w:val="nil"/>
            </w:tcBorders>
            <w:shd w:val="clear" w:color="auto" w:fill="FFFFFF"/>
            <w:vAlign w:val="bottom"/>
          </w:tcPr>
          <w:p w14:paraId="25690AC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602" w:type="pct"/>
            <w:tcBorders>
              <w:left w:val="nil"/>
            </w:tcBorders>
            <w:shd w:val="clear" w:color="auto" w:fill="FFFFFF"/>
            <w:vAlign w:val="bottom"/>
          </w:tcPr>
          <w:p w14:paraId="49D0362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854" w:type="pct"/>
            <w:gridSpan w:val="2"/>
            <w:tcBorders>
              <w:left w:val="nil"/>
            </w:tcBorders>
            <w:shd w:val="clear" w:color="auto" w:fill="FFFFFF"/>
            <w:vAlign w:val="bottom"/>
          </w:tcPr>
          <w:p w14:paraId="53BA1F9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48" w:type="pct"/>
            <w:gridSpan w:val="2"/>
            <w:tcBorders>
              <w:left w:val="nil"/>
              <w:right w:val="nil"/>
            </w:tcBorders>
            <w:shd w:val="clear" w:color="auto" w:fill="FFFFFF"/>
            <w:vAlign w:val="bottom"/>
          </w:tcPr>
          <w:p w14:paraId="2659D20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5BB89C4F" w14:textId="77777777" w:rsidTr="00A342BE">
        <w:trPr>
          <w:cantSplit/>
        </w:trPr>
        <w:tc>
          <w:tcPr>
            <w:tcW w:w="448" w:type="pct"/>
            <w:vMerge/>
            <w:tcBorders>
              <w:left w:val="nil"/>
              <w:bottom w:val="nil"/>
              <w:right w:val="nil"/>
            </w:tcBorders>
            <w:shd w:val="clear" w:color="auto" w:fill="FFFFFF"/>
            <w:vAlign w:val="bottom"/>
          </w:tcPr>
          <w:p w14:paraId="33E3057F"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2756B26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0" w:type="pct"/>
            <w:tcBorders>
              <w:left w:val="nil"/>
            </w:tcBorders>
            <w:shd w:val="clear" w:color="auto" w:fill="FFFFFF"/>
            <w:vAlign w:val="bottom"/>
          </w:tcPr>
          <w:p w14:paraId="4405F387"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32" w:type="pct"/>
            <w:tcBorders>
              <w:left w:val="nil"/>
            </w:tcBorders>
            <w:shd w:val="clear" w:color="auto" w:fill="FFFFFF"/>
            <w:vAlign w:val="bottom"/>
          </w:tcPr>
          <w:p w14:paraId="335C560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6" w:type="pct"/>
            <w:tcBorders>
              <w:left w:val="nil"/>
            </w:tcBorders>
            <w:shd w:val="clear" w:color="auto" w:fill="FFFFFF"/>
            <w:vAlign w:val="bottom"/>
          </w:tcPr>
          <w:p w14:paraId="785D88D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02" w:type="pct"/>
            <w:tcBorders>
              <w:left w:val="nil"/>
            </w:tcBorders>
            <w:shd w:val="clear" w:color="auto" w:fill="FFFFFF"/>
            <w:vAlign w:val="bottom"/>
          </w:tcPr>
          <w:p w14:paraId="375847D9"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1" w:type="pct"/>
            <w:tcBorders>
              <w:left w:val="nil"/>
              <w:right w:val="nil"/>
            </w:tcBorders>
            <w:shd w:val="clear" w:color="auto" w:fill="FFFFFF"/>
            <w:vAlign w:val="bottom"/>
          </w:tcPr>
          <w:p w14:paraId="50C9274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53" w:type="pct"/>
            <w:tcBorders>
              <w:left w:val="nil"/>
            </w:tcBorders>
            <w:shd w:val="clear" w:color="auto" w:fill="FFFFFF"/>
            <w:vAlign w:val="bottom"/>
          </w:tcPr>
          <w:p w14:paraId="4FF4814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501" w:type="pct"/>
            <w:tcBorders>
              <w:left w:val="nil"/>
              <w:right w:val="nil"/>
            </w:tcBorders>
            <w:shd w:val="clear" w:color="auto" w:fill="FFFFFF"/>
            <w:vAlign w:val="bottom"/>
          </w:tcPr>
          <w:p w14:paraId="7211046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7" w:type="pct"/>
            <w:tcBorders>
              <w:left w:val="nil"/>
              <w:right w:val="nil"/>
            </w:tcBorders>
            <w:shd w:val="clear" w:color="auto" w:fill="FFFFFF"/>
            <w:vAlign w:val="bottom"/>
          </w:tcPr>
          <w:p w14:paraId="11E36579"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11422668" w14:textId="77777777" w:rsidTr="00A342BE">
        <w:trPr>
          <w:cantSplit/>
        </w:trPr>
        <w:tc>
          <w:tcPr>
            <w:tcW w:w="448" w:type="pct"/>
            <w:tcBorders>
              <w:left w:val="nil"/>
              <w:bottom w:val="nil"/>
              <w:right w:val="nil"/>
            </w:tcBorders>
            <w:shd w:val="clear" w:color="auto" w:fill="FFFFFF"/>
          </w:tcPr>
          <w:p w14:paraId="54517C3B"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BBC1</w:t>
            </w:r>
          </w:p>
        </w:tc>
        <w:tc>
          <w:tcPr>
            <w:tcW w:w="501" w:type="pct"/>
            <w:tcBorders>
              <w:left w:val="nil"/>
              <w:bottom w:val="nil"/>
            </w:tcBorders>
            <w:shd w:val="clear" w:color="auto" w:fill="FFFFFF"/>
          </w:tcPr>
          <w:p w14:paraId="5517D51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left w:val="nil"/>
              <w:bottom w:val="nil"/>
            </w:tcBorders>
            <w:shd w:val="clear" w:color="auto" w:fill="FFFFFF"/>
          </w:tcPr>
          <w:p w14:paraId="0E570EF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left w:val="nil"/>
              <w:bottom w:val="nil"/>
            </w:tcBorders>
            <w:shd w:val="clear" w:color="auto" w:fill="FFFFFF"/>
          </w:tcPr>
          <w:p w14:paraId="3CE6601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left w:val="nil"/>
              <w:bottom w:val="nil"/>
            </w:tcBorders>
            <w:shd w:val="clear" w:color="auto" w:fill="FFFFFF"/>
          </w:tcPr>
          <w:p w14:paraId="6D003E7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4.80</w:t>
            </w:r>
          </w:p>
        </w:tc>
        <w:tc>
          <w:tcPr>
            <w:tcW w:w="602" w:type="pct"/>
            <w:tcBorders>
              <w:left w:val="nil"/>
              <w:bottom w:val="nil"/>
            </w:tcBorders>
            <w:shd w:val="clear" w:color="auto" w:fill="FFFFFF"/>
          </w:tcPr>
          <w:p w14:paraId="3D68863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.700</w:t>
            </w:r>
          </w:p>
        </w:tc>
        <w:tc>
          <w:tcPr>
            <w:tcW w:w="501" w:type="pct"/>
            <w:tcBorders>
              <w:left w:val="nil"/>
              <w:bottom w:val="nil"/>
              <w:right w:val="nil"/>
            </w:tcBorders>
            <w:shd w:val="clear" w:color="auto" w:fill="FFFFFF"/>
          </w:tcPr>
          <w:p w14:paraId="6DF0B32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-3.551</w:t>
            </w:r>
          </w:p>
        </w:tc>
        <w:tc>
          <w:tcPr>
            <w:tcW w:w="353" w:type="pct"/>
            <w:tcBorders>
              <w:left w:val="nil"/>
              <w:bottom w:val="nil"/>
            </w:tcBorders>
            <w:shd w:val="clear" w:color="auto" w:fill="FFFFFF"/>
          </w:tcPr>
          <w:p w14:paraId="4614F51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left w:val="nil"/>
              <w:bottom w:val="nil"/>
              <w:right w:val="nil"/>
            </w:tcBorders>
            <w:shd w:val="clear" w:color="auto" w:fill="FFFFFF"/>
          </w:tcPr>
          <w:p w14:paraId="2D0A859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11.344</w:t>
            </w:r>
          </w:p>
        </w:tc>
        <w:tc>
          <w:tcPr>
            <w:tcW w:w="347" w:type="pct"/>
            <w:tcBorders>
              <w:left w:val="nil"/>
              <w:bottom w:val="nil"/>
              <w:right w:val="nil"/>
            </w:tcBorders>
            <w:shd w:val="clear" w:color="auto" w:fill="FFFFFF"/>
          </w:tcPr>
          <w:p w14:paraId="07B3A15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23F8D20D" w14:textId="77777777" w:rsidTr="00A342BE">
        <w:trPr>
          <w:cantSplit/>
        </w:trPr>
        <w:tc>
          <w:tcPr>
            <w:tcW w:w="448" w:type="pct"/>
            <w:tcBorders>
              <w:top w:val="nil"/>
              <w:left w:val="nil"/>
              <w:bottom w:val="nil"/>
              <w:right w:val="nil"/>
            </w:tcBorders>
            <w:shd w:val="clear" w:color="auto" w:fill="FFFFFF"/>
          </w:tcPr>
          <w:p w14:paraId="31C83168"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BBC2</w:t>
            </w:r>
          </w:p>
        </w:tc>
        <w:tc>
          <w:tcPr>
            <w:tcW w:w="501" w:type="pct"/>
            <w:tcBorders>
              <w:top w:val="nil"/>
              <w:left w:val="nil"/>
              <w:bottom w:val="nil"/>
            </w:tcBorders>
            <w:shd w:val="clear" w:color="auto" w:fill="FFFFFF"/>
          </w:tcPr>
          <w:p w14:paraId="681C438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nil"/>
            </w:tcBorders>
            <w:shd w:val="clear" w:color="auto" w:fill="FFFFFF"/>
          </w:tcPr>
          <w:p w14:paraId="1F56E58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nil"/>
            </w:tcBorders>
            <w:shd w:val="clear" w:color="auto" w:fill="FFFFFF"/>
          </w:tcPr>
          <w:p w14:paraId="63B096A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nil"/>
            </w:tcBorders>
            <w:shd w:val="clear" w:color="auto" w:fill="FFFFFF"/>
          </w:tcPr>
          <w:p w14:paraId="0890755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3.98</w:t>
            </w:r>
          </w:p>
        </w:tc>
        <w:tc>
          <w:tcPr>
            <w:tcW w:w="602" w:type="pct"/>
            <w:tcBorders>
              <w:top w:val="nil"/>
              <w:left w:val="nil"/>
              <w:bottom w:val="nil"/>
            </w:tcBorders>
            <w:shd w:val="clear" w:color="auto" w:fill="FFFFFF"/>
          </w:tcPr>
          <w:p w14:paraId="28F32B7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.539</w:t>
            </w:r>
          </w:p>
        </w:tc>
        <w:tc>
          <w:tcPr>
            <w:tcW w:w="501" w:type="pct"/>
            <w:tcBorders>
              <w:top w:val="nil"/>
              <w:left w:val="nil"/>
              <w:bottom w:val="nil"/>
              <w:right w:val="nil"/>
            </w:tcBorders>
            <w:shd w:val="clear" w:color="auto" w:fill="FFFFFF"/>
          </w:tcPr>
          <w:p w14:paraId="13D6E39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-3.502</w:t>
            </w:r>
          </w:p>
        </w:tc>
        <w:tc>
          <w:tcPr>
            <w:tcW w:w="353" w:type="pct"/>
            <w:tcBorders>
              <w:top w:val="nil"/>
              <w:left w:val="nil"/>
              <w:bottom w:val="nil"/>
            </w:tcBorders>
            <w:shd w:val="clear" w:color="auto" w:fill="FFFFFF"/>
          </w:tcPr>
          <w:p w14:paraId="35E631F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nil"/>
              <w:right w:val="nil"/>
            </w:tcBorders>
            <w:shd w:val="clear" w:color="auto" w:fill="FFFFFF"/>
          </w:tcPr>
          <w:p w14:paraId="5B185C5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19.901</w:t>
            </w:r>
          </w:p>
        </w:tc>
        <w:tc>
          <w:tcPr>
            <w:tcW w:w="347" w:type="pct"/>
            <w:tcBorders>
              <w:top w:val="nil"/>
              <w:left w:val="nil"/>
              <w:bottom w:val="nil"/>
              <w:right w:val="nil"/>
            </w:tcBorders>
            <w:shd w:val="clear" w:color="auto" w:fill="FFFFFF"/>
          </w:tcPr>
          <w:p w14:paraId="509CA1D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70DD99B2" w14:textId="77777777" w:rsidTr="00A342BE">
        <w:trPr>
          <w:cantSplit/>
        </w:trPr>
        <w:tc>
          <w:tcPr>
            <w:tcW w:w="448" w:type="pct"/>
            <w:tcBorders>
              <w:top w:val="nil"/>
              <w:left w:val="nil"/>
              <w:bottom w:val="single" w:sz="4" w:space="0" w:color="auto"/>
              <w:right w:val="nil"/>
            </w:tcBorders>
            <w:shd w:val="clear" w:color="auto" w:fill="FFFFFF"/>
          </w:tcPr>
          <w:p w14:paraId="1B9F119E"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BBC3</w:t>
            </w:r>
          </w:p>
        </w:tc>
        <w:tc>
          <w:tcPr>
            <w:tcW w:w="501" w:type="pct"/>
            <w:tcBorders>
              <w:top w:val="nil"/>
              <w:left w:val="nil"/>
              <w:bottom w:val="single" w:sz="4" w:space="0" w:color="auto"/>
            </w:tcBorders>
            <w:shd w:val="clear" w:color="auto" w:fill="FFFFFF"/>
          </w:tcPr>
          <w:p w14:paraId="4073AC8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single" w:sz="4" w:space="0" w:color="auto"/>
            </w:tcBorders>
            <w:shd w:val="clear" w:color="auto" w:fill="FFFFFF"/>
          </w:tcPr>
          <w:p w14:paraId="30AE472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top w:val="nil"/>
              <w:left w:val="nil"/>
              <w:bottom w:val="single" w:sz="4" w:space="0" w:color="auto"/>
            </w:tcBorders>
            <w:shd w:val="clear" w:color="auto" w:fill="FFFFFF"/>
          </w:tcPr>
          <w:p w14:paraId="28EC7F0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single" w:sz="4" w:space="0" w:color="auto"/>
            </w:tcBorders>
            <w:shd w:val="clear" w:color="auto" w:fill="FFFFFF"/>
          </w:tcPr>
          <w:p w14:paraId="13D223E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4.81</w:t>
            </w:r>
          </w:p>
        </w:tc>
        <w:tc>
          <w:tcPr>
            <w:tcW w:w="602" w:type="pct"/>
            <w:tcBorders>
              <w:top w:val="nil"/>
              <w:left w:val="nil"/>
              <w:bottom w:val="single" w:sz="4" w:space="0" w:color="auto"/>
            </w:tcBorders>
            <w:shd w:val="clear" w:color="auto" w:fill="FFFFFF"/>
          </w:tcPr>
          <w:p w14:paraId="7FB8587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.605</w:t>
            </w:r>
          </w:p>
        </w:tc>
        <w:tc>
          <w:tcPr>
            <w:tcW w:w="501" w:type="pct"/>
            <w:tcBorders>
              <w:top w:val="nil"/>
              <w:left w:val="nil"/>
              <w:bottom w:val="single" w:sz="4" w:space="0" w:color="auto"/>
              <w:right w:val="nil"/>
            </w:tcBorders>
            <w:shd w:val="clear" w:color="auto" w:fill="FFFFFF"/>
          </w:tcPr>
          <w:p w14:paraId="5E27B21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-3.588</w:t>
            </w:r>
          </w:p>
        </w:tc>
        <w:tc>
          <w:tcPr>
            <w:tcW w:w="353" w:type="pct"/>
            <w:tcBorders>
              <w:top w:val="nil"/>
              <w:left w:val="nil"/>
              <w:bottom w:val="single" w:sz="4" w:space="0" w:color="auto"/>
            </w:tcBorders>
            <w:shd w:val="clear" w:color="auto" w:fill="FFFFFF"/>
          </w:tcPr>
          <w:p w14:paraId="33E8E25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single" w:sz="4" w:space="0" w:color="auto"/>
              <w:right w:val="nil"/>
            </w:tcBorders>
            <w:shd w:val="clear" w:color="auto" w:fill="FFFFFF"/>
          </w:tcPr>
          <w:p w14:paraId="0841163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12.942</w:t>
            </w:r>
          </w:p>
        </w:tc>
        <w:tc>
          <w:tcPr>
            <w:tcW w:w="347" w:type="pct"/>
            <w:tcBorders>
              <w:top w:val="nil"/>
              <w:left w:val="nil"/>
              <w:bottom w:val="single" w:sz="4" w:space="0" w:color="auto"/>
              <w:right w:val="nil"/>
            </w:tcBorders>
            <w:shd w:val="clear" w:color="auto" w:fill="FFFFFF"/>
          </w:tcPr>
          <w:p w14:paraId="43FD8B8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005E2699" w14:textId="77777777" w:rsidR="00235425" w:rsidRPr="00B74CF9" w:rsidRDefault="00A342BE" w:rsidP="00235425">
      <w:pPr>
        <w:rPr>
          <w:rFonts w:cs="Times New Roman"/>
          <w:szCs w:val="24"/>
        </w:rPr>
      </w:pPr>
      <w:r w:rsidRPr="00A342BE">
        <w:t>High levels of agreement on a self-report scale of the psychological problems that come with changing from work-to-home roles. The BBC1 and BBC3 mean scores are high 4.80 and 4.81</w:t>
      </w:r>
      <w:r>
        <w:t>,</w:t>
      </w:r>
      <w:r w:rsidRPr="00A342BE">
        <w:t xml:space="preserve"> respectively and near the absolute ends of the 5-point scale, indicating that clinical staff are continually tested in freeing themselves from highly authoritarian and controlling positions on the ward at home. The distribution of the variable is highly negatively skewed with a distinct leptokurt</w:t>
      </w:r>
      <w:r>
        <w:t>ic</w:t>
      </w:r>
      <w:r w:rsidRPr="00A342BE">
        <w:t xml:space="preserve"> peak. The skewness statistics are between +-3.588 and +-3.502 for all three items, indicating that the chances of low</w:t>
      </w:r>
      <w:r>
        <w:t xml:space="preserve"> </w:t>
      </w:r>
      <w:r w:rsidRPr="00A342BE">
        <w:t xml:space="preserve">scores in this group are small. The Kurtosis values are 11.344 to 19.901; very peaked and unified. This consistency in quantitative results provides a solid </w:t>
      </w:r>
      <w:r w:rsidRPr="00A342BE">
        <w:lastRenderedPageBreak/>
        <w:t>affirmation of measures of work-like conflict that are poorly understood. There is clear evidence from the data that this is a systemic stressor for NHS staff, widening by virtue of the particular characteristics of the behaviours that are demanded by work in healthcare high stress environments.</w:t>
      </w:r>
    </w:p>
    <w:p w14:paraId="36FB6278" w14:textId="77777777" w:rsidR="00235425" w:rsidRPr="00B74CF9" w:rsidRDefault="00DA1B4D" w:rsidP="00DA1B4D">
      <w:pPr>
        <w:pStyle w:val="Caption"/>
        <w:rPr>
          <w:rFonts w:ascii="-webkit-standard" w:hAnsi="-webkit-standard"/>
          <w:color w:val="000000"/>
          <w:sz w:val="27"/>
          <w:szCs w:val="27"/>
        </w:rPr>
      </w:pPr>
      <w:bookmarkStart w:id="55" w:name="_Toc240872627"/>
      <w:r>
        <w:t xml:space="preserve">Table </w:t>
      </w:r>
      <w:r>
        <w:fldChar w:fldCharType="begin"/>
      </w:r>
      <w:r>
        <w:instrText xml:space="preserve"> SEQ Table \* ARABIC </w:instrText>
      </w:r>
      <w:r>
        <w:fldChar w:fldCharType="separate"/>
      </w:r>
      <w:r>
        <w:rPr>
          <w:noProof/>
        </w:rPr>
        <w:t>6</w:t>
      </w:r>
      <w:r>
        <w:fldChar w:fldCharType="end"/>
      </w:r>
      <w:r>
        <w:t xml:space="preserve">: </w:t>
      </w:r>
      <w:r w:rsidR="00235425" w:rsidRPr="00DA1B4D">
        <w:rPr>
          <w:b w:val="0"/>
        </w:rPr>
        <w:t>Workload Intensity (WI)</w:t>
      </w:r>
      <w:bookmarkEnd w:id="55"/>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48"/>
        <w:gridCol w:w="904"/>
        <w:gridCol w:w="1101"/>
        <w:gridCol w:w="1141"/>
        <w:gridCol w:w="914"/>
        <w:gridCol w:w="1173"/>
        <w:gridCol w:w="904"/>
        <w:gridCol w:w="726"/>
        <w:gridCol w:w="904"/>
        <w:gridCol w:w="711"/>
      </w:tblGrid>
      <w:tr w:rsidR="00235425" w:rsidRPr="00B74CF9" w14:paraId="6B386367" w14:textId="77777777" w:rsidTr="00255207">
        <w:trPr>
          <w:cantSplit/>
        </w:trPr>
        <w:tc>
          <w:tcPr>
            <w:tcW w:w="5000" w:type="pct"/>
            <w:gridSpan w:val="10"/>
            <w:tcBorders>
              <w:top w:val="nil"/>
              <w:left w:val="nil"/>
              <w:bottom w:val="nil"/>
              <w:right w:val="nil"/>
            </w:tcBorders>
            <w:shd w:val="clear" w:color="auto" w:fill="FFFFFF"/>
            <w:vAlign w:val="center"/>
          </w:tcPr>
          <w:p w14:paraId="64FD79D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0516AB87" w14:textId="77777777" w:rsidTr="00A342BE">
        <w:trPr>
          <w:cantSplit/>
        </w:trPr>
        <w:tc>
          <w:tcPr>
            <w:tcW w:w="303" w:type="pct"/>
            <w:vMerge w:val="restart"/>
            <w:tcBorders>
              <w:left w:val="nil"/>
              <w:bottom w:val="nil"/>
              <w:right w:val="nil"/>
            </w:tcBorders>
            <w:shd w:val="clear" w:color="auto" w:fill="FFFFFF"/>
            <w:vAlign w:val="bottom"/>
          </w:tcPr>
          <w:p w14:paraId="6D4A63FF"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59EB17F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610" w:type="pct"/>
            <w:tcBorders>
              <w:left w:val="nil"/>
            </w:tcBorders>
            <w:shd w:val="clear" w:color="auto" w:fill="FFFFFF"/>
            <w:vAlign w:val="bottom"/>
          </w:tcPr>
          <w:p w14:paraId="2B03089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32" w:type="pct"/>
            <w:tcBorders>
              <w:left w:val="nil"/>
            </w:tcBorders>
            <w:shd w:val="clear" w:color="auto" w:fill="FFFFFF"/>
            <w:vAlign w:val="bottom"/>
          </w:tcPr>
          <w:p w14:paraId="2E6E5D7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506" w:type="pct"/>
            <w:tcBorders>
              <w:left w:val="nil"/>
            </w:tcBorders>
            <w:shd w:val="clear" w:color="auto" w:fill="FFFFFF"/>
            <w:vAlign w:val="bottom"/>
          </w:tcPr>
          <w:p w14:paraId="5B05077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650" w:type="pct"/>
            <w:tcBorders>
              <w:left w:val="nil"/>
            </w:tcBorders>
            <w:shd w:val="clear" w:color="auto" w:fill="FFFFFF"/>
            <w:vAlign w:val="bottom"/>
          </w:tcPr>
          <w:p w14:paraId="6AFCE4A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902" w:type="pct"/>
            <w:gridSpan w:val="2"/>
            <w:tcBorders>
              <w:left w:val="nil"/>
            </w:tcBorders>
            <w:shd w:val="clear" w:color="auto" w:fill="FFFFFF"/>
            <w:vAlign w:val="bottom"/>
          </w:tcPr>
          <w:p w14:paraId="02DDCFBD"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96" w:type="pct"/>
            <w:gridSpan w:val="2"/>
            <w:tcBorders>
              <w:left w:val="nil"/>
              <w:right w:val="nil"/>
            </w:tcBorders>
            <w:shd w:val="clear" w:color="auto" w:fill="FFFFFF"/>
            <w:vAlign w:val="bottom"/>
          </w:tcPr>
          <w:p w14:paraId="12774820"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756E82B6" w14:textId="77777777" w:rsidTr="00A342BE">
        <w:trPr>
          <w:cantSplit/>
        </w:trPr>
        <w:tc>
          <w:tcPr>
            <w:tcW w:w="303" w:type="pct"/>
            <w:vMerge/>
            <w:tcBorders>
              <w:left w:val="nil"/>
              <w:bottom w:val="nil"/>
              <w:right w:val="nil"/>
            </w:tcBorders>
            <w:shd w:val="clear" w:color="auto" w:fill="FFFFFF"/>
            <w:vAlign w:val="bottom"/>
          </w:tcPr>
          <w:p w14:paraId="51BF117D"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2A0ED22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0" w:type="pct"/>
            <w:tcBorders>
              <w:left w:val="nil"/>
            </w:tcBorders>
            <w:shd w:val="clear" w:color="auto" w:fill="FFFFFF"/>
            <w:vAlign w:val="bottom"/>
          </w:tcPr>
          <w:p w14:paraId="15A0478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32" w:type="pct"/>
            <w:tcBorders>
              <w:left w:val="nil"/>
            </w:tcBorders>
            <w:shd w:val="clear" w:color="auto" w:fill="FFFFFF"/>
            <w:vAlign w:val="bottom"/>
          </w:tcPr>
          <w:p w14:paraId="40E401F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6" w:type="pct"/>
            <w:tcBorders>
              <w:left w:val="nil"/>
            </w:tcBorders>
            <w:shd w:val="clear" w:color="auto" w:fill="FFFFFF"/>
            <w:vAlign w:val="bottom"/>
          </w:tcPr>
          <w:p w14:paraId="062B71D7"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50" w:type="pct"/>
            <w:tcBorders>
              <w:left w:val="nil"/>
            </w:tcBorders>
            <w:shd w:val="clear" w:color="auto" w:fill="FFFFFF"/>
            <w:vAlign w:val="bottom"/>
          </w:tcPr>
          <w:p w14:paraId="4BBAFF2D"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1" w:type="pct"/>
            <w:tcBorders>
              <w:left w:val="nil"/>
              <w:right w:val="nil"/>
            </w:tcBorders>
            <w:shd w:val="clear" w:color="auto" w:fill="FFFFFF"/>
            <w:vAlign w:val="bottom"/>
          </w:tcPr>
          <w:p w14:paraId="5FDC326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02" w:type="pct"/>
            <w:tcBorders>
              <w:left w:val="nil"/>
            </w:tcBorders>
            <w:shd w:val="clear" w:color="auto" w:fill="FFFFFF"/>
            <w:vAlign w:val="bottom"/>
          </w:tcPr>
          <w:p w14:paraId="1D87213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501" w:type="pct"/>
            <w:tcBorders>
              <w:left w:val="nil"/>
              <w:right w:val="nil"/>
            </w:tcBorders>
            <w:shd w:val="clear" w:color="auto" w:fill="FFFFFF"/>
            <w:vAlign w:val="bottom"/>
          </w:tcPr>
          <w:p w14:paraId="6413105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96" w:type="pct"/>
            <w:tcBorders>
              <w:left w:val="nil"/>
              <w:right w:val="nil"/>
            </w:tcBorders>
            <w:shd w:val="clear" w:color="auto" w:fill="FFFFFF"/>
            <w:vAlign w:val="bottom"/>
          </w:tcPr>
          <w:p w14:paraId="4A673BD0"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3138EAAE" w14:textId="77777777" w:rsidTr="00A342BE">
        <w:trPr>
          <w:cantSplit/>
        </w:trPr>
        <w:tc>
          <w:tcPr>
            <w:tcW w:w="303" w:type="pct"/>
            <w:tcBorders>
              <w:left w:val="nil"/>
              <w:bottom w:val="nil"/>
              <w:right w:val="nil"/>
            </w:tcBorders>
            <w:shd w:val="clear" w:color="auto" w:fill="FFFFFF"/>
          </w:tcPr>
          <w:p w14:paraId="2B996C64"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WI1</w:t>
            </w:r>
          </w:p>
        </w:tc>
        <w:tc>
          <w:tcPr>
            <w:tcW w:w="501" w:type="pct"/>
            <w:tcBorders>
              <w:left w:val="nil"/>
              <w:bottom w:val="nil"/>
            </w:tcBorders>
            <w:shd w:val="clear" w:color="auto" w:fill="FFFFFF"/>
          </w:tcPr>
          <w:p w14:paraId="37DFFDF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left w:val="nil"/>
              <w:bottom w:val="nil"/>
            </w:tcBorders>
            <w:shd w:val="clear" w:color="auto" w:fill="FFFFFF"/>
          </w:tcPr>
          <w:p w14:paraId="271DB03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left w:val="nil"/>
              <w:bottom w:val="nil"/>
            </w:tcBorders>
            <w:shd w:val="clear" w:color="auto" w:fill="FFFFFF"/>
          </w:tcPr>
          <w:p w14:paraId="38FDE12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left w:val="nil"/>
              <w:bottom w:val="nil"/>
            </w:tcBorders>
            <w:shd w:val="clear" w:color="auto" w:fill="FFFFFF"/>
          </w:tcPr>
          <w:p w14:paraId="7EB397B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4.82</w:t>
            </w:r>
          </w:p>
        </w:tc>
        <w:tc>
          <w:tcPr>
            <w:tcW w:w="650" w:type="pct"/>
            <w:tcBorders>
              <w:left w:val="nil"/>
              <w:bottom w:val="nil"/>
            </w:tcBorders>
            <w:shd w:val="clear" w:color="auto" w:fill="FFFFFF"/>
          </w:tcPr>
          <w:p w14:paraId="4ACF4B2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.645</w:t>
            </w:r>
          </w:p>
        </w:tc>
        <w:tc>
          <w:tcPr>
            <w:tcW w:w="501" w:type="pct"/>
            <w:tcBorders>
              <w:left w:val="nil"/>
              <w:bottom w:val="nil"/>
              <w:right w:val="nil"/>
            </w:tcBorders>
            <w:shd w:val="clear" w:color="auto" w:fill="FFFFFF"/>
          </w:tcPr>
          <w:p w14:paraId="0D83CA2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-3.714</w:t>
            </w:r>
          </w:p>
        </w:tc>
        <w:tc>
          <w:tcPr>
            <w:tcW w:w="402" w:type="pct"/>
            <w:tcBorders>
              <w:left w:val="nil"/>
              <w:bottom w:val="nil"/>
            </w:tcBorders>
            <w:shd w:val="clear" w:color="auto" w:fill="FFFFFF"/>
          </w:tcPr>
          <w:p w14:paraId="13EEF49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left w:val="nil"/>
              <w:bottom w:val="nil"/>
              <w:right w:val="nil"/>
            </w:tcBorders>
            <w:shd w:val="clear" w:color="auto" w:fill="FFFFFF"/>
          </w:tcPr>
          <w:p w14:paraId="512AF89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12.802</w:t>
            </w:r>
          </w:p>
        </w:tc>
        <w:tc>
          <w:tcPr>
            <w:tcW w:w="396" w:type="pct"/>
            <w:tcBorders>
              <w:left w:val="nil"/>
              <w:bottom w:val="nil"/>
              <w:right w:val="nil"/>
            </w:tcBorders>
            <w:shd w:val="clear" w:color="auto" w:fill="FFFFFF"/>
          </w:tcPr>
          <w:p w14:paraId="788F6C4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70E52E21" w14:textId="77777777" w:rsidTr="00A342BE">
        <w:trPr>
          <w:cantSplit/>
        </w:trPr>
        <w:tc>
          <w:tcPr>
            <w:tcW w:w="303" w:type="pct"/>
            <w:tcBorders>
              <w:top w:val="nil"/>
              <w:left w:val="nil"/>
              <w:bottom w:val="nil"/>
              <w:right w:val="nil"/>
            </w:tcBorders>
            <w:shd w:val="clear" w:color="auto" w:fill="FFFFFF"/>
          </w:tcPr>
          <w:p w14:paraId="6F8FF2CB"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WI2</w:t>
            </w:r>
          </w:p>
        </w:tc>
        <w:tc>
          <w:tcPr>
            <w:tcW w:w="501" w:type="pct"/>
            <w:tcBorders>
              <w:top w:val="nil"/>
              <w:left w:val="nil"/>
              <w:bottom w:val="nil"/>
            </w:tcBorders>
            <w:shd w:val="clear" w:color="auto" w:fill="FFFFFF"/>
          </w:tcPr>
          <w:p w14:paraId="006250E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nil"/>
            </w:tcBorders>
            <w:shd w:val="clear" w:color="auto" w:fill="FFFFFF"/>
          </w:tcPr>
          <w:p w14:paraId="56C7859D"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nil"/>
            </w:tcBorders>
            <w:shd w:val="clear" w:color="auto" w:fill="FFFFFF"/>
          </w:tcPr>
          <w:p w14:paraId="3F5DB8F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nil"/>
            </w:tcBorders>
            <w:shd w:val="clear" w:color="auto" w:fill="FFFFFF"/>
          </w:tcPr>
          <w:p w14:paraId="098ED22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3.91</w:t>
            </w:r>
          </w:p>
        </w:tc>
        <w:tc>
          <w:tcPr>
            <w:tcW w:w="650" w:type="pct"/>
            <w:tcBorders>
              <w:top w:val="nil"/>
              <w:left w:val="nil"/>
              <w:bottom w:val="nil"/>
            </w:tcBorders>
            <w:shd w:val="clear" w:color="auto" w:fill="FFFFFF"/>
          </w:tcPr>
          <w:p w14:paraId="4720C888"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.617</w:t>
            </w:r>
          </w:p>
        </w:tc>
        <w:tc>
          <w:tcPr>
            <w:tcW w:w="501" w:type="pct"/>
            <w:tcBorders>
              <w:top w:val="nil"/>
              <w:left w:val="nil"/>
              <w:bottom w:val="nil"/>
              <w:right w:val="nil"/>
            </w:tcBorders>
            <w:shd w:val="clear" w:color="auto" w:fill="FFFFFF"/>
          </w:tcPr>
          <w:p w14:paraId="4FB9E33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-3.825</w:t>
            </w:r>
          </w:p>
        </w:tc>
        <w:tc>
          <w:tcPr>
            <w:tcW w:w="402" w:type="pct"/>
            <w:tcBorders>
              <w:top w:val="nil"/>
              <w:left w:val="nil"/>
              <w:bottom w:val="nil"/>
            </w:tcBorders>
            <w:shd w:val="clear" w:color="auto" w:fill="FFFFFF"/>
          </w:tcPr>
          <w:p w14:paraId="294FB98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nil"/>
              <w:right w:val="nil"/>
            </w:tcBorders>
            <w:shd w:val="clear" w:color="auto" w:fill="FFFFFF"/>
          </w:tcPr>
          <w:p w14:paraId="728E7C5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16.784</w:t>
            </w:r>
          </w:p>
        </w:tc>
        <w:tc>
          <w:tcPr>
            <w:tcW w:w="396" w:type="pct"/>
            <w:tcBorders>
              <w:top w:val="nil"/>
              <w:left w:val="nil"/>
              <w:bottom w:val="nil"/>
              <w:right w:val="nil"/>
            </w:tcBorders>
            <w:shd w:val="clear" w:color="auto" w:fill="FFFFFF"/>
          </w:tcPr>
          <w:p w14:paraId="5F44E3D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3F56D0E7" w14:textId="77777777" w:rsidTr="00A342BE">
        <w:trPr>
          <w:cantSplit/>
          <w:trHeight w:val="98"/>
        </w:trPr>
        <w:tc>
          <w:tcPr>
            <w:tcW w:w="303" w:type="pct"/>
            <w:tcBorders>
              <w:top w:val="nil"/>
              <w:left w:val="nil"/>
              <w:bottom w:val="single" w:sz="4" w:space="0" w:color="auto"/>
              <w:right w:val="nil"/>
            </w:tcBorders>
            <w:shd w:val="clear" w:color="auto" w:fill="FFFFFF"/>
          </w:tcPr>
          <w:p w14:paraId="23279A55"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WI3</w:t>
            </w:r>
          </w:p>
        </w:tc>
        <w:tc>
          <w:tcPr>
            <w:tcW w:w="501" w:type="pct"/>
            <w:tcBorders>
              <w:top w:val="nil"/>
              <w:left w:val="nil"/>
              <w:bottom w:val="single" w:sz="4" w:space="0" w:color="auto"/>
            </w:tcBorders>
            <w:shd w:val="clear" w:color="auto" w:fill="FFFFFF"/>
          </w:tcPr>
          <w:p w14:paraId="4158698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single" w:sz="4" w:space="0" w:color="auto"/>
            </w:tcBorders>
            <w:shd w:val="clear" w:color="auto" w:fill="FFFFFF"/>
          </w:tcPr>
          <w:p w14:paraId="77D6025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top w:val="nil"/>
              <w:left w:val="nil"/>
              <w:bottom w:val="single" w:sz="4" w:space="0" w:color="auto"/>
            </w:tcBorders>
            <w:shd w:val="clear" w:color="auto" w:fill="FFFFFF"/>
          </w:tcPr>
          <w:p w14:paraId="6823AAD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single" w:sz="4" w:space="0" w:color="auto"/>
            </w:tcBorders>
            <w:shd w:val="clear" w:color="auto" w:fill="FFFFFF"/>
          </w:tcPr>
          <w:p w14:paraId="3B5D52E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4.81</w:t>
            </w:r>
          </w:p>
        </w:tc>
        <w:tc>
          <w:tcPr>
            <w:tcW w:w="650" w:type="pct"/>
            <w:tcBorders>
              <w:top w:val="nil"/>
              <w:left w:val="nil"/>
              <w:bottom w:val="single" w:sz="4" w:space="0" w:color="auto"/>
            </w:tcBorders>
            <w:shd w:val="clear" w:color="auto" w:fill="FFFFFF"/>
          </w:tcPr>
          <w:p w14:paraId="0642DB4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.664</w:t>
            </w:r>
          </w:p>
        </w:tc>
        <w:tc>
          <w:tcPr>
            <w:tcW w:w="501" w:type="pct"/>
            <w:tcBorders>
              <w:top w:val="nil"/>
              <w:left w:val="nil"/>
              <w:bottom w:val="single" w:sz="4" w:space="0" w:color="auto"/>
              <w:right w:val="nil"/>
            </w:tcBorders>
            <w:shd w:val="clear" w:color="auto" w:fill="FFFFFF"/>
          </w:tcPr>
          <w:p w14:paraId="4DE3582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-3.655</w:t>
            </w:r>
          </w:p>
        </w:tc>
        <w:tc>
          <w:tcPr>
            <w:tcW w:w="402" w:type="pct"/>
            <w:tcBorders>
              <w:top w:val="nil"/>
              <w:left w:val="nil"/>
              <w:bottom w:val="single" w:sz="4" w:space="0" w:color="auto"/>
            </w:tcBorders>
            <w:shd w:val="clear" w:color="auto" w:fill="FFFFFF"/>
          </w:tcPr>
          <w:p w14:paraId="25B9F22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single" w:sz="4" w:space="0" w:color="auto"/>
              <w:right w:val="nil"/>
            </w:tcBorders>
            <w:shd w:val="clear" w:color="auto" w:fill="FFFFFF"/>
          </w:tcPr>
          <w:p w14:paraId="698C03D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12.479</w:t>
            </w:r>
          </w:p>
        </w:tc>
        <w:tc>
          <w:tcPr>
            <w:tcW w:w="396" w:type="pct"/>
            <w:tcBorders>
              <w:top w:val="nil"/>
              <w:left w:val="nil"/>
              <w:bottom w:val="single" w:sz="4" w:space="0" w:color="auto"/>
              <w:right w:val="nil"/>
            </w:tcBorders>
            <w:shd w:val="clear" w:color="auto" w:fill="FFFFFF"/>
          </w:tcPr>
          <w:p w14:paraId="3B7CD72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009910AD" w14:textId="77777777" w:rsidR="00235425" w:rsidRPr="00B74CF9" w:rsidRDefault="00A342BE" w:rsidP="00235425">
      <w:pPr>
        <w:rPr>
          <w:rFonts w:cs="Times New Roman"/>
          <w:szCs w:val="24"/>
        </w:rPr>
      </w:pPr>
      <w:r w:rsidRPr="00A342BE">
        <w:t>Using Workload Intensity (WI) as the main structural stress in this study's theory, highly elevated descriptive statistics confirm that there is intense systemic pressure in the NHS. Scatter plots of WI1 (4.82) and WI3 (4.81) mean scores indicate that the workforce is at 100 percent and 100 percent functioning</w:t>
      </w:r>
      <w:r>
        <w:t>,</w:t>
      </w:r>
      <w:r w:rsidRPr="00A342BE">
        <w:t xml:space="preserve"> as it were. They are highly negatively skewed (from -3.655 to -3.825) and have high kurtosis (from 12.479 to 16.784). This is an operational reality, not a statistical freak: The experience of NHS staff in terms of workload is massively distorted, with a very small range between a very high peak</w:t>
      </w:r>
      <w:r>
        <w:t xml:space="preserve"> in the</w:t>
      </w:r>
      <w:r w:rsidRPr="00A342BE">
        <w:t xml:space="preserve"> middle</w:t>
      </w:r>
      <w:r>
        <w:t>,</w:t>
      </w:r>
      <w:r w:rsidRPr="00A342BE">
        <w:t xml:space="preserve"> where virtually everyone is experiencing extreme workload and staff levels </w:t>
      </w:r>
      <w:r>
        <w:t>at</w:t>
      </w:r>
      <w:r w:rsidRPr="00A342BE">
        <w:t xml:space="preserve"> a particular place. Everybody working here feels like their load of daily activities is </w:t>
      </w:r>
      <w:r>
        <w:t>more than</w:t>
      </w:r>
      <w:r w:rsidRPr="00A342BE">
        <w:t xml:space="preserve"> what they are supposed to do</w:t>
      </w:r>
      <w:r>
        <w:t>,</w:t>
      </w:r>
      <w:r w:rsidRPr="00A342BE">
        <w:t xml:space="preserve"> and structure is always less than what's required. This large agreement reiterates the irrefutable fact of ‘intensity of workload' as a strong, ubiquitous environmental factor, so offering a warranted base to examine the efficacy of their organisational actions to counter such needs.</w:t>
      </w:r>
    </w:p>
    <w:p w14:paraId="0B217FC3" w14:textId="77777777" w:rsidR="00235425" w:rsidRPr="00B74CF9" w:rsidRDefault="00DA1B4D" w:rsidP="00DA1B4D">
      <w:pPr>
        <w:pStyle w:val="Caption"/>
        <w:rPr>
          <w:rFonts w:ascii="-webkit-standard" w:hAnsi="-webkit-standard"/>
          <w:color w:val="000000"/>
          <w:sz w:val="27"/>
          <w:szCs w:val="27"/>
        </w:rPr>
      </w:pPr>
      <w:bookmarkStart w:id="56" w:name="_Toc240872628"/>
      <w:r>
        <w:lastRenderedPageBreak/>
        <w:t xml:space="preserve">Table </w:t>
      </w:r>
      <w:r>
        <w:fldChar w:fldCharType="begin"/>
      </w:r>
      <w:r>
        <w:instrText xml:space="preserve"> SEQ Table \* ARABIC </w:instrText>
      </w:r>
      <w:r>
        <w:fldChar w:fldCharType="separate"/>
      </w:r>
      <w:r>
        <w:rPr>
          <w:noProof/>
        </w:rPr>
        <w:t>7</w:t>
      </w:r>
      <w:r>
        <w:fldChar w:fldCharType="end"/>
      </w:r>
      <w:r>
        <w:t xml:space="preserve">: </w:t>
      </w:r>
      <w:r w:rsidR="00235425" w:rsidRPr="00DA1B4D">
        <w:rPr>
          <w:b w:val="0"/>
        </w:rPr>
        <w:t>Managerial Support (MS)</w:t>
      </w:r>
      <w:bookmarkEnd w:id="56"/>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6C994604" w14:textId="77777777" w:rsidTr="00255207">
        <w:trPr>
          <w:cantSplit/>
        </w:trPr>
        <w:tc>
          <w:tcPr>
            <w:tcW w:w="5000" w:type="pct"/>
            <w:gridSpan w:val="10"/>
            <w:tcBorders>
              <w:top w:val="nil"/>
              <w:left w:val="nil"/>
              <w:bottom w:val="nil"/>
              <w:right w:val="nil"/>
            </w:tcBorders>
            <w:shd w:val="clear" w:color="auto" w:fill="FFFFFF"/>
            <w:vAlign w:val="center"/>
          </w:tcPr>
          <w:p w14:paraId="1F2F1730"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0B74E925" w14:textId="77777777" w:rsidTr="00255207">
        <w:trPr>
          <w:cantSplit/>
        </w:trPr>
        <w:tc>
          <w:tcPr>
            <w:tcW w:w="794" w:type="pct"/>
            <w:vMerge w:val="restart"/>
            <w:tcBorders>
              <w:left w:val="nil"/>
              <w:bottom w:val="nil"/>
              <w:right w:val="nil"/>
            </w:tcBorders>
            <w:shd w:val="clear" w:color="auto" w:fill="FFFFFF"/>
            <w:vAlign w:val="bottom"/>
          </w:tcPr>
          <w:p w14:paraId="4F200B24"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412" w:type="pct"/>
            <w:tcBorders>
              <w:left w:val="nil"/>
            </w:tcBorders>
            <w:shd w:val="clear" w:color="auto" w:fill="FFFFFF"/>
            <w:vAlign w:val="bottom"/>
          </w:tcPr>
          <w:p w14:paraId="1B5833B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490" w:type="pct"/>
            <w:tcBorders>
              <w:left w:val="nil"/>
            </w:tcBorders>
            <w:shd w:val="clear" w:color="auto" w:fill="FFFFFF"/>
            <w:vAlign w:val="bottom"/>
          </w:tcPr>
          <w:p w14:paraId="21C543A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509" w:type="pct"/>
            <w:tcBorders>
              <w:left w:val="nil"/>
            </w:tcBorders>
            <w:shd w:val="clear" w:color="auto" w:fill="FFFFFF"/>
            <w:vAlign w:val="bottom"/>
          </w:tcPr>
          <w:p w14:paraId="27C0684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411" w:type="pct"/>
            <w:tcBorders>
              <w:left w:val="nil"/>
            </w:tcBorders>
            <w:shd w:val="clear" w:color="auto" w:fill="FFFFFF"/>
            <w:vAlign w:val="bottom"/>
          </w:tcPr>
          <w:p w14:paraId="1B6C6D9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581" w:type="pct"/>
            <w:tcBorders>
              <w:left w:val="nil"/>
            </w:tcBorders>
            <w:shd w:val="clear" w:color="auto" w:fill="FFFFFF"/>
            <w:vAlign w:val="bottom"/>
          </w:tcPr>
          <w:p w14:paraId="29B5FE5F"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902" w:type="pct"/>
            <w:gridSpan w:val="2"/>
            <w:tcBorders>
              <w:left w:val="nil"/>
            </w:tcBorders>
            <w:shd w:val="clear" w:color="auto" w:fill="FFFFFF"/>
            <w:vAlign w:val="bottom"/>
          </w:tcPr>
          <w:p w14:paraId="45EC504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902" w:type="pct"/>
            <w:gridSpan w:val="2"/>
            <w:tcBorders>
              <w:left w:val="nil"/>
              <w:right w:val="nil"/>
            </w:tcBorders>
            <w:shd w:val="clear" w:color="auto" w:fill="FFFFFF"/>
            <w:vAlign w:val="bottom"/>
          </w:tcPr>
          <w:p w14:paraId="15D0EF3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76D7179D" w14:textId="77777777" w:rsidTr="00255207">
        <w:trPr>
          <w:cantSplit/>
        </w:trPr>
        <w:tc>
          <w:tcPr>
            <w:tcW w:w="794" w:type="pct"/>
            <w:vMerge/>
            <w:tcBorders>
              <w:left w:val="nil"/>
              <w:bottom w:val="nil"/>
              <w:right w:val="nil"/>
            </w:tcBorders>
            <w:shd w:val="clear" w:color="auto" w:fill="FFFFFF"/>
            <w:vAlign w:val="bottom"/>
          </w:tcPr>
          <w:p w14:paraId="1F20E8B7"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412" w:type="pct"/>
            <w:tcBorders>
              <w:left w:val="nil"/>
            </w:tcBorders>
            <w:shd w:val="clear" w:color="auto" w:fill="FFFFFF"/>
            <w:vAlign w:val="bottom"/>
          </w:tcPr>
          <w:p w14:paraId="4C8C77C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90" w:type="pct"/>
            <w:tcBorders>
              <w:left w:val="nil"/>
            </w:tcBorders>
            <w:shd w:val="clear" w:color="auto" w:fill="FFFFFF"/>
            <w:vAlign w:val="bottom"/>
          </w:tcPr>
          <w:p w14:paraId="43DB786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9" w:type="pct"/>
            <w:tcBorders>
              <w:left w:val="nil"/>
            </w:tcBorders>
            <w:shd w:val="clear" w:color="auto" w:fill="FFFFFF"/>
            <w:vAlign w:val="bottom"/>
          </w:tcPr>
          <w:p w14:paraId="55A6542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11" w:type="pct"/>
            <w:tcBorders>
              <w:left w:val="nil"/>
            </w:tcBorders>
            <w:shd w:val="clear" w:color="auto" w:fill="FFFFFF"/>
            <w:vAlign w:val="bottom"/>
          </w:tcPr>
          <w:p w14:paraId="68F7C62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81" w:type="pct"/>
            <w:tcBorders>
              <w:left w:val="nil"/>
            </w:tcBorders>
            <w:shd w:val="clear" w:color="auto" w:fill="FFFFFF"/>
            <w:vAlign w:val="bottom"/>
          </w:tcPr>
          <w:p w14:paraId="047A439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11" w:type="pct"/>
            <w:tcBorders>
              <w:left w:val="nil"/>
              <w:right w:val="nil"/>
            </w:tcBorders>
            <w:shd w:val="clear" w:color="auto" w:fill="FFFFFF"/>
            <w:vAlign w:val="bottom"/>
          </w:tcPr>
          <w:p w14:paraId="617F441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90" w:type="pct"/>
            <w:tcBorders>
              <w:left w:val="nil"/>
            </w:tcBorders>
            <w:shd w:val="clear" w:color="auto" w:fill="FFFFFF"/>
            <w:vAlign w:val="bottom"/>
          </w:tcPr>
          <w:p w14:paraId="6A639FC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411" w:type="pct"/>
            <w:tcBorders>
              <w:left w:val="nil"/>
              <w:right w:val="nil"/>
            </w:tcBorders>
            <w:shd w:val="clear" w:color="auto" w:fill="FFFFFF"/>
            <w:vAlign w:val="bottom"/>
          </w:tcPr>
          <w:p w14:paraId="0AF4D64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490" w:type="pct"/>
            <w:tcBorders>
              <w:left w:val="nil"/>
              <w:right w:val="nil"/>
            </w:tcBorders>
            <w:shd w:val="clear" w:color="auto" w:fill="FFFFFF"/>
            <w:vAlign w:val="bottom"/>
          </w:tcPr>
          <w:p w14:paraId="6DCD44D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5FD5A786" w14:textId="77777777" w:rsidTr="00255207">
        <w:trPr>
          <w:cantSplit/>
        </w:trPr>
        <w:tc>
          <w:tcPr>
            <w:tcW w:w="794" w:type="pct"/>
            <w:tcBorders>
              <w:left w:val="nil"/>
              <w:bottom w:val="nil"/>
              <w:right w:val="nil"/>
            </w:tcBorders>
            <w:shd w:val="clear" w:color="auto" w:fill="FFFFFF"/>
          </w:tcPr>
          <w:p w14:paraId="34B1D9B2"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MS1</w:t>
            </w:r>
          </w:p>
        </w:tc>
        <w:tc>
          <w:tcPr>
            <w:tcW w:w="412" w:type="pct"/>
            <w:tcBorders>
              <w:left w:val="nil"/>
              <w:bottom w:val="nil"/>
            </w:tcBorders>
            <w:shd w:val="clear" w:color="auto" w:fill="FFFFFF"/>
          </w:tcPr>
          <w:p w14:paraId="25F95EA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490" w:type="pct"/>
            <w:tcBorders>
              <w:left w:val="nil"/>
              <w:bottom w:val="nil"/>
            </w:tcBorders>
            <w:shd w:val="clear" w:color="auto" w:fill="FFFFFF"/>
          </w:tcPr>
          <w:p w14:paraId="6AB0F01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509" w:type="pct"/>
            <w:tcBorders>
              <w:left w:val="nil"/>
              <w:bottom w:val="nil"/>
            </w:tcBorders>
            <w:shd w:val="clear" w:color="auto" w:fill="FFFFFF"/>
          </w:tcPr>
          <w:p w14:paraId="20F8019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11" w:type="pct"/>
            <w:tcBorders>
              <w:left w:val="nil"/>
              <w:bottom w:val="nil"/>
            </w:tcBorders>
            <w:shd w:val="clear" w:color="auto" w:fill="FFFFFF"/>
          </w:tcPr>
          <w:p w14:paraId="6560F5A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4.80</w:t>
            </w:r>
          </w:p>
        </w:tc>
        <w:tc>
          <w:tcPr>
            <w:tcW w:w="581" w:type="pct"/>
            <w:tcBorders>
              <w:left w:val="nil"/>
              <w:bottom w:val="nil"/>
            </w:tcBorders>
            <w:shd w:val="clear" w:color="auto" w:fill="FFFFFF"/>
          </w:tcPr>
          <w:p w14:paraId="53BC3F8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.667</w:t>
            </w:r>
          </w:p>
        </w:tc>
        <w:tc>
          <w:tcPr>
            <w:tcW w:w="411" w:type="pct"/>
            <w:tcBorders>
              <w:left w:val="nil"/>
              <w:bottom w:val="nil"/>
              <w:right w:val="nil"/>
            </w:tcBorders>
            <w:shd w:val="clear" w:color="auto" w:fill="FFFFFF"/>
          </w:tcPr>
          <w:p w14:paraId="77DD617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-3.426</w:t>
            </w:r>
          </w:p>
        </w:tc>
        <w:tc>
          <w:tcPr>
            <w:tcW w:w="490" w:type="pct"/>
            <w:tcBorders>
              <w:left w:val="nil"/>
              <w:bottom w:val="nil"/>
            </w:tcBorders>
            <w:shd w:val="clear" w:color="auto" w:fill="FFFFFF"/>
          </w:tcPr>
          <w:p w14:paraId="02F24E5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11" w:type="pct"/>
            <w:tcBorders>
              <w:left w:val="nil"/>
              <w:bottom w:val="nil"/>
              <w:right w:val="nil"/>
            </w:tcBorders>
            <w:shd w:val="clear" w:color="auto" w:fill="FFFFFF"/>
          </w:tcPr>
          <w:p w14:paraId="24B3DCD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10.785</w:t>
            </w:r>
          </w:p>
        </w:tc>
        <w:tc>
          <w:tcPr>
            <w:tcW w:w="490" w:type="pct"/>
            <w:tcBorders>
              <w:left w:val="nil"/>
              <w:bottom w:val="nil"/>
              <w:right w:val="nil"/>
            </w:tcBorders>
            <w:shd w:val="clear" w:color="auto" w:fill="FFFFFF"/>
          </w:tcPr>
          <w:p w14:paraId="232BBBF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43CF216E" w14:textId="77777777" w:rsidTr="00255207">
        <w:trPr>
          <w:cantSplit/>
        </w:trPr>
        <w:tc>
          <w:tcPr>
            <w:tcW w:w="794" w:type="pct"/>
            <w:tcBorders>
              <w:top w:val="nil"/>
              <w:left w:val="nil"/>
              <w:bottom w:val="nil"/>
              <w:right w:val="nil"/>
            </w:tcBorders>
            <w:shd w:val="clear" w:color="auto" w:fill="FFFFFF"/>
          </w:tcPr>
          <w:p w14:paraId="2288A882"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MS2</w:t>
            </w:r>
          </w:p>
        </w:tc>
        <w:tc>
          <w:tcPr>
            <w:tcW w:w="412" w:type="pct"/>
            <w:tcBorders>
              <w:top w:val="nil"/>
              <w:left w:val="nil"/>
              <w:bottom w:val="nil"/>
            </w:tcBorders>
            <w:shd w:val="clear" w:color="auto" w:fill="FFFFFF"/>
          </w:tcPr>
          <w:p w14:paraId="6FB53B1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490" w:type="pct"/>
            <w:tcBorders>
              <w:top w:val="nil"/>
              <w:left w:val="nil"/>
              <w:bottom w:val="nil"/>
            </w:tcBorders>
            <w:shd w:val="clear" w:color="auto" w:fill="FFFFFF"/>
          </w:tcPr>
          <w:p w14:paraId="16AA016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509" w:type="pct"/>
            <w:tcBorders>
              <w:top w:val="nil"/>
              <w:left w:val="nil"/>
              <w:bottom w:val="nil"/>
            </w:tcBorders>
            <w:shd w:val="clear" w:color="auto" w:fill="FFFFFF"/>
          </w:tcPr>
          <w:p w14:paraId="1305CBD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11" w:type="pct"/>
            <w:tcBorders>
              <w:top w:val="nil"/>
              <w:left w:val="nil"/>
              <w:bottom w:val="nil"/>
            </w:tcBorders>
            <w:shd w:val="clear" w:color="auto" w:fill="FFFFFF"/>
          </w:tcPr>
          <w:p w14:paraId="606948F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3.94</w:t>
            </w:r>
          </w:p>
        </w:tc>
        <w:tc>
          <w:tcPr>
            <w:tcW w:w="581" w:type="pct"/>
            <w:tcBorders>
              <w:top w:val="nil"/>
              <w:left w:val="nil"/>
              <w:bottom w:val="nil"/>
            </w:tcBorders>
            <w:shd w:val="clear" w:color="auto" w:fill="FFFFFF"/>
          </w:tcPr>
          <w:p w14:paraId="4220705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.667</w:t>
            </w:r>
          </w:p>
        </w:tc>
        <w:tc>
          <w:tcPr>
            <w:tcW w:w="411" w:type="pct"/>
            <w:tcBorders>
              <w:top w:val="nil"/>
              <w:left w:val="nil"/>
              <w:bottom w:val="nil"/>
              <w:right w:val="nil"/>
            </w:tcBorders>
            <w:shd w:val="clear" w:color="auto" w:fill="FFFFFF"/>
          </w:tcPr>
          <w:p w14:paraId="7181855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-3.157</w:t>
            </w:r>
          </w:p>
        </w:tc>
        <w:tc>
          <w:tcPr>
            <w:tcW w:w="490" w:type="pct"/>
            <w:tcBorders>
              <w:top w:val="nil"/>
              <w:left w:val="nil"/>
              <w:bottom w:val="nil"/>
            </w:tcBorders>
            <w:shd w:val="clear" w:color="auto" w:fill="FFFFFF"/>
          </w:tcPr>
          <w:p w14:paraId="10E4C04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11" w:type="pct"/>
            <w:tcBorders>
              <w:top w:val="nil"/>
              <w:left w:val="nil"/>
              <w:bottom w:val="nil"/>
              <w:right w:val="nil"/>
            </w:tcBorders>
            <w:shd w:val="clear" w:color="auto" w:fill="FFFFFF"/>
          </w:tcPr>
          <w:p w14:paraId="32B2539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12.811</w:t>
            </w:r>
          </w:p>
        </w:tc>
        <w:tc>
          <w:tcPr>
            <w:tcW w:w="490" w:type="pct"/>
            <w:tcBorders>
              <w:top w:val="nil"/>
              <w:left w:val="nil"/>
              <w:bottom w:val="nil"/>
              <w:right w:val="nil"/>
            </w:tcBorders>
            <w:shd w:val="clear" w:color="auto" w:fill="FFFFFF"/>
          </w:tcPr>
          <w:p w14:paraId="7E3EA1B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730F6232" w14:textId="77777777" w:rsidTr="00255207">
        <w:trPr>
          <w:cantSplit/>
        </w:trPr>
        <w:tc>
          <w:tcPr>
            <w:tcW w:w="794" w:type="pct"/>
            <w:tcBorders>
              <w:top w:val="nil"/>
              <w:left w:val="nil"/>
              <w:bottom w:val="single" w:sz="4" w:space="0" w:color="auto"/>
              <w:right w:val="nil"/>
            </w:tcBorders>
            <w:shd w:val="clear" w:color="auto" w:fill="FFFFFF"/>
          </w:tcPr>
          <w:p w14:paraId="7C42501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MS3</w:t>
            </w:r>
          </w:p>
        </w:tc>
        <w:tc>
          <w:tcPr>
            <w:tcW w:w="412" w:type="pct"/>
            <w:tcBorders>
              <w:top w:val="nil"/>
              <w:left w:val="nil"/>
              <w:bottom w:val="single" w:sz="4" w:space="0" w:color="auto"/>
            </w:tcBorders>
            <w:shd w:val="clear" w:color="auto" w:fill="FFFFFF"/>
          </w:tcPr>
          <w:p w14:paraId="1707D8C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490" w:type="pct"/>
            <w:tcBorders>
              <w:top w:val="nil"/>
              <w:left w:val="nil"/>
              <w:bottom w:val="single" w:sz="4" w:space="0" w:color="auto"/>
            </w:tcBorders>
            <w:shd w:val="clear" w:color="auto" w:fill="FFFFFF"/>
          </w:tcPr>
          <w:p w14:paraId="231504E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509" w:type="pct"/>
            <w:tcBorders>
              <w:top w:val="nil"/>
              <w:left w:val="nil"/>
              <w:bottom w:val="single" w:sz="4" w:space="0" w:color="auto"/>
            </w:tcBorders>
            <w:shd w:val="clear" w:color="auto" w:fill="FFFFFF"/>
          </w:tcPr>
          <w:p w14:paraId="786A7A0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411" w:type="pct"/>
            <w:tcBorders>
              <w:top w:val="nil"/>
              <w:left w:val="nil"/>
              <w:bottom w:val="single" w:sz="4" w:space="0" w:color="auto"/>
            </w:tcBorders>
            <w:shd w:val="clear" w:color="auto" w:fill="FFFFFF"/>
          </w:tcPr>
          <w:p w14:paraId="27D8ED8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4.80</w:t>
            </w:r>
          </w:p>
        </w:tc>
        <w:tc>
          <w:tcPr>
            <w:tcW w:w="581" w:type="pct"/>
            <w:tcBorders>
              <w:top w:val="nil"/>
              <w:left w:val="nil"/>
              <w:bottom w:val="single" w:sz="4" w:space="0" w:color="auto"/>
            </w:tcBorders>
            <w:shd w:val="clear" w:color="auto" w:fill="FFFFFF"/>
          </w:tcPr>
          <w:p w14:paraId="481E60A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.678</w:t>
            </w:r>
          </w:p>
        </w:tc>
        <w:tc>
          <w:tcPr>
            <w:tcW w:w="411" w:type="pct"/>
            <w:tcBorders>
              <w:top w:val="nil"/>
              <w:left w:val="nil"/>
              <w:bottom w:val="single" w:sz="4" w:space="0" w:color="auto"/>
              <w:right w:val="nil"/>
            </w:tcBorders>
            <w:shd w:val="clear" w:color="auto" w:fill="FFFFFF"/>
          </w:tcPr>
          <w:p w14:paraId="506E375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-3.815</w:t>
            </w:r>
          </w:p>
        </w:tc>
        <w:tc>
          <w:tcPr>
            <w:tcW w:w="490" w:type="pct"/>
            <w:tcBorders>
              <w:top w:val="nil"/>
              <w:left w:val="nil"/>
              <w:bottom w:val="single" w:sz="4" w:space="0" w:color="auto"/>
            </w:tcBorders>
            <w:shd w:val="clear" w:color="auto" w:fill="FFFFFF"/>
          </w:tcPr>
          <w:p w14:paraId="2F4CD9B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411" w:type="pct"/>
            <w:tcBorders>
              <w:top w:val="nil"/>
              <w:left w:val="nil"/>
              <w:bottom w:val="single" w:sz="4" w:space="0" w:color="auto"/>
              <w:right w:val="nil"/>
            </w:tcBorders>
            <w:shd w:val="clear" w:color="auto" w:fill="FFFFFF"/>
          </w:tcPr>
          <w:p w14:paraId="32484F2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14.601</w:t>
            </w:r>
          </w:p>
        </w:tc>
        <w:tc>
          <w:tcPr>
            <w:tcW w:w="490" w:type="pct"/>
            <w:tcBorders>
              <w:top w:val="nil"/>
              <w:left w:val="nil"/>
              <w:bottom w:val="single" w:sz="4" w:space="0" w:color="auto"/>
              <w:right w:val="nil"/>
            </w:tcBorders>
            <w:shd w:val="clear" w:color="auto" w:fill="FFFFFF"/>
          </w:tcPr>
          <w:p w14:paraId="1B10EAE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30371BAA" w14:textId="77777777" w:rsidR="00235425" w:rsidRPr="00B74CF9" w:rsidRDefault="00235425" w:rsidP="00235425">
      <w:pPr>
        <w:autoSpaceDE w:val="0"/>
        <w:autoSpaceDN w:val="0"/>
        <w:adjustRightInd w:val="0"/>
        <w:spacing w:line="400" w:lineRule="atLeast"/>
        <w:jc w:val="left"/>
        <w:rPr>
          <w:rFonts w:cs="Times New Roman"/>
          <w:color w:val="auto"/>
          <w:kern w:val="0"/>
          <w:szCs w:val="24"/>
          <w:lang w:bidi="hi-IN"/>
        </w:rPr>
      </w:pPr>
    </w:p>
    <w:p w14:paraId="4D2D1A34" w14:textId="77777777" w:rsidR="00235425" w:rsidRDefault="00775C83" w:rsidP="00235425">
      <w:r w:rsidRPr="00775C83">
        <w:t>The descriptive analysis of Managerial Support (MS) shows the respondents to have very similar views of the psychosocial resources offered by their clinical leaders. The mean scores are very strong</w:t>
      </w:r>
      <w:r w:rsidR="00DA1B4D">
        <w:t>,</w:t>
      </w:r>
      <w:r w:rsidRPr="00775C83">
        <w:t xml:space="preserve"> with </w:t>
      </w:r>
      <w:r w:rsidR="00DA1B4D">
        <w:t xml:space="preserve">a </w:t>
      </w:r>
      <w:r w:rsidRPr="00775C83">
        <w:t>mean score of 4.80 for both MS1 and MS3. This points to strong and agreed perceptions among frontline colleagues of the extent of and the significant value of intervention by line management in frontline departments. The distribution of the MS construct is similar to that shown for the job demands variables, reflecting strong consensus. The skewness values range from -3.157 to -3.815, while the kurtosis values are very large (10.785 to 14.601), indicating that the responses are tightly clustered near the skewness' upper limit. This means there are no extreme or polari</w:t>
      </w:r>
      <w:r w:rsidR="002330B6">
        <w:t>s</w:t>
      </w:r>
      <w:r w:rsidRPr="00775C83">
        <w:t>ed perceptions of managerial support amongst participants but a participative shared common experience. This strong and consistent level of perceived organisational support in the model is highly useful in subsequent moderation testing.</w:t>
      </w:r>
    </w:p>
    <w:p w14:paraId="565327BD" w14:textId="77777777" w:rsidR="00235425" w:rsidRPr="00B74CF9" w:rsidRDefault="00DA1B4D" w:rsidP="00DA1B4D">
      <w:pPr>
        <w:pStyle w:val="Caption"/>
        <w:rPr>
          <w:rFonts w:ascii="-webkit-standard" w:hAnsi="-webkit-standard"/>
          <w:color w:val="000000"/>
          <w:sz w:val="27"/>
          <w:szCs w:val="27"/>
        </w:rPr>
      </w:pPr>
      <w:bookmarkStart w:id="57" w:name="_Toc240872629"/>
      <w:r>
        <w:t xml:space="preserve">Table </w:t>
      </w:r>
      <w:r>
        <w:fldChar w:fldCharType="begin"/>
      </w:r>
      <w:r>
        <w:instrText xml:space="preserve"> SEQ Table \* ARABIC </w:instrText>
      </w:r>
      <w:r>
        <w:fldChar w:fldCharType="separate"/>
      </w:r>
      <w:r>
        <w:rPr>
          <w:noProof/>
        </w:rPr>
        <w:t>8</w:t>
      </w:r>
      <w:r>
        <w:fldChar w:fldCharType="end"/>
      </w:r>
      <w:r>
        <w:t xml:space="preserve">: </w:t>
      </w:r>
      <w:r w:rsidR="00235425" w:rsidRPr="00DA1B4D">
        <w:rPr>
          <w:b w:val="0"/>
        </w:rPr>
        <w:t>Flexible Working Arrangements (FWA)</w:t>
      </w:r>
      <w:bookmarkEnd w:id="57"/>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59CE59E1" w14:textId="77777777" w:rsidTr="00255207">
        <w:trPr>
          <w:cantSplit/>
        </w:trPr>
        <w:tc>
          <w:tcPr>
            <w:tcW w:w="5000" w:type="pct"/>
            <w:gridSpan w:val="10"/>
            <w:tcBorders>
              <w:top w:val="nil"/>
              <w:left w:val="nil"/>
              <w:bottom w:val="nil"/>
              <w:right w:val="nil"/>
            </w:tcBorders>
            <w:shd w:val="clear" w:color="auto" w:fill="FFFFFF"/>
            <w:vAlign w:val="center"/>
          </w:tcPr>
          <w:p w14:paraId="4F28583F"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77CEDC0C" w14:textId="77777777" w:rsidTr="00775C83">
        <w:trPr>
          <w:cantSplit/>
        </w:trPr>
        <w:tc>
          <w:tcPr>
            <w:tcW w:w="448" w:type="pct"/>
            <w:vMerge w:val="restart"/>
            <w:tcBorders>
              <w:left w:val="nil"/>
              <w:bottom w:val="nil"/>
              <w:right w:val="nil"/>
            </w:tcBorders>
            <w:shd w:val="clear" w:color="auto" w:fill="FFFFFF"/>
            <w:vAlign w:val="bottom"/>
          </w:tcPr>
          <w:p w14:paraId="5C5AE347"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25CE132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610" w:type="pct"/>
            <w:tcBorders>
              <w:left w:val="nil"/>
            </w:tcBorders>
            <w:shd w:val="clear" w:color="auto" w:fill="FFFFFF"/>
            <w:vAlign w:val="bottom"/>
          </w:tcPr>
          <w:p w14:paraId="6DC0A7E3"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32" w:type="pct"/>
            <w:tcBorders>
              <w:left w:val="nil"/>
            </w:tcBorders>
            <w:shd w:val="clear" w:color="auto" w:fill="FFFFFF"/>
            <w:vAlign w:val="bottom"/>
          </w:tcPr>
          <w:p w14:paraId="12F5939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506" w:type="pct"/>
            <w:tcBorders>
              <w:left w:val="nil"/>
            </w:tcBorders>
            <w:shd w:val="clear" w:color="auto" w:fill="FFFFFF"/>
            <w:vAlign w:val="bottom"/>
          </w:tcPr>
          <w:p w14:paraId="722B154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602" w:type="pct"/>
            <w:tcBorders>
              <w:left w:val="nil"/>
            </w:tcBorders>
            <w:shd w:val="clear" w:color="auto" w:fill="FFFFFF"/>
            <w:vAlign w:val="bottom"/>
          </w:tcPr>
          <w:p w14:paraId="79DC9C2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854" w:type="pct"/>
            <w:gridSpan w:val="2"/>
            <w:tcBorders>
              <w:left w:val="nil"/>
            </w:tcBorders>
            <w:shd w:val="clear" w:color="auto" w:fill="FFFFFF"/>
            <w:vAlign w:val="bottom"/>
          </w:tcPr>
          <w:p w14:paraId="1F5EC60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48" w:type="pct"/>
            <w:gridSpan w:val="2"/>
            <w:tcBorders>
              <w:left w:val="nil"/>
              <w:right w:val="nil"/>
            </w:tcBorders>
            <w:shd w:val="clear" w:color="auto" w:fill="FFFFFF"/>
            <w:vAlign w:val="bottom"/>
          </w:tcPr>
          <w:p w14:paraId="11E0CAC0"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56EDA597" w14:textId="77777777" w:rsidTr="00775C83">
        <w:trPr>
          <w:cantSplit/>
        </w:trPr>
        <w:tc>
          <w:tcPr>
            <w:tcW w:w="448" w:type="pct"/>
            <w:vMerge/>
            <w:tcBorders>
              <w:left w:val="nil"/>
              <w:bottom w:val="nil"/>
              <w:right w:val="nil"/>
            </w:tcBorders>
            <w:shd w:val="clear" w:color="auto" w:fill="FFFFFF"/>
            <w:vAlign w:val="bottom"/>
          </w:tcPr>
          <w:p w14:paraId="55DCB052"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0E650C4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0" w:type="pct"/>
            <w:tcBorders>
              <w:left w:val="nil"/>
            </w:tcBorders>
            <w:shd w:val="clear" w:color="auto" w:fill="FFFFFF"/>
            <w:vAlign w:val="bottom"/>
          </w:tcPr>
          <w:p w14:paraId="559525D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32" w:type="pct"/>
            <w:tcBorders>
              <w:left w:val="nil"/>
            </w:tcBorders>
            <w:shd w:val="clear" w:color="auto" w:fill="FFFFFF"/>
            <w:vAlign w:val="bottom"/>
          </w:tcPr>
          <w:p w14:paraId="55D949FF"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6" w:type="pct"/>
            <w:tcBorders>
              <w:left w:val="nil"/>
            </w:tcBorders>
            <w:shd w:val="clear" w:color="auto" w:fill="FFFFFF"/>
            <w:vAlign w:val="bottom"/>
          </w:tcPr>
          <w:p w14:paraId="0BF8B1E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02" w:type="pct"/>
            <w:tcBorders>
              <w:left w:val="nil"/>
            </w:tcBorders>
            <w:shd w:val="clear" w:color="auto" w:fill="FFFFFF"/>
            <w:vAlign w:val="bottom"/>
          </w:tcPr>
          <w:p w14:paraId="5ECCA9F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1" w:type="pct"/>
            <w:tcBorders>
              <w:left w:val="nil"/>
              <w:right w:val="nil"/>
            </w:tcBorders>
            <w:shd w:val="clear" w:color="auto" w:fill="FFFFFF"/>
            <w:vAlign w:val="bottom"/>
          </w:tcPr>
          <w:p w14:paraId="6CA1C039"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53" w:type="pct"/>
            <w:tcBorders>
              <w:left w:val="nil"/>
            </w:tcBorders>
            <w:shd w:val="clear" w:color="auto" w:fill="FFFFFF"/>
            <w:vAlign w:val="bottom"/>
          </w:tcPr>
          <w:p w14:paraId="145833D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501" w:type="pct"/>
            <w:tcBorders>
              <w:left w:val="nil"/>
              <w:right w:val="nil"/>
            </w:tcBorders>
            <w:shd w:val="clear" w:color="auto" w:fill="FFFFFF"/>
            <w:vAlign w:val="bottom"/>
          </w:tcPr>
          <w:p w14:paraId="16C9463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7" w:type="pct"/>
            <w:tcBorders>
              <w:left w:val="nil"/>
              <w:right w:val="nil"/>
            </w:tcBorders>
            <w:shd w:val="clear" w:color="auto" w:fill="FFFFFF"/>
            <w:vAlign w:val="bottom"/>
          </w:tcPr>
          <w:p w14:paraId="4297DC5D"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595C5F60" w14:textId="77777777" w:rsidTr="00775C83">
        <w:trPr>
          <w:cantSplit/>
        </w:trPr>
        <w:tc>
          <w:tcPr>
            <w:tcW w:w="448" w:type="pct"/>
            <w:tcBorders>
              <w:left w:val="nil"/>
              <w:bottom w:val="nil"/>
              <w:right w:val="nil"/>
            </w:tcBorders>
            <w:shd w:val="clear" w:color="auto" w:fill="FFFFFF"/>
          </w:tcPr>
          <w:p w14:paraId="75F66878"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FWA1</w:t>
            </w:r>
          </w:p>
        </w:tc>
        <w:tc>
          <w:tcPr>
            <w:tcW w:w="501" w:type="pct"/>
            <w:tcBorders>
              <w:left w:val="nil"/>
              <w:bottom w:val="nil"/>
            </w:tcBorders>
            <w:shd w:val="clear" w:color="auto" w:fill="FFFFFF"/>
          </w:tcPr>
          <w:p w14:paraId="0912C2E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left w:val="nil"/>
              <w:bottom w:val="nil"/>
            </w:tcBorders>
            <w:shd w:val="clear" w:color="auto" w:fill="FFFFFF"/>
          </w:tcPr>
          <w:p w14:paraId="2FCBBC6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left w:val="nil"/>
              <w:bottom w:val="nil"/>
            </w:tcBorders>
            <w:shd w:val="clear" w:color="auto" w:fill="FFFFFF"/>
          </w:tcPr>
          <w:p w14:paraId="3607CD3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left w:val="nil"/>
              <w:bottom w:val="nil"/>
            </w:tcBorders>
            <w:shd w:val="clear" w:color="auto" w:fill="FFFFFF"/>
          </w:tcPr>
          <w:p w14:paraId="6459160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4.79</w:t>
            </w:r>
          </w:p>
        </w:tc>
        <w:tc>
          <w:tcPr>
            <w:tcW w:w="602" w:type="pct"/>
            <w:tcBorders>
              <w:left w:val="nil"/>
              <w:bottom w:val="nil"/>
            </w:tcBorders>
            <w:shd w:val="clear" w:color="auto" w:fill="FFFFFF"/>
          </w:tcPr>
          <w:p w14:paraId="48AF740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.713</w:t>
            </w:r>
          </w:p>
        </w:tc>
        <w:tc>
          <w:tcPr>
            <w:tcW w:w="501" w:type="pct"/>
            <w:tcBorders>
              <w:left w:val="nil"/>
              <w:bottom w:val="nil"/>
              <w:right w:val="nil"/>
            </w:tcBorders>
            <w:shd w:val="clear" w:color="auto" w:fill="FFFFFF"/>
          </w:tcPr>
          <w:p w14:paraId="0E02BD5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-3.680</w:t>
            </w:r>
          </w:p>
        </w:tc>
        <w:tc>
          <w:tcPr>
            <w:tcW w:w="353" w:type="pct"/>
            <w:tcBorders>
              <w:left w:val="nil"/>
              <w:bottom w:val="nil"/>
            </w:tcBorders>
            <w:shd w:val="clear" w:color="auto" w:fill="FFFFFF"/>
          </w:tcPr>
          <w:p w14:paraId="1A27283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left w:val="nil"/>
              <w:bottom w:val="nil"/>
              <w:right w:val="nil"/>
            </w:tcBorders>
            <w:shd w:val="clear" w:color="auto" w:fill="FFFFFF"/>
          </w:tcPr>
          <w:p w14:paraId="6B3ED63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13.019</w:t>
            </w:r>
          </w:p>
        </w:tc>
        <w:tc>
          <w:tcPr>
            <w:tcW w:w="347" w:type="pct"/>
            <w:tcBorders>
              <w:left w:val="nil"/>
              <w:bottom w:val="nil"/>
              <w:right w:val="nil"/>
            </w:tcBorders>
            <w:shd w:val="clear" w:color="auto" w:fill="FFFFFF"/>
          </w:tcPr>
          <w:p w14:paraId="64ACEF1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07314530" w14:textId="77777777" w:rsidTr="00775C83">
        <w:trPr>
          <w:cantSplit/>
        </w:trPr>
        <w:tc>
          <w:tcPr>
            <w:tcW w:w="448" w:type="pct"/>
            <w:tcBorders>
              <w:top w:val="nil"/>
              <w:left w:val="nil"/>
              <w:bottom w:val="nil"/>
              <w:right w:val="nil"/>
            </w:tcBorders>
            <w:shd w:val="clear" w:color="auto" w:fill="FFFFFF"/>
          </w:tcPr>
          <w:p w14:paraId="47C3DDE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FWA2</w:t>
            </w:r>
          </w:p>
        </w:tc>
        <w:tc>
          <w:tcPr>
            <w:tcW w:w="501" w:type="pct"/>
            <w:tcBorders>
              <w:top w:val="nil"/>
              <w:left w:val="nil"/>
              <w:bottom w:val="nil"/>
            </w:tcBorders>
            <w:shd w:val="clear" w:color="auto" w:fill="FFFFFF"/>
          </w:tcPr>
          <w:p w14:paraId="40250D0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nil"/>
            </w:tcBorders>
            <w:shd w:val="clear" w:color="auto" w:fill="FFFFFF"/>
          </w:tcPr>
          <w:p w14:paraId="6871E07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nil"/>
            </w:tcBorders>
            <w:shd w:val="clear" w:color="auto" w:fill="FFFFFF"/>
          </w:tcPr>
          <w:p w14:paraId="73BE33E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nil"/>
            </w:tcBorders>
            <w:shd w:val="clear" w:color="auto" w:fill="FFFFFF"/>
          </w:tcPr>
          <w:p w14:paraId="62D97DC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3.93</w:t>
            </w:r>
          </w:p>
        </w:tc>
        <w:tc>
          <w:tcPr>
            <w:tcW w:w="602" w:type="pct"/>
            <w:tcBorders>
              <w:top w:val="nil"/>
              <w:left w:val="nil"/>
              <w:bottom w:val="nil"/>
            </w:tcBorders>
            <w:shd w:val="clear" w:color="auto" w:fill="FFFFFF"/>
          </w:tcPr>
          <w:p w14:paraId="4CBC28D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.665</w:t>
            </w:r>
          </w:p>
        </w:tc>
        <w:tc>
          <w:tcPr>
            <w:tcW w:w="501" w:type="pct"/>
            <w:tcBorders>
              <w:top w:val="nil"/>
              <w:left w:val="nil"/>
              <w:bottom w:val="nil"/>
              <w:right w:val="nil"/>
            </w:tcBorders>
            <w:shd w:val="clear" w:color="auto" w:fill="FFFFFF"/>
          </w:tcPr>
          <w:p w14:paraId="6978AF1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-3.162</w:t>
            </w:r>
          </w:p>
        </w:tc>
        <w:tc>
          <w:tcPr>
            <w:tcW w:w="353" w:type="pct"/>
            <w:tcBorders>
              <w:top w:val="nil"/>
              <w:left w:val="nil"/>
              <w:bottom w:val="nil"/>
            </w:tcBorders>
            <w:shd w:val="clear" w:color="auto" w:fill="FFFFFF"/>
          </w:tcPr>
          <w:p w14:paraId="55E26C3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nil"/>
              <w:right w:val="nil"/>
            </w:tcBorders>
            <w:shd w:val="clear" w:color="auto" w:fill="FFFFFF"/>
          </w:tcPr>
          <w:p w14:paraId="6A5E1F7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12.641</w:t>
            </w:r>
          </w:p>
        </w:tc>
        <w:tc>
          <w:tcPr>
            <w:tcW w:w="347" w:type="pct"/>
            <w:tcBorders>
              <w:top w:val="nil"/>
              <w:left w:val="nil"/>
              <w:bottom w:val="nil"/>
              <w:right w:val="nil"/>
            </w:tcBorders>
            <w:shd w:val="clear" w:color="auto" w:fill="FFFFFF"/>
          </w:tcPr>
          <w:p w14:paraId="37E92B5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794A0D7F" w14:textId="77777777" w:rsidTr="00775C83">
        <w:trPr>
          <w:cantSplit/>
        </w:trPr>
        <w:tc>
          <w:tcPr>
            <w:tcW w:w="448" w:type="pct"/>
            <w:tcBorders>
              <w:top w:val="nil"/>
              <w:left w:val="nil"/>
              <w:bottom w:val="single" w:sz="4" w:space="0" w:color="auto"/>
              <w:right w:val="nil"/>
            </w:tcBorders>
            <w:shd w:val="clear" w:color="auto" w:fill="FFFFFF"/>
          </w:tcPr>
          <w:p w14:paraId="0837F0F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FWA3</w:t>
            </w:r>
          </w:p>
        </w:tc>
        <w:tc>
          <w:tcPr>
            <w:tcW w:w="501" w:type="pct"/>
            <w:tcBorders>
              <w:top w:val="nil"/>
              <w:left w:val="nil"/>
              <w:bottom w:val="single" w:sz="4" w:space="0" w:color="auto"/>
            </w:tcBorders>
            <w:shd w:val="clear" w:color="auto" w:fill="FFFFFF"/>
          </w:tcPr>
          <w:p w14:paraId="65242C3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single" w:sz="4" w:space="0" w:color="auto"/>
            </w:tcBorders>
            <w:shd w:val="clear" w:color="auto" w:fill="FFFFFF"/>
          </w:tcPr>
          <w:p w14:paraId="37C116D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single" w:sz="4" w:space="0" w:color="auto"/>
            </w:tcBorders>
            <w:shd w:val="clear" w:color="auto" w:fill="FFFFFF"/>
          </w:tcPr>
          <w:p w14:paraId="05952BC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single" w:sz="4" w:space="0" w:color="auto"/>
            </w:tcBorders>
            <w:shd w:val="clear" w:color="auto" w:fill="FFFFFF"/>
          </w:tcPr>
          <w:p w14:paraId="46BDB26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4.78</w:t>
            </w:r>
          </w:p>
        </w:tc>
        <w:tc>
          <w:tcPr>
            <w:tcW w:w="602" w:type="pct"/>
            <w:tcBorders>
              <w:top w:val="nil"/>
              <w:left w:val="nil"/>
              <w:bottom w:val="single" w:sz="4" w:space="0" w:color="auto"/>
            </w:tcBorders>
            <w:shd w:val="clear" w:color="auto" w:fill="FFFFFF"/>
          </w:tcPr>
          <w:p w14:paraId="767136C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.687</w:t>
            </w:r>
          </w:p>
        </w:tc>
        <w:tc>
          <w:tcPr>
            <w:tcW w:w="501" w:type="pct"/>
            <w:tcBorders>
              <w:top w:val="nil"/>
              <w:left w:val="nil"/>
              <w:bottom w:val="single" w:sz="4" w:space="0" w:color="auto"/>
              <w:right w:val="nil"/>
            </w:tcBorders>
            <w:shd w:val="clear" w:color="auto" w:fill="FFFFFF"/>
          </w:tcPr>
          <w:p w14:paraId="7050A1E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-3.597</w:t>
            </w:r>
          </w:p>
        </w:tc>
        <w:tc>
          <w:tcPr>
            <w:tcW w:w="353" w:type="pct"/>
            <w:tcBorders>
              <w:top w:val="nil"/>
              <w:left w:val="nil"/>
              <w:bottom w:val="single" w:sz="4" w:space="0" w:color="auto"/>
            </w:tcBorders>
            <w:shd w:val="clear" w:color="auto" w:fill="FFFFFF"/>
          </w:tcPr>
          <w:p w14:paraId="605FFAC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single" w:sz="4" w:space="0" w:color="auto"/>
              <w:right w:val="nil"/>
            </w:tcBorders>
            <w:shd w:val="clear" w:color="auto" w:fill="FFFFFF"/>
          </w:tcPr>
          <w:p w14:paraId="5D237DE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13.204</w:t>
            </w:r>
          </w:p>
        </w:tc>
        <w:tc>
          <w:tcPr>
            <w:tcW w:w="347" w:type="pct"/>
            <w:tcBorders>
              <w:top w:val="nil"/>
              <w:left w:val="nil"/>
              <w:bottom w:val="single" w:sz="4" w:space="0" w:color="auto"/>
              <w:right w:val="nil"/>
            </w:tcBorders>
            <w:shd w:val="clear" w:color="auto" w:fill="FFFFFF"/>
          </w:tcPr>
          <w:p w14:paraId="35A0EA5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28F4CCCE" w14:textId="77777777" w:rsidR="00235425" w:rsidRPr="00B74CF9" w:rsidRDefault="00775C83" w:rsidP="00775C83">
      <w:pPr>
        <w:rPr>
          <w:rFonts w:cs="Times New Roman"/>
          <w:szCs w:val="24"/>
        </w:rPr>
      </w:pPr>
      <w:r>
        <w:t>The descriptive statistics for Flexible Working Arrangements (FWA) highlight the vital role of structure and control over the schedule of the sampled workforce. Central tendencies are clearly higher, with a mean score of 4.79 for FWA1 and 4.78 for FWA3. These mean scores are high and clearly show that the flexible rostering concept was agreed to as a whole group. Like the other measures in this data set, the FWA construct shows an extremely non-normal distribution. The range of skewness varies from -3.162 to -3.680, while the kurtosis is extremely peaked, ranging from 12.641 to 13.204. Moreover, there is a narrow range of standard deviation (0.665 to 0.713), indicating minimal real variation in the answers given by participants. This suggests that the opinion within this sample was very similar, regardless of role and trust type. The finding of high levels of interest or need for flexible working was confirmed empirically, as a universal, foundational expectation of the whole contemporary NHS workforce.</w:t>
      </w:r>
    </w:p>
    <w:p w14:paraId="5261C47D" w14:textId="77777777" w:rsidR="00235425" w:rsidRPr="00B74CF9" w:rsidRDefault="00DA1B4D" w:rsidP="00DA1B4D">
      <w:pPr>
        <w:pStyle w:val="Caption"/>
        <w:rPr>
          <w:rFonts w:cs="Times New Roman"/>
          <w:color w:val="auto"/>
          <w:kern w:val="0"/>
          <w:szCs w:val="24"/>
          <w:lang w:bidi="hi-IN"/>
        </w:rPr>
      </w:pPr>
      <w:bookmarkStart w:id="58" w:name="_Toc240872630"/>
      <w:r>
        <w:t xml:space="preserve">Table </w:t>
      </w:r>
      <w:r>
        <w:fldChar w:fldCharType="begin"/>
      </w:r>
      <w:r>
        <w:instrText xml:space="preserve"> SEQ Table \* ARABIC </w:instrText>
      </w:r>
      <w:r>
        <w:fldChar w:fldCharType="separate"/>
      </w:r>
      <w:r>
        <w:rPr>
          <w:noProof/>
        </w:rPr>
        <w:t>9</w:t>
      </w:r>
      <w:r>
        <w:fldChar w:fldCharType="end"/>
      </w:r>
      <w:r>
        <w:t xml:space="preserve">: </w:t>
      </w:r>
      <w:r w:rsidR="00235425" w:rsidRPr="00DA1B4D">
        <w:rPr>
          <w:b w:val="0"/>
        </w:rPr>
        <w:t>Turnover Intention (TI)</w:t>
      </w:r>
      <w:bookmarkEnd w:id="58"/>
      <w:r w:rsidR="00235425">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8"/>
        <w:gridCol w:w="904"/>
        <w:gridCol w:w="1101"/>
        <w:gridCol w:w="1140"/>
        <w:gridCol w:w="914"/>
        <w:gridCol w:w="1087"/>
        <w:gridCol w:w="904"/>
        <w:gridCol w:w="637"/>
        <w:gridCol w:w="904"/>
        <w:gridCol w:w="627"/>
      </w:tblGrid>
      <w:tr w:rsidR="00235425" w:rsidRPr="00B74CF9" w14:paraId="4151E953" w14:textId="77777777" w:rsidTr="00255207">
        <w:trPr>
          <w:cantSplit/>
        </w:trPr>
        <w:tc>
          <w:tcPr>
            <w:tcW w:w="5000" w:type="pct"/>
            <w:gridSpan w:val="10"/>
            <w:tcBorders>
              <w:top w:val="nil"/>
              <w:left w:val="nil"/>
              <w:bottom w:val="nil"/>
              <w:right w:val="nil"/>
            </w:tcBorders>
            <w:shd w:val="clear" w:color="auto" w:fill="FFFFFF"/>
            <w:vAlign w:val="center"/>
          </w:tcPr>
          <w:p w14:paraId="0BBBDE75"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i/>
                <w:iCs/>
                <w:color w:val="000000"/>
                <w:kern w:val="0"/>
                <w:szCs w:val="24"/>
                <w:lang w:bidi="hi-IN"/>
              </w:rPr>
              <w:t>Descriptive Statistics</w:t>
            </w:r>
          </w:p>
        </w:tc>
      </w:tr>
      <w:tr w:rsidR="00235425" w:rsidRPr="00B74CF9" w14:paraId="7B88BB20" w14:textId="77777777" w:rsidTr="00775C83">
        <w:trPr>
          <w:cantSplit/>
        </w:trPr>
        <w:tc>
          <w:tcPr>
            <w:tcW w:w="448" w:type="pct"/>
            <w:vMerge w:val="restart"/>
            <w:tcBorders>
              <w:left w:val="nil"/>
              <w:bottom w:val="nil"/>
              <w:right w:val="nil"/>
            </w:tcBorders>
            <w:shd w:val="clear" w:color="auto" w:fill="FFFFFF"/>
            <w:vAlign w:val="bottom"/>
          </w:tcPr>
          <w:p w14:paraId="7E70DF2E" w14:textId="77777777" w:rsidR="00235425" w:rsidRPr="00B74CF9" w:rsidRDefault="00235425" w:rsidP="00DA1B4D">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4B2ED33C"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N</w:t>
            </w:r>
          </w:p>
        </w:tc>
        <w:tc>
          <w:tcPr>
            <w:tcW w:w="610" w:type="pct"/>
            <w:tcBorders>
              <w:left w:val="nil"/>
            </w:tcBorders>
            <w:shd w:val="clear" w:color="auto" w:fill="FFFFFF"/>
            <w:vAlign w:val="bottom"/>
          </w:tcPr>
          <w:p w14:paraId="5E6A717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Minimum</w:t>
            </w:r>
          </w:p>
        </w:tc>
        <w:tc>
          <w:tcPr>
            <w:tcW w:w="632" w:type="pct"/>
            <w:tcBorders>
              <w:left w:val="nil"/>
            </w:tcBorders>
            <w:shd w:val="clear" w:color="auto" w:fill="FFFFFF"/>
            <w:vAlign w:val="bottom"/>
          </w:tcPr>
          <w:p w14:paraId="348F1BA6"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Maximum</w:t>
            </w:r>
          </w:p>
        </w:tc>
        <w:tc>
          <w:tcPr>
            <w:tcW w:w="506" w:type="pct"/>
            <w:tcBorders>
              <w:left w:val="nil"/>
            </w:tcBorders>
            <w:shd w:val="clear" w:color="auto" w:fill="FFFFFF"/>
            <w:vAlign w:val="bottom"/>
          </w:tcPr>
          <w:p w14:paraId="71248518"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Mean</w:t>
            </w:r>
          </w:p>
        </w:tc>
        <w:tc>
          <w:tcPr>
            <w:tcW w:w="602" w:type="pct"/>
            <w:tcBorders>
              <w:left w:val="nil"/>
            </w:tcBorders>
            <w:shd w:val="clear" w:color="auto" w:fill="FFFFFF"/>
            <w:vAlign w:val="bottom"/>
          </w:tcPr>
          <w:p w14:paraId="2112E919"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Deviation</w:t>
            </w:r>
          </w:p>
        </w:tc>
        <w:tc>
          <w:tcPr>
            <w:tcW w:w="854" w:type="pct"/>
            <w:gridSpan w:val="2"/>
            <w:tcBorders>
              <w:left w:val="nil"/>
            </w:tcBorders>
            <w:shd w:val="clear" w:color="auto" w:fill="FFFFFF"/>
            <w:vAlign w:val="bottom"/>
          </w:tcPr>
          <w:p w14:paraId="6D8535D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Skewness</w:t>
            </w:r>
          </w:p>
        </w:tc>
        <w:tc>
          <w:tcPr>
            <w:tcW w:w="848" w:type="pct"/>
            <w:gridSpan w:val="2"/>
            <w:tcBorders>
              <w:left w:val="nil"/>
              <w:right w:val="nil"/>
            </w:tcBorders>
            <w:shd w:val="clear" w:color="auto" w:fill="FFFFFF"/>
            <w:vAlign w:val="bottom"/>
          </w:tcPr>
          <w:p w14:paraId="2A6EE660"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Kurtosis</w:t>
            </w:r>
          </w:p>
        </w:tc>
      </w:tr>
      <w:tr w:rsidR="00235425" w:rsidRPr="00B74CF9" w14:paraId="13D635A7" w14:textId="77777777" w:rsidTr="00775C83">
        <w:trPr>
          <w:cantSplit/>
        </w:trPr>
        <w:tc>
          <w:tcPr>
            <w:tcW w:w="448" w:type="pct"/>
            <w:vMerge/>
            <w:tcBorders>
              <w:left w:val="nil"/>
              <w:bottom w:val="nil"/>
              <w:right w:val="nil"/>
            </w:tcBorders>
            <w:shd w:val="clear" w:color="auto" w:fill="FFFFFF"/>
            <w:vAlign w:val="bottom"/>
          </w:tcPr>
          <w:p w14:paraId="477FBB0D" w14:textId="77777777" w:rsidR="00235425" w:rsidRPr="00B74CF9" w:rsidRDefault="00235425" w:rsidP="00DA1B4D">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0A37C874"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10" w:type="pct"/>
            <w:tcBorders>
              <w:left w:val="nil"/>
            </w:tcBorders>
            <w:shd w:val="clear" w:color="auto" w:fill="FFFFFF"/>
            <w:vAlign w:val="bottom"/>
          </w:tcPr>
          <w:p w14:paraId="1911BEBE"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32" w:type="pct"/>
            <w:tcBorders>
              <w:left w:val="nil"/>
            </w:tcBorders>
            <w:shd w:val="clear" w:color="auto" w:fill="FFFFFF"/>
            <w:vAlign w:val="bottom"/>
          </w:tcPr>
          <w:p w14:paraId="58CF4621"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6" w:type="pct"/>
            <w:tcBorders>
              <w:left w:val="nil"/>
            </w:tcBorders>
            <w:shd w:val="clear" w:color="auto" w:fill="FFFFFF"/>
            <w:vAlign w:val="bottom"/>
          </w:tcPr>
          <w:p w14:paraId="22C2484A"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602" w:type="pct"/>
            <w:tcBorders>
              <w:left w:val="nil"/>
            </w:tcBorders>
            <w:shd w:val="clear" w:color="auto" w:fill="FFFFFF"/>
            <w:vAlign w:val="bottom"/>
          </w:tcPr>
          <w:p w14:paraId="125C12BB"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501" w:type="pct"/>
            <w:tcBorders>
              <w:left w:val="nil"/>
              <w:right w:val="nil"/>
            </w:tcBorders>
            <w:shd w:val="clear" w:color="auto" w:fill="FFFFFF"/>
            <w:vAlign w:val="bottom"/>
          </w:tcPr>
          <w:p w14:paraId="71474D39"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53" w:type="pct"/>
            <w:tcBorders>
              <w:left w:val="nil"/>
            </w:tcBorders>
            <w:shd w:val="clear" w:color="auto" w:fill="FFFFFF"/>
            <w:vAlign w:val="bottom"/>
          </w:tcPr>
          <w:p w14:paraId="576A73E0"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c>
          <w:tcPr>
            <w:tcW w:w="501" w:type="pct"/>
            <w:tcBorders>
              <w:left w:val="nil"/>
              <w:right w:val="nil"/>
            </w:tcBorders>
            <w:shd w:val="clear" w:color="auto" w:fill="FFFFFF"/>
            <w:vAlign w:val="bottom"/>
          </w:tcPr>
          <w:p w14:paraId="29EC2F12"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Statistic</w:t>
            </w:r>
          </w:p>
        </w:tc>
        <w:tc>
          <w:tcPr>
            <w:tcW w:w="347" w:type="pct"/>
            <w:tcBorders>
              <w:left w:val="nil"/>
              <w:right w:val="nil"/>
            </w:tcBorders>
            <w:shd w:val="clear" w:color="auto" w:fill="FFFFFF"/>
            <w:vAlign w:val="bottom"/>
          </w:tcPr>
          <w:p w14:paraId="64D67F15" w14:textId="77777777" w:rsidR="00235425" w:rsidRPr="00B74CF9" w:rsidRDefault="00235425" w:rsidP="00DA1B4D">
            <w:pPr>
              <w:autoSpaceDE w:val="0"/>
              <w:autoSpaceDN w:val="0"/>
              <w:adjustRightInd w:val="0"/>
              <w:ind w:left="60" w:right="60"/>
              <w:jc w:val="center"/>
              <w:rPr>
                <w:rFonts w:cs="Times New Roman"/>
                <w:color w:val="000000"/>
                <w:kern w:val="0"/>
                <w:szCs w:val="24"/>
                <w:lang w:bidi="hi-IN"/>
              </w:rPr>
            </w:pPr>
            <w:r w:rsidRPr="00B74CF9">
              <w:rPr>
                <w:rFonts w:cs="Times New Roman"/>
                <w:color w:val="000000"/>
                <w:kern w:val="0"/>
                <w:szCs w:val="24"/>
                <w:lang w:bidi="hi-IN"/>
              </w:rPr>
              <w:t>Std. Error</w:t>
            </w:r>
          </w:p>
        </w:tc>
      </w:tr>
      <w:tr w:rsidR="00235425" w:rsidRPr="00B74CF9" w14:paraId="04DC47BC" w14:textId="77777777" w:rsidTr="00775C83">
        <w:trPr>
          <w:cantSplit/>
        </w:trPr>
        <w:tc>
          <w:tcPr>
            <w:tcW w:w="448" w:type="pct"/>
            <w:tcBorders>
              <w:left w:val="nil"/>
              <w:bottom w:val="nil"/>
              <w:right w:val="nil"/>
            </w:tcBorders>
            <w:shd w:val="clear" w:color="auto" w:fill="FFFFFF"/>
          </w:tcPr>
          <w:p w14:paraId="1BD50629"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lastRenderedPageBreak/>
              <w:t>TI1</w:t>
            </w:r>
          </w:p>
        </w:tc>
        <w:tc>
          <w:tcPr>
            <w:tcW w:w="501" w:type="pct"/>
            <w:tcBorders>
              <w:left w:val="nil"/>
              <w:bottom w:val="nil"/>
            </w:tcBorders>
            <w:shd w:val="clear" w:color="auto" w:fill="FFFFFF"/>
          </w:tcPr>
          <w:p w14:paraId="565A191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left w:val="nil"/>
              <w:bottom w:val="nil"/>
            </w:tcBorders>
            <w:shd w:val="clear" w:color="auto" w:fill="FFFFFF"/>
          </w:tcPr>
          <w:p w14:paraId="5981DBD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left w:val="nil"/>
              <w:bottom w:val="nil"/>
            </w:tcBorders>
            <w:shd w:val="clear" w:color="auto" w:fill="FFFFFF"/>
          </w:tcPr>
          <w:p w14:paraId="65DC192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left w:val="nil"/>
              <w:bottom w:val="nil"/>
            </w:tcBorders>
            <w:shd w:val="clear" w:color="auto" w:fill="FFFFFF"/>
          </w:tcPr>
          <w:p w14:paraId="47BCE62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4.76</w:t>
            </w:r>
          </w:p>
        </w:tc>
        <w:tc>
          <w:tcPr>
            <w:tcW w:w="602" w:type="pct"/>
            <w:tcBorders>
              <w:left w:val="nil"/>
              <w:bottom w:val="nil"/>
            </w:tcBorders>
            <w:shd w:val="clear" w:color="auto" w:fill="FFFFFF"/>
          </w:tcPr>
          <w:p w14:paraId="34D60D8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.738</w:t>
            </w:r>
          </w:p>
        </w:tc>
        <w:tc>
          <w:tcPr>
            <w:tcW w:w="501" w:type="pct"/>
            <w:tcBorders>
              <w:left w:val="nil"/>
              <w:bottom w:val="nil"/>
              <w:right w:val="nil"/>
            </w:tcBorders>
            <w:shd w:val="clear" w:color="auto" w:fill="FFFFFF"/>
          </w:tcPr>
          <w:p w14:paraId="12D0F59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-3.198</w:t>
            </w:r>
          </w:p>
        </w:tc>
        <w:tc>
          <w:tcPr>
            <w:tcW w:w="353" w:type="pct"/>
            <w:tcBorders>
              <w:left w:val="nil"/>
              <w:bottom w:val="nil"/>
            </w:tcBorders>
            <w:shd w:val="clear" w:color="auto" w:fill="FFFFFF"/>
          </w:tcPr>
          <w:p w14:paraId="75697E2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left w:val="nil"/>
              <w:bottom w:val="nil"/>
              <w:right w:val="nil"/>
            </w:tcBorders>
            <w:shd w:val="clear" w:color="auto" w:fill="FFFFFF"/>
          </w:tcPr>
          <w:p w14:paraId="6B18E2F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9.804</w:t>
            </w:r>
          </w:p>
        </w:tc>
        <w:tc>
          <w:tcPr>
            <w:tcW w:w="347" w:type="pct"/>
            <w:tcBorders>
              <w:left w:val="nil"/>
              <w:bottom w:val="nil"/>
              <w:right w:val="nil"/>
            </w:tcBorders>
            <w:shd w:val="clear" w:color="auto" w:fill="FFFFFF"/>
          </w:tcPr>
          <w:p w14:paraId="34C857C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30BCCB9F" w14:textId="77777777" w:rsidTr="00775C83">
        <w:trPr>
          <w:cantSplit/>
        </w:trPr>
        <w:tc>
          <w:tcPr>
            <w:tcW w:w="448" w:type="pct"/>
            <w:tcBorders>
              <w:top w:val="nil"/>
              <w:left w:val="nil"/>
              <w:bottom w:val="nil"/>
              <w:right w:val="nil"/>
            </w:tcBorders>
            <w:shd w:val="clear" w:color="auto" w:fill="FFFFFF"/>
          </w:tcPr>
          <w:p w14:paraId="11B8B3FE"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TI2</w:t>
            </w:r>
          </w:p>
        </w:tc>
        <w:tc>
          <w:tcPr>
            <w:tcW w:w="501" w:type="pct"/>
            <w:tcBorders>
              <w:top w:val="nil"/>
              <w:left w:val="nil"/>
              <w:bottom w:val="nil"/>
            </w:tcBorders>
            <w:shd w:val="clear" w:color="auto" w:fill="FFFFFF"/>
          </w:tcPr>
          <w:p w14:paraId="75DDCFB1"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nil"/>
            </w:tcBorders>
            <w:shd w:val="clear" w:color="auto" w:fill="FFFFFF"/>
          </w:tcPr>
          <w:p w14:paraId="5975B0E3"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w:t>
            </w:r>
          </w:p>
        </w:tc>
        <w:tc>
          <w:tcPr>
            <w:tcW w:w="632" w:type="pct"/>
            <w:tcBorders>
              <w:top w:val="nil"/>
              <w:left w:val="nil"/>
              <w:bottom w:val="nil"/>
            </w:tcBorders>
            <w:shd w:val="clear" w:color="auto" w:fill="FFFFFF"/>
          </w:tcPr>
          <w:p w14:paraId="130FCA69"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nil"/>
            </w:tcBorders>
            <w:shd w:val="clear" w:color="auto" w:fill="FFFFFF"/>
          </w:tcPr>
          <w:p w14:paraId="5FD4DEB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3.87</w:t>
            </w:r>
          </w:p>
        </w:tc>
        <w:tc>
          <w:tcPr>
            <w:tcW w:w="602" w:type="pct"/>
            <w:tcBorders>
              <w:top w:val="nil"/>
              <w:left w:val="nil"/>
              <w:bottom w:val="nil"/>
            </w:tcBorders>
            <w:shd w:val="clear" w:color="auto" w:fill="FFFFFF"/>
          </w:tcPr>
          <w:p w14:paraId="04719BC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.644</w:t>
            </w:r>
          </w:p>
        </w:tc>
        <w:tc>
          <w:tcPr>
            <w:tcW w:w="501" w:type="pct"/>
            <w:tcBorders>
              <w:top w:val="nil"/>
              <w:left w:val="nil"/>
              <w:bottom w:val="nil"/>
              <w:right w:val="nil"/>
            </w:tcBorders>
            <w:shd w:val="clear" w:color="auto" w:fill="FFFFFF"/>
          </w:tcPr>
          <w:p w14:paraId="1572E895"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-3.102</w:t>
            </w:r>
          </w:p>
        </w:tc>
        <w:tc>
          <w:tcPr>
            <w:tcW w:w="353" w:type="pct"/>
            <w:tcBorders>
              <w:top w:val="nil"/>
              <w:left w:val="nil"/>
              <w:bottom w:val="nil"/>
            </w:tcBorders>
            <w:shd w:val="clear" w:color="auto" w:fill="FFFFFF"/>
          </w:tcPr>
          <w:p w14:paraId="74515F30"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nil"/>
              <w:right w:val="nil"/>
            </w:tcBorders>
            <w:shd w:val="clear" w:color="auto" w:fill="FFFFFF"/>
          </w:tcPr>
          <w:p w14:paraId="70BDA41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11.332</w:t>
            </w:r>
          </w:p>
        </w:tc>
        <w:tc>
          <w:tcPr>
            <w:tcW w:w="347" w:type="pct"/>
            <w:tcBorders>
              <w:top w:val="nil"/>
              <w:left w:val="nil"/>
              <w:bottom w:val="nil"/>
              <w:right w:val="nil"/>
            </w:tcBorders>
            <w:shd w:val="clear" w:color="auto" w:fill="FFFFFF"/>
          </w:tcPr>
          <w:p w14:paraId="364C85F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r w:rsidR="00235425" w:rsidRPr="00B74CF9" w14:paraId="26E77A1A" w14:textId="77777777" w:rsidTr="00775C83">
        <w:trPr>
          <w:cantSplit/>
        </w:trPr>
        <w:tc>
          <w:tcPr>
            <w:tcW w:w="448" w:type="pct"/>
            <w:tcBorders>
              <w:top w:val="nil"/>
              <w:left w:val="nil"/>
              <w:bottom w:val="single" w:sz="4" w:space="0" w:color="auto"/>
              <w:right w:val="nil"/>
            </w:tcBorders>
            <w:shd w:val="clear" w:color="auto" w:fill="FFFFFF"/>
          </w:tcPr>
          <w:p w14:paraId="55DC59A5" w14:textId="77777777" w:rsidR="00235425" w:rsidRPr="00B74CF9" w:rsidRDefault="00235425" w:rsidP="00DA1B4D">
            <w:pPr>
              <w:autoSpaceDE w:val="0"/>
              <w:autoSpaceDN w:val="0"/>
              <w:adjustRightInd w:val="0"/>
              <w:ind w:left="60" w:right="60"/>
              <w:jc w:val="left"/>
              <w:rPr>
                <w:rFonts w:cs="Times New Roman"/>
                <w:color w:val="000000"/>
                <w:kern w:val="0"/>
                <w:szCs w:val="24"/>
                <w:lang w:bidi="hi-IN"/>
              </w:rPr>
            </w:pPr>
            <w:r w:rsidRPr="00B74CF9">
              <w:rPr>
                <w:rFonts w:cs="Times New Roman"/>
                <w:color w:val="000000"/>
                <w:kern w:val="0"/>
                <w:szCs w:val="24"/>
                <w:lang w:bidi="hi-IN"/>
              </w:rPr>
              <w:t>TI3</w:t>
            </w:r>
          </w:p>
        </w:tc>
        <w:tc>
          <w:tcPr>
            <w:tcW w:w="501" w:type="pct"/>
            <w:tcBorders>
              <w:top w:val="nil"/>
              <w:left w:val="nil"/>
              <w:bottom w:val="single" w:sz="4" w:space="0" w:color="auto"/>
            </w:tcBorders>
            <w:shd w:val="clear" w:color="auto" w:fill="FFFFFF"/>
          </w:tcPr>
          <w:p w14:paraId="0167E257"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610" w:type="pct"/>
            <w:tcBorders>
              <w:top w:val="nil"/>
              <w:left w:val="nil"/>
              <w:bottom w:val="single" w:sz="4" w:space="0" w:color="auto"/>
            </w:tcBorders>
            <w:shd w:val="clear" w:color="auto" w:fill="FFFFFF"/>
          </w:tcPr>
          <w:p w14:paraId="0962DD74"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w:t>
            </w:r>
          </w:p>
        </w:tc>
        <w:tc>
          <w:tcPr>
            <w:tcW w:w="632" w:type="pct"/>
            <w:tcBorders>
              <w:top w:val="nil"/>
              <w:left w:val="nil"/>
              <w:bottom w:val="single" w:sz="4" w:space="0" w:color="auto"/>
            </w:tcBorders>
            <w:shd w:val="clear" w:color="auto" w:fill="FFFFFF"/>
          </w:tcPr>
          <w:p w14:paraId="30D6674F"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5</w:t>
            </w:r>
          </w:p>
        </w:tc>
        <w:tc>
          <w:tcPr>
            <w:tcW w:w="506" w:type="pct"/>
            <w:tcBorders>
              <w:top w:val="nil"/>
              <w:left w:val="nil"/>
              <w:bottom w:val="single" w:sz="4" w:space="0" w:color="auto"/>
            </w:tcBorders>
            <w:shd w:val="clear" w:color="auto" w:fill="FFFFFF"/>
          </w:tcPr>
          <w:p w14:paraId="2C462192"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4.77</w:t>
            </w:r>
          </w:p>
        </w:tc>
        <w:tc>
          <w:tcPr>
            <w:tcW w:w="602" w:type="pct"/>
            <w:tcBorders>
              <w:top w:val="nil"/>
              <w:left w:val="nil"/>
              <w:bottom w:val="single" w:sz="4" w:space="0" w:color="auto"/>
            </w:tcBorders>
            <w:shd w:val="clear" w:color="auto" w:fill="FFFFFF"/>
          </w:tcPr>
          <w:p w14:paraId="1982B466"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.680</w:t>
            </w:r>
          </w:p>
        </w:tc>
        <w:tc>
          <w:tcPr>
            <w:tcW w:w="501" w:type="pct"/>
            <w:tcBorders>
              <w:top w:val="nil"/>
              <w:left w:val="nil"/>
              <w:bottom w:val="single" w:sz="4" w:space="0" w:color="auto"/>
              <w:right w:val="nil"/>
            </w:tcBorders>
            <w:shd w:val="clear" w:color="auto" w:fill="FFFFFF"/>
          </w:tcPr>
          <w:p w14:paraId="464F5A6C"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-3.156</w:t>
            </w:r>
          </w:p>
        </w:tc>
        <w:tc>
          <w:tcPr>
            <w:tcW w:w="353" w:type="pct"/>
            <w:tcBorders>
              <w:top w:val="nil"/>
              <w:left w:val="nil"/>
              <w:bottom w:val="single" w:sz="4" w:space="0" w:color="auto"/>
            </w:tcBorders>
            <w:shd w:val="clear" w:color="auto" w:fill="FFFFFF"/>
          </w:tcPr>
          <w:p w14:paraId="6D4CCD9E"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.209</w:t>
            </w:r>
          </w:p>
        </w:tc>
        <w:tc>
          <w:tcPr>
            <w:tcW w:w="501" w:type="pct"/>
            <w:tcBorders>
              <w:top w:val="nil"/>
              <w:left w:val="nil"/>
              <w:bottom w:val="single" w:sz="4" w:space="0" w:color="auto"/>
              <w:right w:val="nil"/>
            </w:tcBorders>
            <w:shd w:val="clear" w:color="auto" w:fill="FFFFFF"/>
          </w:tcPr>
          <w:p w14:paraId="3679099B"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9.263</w:t>
            </w:r>
          </w:p>
        </w:tc>
        <w:tc>
          <w:tcPr>
            <w:tcW w:w="347" w:type="pct"/>
            <w:tcBorders>
              <w:top w:val="nil"/>
              <w:left w:val="nil"/>
              <w:bottom w:val="single" w:sz="4" w:space="0" w:color="auto"/>
              <w:right w:val="nil"/>
            </w:tcBorders>
            <w:shd w:val="clear" w:color="auto" w:fill="FFFFFF"/>
          </w:tcPr>
          <w:p w14:paraId="5C7245AA" w14:textId="77777777" w:rsidR="00235425" w:rsidRPr="00B74CF9" w:rsidRDefault="00235425" w:rsidP="00DA1B4D">
            <w:pPr>
              <w:autoSpaceDE w:val="0"/>
              <w:autoSpaceDN w:val="0"/>
              <w:adjustRightInd w:val="0"/>
              <w:ind w:left="60" w:right="60"/>
              <w:jc w:val="right"/>
              <w:rPr>
                <w:rFonts w:cs="Times New Roman"/>
                <w:color w:val="000000"/>
                <w:kern w:val="0"/>
                <w:szCs w:val="24"/>
                <w:lang w:bidi="hi-IN"/>
              </w:rPr>
            </w:pPr>
            <w:r w:rsidRPr="00B74CF9">
              <w:rPr>
                <w:rFonts w:cs="Times New Roman"/>
                <w:color w:val="000000"/>
                <w:kern w:val="0"/>
                <w:szCs w:val="24"/>
                <w:lang w:bidi="hi-IN"/>
              </w:rPr>
              <w:t>.414</w:t>
            </w:r>
          </w:p>
        </w:tc>
      </w:tr>
    </w:tbl>
    <w:p w14:paraId="19440E24" w14:textId="77777777" w:rsidR="00235425" w:rsidRPr="00775C83" w:rsidRDefault="00775C83" w:rsidP="00235425">
      <w:pPr>
        <w:rPr>
          <w:rFonts w:cs="Times New Roman"/>
          <w:szCs w:val="24"/>
        </w:rPr>
      </w:pPr>
      <w:r w:rsidRPr="00775C83">
        <w:rPr>
          <w:rFonts w:cs="Times New Roman"/>
          <w:szCs w:val="24"/>
        </w:rPr>
        <w:t>The principal dependent variable of this study, Turnover Intention (TI), provides descriptive data that cocks a strong sledgehammer at the retention problem in the sampled NHS population. Nearly all respondents (4.76 on TI1 and 4.77 on TI3) feel the conscious and deliberate intention to opt out of the organisation itself is not a side issue, but a core feeling. The construct shows a clear negative skew in distributional data (from -3.102 to -3.198), with very leptokurtic data distribution (kurtosis 9.263 to 11.332). The practical implication of that is that the 135 respondents are overwhelmingly at the top of the scale for duration of commitment to their jobs today. This is an all-important and worrying consensus which dovetails neatly into mid-level workforce statistics revealing record attrition rates. This descriptive analysis builds a sound and pressing case for the inferential modelling that follows, aimed at finding what factors exactly are uniquely and specially involved in this systemic withdraw</w:t>
      </w:r>
      <w:r w:rsidR="00DA1B4D">
        <w:rPr>
          <w:rFonts w:cs="Times New Roman"/>
          <w:szCs w:val="24"/>
        </w:rPr>
        <w:t>al</w:t>
      </w:r>
      <w:r w:rsidRPr="00775C83">
        <w:rPr>
          <w:rFonts w:cs="Times New Roman"/>
          <w:szCs w:val="24"/>
        </w:rPr>
        <w:t>.</w:t>
      </w:r>
    </w:p>
    <w:p w14:paraId="62DF349F" w14:textId="77777777" w:rsidR="00235425" w:rsidRPr="00B74CF9" w:rsidRDefault="00235425" w:rsidP="00235425">
      <w:pPr>
        <w:pStyle w:val="Heading3"/>
      </w:pPr>
      <w:bookmarkStart w:id="59" w:name="_Toc238427648"/>
      <w:bookmarkStart w:id="60" w:name="_Toc240913069"/>
      <w:r>
        <w:t>4.2.4 Inferential Analysis</w:t>
      </w:r>
      <w:bookmarkEnd w:id="59"/>
      <w:bookmarkEnd w:id="60"/>
    </w:p>
    <w:p w14:paraId="27F2A4C9" w14:textId="77777777" w:rsidR="00235425" w:rsidRPr="00DA1B4D" w:rsidRDefault="00DA1B4D" w:rsidP="00DA1B4D">
      <w:pPr>
        <w:pStyle w:val="Caption"/>
        <w:rPr>
          <w:rFonts w:cs="Times New Roman"/>
          <w:b w:val="0"/>
          <w:bCs/>
          <w:color w:val="auto"/>
          <w:kern w:val="0"/>
          <w:szCs w:val="24"/>
          <w:lang w:bidi="hi-IN"/>
        </w:rPr>
      </w:pPr>
      <w:bookmarkStart w:id="61" w:name="_Toc240872631"/>
      <w:r>
        <w:t xml:space="preserve">Table </w:t>
      </w:r>
      <w:r>
        <w:fldChar w:fldCharType="begin"/>
      </w:r>
      <w:r>
        <w:instrText xml:space="preserve"> SEQ Table \* ARABIC </w:instrText>
      </w:r>
      <w:r>
        <w:fldChar w:fldCharType="separate"/>
      </w:r>
      <w:r>
        <w:rPr>
          <w:noProof/>
        </w:rPr>
        <w:t>10</w:t>
      </w:r>
      <w:r>
        <w:fldChar w:fldCharType="end"/>
      </w:r>
      <w:r>
        <w:t xml:space="preserve">: </w:t>
      </w:r>
      <w:r w:rsidRPr="00DA1B4D">
        <w:rPr>
          <w:b w:val="0"/>
          <w:bCs/>
        </w:rPr>
        <w:t>Bivariate Pearson Correlation Matrix</w:t>
      </w:r>
      <w:bookmarkEnd w:id="61"/>
    </w:p>
    <w:tbl>
      <w:tblPr>
        <w:tblpPr w:leftFromText="180" w:rightFromText="180" w:vertAnchor="text" w:tblpY="1"/>
        <w:tblOverlap w:val="neve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33"/>
        <w:gridCol w:w="2197"/>
        <w:gridCol w:w="1466"/>
        <w:gridCol w:w="1466"/>
        <w:gridCol w:w="1134"/>
        <w:gridCol w:w="330"/>
      </w:tblGrid>
      <w:tr w:rsidR="00235425" w:rsidRPr="00B74CF9" w14:paraId="331774CC" w14:textId="77777777" w:rsidTr="00255207">
        <w:trPr>
          <w:gridAfter w:val="1"/>
          <w:wAfter w:w="183" w:type="pct"/>
          <w:cantSplit/>
        </w:trPr>
        <w:tc>
          <w:tcPr>
            <w:tcW w:w="4817" w:type="pct"/>
            <w:gridSpan w:val="5"/>
            <w:tcBorders>
              <w:top w:val="nil"/>
              <w:left w:val="nil"/>
              <w:bottom w:val="nil"/>
              <w:right w:val="nil"/>
            </w:tcBorders>
            <w:shd w:val="clear" w:color="auto" w:fill="FFFFFF"/>
            <w:vAlign w:val="center"/>
          </w:tcPr>
          <w:p w14:paraId="22A87183"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i/>
                <w:iCs/>
                <w:color w:val="000000"/>
                <w:kern w:val="0"/>
                <w:szCs w:val="24"/>
                <w:lang w:bidi="hi-IN"/>
              </w:rPr>
              <w:t>Correlations</w:t>
            </w:r>
          </w:p>
        </w:tc>
      </w:tr>
      <w:tr w:rsidR="00235425" w:rsidRPr="00B74CF9" w14:paraId="0271916F" w14:textId="77777777" w:rsidTr="00775C83">
        <w:trPr>
          <w:cantSplit/>
        </w:trPr>
        <w:tc>
          <w:tcPr>
            <w:tcW w:w="2565" w:type="pct"/>
            <w:gridSpan w:val="2"/>
            <w:tcBorders>
              <w:left w:val="nil"/>
              <w:right w:val="nil"/>
            </w:tcBorders>
            <w:shd w:val="clear" w:color="auto" w:fill="FFFFFF"/>
            <w:vAlign w:val="bottom"/>
          </w:tcPr>
          <w:p w14:paraId="25E89785" w14:textId="77777777" w:rsidR="00235425" w:rsidRPr="00B74CF9" w:rsidRDefault="00235425" w:rsidP="00255207">
            <w:pPr>
              <w:autoSpaceDE w:val="0"/>
              <w:autoSpaceDN w:val="0"/>
              <w:adjustRightInd w:val="0"/>
              <w:spacing w:line="240" w:lineRule="auto"/>
              <w:jc w:val="left"/>
              <w:rPr>
                <w:rFonts w:cs="Times New Roman"/>
                <w:color w:val="auto"/>
                <w:kern w:val="0"/>
                <w:szCs w:val="24"/>
                <w:lang w:bidi="hi-IN"/>
              </w:rPr>
            </w:pPr>
          </w:p>
        </w:tc>
        <w:tc>
          <w:tcPr>
            <w:tcW w:w="812" w:type="pct"/>
            <w:tcBorders>
              <w:left w:val="nil"/>
              <w:right w:val="nil"/>
            </w:tcBorders>
            <w:shd w:val="clear" w:color="auto" w:fill="FFFFFF"/>
            <w:vAlign w:val="bottom"/>
          </w:tcPr>
          <w:p w14:paraId="670981E3" w14:textId="77777777" w:rsidR="00235425" w:rsidRPr="00B74CF9" w:rsidRDefault="00235425" w:rsidP="00255207">
            <w:pPr>
              <w:autoSpaceDE w:val="0"/>
              <w:autoSpaceDN w:val="0"/>
              <w:adjustRightInd w:val="0"/>
              <w:spacing w:line="320" w:lineRule="atLeast"/>
              <w:ind w:left="60" w:right="60"/>
              <w:jc w:val="center"/>
              <w:rPr>
                <w:rFonts w:cs="Times New Roman"/>
                <w:color w:val="000000"/>
                <w:kern w:val="0"/>
                <w:szCs w:val="24"/>
                <w:lang w:bidi="hi-IN"/>
              </w:rPr>
            </w:pPr>
            <w:r w:rsidRPr="00B74CF9">
              <w:rPr>
                <w:rFonts w:cs="Times New Roman"/>
                <w:color w:val="000000"/>
                <w:kern w:val="0"/>
                <w:szCs w:val="24"/>
                <w:lang w:bidi="hi-IN"/>
              </w:rPr>
              <w:t>Time-based Work-life Conflict</w:t>
            </w:r>
          </w:p>
        </w:tc>
        <w:tc>
          <w:tcPr>
            <w:tcW w:w="812" w:type="pct"/>
            <w:tcBorders>
              <w:left w:val="nil"/>
              <w:right w:val="nil"/>
            </w:tcBorders>
            <w:shd w:val="clear" w:color="auto" w:fill="FFFFFF"/>
            <w:vAlign w:val="bottom"/>
          </w:tcPr>
          <w:p w14:paraId="72C8C09F" w14:textId="77777777" w:rsidR="00235425" w:rsidRPr="00B74CF9" w:rsidRDefault="00235425" w:rsidP="00255207">
            <w:pPr>
              <w:autoSpaceDE w:val="0"/>
              <w:autoSpaceDN w:val="0"/>
              <w:adjustRightInd w:val="0"/>
              <w:spacing w:line="320" w:lineRule="atLeast"/>
              <w:ind w:left="60" w:right="60"/>
              <w:jc w:val="center"/>
              <w:rPr>
                <w:rFonts w:cs="Times New Roman"/>
                <w:color w:val="000000"/>
                <w:kern w:val="0"/>
                <w:szCs w:val="24"/>
                <w:lang w:bidi="hi-IN"/>
              </w:rPr>
            </w:pPr>
            <w:r w:rsidRPr="00B74CF9">
              <w:rPr>
                <w:rFonts w:cs="Times New Roman"/>
                <w:color w:val="000000"/>
                <w:kern w:val="0"/>
                <w:szCs w:val="24"/>
                <w:lang w:bidi="hi-IN"/>
              </w:rPr>
              <w:t>Strain-Based Conflict</w:t>
            </w:r>
          </w:p>
        </w:tc>
        <w:tc>
          <w:tcPr>
            <w:tcW w:w="811" w:type="pct"/>
            <w:gridSpan w:val="2"/>
            <w:tcBorders>
              <w:left w:val="nil"/>
              <w:right w:val="nil"/>
            </w:tcBorders>
            <w:shd w:val="clear" w:color="auto" w:fill="FFFFFF"/>
            <w:vAlign w:val="bottom"/>
          </w:tcPr>
          <w:p w14:paraId="1A9287D4" w14:textId="77777777" w:rsidR="00235425" w:rsidRPr="00B74CF9" w:rsidRDefault="00235425" w:rsidP="00255207">
            <w:pPr>
              <w:autoSpaceDE w:val="0"/>
              <w:autoSpaceDN w:val="0"/>
              <w:adjustRightInd w:val="0"/>
              <w:spacing w:line="320" w:lineRule="atLeast"/>
              <w:ind w:left="60" w:right="60"/>
              <w:jc w:val="center"/>
              <w:rPr>
                <w:rFonts w:cs="Times New Roman"/>
                <w:color w:val="000000"/>
                <w:kern w:val="0"/>
                <w:szCs w:val="24"/>
                <w:lang w:bidi="hi-IN"/>
              </w:rPr>
            </w:pPr>
            <w:r w:rsidRPr="00B74CF9">
              <w:rPr>
                <w:rFonts w:cs="Times New Roman"/>
                <w:color w:val="000000"/>
                <w:kern w:val="0"/>
                <w:szCs w:val="24"/>
                <w:lang w:bidi="hi-IN"/>
              </w:rPr>
              <w:t>Behaviour-Based Conflict</w:t>
            </w:r>
          </w:p>
        </w:tc>
      </w:tr>
      <w:tr w:rsidR="00235425" w:rsidRPr="00B74CF9" w14:paraId="3DCD0A87" w14:textId="77777777" w:rsidTr="00255207">
        <w:trPr>
          <w:cantSplit/>
        </w:trPr>
        <w:tc>
          <w:tcPr>
            <w:tcW w:w="1348" w:type="pct"/>
            <w:vMerge w:val="restart"/>
            <w:tcBorders>
              <w:top w:val="nil"/>
              <w:left w:val="nil"/>
              <w:right w:val="nil"/>
            </w:tcBorders>
            <w:shd w:val="clear" w:color="auto" w:fill="FFFFFF"/>
          </w:tcPr>
          <w:p w14:paraId="59E4F264"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color w:val="000000"/>
                <w:kern w:val="0"/>
                <w:szCs w:val="24"/>
                <w:lang w:bidi="hi-IN"/>
              </w:rPr>
              <w:t>Turnover Intention</w:t>
            </w:r>
          </w:p>
        </w:tc>
        <w:tc>
          <w:tcPr>
            <w:tcW w:w="1217" w:type="pct"/>
            <w:tcBorders>
              <w:top w:val="nil"/>
              <w:left w:val="nil"/>
              <w:bottom w:val="nil"/>
              <w:right w:val="nil"/>
            </w:tcBorders>
            <w:shd w:val="clear" w:color="auto" w:fill="FFFFFF"/>
          </w:tcPr>
          <w:p w14:paraId="3F33C078"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color w:val="000000"/>
                <w:kern w:val="0"/>
                <w:szCs w:val="24"/>
                <w:lang w:bidi="hi-IN"/>
              </w:rPr>
              <w:t>Pearson Correlation</w:t>
            </w:r>
          </w:p>
        </w:tc>
        <w:tc>
          <w:tcPr>
            <w:tcW w:w="812" w:type="pct"/>
            <w:tcBorders>
              <w:top w:val="nil"/>
              <w:left w:val="nil"/>
              <w:bottom w:val="nil"/>
              <w:right w:val="nil"/>
            </w:tcBorders>
            <w:shd w:val="clear" w:color="auto" w:fill="FFFFFF"/>
          </w:tcPr>
          <w:p w14:paraId="3F6B99C7"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.427</w:t>
            </w:r>
            <w:r w:rsidRPr="00B74CF9">
              <w:rPr>
                <w:rFonts w:cs="Times New Roman"/>
                <w:color w:val="000000"/>
                <w:kern w:val="0"/>
                <w:szCs w:val="24"/>
                <w:vertAlign w:val="superscript"/>
                <w:lang w:bidi="hi-IN"/>
              </w:rPr>
              <w:t>**</w:t>
            </w:r>
          </w:p>
        </w:tc>
        <w:tc>
          <w:tcPr>
            <w:tcW w:w="812" w:type="pct"/>
            <w:tcBorders>
              <w:top w:val="nil"/>
              <w:left w:val="nil"/>
              <w:bottom w:val="nil"/>
              <w:right w:val="nil"/>
            </w:tcBorders>
            <w:shd w:val="clear" w:color="auto" w:fill="FFFFFF"/>
          </w:tcPr>
          <w:p w14:paraId="1DF74D7F"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-.019</w:t>
            </w:r>
          </w:p>
        </w:tc>
        <w:tc>
          <w:tcPr>
            <w:tcW w:w="811" w:type="pct"/>
            <w:gridSpan w:val="2"/>
            <w:tcBorders>
              <w:top w:val="nil"/>
              <w:left w:val="nil"/>
              <w:bottom w:val="nil"/>
              <w:right w:val="nil"/>
            </w:tcBorders>
            <w:shd w:val="clear" w:color="auto" w:fill="FFFFFF"/>
          </w:tcPr>
          <w:p w14:paraId="3364D1B0"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.574</w:t>
            </w:r>
            <w:r w:rsidRPr="00B74CF9">
              <w:rPr>
                <w:rFonts w:cs="Times New Roman"/>
                <w:color w:val="000000"/>
                <w:kern w:val="0"/>
                <w:szCs w:val="24"/>
                <w:vertAlign w:val="superscript"/>
                <w:lang w:bidi="hi-IN"/>
              </w:rPr>
              <w:t>**</w:t>
            </w:r>
          </w:p>
        </w:tc>
      </w:tr>
      <w:tr w:rsidR="00235425" w:rsidRPr="00B74CF9" w14:paraId="5C318773" w14:textId="77777777" w:rsidTr="00255207">
        <w:trPr>
          <w:cantSplit/>
        </w:trPr>
        <w:tc>
          <w:tcPr>
            <w:tcW w:w="1348" w:type="pct"/>
            <w:vMerge/>
            <w:tcBorders>
              <w:top w:val="nil"/>
              <w:left w:val="nil"/>
              <w:right w:val="nil"/>
            </w:tcBorders>
            <w:shd w:val="clear" w:color="auto" w:fill="FFFFFF"/>
          </w:tcPr>
          <w:p w14:paraId="7E19C2B8" w14:textId="77777777" w:rsidR="00235425" w:rsidRPr="00B74CF9" w:rsidRDefault="00235425" w:rsidP="00255207">
            <w:pPr>
              <w:autoSpaceDE w:val="0"/>
              <w:autoSpaceDN w:val="0"/>
              <w:adjustRightInd w:val="0"/>
              <w:spacing w:line="240" w:lineRule="auto"/>
              <w:jc w:val="left"/>
              <w:rPr>
                <w:rFonts w:cs="Times New Roman"/>
                <w:color w:val="000000"/>
                <w:kern w:val="0"/>
                <w:szCs w:val="24"/>
                <w:lang w:bidi="hi-IN"/>
              </w:rPr>
            </w:pPr>
          </w:p>
        </w:tc>
        <w:tc>
          <w:tcPr>
            <w:tcW w:w="1217" w:type="pct"/>
            <w:tcBorders>
              <w:top w:val="nil"/>
              <w:left w:val="nil"/>
              <w:bottom w:val="nil"/>
              <w:right w:val="nil"/>
            </w:tcBorders>
            <w:shd w:val="clear" w:color="auto" w:fill="FFFFFF"/>
          </w:tcPr>
          <w:p w14:paraId="3D4FF957"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color w:val="000000"/>
                <w:kern w:val="0"/>
                <w:szCs w:val="24"/>
                <w:lang w:bidi="hi-IN"/>
              </w:rPr>
              <w:t>Sig. (2-tailed)</w:t>
            </w:r>
          </w:p>
        </w:tc>
        <w:tc>
          <w:tcPr>
            <w:tcW w:w="812" w:type="pct"/>
            <w:tcBorders>
              <w:top w:val="nil"/>
              <w:left w:val="nil"/>
              <w:bottom w:val="nil"/>
              <w:right w:val="nil"/>
            </w:tcBorders>
            <w:shd w:val="clear" w:color="auto" w:fill="FFFFFF"/>
          </w:tcPr>
          <w:p w14:paraId="401D590B"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.000</w:t>
            </w:r>
          </w:p>
        </w:tc>
        <w:tc>
          <w:tcPr>
            <w:tcW w:w="812" w:type="pct"/>
            <w:tcBorders>
              <w:top w:val="nil"/>
              <w:left w:val="nil"/>
              <w:bottom w:val="nil"/>
              <w:right w:val="nil"/>
            </w:tcBorders>
            <w:shd w:val="clear" w:color="auto" w:fill="FFFFFF"/>
          </w:tcPr>
          <w:p w14:paraId="40EDDE0D"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.829</w:t>
            </w:r>
          </w:p>
        </w:tc>
        <w:tc>
          <w:tcPr>
            <w:tcW w:w="811" w:type="pct"/>
            <w:gridSpan w:val="2"/>
            <w:tcBorders>
              <w:top w:val="nil"/>
              <w:left w:val="nil"/>
              <w:bottom w:val="nil"/>
              <w:right w:val="nil"/>
            </w:tcBorders>
            <w:shd w:val="clear" w:color="auto" w:fill="FFFFFF"/>
          </w:tcPr>
          <w:p w14:paraId="006C7783"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.000</w:t>
            </w:r>
          </w:p>
        </w:tc>
      </w:tr>
      <w:tr w:rsidR="00235425" w:rsidRPr="00B74CF9" w14:paraId="05AD5F8C" w14:textId="77777777" w:rsidTr="00255207">
        <w:trPr>
          <w:cantSplit/>
        </w:trPr>
        <w:tc>
          <w:tcPr>
            <w:tcW w:w="1348" w:type="pct"/>
            <w:vMerge/>
            <w:tcBorders>
              <w:top w:val="nil"/>
              <w:left w:val="nil"/>
              <w:right w:val="nil"/>
            </w:tcBorders>
            <w:shd w:val="clear" w:color="auto" w:fill="FFFFFF"/>
          </w:tcPr>
          <w:p w14:paraId="73261CB8" w14:textId="77777777" w:rsidR="00235425" w:rsidRPr="00B74CF9" w:rsidRDefault="00235425" w:rsidP="00255207">
            <w:pPr>
              <w:autoSpaceDE w:val="0"/>
              <w:autoSpaceDN w:val="0"/>
              <w:adjustRightInd w:val="0"/>
              <w:spacing w:line="240" w:lineRule="auto"/>
              <w:jc w:val="left"/>
              <w:rPr>
                <w:rFonts w:cs="Times New Roman"/>
                <w:color w:val="auto"/>
                <w:kern w:val="0"/>
                <w:szCs w:val="24"/>
                <w:lang w:bidi="hi-IN"/>
              </w:rPr>
            </w:pPr>
          </w:p>
        </w:tc>
        <w:tc>
          <w:tcPr>
            <w:tcW w:w="1217" w:type="pct"/>
            <w:tcBorders>
              <w:top w:val="nil"/>
              <w:left w:val="nil"/>
              <w:right w:val="nil"/>
            </w:tcBorders>
            <w:shd w:val="clear" w:color="auto" w:fill="FFFFFF"/>
          </w:tcPr>
          <w:p w14:paraId="1828B143"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color w:val="000000"/>
                <w:kern w:val="0"/>
                <w:szCs w:val="24"/>
                <w:lang w:bidi="hi-IN"/>
              </w:rPr>
              <w:t>N</w:t>
            </w:r>
          </w:p>
        </w:tc>
        <w:tc>
          <w:tcPr>
            <w:tcW w:w="812" w:type="pct"/>
            <w:tcBorders>
              <w:top w:val="nil"/>
              <w:left w:val="nil"/>
              <w:right w:val="nil"/>
            </w:tcBorders>
            <w:shd w:val="clear" w:color="auto" w:fill="FFFFFF"/>
          </w:tcPr>
          <w:p w14:paraId="6C2518E6"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812" w:type="pct"/>
            <w:tcBorders>
              <w:top w:val="nil"/>
              <w:left w:val="nil"/>
              <w:right w:val="nil"/>
            </w:tcBorders>
            <w:shd w:val="clear" w:color="auto" w:fill="FFFFFF"/>
          </w:tcPr>
          <w:p w14:paraId="66392D48"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135</w:t>
            </w:r>
          </w:p>
        </w:tc>
        <w:tc>
          <w:tcPr>
            <w:tcW w:w="811" w:type="pct"/>
            <w:gridSpan w:val="2"/>
            <w:tcBorders>
              <w:top w:val="nil"/>
              <w:left w:val="nil"/>
              <w:right w:val="nil"/>
            </w:tcBorders>
            <w:shd w:val="clear" w:color="auto" w:fill="FFFFFF"/>
          </w:tcPr>
          <w:p w14:paraId="3A8B1B91" w14:textId="77777777" w:rsidR="00235425" w:rsidRPr="00B74CF9" w:rsidRDefault="00235425" w:rsidP="00255207">
            <w:pPr>
              <w:autoSpaceDE w:val="0"/>
              <w:autoSpaceDN w:val="0"/>
              <w:adjustRightInd w:val="0"/>
              <w:spacing w:line="320" w:lineRule="atLeast"/>
              <w:ind w:left="60" w:right="60"/>
              <w:jc w:val="right"/>
              <w:rPr>
                <w:rFonts w:cs="Times New Roman"/>
                <w:color w:val="000000"/>
                <w:kern w:val="0"/>
                <w:szCs w:val="24"/>
                <w:lang w:bidi="hi-IN"/>
              </w:rPr>
            </w:pPr>
            <w:r w:rsidRPr="00B74CF9">
              <w:rPr>
                <w:rFonts w:cs="Times New Roman"/>
                <w:color w:val="000000"/>
                <w:kern w:val="0"/>
                <w:szCs w:val="24"/>
                <w:lang w:bidi="hi-IN"/>
              </w:rPr>
              <w:t>135</w:t>
            </w:r>
          </w:p>
        </w:tc>
      </w:tr>
      <w:tr w:rsidR="00235425" w:rsidRPr="00B74CF9" w14:paraId="4C58374F" w14:textId="77777777" w:rsidTr="00255207">
        <w:trPr>
          <w:gridAfter w:val="1"/>
          <w:wAfter w:w="183" w:type="pct"/>
          <w:cantSplit/>
        </w:trPr>
        <w:tc>
          <w:tcPr>
            <w:tcW w:w="4817" w:type="pct"/>
            <w:gridSpan w:val="5"/>
            <w:tcBorders>
              <w:top w:val="nil"/>
              <w:left w:val="nil"/>
              <w:bottom w:val="nil"/>
              <w:right w:val="nil"/>
            </w:tcBorders>
            <w:shd w:val="clear" w:color="auto" w:fill="FFFFFF"/>
          </w:tcPr>
          <w:p w14:paraId="6737377A" w14:textId="77777777" w:rsidR="00235425" w:rsidRPr="00B74CF9" w:rsidRDefault="00235425" w:rsidP="00255207">
            <w:pPr>
              <w:autoSpaceDE w:val="0"/>
              <w:autoSpaceDN w:val="0"/>
              <w:adjustRightInd w:val="0"/>
              <w:spacing w:line="320" w:lineRule="atLeast"/>
              <w:ind w:left="60" w:right="60"/>
              <w:jc w:val="left"/>
              <w:rPr>
                <w:rFonts w:cs="Times New Roman"/>
                <w:color w:val="000000"/>
                <w:kern w:val="0"/>
                <w:szCs w:val="24"/>
                <w:lang w:bidi="hi-IN"/>
              </w:rPr>
            </w:pPr>
            <w:r w:rsidRPr="00B74CF9">
              <w:rPr>
                <w:rFonts w:cs="Times New Roman"/>
                <w:color w:val="000000"/>
                <w:kern w:val="0"/>
                <w:szCs w:val="24"/>
                <w:lang w:bidi="hi-IN"/>
              </w:rPr>
              <w:t>**. Correlation is significant at the 0.01 level (2-tailed).</w:t>
            </w:r>
          </w:p>
        </w:tc>
      </w:tr>
    </w:tbl>
    <w:p w14:paraId="6F4EB26E" w14:textId="77777777" w:rsidR="00775C83" w:rsidRPr="00775C83" w:rsidRDefault="00775C83" w:rsidP="00775C83">
      <w:pPr>
        <w:rPr>
          <w:lang w:eastAsia="en-GB" w:bidi="hi-IN"/>
        </w:rPr>
      </w:pPr>
      <w:r w:rsidRPr="00775C83">
        <w:rPr>
          <w:lang w:eastAsia="en-GB" w:bidi="hi-IN"/>
        </w:rPr>
        <w:t>There are significant but divergent linear relationships between the multidimensional concepts of work-life conflict and turnover intention for the sampled workforce in the NHS (N=135), as indicated by the bivariate Pearson correlation analysis.</w:t>
      </w:r>
    </w:p>
    <w:p w14:paraId="392012E8" w14:textId="77777777" w:rsidR="00775C83" w:rsidRPr="00775C83" w:rsidRDefault="00775C83" w:rsidP="00775C83">
      <w:pPr>
        <w:rPr>
          <w:lang w:eastAsia="en-GB" w:bidi="hi-IN"/>
        </w:rPr>
      </w:pPr>
      <w:r w:rsidRPr="00775C83">
        <w:rPr>
          <w:lang w:eastAsia="en-GB" w:bidi="hi-IN"/>
        </w:rPr>
        <w:lastRenderedPageBreak/>
        <w:t>First, the data show a moderate and statistically significant positive correlation between Time-Based Conflict and Turnover Intention (r=.427</w:t>
      </w:r>
      <w:r>
        <w:rPr>
          <w:lang w:val="en-US" w:eastAsia="en-GB" w:bidi="hi-IN"/>
        </w:rPr>
        <w:t>,</w:t>
      </w:r>
      <w:r w:rsidRPr="00775C83">
        <w:rPr>
          <w:lang w:eastAsia="en-GB" w:bidi="hi-IN"/>
        </w:rPr>
        <w:t xml:space="preserve"> p&lt;.001). This is an empirical observation to back up H1: The more the rigid temporal demands of NHS shift patterns impinge on personal time, the more likely a practitioner is to think about actively leaving their career.</w:t>
      </w:r>
    </w:p>
    <w:p w14:paraId="1E822C52" w14:textId="77777777" w:rsidR="00775C83" w:rsidRPr="00775C83" w:rsidRDefault="00775C83" w:rsidP="00775C83">
      <w:pPr>
        <w:rPr>
          <w:lang w:eastAsia="en-GB" w:bidi="hi-IN"/>
        </w:rPr>
      </w:pPr>
      <w:r w:rsidRPr="00775C83">
        <w:rPr>
          <w:lang w:eastAsia="en-GB" w:bidi="hi-IN"/>
        </w:rPr>
        <w:t>Related to this, Behaviour-Based Conflict positively correlates the most with Turnover Intention (r=.574,p&lt;.001). The statistical association of this is strong and would support Hypothesis 3 (H3), suggesting that transition from an authoritative clinical role to domestic roles created the most powerful bivariate correlate to withdrawal behaviour among the variables in this study.</w:t>
      </w:r>
    </w:p>
    <w:p w14:paraId="02EAF7B2" w14:textId="77777777" w:rsidR="00775C83" w:rsidRPr="00775C83" w:rsidRDefault="00775C83" w:rsidP="00775C83">
      <w:pPr>
        <w:rPr>
          <w:lang w:eastAsia="en-GB" w:bidi="hi-IN"/>
        </w:rPr>
      </w:pPr>
      <w:r w:rsidRPr="00775C83">
        <w:rPr>
          <w:lang w:eastAsia="en-GB" w:bidi="hi-IN"/>
        </w:rPr>
        <w:t>However, the analysis uncovers an unexpected and paradoxical finding about Strain-Based Conflict. Correlation with Turnover Intention is virtually null, slightly negative, and statistically insignificant (r=−.019, p=.829). For this data set, Hypothesis 2 (H2), that there will be a positive association, is completely refuted.</w:t>
      </w:r>
    </w:p>
    <w:p w14:paraId="0B2D1A18" w14:textId="77777777" w:rsidR="00235425" w:rsidRDefault="00775C83" w:rsidP="00775C83">
      <w:pPr>
        <w:rPr>
          <w:lang w:eastAsia="en-GB" w:bidi="hi-IN"/>
        </w:rPr>
      </w:pPr>
      <w:r w:rsidRPr="00775C83">
        <w:rPr>
          <w:lang w:eastAsia="en-GB" w:bidi="hi-IN"/>
        </w:rPr>
        <w:t>The failure of this particular statistical indicator must be interpreted very carefully from the methodological point of view. It challenges the traditional view of the occupational health community that puts emotional exhaustion as the front</w:t>
      </w:r>
      <w:r>
        <w:rPr>
          <w:lang w:val="en-US" w:eastAsia="en-GB" w:bidi="hi-IN"/>
        </w:rPr>
        <w:t>-</w:t>
      </w:r>
      <w:r w:rsidRPr="00775C83">
        <w:rPr>
          <w:lang w:eastAsia="en-GB" w:bidi="hi-IN"/>
        </w:rPr>
        <w:t>runner cause of attrition. This phenomenon is almost certainly a mathematical effect of the strong clustering and low negative skewness found in the descriptive statistics. The variable has very limited data</w:t>
      </w:r>
      <w:r>
        <w:rPr>
          <w:lang w:val="en-US" w:eastAsia="en-GB" w:bidi="hi-IN"/>
        </w:rPr>
        <w:t>;</w:t>
      </w:r>
      <w:r w:rsidRPr="00775C83">
        <w:rPr>
          <w:lang w:eastAsia="en-GB" w:bidi="hi-IN"/>
        </w:rPr>
        <w:t xml:space="preserve"> almost all respondents rated their strain as maximum</w:t>
      </w:r>
      <w:r>
        <w:rPr>
          <w:lang w:val="en-US" w:eastAsia="en-GB" w:bidi="hi-IN"/>
        </w:rPr>
        <w:t>;</w:t>
      </w:r>
      <w:r w:rsidRPr="00775C83">
        <w:rPr>
          <w:lang w:eastAsia="en-GB" w:bidi="hi-IN"/>
        </w:rPr>
        <w:t xml:space="preserve"> therefore</w:t>
      </w:r>
      <w:r>
        <w:rPr>
          <w:lang w:val="en-US" w:eastAsia="en-GB" w:bidi="hi-IN"/>
        </w:rPr>
        <w:t>,</w:t>
      </w:r>
      <w:r w:rsidRPr="00775C83">
        <w:rPr>
          <w:lang w:eastAsia="en-GB" w:bidi="hi-IN"/>
        </w:rPr>
        <w:t xml:space="preserve"> it does not have the mesokurtic variance scientists use in determining covariance. This means that despite the statistical lack of support at H2, this is probably a psychometric measurement limitation, not a lack of clinical pressure behind turnover.</w:t>
      </w:r>
    </w:p>
    <w:p w14:paraId="5C4EC790" w14:textId="77777777" w:rsidR="00DA1B4D" w:rsidRPr="00DA1B4D" w:rsidRDefault="00DA1B4D" w:rsidP="00DA1B4D">
      <w:pPr>
        <w:pStyle w:val="Caption"/>
        <w:rPr>
          <w:b w:val="0"/>
          <w:bCs/>
          <w:lang w:eastAsia="en-GB" w:bidi="hi-IN"/>
        </w:rPr>
      </w:pPr>
      <w:bookmarkStart w:id="62" w:name="_Toc240872632"/>
      <w:r>
        <w:t xml:space="preserve">Table </w:t>
      </w:r>
      <w:r>
        <w:fldChar w:fldCharType="begin"/>
      </w:r>
      <w:r>
        <w:instrText xml:space="preserve"> SEQ Table \* ARABIC </w:instrText>
      </w:r>
      <w:r>
        <w:fldChar w:fldCharType="separate"/>
      </w:r>
      <w:r>
        <w:rPr>
          <w:noProof/>
        </w:rPr>
        <w:t>11</w:t>
      </w:r>
      <w:r>
        <w:fldChar w:fldCharType="end"/>
      </w:r>
      <w:r>
        <w:t xml:space="preserve">: </w:t>
      </w:r>
      <w:r w:rsidRPr="00DA1B4D">
        <w:rPr>
          <w:b w:val="0"/>
          <w:bCs/>
        </w:rPr>
        <w:t>Hierarchical Multiple Regression Analysis Testing the Moderating Effects of Workload, Managerial Support, and Flexible Working Arrangements on the WLC-Turnover Intention Relationship</w:t>
      </w:r>
      <w:bookmarkEnd w:id="62"/>
    </w:p>
    <w:tbl>
      <w:tblPr>
        <w:tblStyle w:val="APA7"/>
        <w:tblW w:w="0" w:type="auto"/>
        <w:tblLook w:val="04A0" w:firstRow="1" w:lastRow="0" w:firstColumn="1" w:lastColumn="0" w:noHBand="0" w:noVBand="1"/>
      </w:tblPr>
      <w:tblGrid>
        <w:gridCol w:w="1880"/>
        <w:gridCol w:w="1627"/>
        <w:gridCol w:w="964"/>
        <w:gridCol w:w="756"/>
        <w:gridCol w:w="996"/>
        <w:gridCol w:w="795"/>
        <w:gridCol w:w="1187"/>
        <w:gridCol w:w="821"/>
      </w:tblGrid>
      <w:tr w:rsidR="00235425" w:rsidRPr="00B74CF9" w14:paraId="264C3107"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554ABCA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lastRenderedPageBreak/>
              <w:t>Hypothesis / Model</w:t>
            </w:r>
          </w:p>
        </w:tc>
        <w:tc>
          <w:tcPr>
            <w:tcW w:w="0" w:type="auto"/>
            <w:hideMark/>
          </w:tcPr>
          <w:p w14:paraId="2F349CC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Predictors</w:t>
            </w:r>
          </w:p>
        </w:tc>
        <w:tc>
          <w:tcPr>
            <w:tcW w:w="0" w:type="auto"/>
            <w:hideMark/>
          </w:tcPr>
          <w:p w14:paraId="106E472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β (Coeff)</w:t>
            </w:r>
          </w:p>
        </w:tc>
        <w:tc>
          <w:tcPr>
            <w:tcW w:w="0" w:type="auto"/>
            <w:hideMark/>
          </w:tcPr>
          <w:p w14:paraId="71AD192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SE</w:t>
            </w:r>
          </w:p>
        </w:tc>
        <w:tc>
          <w:tcPr>
            <w:tcW w:w="0" w:type="auto"/>
            <w:hideMark/>
          </w:tcPr>
          <w:p w14:paraId="18AAF9E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t</w:t>
            </w:r>
          </w:p>
        </w:tc>
        <w:tc>
          <w:tcPr>
            <w:tcW w:w="0" w:type="auto"/>
            <w:hideMark/>
          </w:tcPr>
          <w:p w14:paraId="724131B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p-value</w:t>
            </w:r>
          </w:p>
        </w:tc>
        <w:tc>
          <w:tcPr>
            <w:tcW w:w="0" w:type="auto"/>
            <w:hideMark/>
          </w:tcPr>
          <w:p w14:paraId="4A1DE2F2"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95% CI (LLCI, ULCI)</w:t>
            </w:r>
          </w:p>
        </w:tc>
        <w:tc>
          <w:tcPr>
            <w:tcW w:w="0" w:type="auto"/>
            <w:hideMark/>
          </w:tcPr>
          <w:p w14:paraId="77983C3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Cs/>
                <w:color w:val="auto"/>
                <w:kern w:val="0"/>
                <w:szCs w:val="24"/>
                <w:lang w:eastAsia="en-GB" w:bidi="hi-IN"/>
                <w14:ligatures w14:val="none"/>
              </w:rPr>
              <w:t>ΔR2 (Int)</w:t>
            </w:r>
          </w:p>
        </w:tc>
      </w:tr>
      <w:tr w:rsidR="00235425" w:rsidRPr="00B74CF9" w14:paraId="595903F6" w14:textId="77777777" w:rsidTr="00255207">
        <w:tc>
          <w:tcPr>
            <w:tcW w:w="0" w:type="auto"/>
            <w:hideMark/>
          </w:tcPr>
          <w:p w14:paraId="5401A1F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H4: Workload Intensity (WI)</w:t>
            </w:r>
          </w:p>
        </w:tc>
        <w:tc>
          <w:tcPr>
            <w:tcW w:w="0" w:type="auto"/>
            <w:hideMark/>
          </w:tcPr>
          <w:p w14:paraId="5DB0A64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Constant</w:t>
            </w:r>
          </w:p>
        </w:tc>
        <w:tc>
          <w:tcPr>
            <w:tcW w:w="0" w:type="auto"/>
            <w:hideMark/>
          </w:tcPr>
          <w:p w14:paraId="5CE7C82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4.468</w:t>
            </w:r>
          </w:p>
        </w:tc>
        <w:tc>
          <w:tcPr>
            <w:tcW w:w="0" w:type="auto"/>
            <w:hideMark/>
          </w:tcPr>
          <w:p w14:paraId="42F79D7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0.029</w:t>
            </w:r>
          </w:p>
        </w:tc>
        <w:tc>
          <w:tcPr>
            <w:tcW w:w="0" w:type="auto"/>
            <w:hideMark/>
          </w:tcPr>
          <w:p w14:paraId="3061021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155.436</w:t>
            </w:r>
          </w:p>
        </w:tc>
        <w:tc>
          <w:tcPr>
            <w:tcW w:w="0" w:type="auto"/>
            <w:hideMark/>
          </w:tcPr>
          <w:p w14:paraId="149A5C7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&lt; .001</w:t>
            </w:r>
          </w:p>
        </w:tc>
        <w:tc>
          <w:tcPr>
            <w:tcW w:w="0" w:type="auto"/>
            <w:hideMark/>
          </w:tcPr>
          <w:p w14:paraId="00D908F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[4.412, 4.525]</w:t>
            </w:r>
          </w:p>
        </w:tc>
        <w:tc>
          <w:tcPr>
            <w:tcW w:w="0" w:type="auto"/>
            <w:hideMark/>
          </w:tcPr>
          <w:p w14:paraId="213A6C4A"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3469B6CC" w14:textId="77777777" w:rsidTr="00255207">
        <w:tc>
          <w:tcPr>
            <w:tcW w:w="0" w:type="auto"/>
            <w:hideMark/>
          </w:tcPr>
          <w:p w14:paraId="46F9D8B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i/>
                <w:iCs/>
                <w:color w:val="auto"/>
                <w:kern w:val="0"/>
                <w:szCs w:val="24"/>
                <w:lang w:eastAsia="en-GB" w:bidi="hi-IN"/>
                <w14:ligatures w14:val="none"/>
              </w:rPr>
              <w:t>Model Fit: R2 = .764, F = 141.305, p &lt; .001</w:t>
            </w:r>
          </w:p>
        </w:tc>
        <w:tc>
          <w:tcPr>
            <w:tcW w:w="0" w:type="auto"/>
            <w:hideMark/>
          </w:tcPr>
          <w:p w14:paraId="79FC76B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WLC (Predictor)</w:t>
            </w:r>
          </w:p>
        </w:tc>
        <w:tc>
          <w:tcPr>
            <w:tcW w:w="0" w:type="auto"/>
            <w:hideMark/>
          </w:tcPr>
          <w:p w14:paraId="6563433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-0.013</w:t>
            </w:r>
          </w:p>
        </w:tc>
        <w:tc>
          <w:tcPr>
            <w:tcW w:w="0" w:type="auto"/>
            <w:hideMark/>
          </w:tcPr>
          <w:p w14:paraId="2C157A4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0.140</w:t>
            </w:r>
          </w:p>
        </w:tc>
        <w:tc>
          <w:tcPr>
            <w:tcW w:w="0" w:type="auto"/>
            <w:hideMark/>
          </w:tcPr>
          <w:p w14:paraId="4EFFE61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-0.093</w:t>
            </w:r>
          </w:p>
        </w:tc>
        <w:tc>
          <w:tcPr>
            <w:tcW w:w="0" w:type="auto"/>
            <w:hideMark/>
          </w:tcPr>
          <w:p w14:paraId="4A2A7EA2"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.926</w:t>
            </w:r>
          </w:p>
        </w:tc>
        <w:tc>
          <w:tcPr>
            <w:tcW w:w="0" w:type="auto"/>
            <w:hideMark/>
          </w:tcPr>
          <w:p w14:paraId="5B48DFD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[-0.291, 0.264]</w:t>
            </w:r>
          </w:p>
        </w:tc>
        <w:tc>
          <w:tcPr>
            <w:tcW w:w="0" w:type="auto"/>
            <w:hideMark/>
          </w:tcPr>
          <w:p w14:paraId="15C151BF"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7953E643" w14:textId="77777777" w:rsidTr="00255207">
        <w:tc>
          <w:tcPr>
            <w:tcW w:w="0" w:type="auto"/>
            <w:hideMark/>
          </w:tcPr>
          <w:p w14:paraId="5696829B"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671D4D9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WI (Moderator)</w:t>
            </w:r>
          </w:p>
        </w:tc>
        <w:tc>
          <w:tcPr>
            <w:tcW w:w="0" w:type="auto"/>
            <w:hideMark/>
          </w:tcPr>
          <w:p w14:paraId="6A37BA6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0.900</w:t>
            </w:r>
          </w:p>
        </w:tc>
        <w:tc>
          <w:tcPr>
            <w:tcW w:w="0" w:type="auto"/>
            <w:hideMark/>
          </w:tcPr>
          <w:p w14:paraId="76F6117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0.059</w:t>
            </w:r>
          </w:p>
        </w:tc>
        <w:tc>
          <w:tcPr>
            <w:tcW w:w="0" w:type="auto"/>
            <w:hideMark/>
          </w:tcPr>
          <w:p w14:paraId="590940E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15.225</w:t>
            </w:r>
          </w:p>
        </w:tc>
        <w:tc>
          <w:tcPr>
            <w:tcW w:w="0" w:type="auto"/>
            <w:hideMark/>
          </w:tcPr>
          <w:p w14:paraId="530C823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&lt; .001</w:t>
            </w:r>
          </w:p>
        </w:tc>
        <w:tc>
          <w:tcPr>
            <w:tcW w:w="0" w:type="auto"/>
            <w:hideMark/>
          </w:tcPr>
          <w:p w14:paraId="21EC41B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[0.783, 1.017]</w:t>
            </w:r>
          </w:p>
        </w:tc>
        <w:tc>
          <w:tcPr>
            <w:tcW w:w="0" w:type="auto"/>
            <w:hideMark/>
          </w:tcPr>
          <w:p w14:paraId="7FA1B2C3"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39508A02" w14:textId="77777777" w:rsidTr="00255207">
        <w:tc>
          <w:tcPr>
            <w:tcW w:w="0" w:type="auto"/>
            <w:hideMark/>
          </w:tcPr>
          <w:p w14:paraId="22B58942"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295F78A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Interaction (WLC x WI)</w:t>
            </w:r>
          </w:p>
        </w:tc>
        <w:tc>
          <w:tcPr>
            <w:tcW w:w="0" w:type="auto"/>
            <w:hideMark/>
          </w:tcPr>
          <w:p w14:paraId="4EA36F2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-0.040</w:t>
            </w:r>
          </w:p>
        </w:tc>
        <w:tc>
          <w:tcPr>
            <w:tcW w:w="0" w:type="auto"/>
            <w:hideMark/>
          </w:tcPr>
          <w:p w14:paraId="6EED4ED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0.075</w:t>
            </w:r>
          </w:p>
        </w:tc>
        <w:tc>
          <w:tcPr>
            <w:tcW w:w="0" w:type="auto"/>
            <w:hideMark/>
          </w:tcPr>
          <w:p w14:paraId="20F6761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-0.534</w:t>
            </w:r>
          </w:p>
        </w:tc>
        <w:tc>
          <w:tcPr>
            <w:tcW w:w="0" w:type="auto"/>
            <w:hideMark/>
          </w:tcPr>
          <w:p w14:paraId="2A1DC82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.594</w:t>
            </w:r>
          </w:p>
        </w:tc>
        <w:tc>
          <w:tcPr>
            <w:tcW w:w="0" w:type="auto"/>
            <w:hideMark/>
          </w:tcPr>
          <w:p w14:paraId="5394013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[-0.189, 0.108]</w:t>
            </w:r>
          </w:p>
        </w:tc>
        <w:tc>
          <w:tcPr>
            <w:tcW w:w="0" w:type="auto"/>
            <w:hideMark/>
          </w:tcPr>
          <w:p w14:paraId="6FFF89A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.0005</w:t>
            </w:r>
          </w:p>
        </w:tc>
      </w:tr>
      <w:tr w:rsidR="00235425" w:rsidRPr="00B74CF9" w14:paraId="5812429F" w14:textId="77777777" w:rsidTr="00255207">
        <w:tc>
          <w:tcPr>
            <w:tcW w:w="0" w:type="auto"/>
            <w:hideMark/>
          </w:tcPr>
          <w:p w14:paraId="61CB4D5C"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4F63AC12"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3DCD0CB9"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7E6DFB68"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5C52BBB1"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6CF75954"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682AD829"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4EB3856B"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722545E3" w14:textId="77777777" w:rsidTr="00255207">
        <w:tc>
          <w:tcPr>
            <w:tcW w:w="0" w:type="auto"/>
            <w:hideMark/>
          </w:tcPr>
          <w:p w14:paraId="4F92A50D"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H5: Managerial Support (MS)</w:t>
            </w:r>
          </w:p>
        </w:tc>
        <w:tc>
          <w:tcPr>
            <w:tcW w:w="0" w:type="auto"/>
            <w:hideMark/>
          </w:tcPr>
          <w:p w14:paraId="47D2D50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Constant</w:t>
            </w:r>
          </w:p>
        </w:tc>
        <w:tc>
          <w:tcPr>
            <w:tcW w:w="0" w:type="auto"/>
            <w:hideMark/>
          </w:tcPr>
          <w:p w14:paraId="7E42C68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4.468</w:t>
            </w:r>
          </w:p>
        </w:tc>
        <w:tc>
          <w:tcPr>
            <w:tcW w:w="0" w:type="auto"/>
            <w:hideMark/>
          </w:tcPr>
          <w:p w14:paraId="62C62AB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0.029</w:t>
            </w:r>
          </w:p>
        </w:tc>
        <w:tc>
          <w:tcPr>
            <w:tcW w:w="0" w:type="auto"/>
            <w:hideMark/>
          </w:tcPr>
          <w:p w14:paraId="67617F07"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154.277</w:t>
            </w:r>
          </w:p>
        </w:tc>
        <w:tc>
          <w:tcPr>
            <w:tcW w:w="0" w:type="auto"/>
            <w:hideMark/>
          </w:tcPr>
          <w:p w14:paraId="2253138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&lt; .001</w:t>
            </w:r>
          </w:p>
        </w:tc>
        <w:tc>
          <w:tcPr>
            <w:tcW w:w="0" w:type="auto"/>
            <w:hideMark/>
          </w:tcPr>
          <w:p w14:paraId="681FD4D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[4.411, 4.525]</w:t>
            </w:r>
          </w:p>
        </w:tc>
        <w:tc>
          <w:tcPr>
            <w:tcW w:w="0" w:type="auto"/>
            <w:hideMark/>
          </w:tcPr>
          <w:p w14:paraId="28341C0F"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2C269733" w14:textId="77777777" w:rsidTr="00255207">
        <w:tc>
          <w:tcPr>
            <w:tcW w:w="0" w:type="auto"/>
            <w:hideMark/>
          </w:tcPr>
          <w:p w14:paraId="1AF6F88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i/>
                <w:iCs/>
                <w:color w:val="auto"/>
                <w:kern w:val="0"/>
                <w:szCs w:val="24"/>
                <w:lang w:eastAsia="en-GB" w:bidi="hi-IN"/>
                <w14:ligatures w14:val="none"/>
              </w:rPr>
              <w:t>Model Fit: R2 = .759, F = 137.119, p &lt; .001</w:t>
            </w:r>
          </w:p>
        </w:tc>
        <w:tc>
          <w:tcPr>
            <w:tcW w:w="0" w:type="auto"/>
            <w:hideMark/>
          </w:tcPr>
          <w:p w14:paraId="0FA8E54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WLC (Predictor)</w:t>
            </w:r>
          </w:p>
        </w:tc>
        <w:tc>
          <w:tcPr>
            <w:tcW w:w="0" w:type="auto"/>
            <w:hideMark/>
          </w:tcPr>
          <w:p w14:paraId="5D6FA76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0.072</w:t>
            </w:r>
          </w:p>
        </w:tc>
        <w:tc>
          <w:tcPr>
            <w:tcW w:w="0" w:type="auto"/>
            <w:hideMark/>
          </w:tcPr>
          <w:p w14:paraId="1F7634D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0.140</w:t>
            </w:r>
          </w:p>
        </w:tc>
        <w:tc>
          <w:tcPr>
            <w:tcW w:w="0" w:type="auto"/>
            <w:hideMark/>
          </w:tcPr>
          <w:p w14:paraId="14D62A2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0.516</w:t>
            </w:r>
          </w:p>
        </w:tc>
        <w:tc>
          <w:tcPr>
            <w:tcW w:w="0" w:type="auto"/>
            <w:hideMark/>
          </w:tcPr>
          <w:p w14:paraId="771C9C7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.607</w:t>
            </w:r>
          </w:p>
        </w:tc>
        <w:tc>
          <w:tcPr>
            <w:tcW w:w="0" w:type="auto"/>
            <w:hideMark/>
          </w:tcPr>
          <w:p w14:paraId="1FAA9FAD"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[-0.205, 0.349]</w:t>
            </w:r>
          </w:p>
        </w:tc>
        <w:tc>
          <w:tcPr>
            <w:tcW w:w="0" w:type="auto"/>
            <w:hideMark/>
          </w:tcPr>
          <w:p w14:paraId="6FBC76CD"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2EE4D601" w14:textId="77777777" w:rsidTr="00255207">
        <w:tc>
          <w:tcPr>
            <w:tcW w:w="0" w:type="auto"/>
            <w:hideMark/>
          </w:tcPr>
          <w:p w14:paraId="5F835BC3"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4D6438A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MS (Moderator)</w:t>
            </w:r>
          </w:p>
        </w:tc>
        <w:tc>
          <w:tcPr>
            <w:tcW w:w="0" w:type="auto"/>
            <w:hideMark/>
          </w:tcPr>
          <w:p w14:paraId="18DF5A2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0.858</w:t>
            </w:r>
          </w:p>
        </w:tc>
        <w:tc>
          <w:tcPr>
            <w:tcW w:w="0" w:type="auto"/>
            <w:hideMark/>
          </w:tcPr>
          <w:p w14:paraId="4B9370ED"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0.057</w:t>
            </w:r>
          </w:p>
        </w:tc>
        <w:tc>
          <w:tcPr>
            <w:tcW w:w="0" w:type="auto"/>
            <w:hideMark/>
          </w:tcPr>
          <w:p w14:paraId="7260023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15.138</w:t>
            </w:r>
          </w:p>
        </w:tc>
        <w:tc>
          <w:tcPr>
            <w:tcW w:w="0" w:type="auto"/>
            <w:hideMark/>
          </w:tcPr>
          <w:p w14:paraId="6843160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&lt; .001</w:t>
            </w:r>
          </w:p>
        </w:tc>
        <w:tc>
          <w:tcPr>
            <w:tcW w:w="0" w:type="auto"/>
            <w:hideMark/>
          </w:tcPr>
          <w:p w14:paraId="70B1278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[0.746, 0.970]</w:t>
            </w:r>
          </w:p>
        </w:tc>
        <w:tc>
          <w:tcPr>
            <w:tcW w:w="0" w:type="auto"/>
            <w:hideMark/>
          </w:tcPr>
          <w:p w14:paraId="5745E165"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09A9D126" w14:textId="77777777" w:rsidTr="00255207">
        <w:tc>
          <w:tcPr>
            <w:tcW w:w="0" w:type="auto"/>
            <w:hideMark/>
          </w:tcPr>
          <w:p w14:paraId="1BF2B6F0"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4960CF1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Interaction (WLC x MS)</w:t>
            </w:r>
          </w:p>
        </w:tc>
        <w:tc>
          <w:tcPr>
            <w:tcW w:w="0" w:type="auto"/>
            <w:hideMark/>
          </w:tcPr>
          <w:p w14:paraId="21F6284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-0.038</w:t>
            </w:r>
          </w:p>
        </w:tc>
        <w:tc>
          <w:tcPr>
            <w:tcW w:w="0" w:type="auto"/>
            <w:hideMark/>
          </w:tcPr>
          <w:p w14:paraId="7B752EF2"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0.074</w:t>
            </w:r>
          </w:p>
        </w:tc>
        <w:tc>
          <w:tcPr>
            <w:tcW w:w="0" w:type="auto"/>
            <w:hideMark/>
          </w:tcPr>
          <w:p w14:paraId="5996E85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-0.506</w:t>
            </w:r>
          </w:p>
        </w:tc>
        <w:tc>
          <w:tcPr>
            <w:tcW w:w="0" w:type="auto"/>
            <w:hideMark/>
          </w:tcPr>
          <w:p w14:paraId="0D5CE16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.614</w:t>
            </w:r>
          </w:p>
        </w:tc>
        <w:tc>
          <w:tcPr>
            <w:tcW w:w="0" w:type="auto"/>
            <w:hideMark/>
          </w:tcPr>
          <w:p w14:paraId="3F3ECC15"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[-0.184, 0.109]</w:t>
            </w:r>
          </w:p>
        </w:tc>
        <w:tc>
          <w:tcPr>
            <w:tcW w:w="0" w:type="auto"/>
            <w:hideMark/>
          </w:tcPr>
          <w:p w14:paraId="672821E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.0005</w:t>
            </w:r>
          </w:p>
        </w:tc>
      </w:tr>
      <w:tr w:rsidR="00235425" w:rsidRPr="00B74CF9" w14:paraId="00A95D96" w14:textId="77777777" w:rsidTr="00255207">
        <w:tc>
          <w:tcPr>
            <w:tcW w:w="0" w:type="auto"/>
            <w:hideMark/>
          </w:tcPr>
          <w:p w14:paraId="52C948B0"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0EF67663"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20285D67"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4793FD0D"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135FC440"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5BF88DA3"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695E7D81"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6901AF27"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23828A88" w14:textId="77777777" w:rsidTr="00255207">
        <w:tc>
          <w:tcPr>
            <w:tcW w:w="0" w:type="auto"/>
            <w:hideMark/>
          </w:tcPr>
          <w:p w14:paraId="7C7804F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lastRenderedPageBreak/>
              <w:t>H6: Flexible Work Arr. (FWA)</w:t>
            </w:r>
          </w:p>
        </w:tc>
        <w:tc>
          <w:tcPr>
            <w:tcW w:w="0" w:type="auto"/>
            <w:hideMark/>
          </w:tcPr>
          <w:p w14:paraId="2363E19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Constant</w:t>
            </w:r>
          </w:p>
        </w:tc>
        <w:tc>
          <w:tcPr>
            <w:tcW w:w="0" w:type="auto"/>
            <w:hideMark/>
          </w:tcPr>
          <w:p w14:paraId="49D1F2C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4.475</w:t>
            </w:r>
          </w:p>
        </w:tc>
        <w:tc>
          <w:tcPr>
            <w:tcW w:w="0" w:type="auto"/>
            <w:hideMark/>
          </w:tcPr>
          <w:p w14:paraId="165AF052"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0.030</w:t>
            </w:r>
          </w:p>
        </w:tc>
        <w:tc>
          <w:tcPr>
            <w:tcW w:w="0" w:type="auto"/>
            <w:hideMark/>
          </w:tcPr>
          <w:p w14:paraId="39C22639"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150.398</w:t>
            </w:r>
          </w:p>
        </w:tc>
        <w:tc>
          <w:tcPr>
            <w:tcW w:w="0" w:type="auto"/>
            <w:hideMark/>
          </w:tcPr>
          <w:p w14:paraId="6841278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&lt; .001</w:t>
            </w:r>
          </w:p>
        </w:tc>
        <w:tc>
          <w:tcPr>
            <w:tcW w:w="0" w:type="auto"/>
            <w:hideMark/>
          </w:tcPr>
          <w:p w14:paraId="2696698B"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[4.416, 4.534]</w:t>
            </w:r>
          </w:p>
        </w:tc>
        <w:tc>
          <w:tcPr>
            <w:tcW w:w="0" w:type="auto"/>
            <w:hideMark/>
          </w:tcPr>
          <w:p w14:paraId="735BCADE"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16AA3737" w14:textId="77777777" w:rsidTr="00255207">
        <w:tc>
          <w:tcPr>
            <w:tcW w:w="0" w:type="auto"/>
            <w:hideMark/>
          </w:tcPr>
          <w:p w14:paraId="62093BD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i/>
                <w:iCs/>
                <w:color w:val="auto"/>
                <w:kern w:val="0"/>
                <w:szCs w:val="24"/>
                <w:lang w:eastAsia="en-GB" w:bidi="hi-IN"/>
                <w14:ligatures w14:val="none"/>
              </w:rPr>
              <w:t>Model Fit: R2 = .745, F = 127.839, p &lt; .001</w:t>
            </w:r>
          </w:p>
        </w:tc>
        <w:tc>
          <w:tcPr>
            <w:tcW w:w="0" w:type="auto"/>
            <w:hideMark/>
          </w:tcPr>
          <w:p w14:paraId="1749053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WLC (Predictor)</w:t>
            </w:r>
          </w:p>
        </w:tc>
        <w:tc>
          <w:tcPr>
            <w:tcW w:w="0" w:type="auto"/>
            <w:hideMark/>
          </w:tcPr>
          <w:p w14:paraId="675ACB1A"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0.015</w:t>
            </w:r>
          </w:p>
        </w:tc>
        <w:tc>
          <w:tcPr>
            <w:tcW w:w="0" w:type="auto"/>
            <w:hideMark/>
          </w:tcPr>
          <w:p w14:paraId="212E8B6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0.145</w:t>
            </w:r>
          </w:p>
        </w:tc>
        <w:tc>
          <w:tcPr>
            <w:tcW w:w="0" w:type="auto"/>
            <w:hideMark/>
          </w:tcPr>
          <w:p w14:paraId="11A6919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0.100</w:t>
            </w:r>
          </w:p>
        </w:tc>
        <w:tc>
          <w:tcPr>
            <w:tcW w:w="0" w:type="auto"/>
            <w:hideMark/>
          </w:tcPr>
          <w:p w14:paraId="3E2AFC0F"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.920</w:t>
            </w:r>
          </w:p>
        </w:tc>
        <w:tc>
          <w:tcPr>
            <w:tcW w:w="0" w:type="auto"/>
            <w:hideMark/>
          </w:tcPr>
          <w:p w14:paraId="12148E8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[-0.273, 0.302]</w:t>
            </w:r>
          </w:p>
        </w:tc>
        <w:tc>
          <w:tcPr>
            <w:tcW w:w="0" w:type="auto"/>
            <w:hideMark/>
          </w:tcPr>
          <w:p w14:paraId="39AC00DF"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035EDBF8" w14:textId="77777777" w:rsidTr="00255207">
        <w:tc>
          <w:tcPr>
            <w:tcW w:w="0" w:type="auto"/>
            <w:hideMark/>
          </w:tcPr>
          <w:p w14:paraId="1B150868"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10F045F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FWA (Moderator)</w:t>
            </w:r>
          </w:p>
        </w:tc>
        <w:tc>
          <w:tcPr>
            <w:tcW w:w="0" w:type="auto"/>
            <w:hideMark/>
          </w:tcPr>
          <w:p w14:paraId="6CB7DEF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0.803</w:t>
            </w:r>
          </w:p>
        </w:tc>
        <w:tc>
          <w:tcPr>
            <w:tcW w:w="0" w:type="auto"/>
            <w:hideMark/>
          </w:tcPr>
          <w:p w14:paraId="64F11D8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0.055</w:t>
            </w:r>
          </w:p>
        </w:tc>
        <w:tc>
          <w:tcPr>
            <w:tcW w:w="0" w:type="auto"/>
            <w:hideMark/>
          </w:tcPr>
          <w:p w14:paraId="110639E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14.560</w:t>
            </w:r>
          </w:p>
        </w:tc>
        <w:tc>
          <w:tcPr>
            <w:tcW w:w="0" w:type="auto"/>
            <w:hideMark/>
          </w:tcPr>
          <w:p w14:paraId="36E9254C"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&lt; .001</w:t>
            </w:r>
          </w:p>
        </w:tc>
        <w:tc>
          <w:tcPr>
            <w:tcW w:w="0" w:type="auto"/>
            <w:hideMark/>
          </w:tcPr>
          <w:p w14:paraId="2948932D"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color w:val="auto"/>
                <w:kern w:val="0"/>
                <w:szCs w:val="24"/>
                <w:lang w:eastAsia="en-GB" w:bidi="hi-IN"/>
                <w14:ligatures w14:val="none"/>
              </w:rPr>
              <w:t>[0.694, 0.912]</w:t>
            </w:r>
          </w:p>
        </w:tc>
        <w:tc>
          <w:tcPr>
            <w:tcW w:w="0" w:type="auto"/>
            <w:hideMark/>
          </w:tcPr>
          <w:p w14:paraId="6042F286" w14:textId="77777777" w:rsidR="00235425" w:rsidRPr="00B74CF9" w:rsidRDefault="00235425" w:rsidP="00255207">
            <w:pPr>
              <w:jc w:val="left"/>
              <w:rPr>
                <w:rFonts w:eastAsia="Times New Roman" w:cs="Times New Roman"/>
                <w:color w:val="auto"/>
                <w:kern w:val="0"/>
                <w:szCs w:val="24"/>
                <w:lang w:eastAsia="en-GB" w:bidi="hi-IN"/>
                <w14:ligatures w14:val="none"/>
              </w:rPr>
            </w:pPr>
          </w:p>
        </w:tc>
      </w:tr>
      <w:tr w:rsidR="00235425" w:rsidRPr="00B74CF9" w14:paraId="74BF495F" w14:textId="77777777" w:rsidTr="00255207">
        <w:tc>
          <w:tcPr>
            <w:tcW w:w="0" w:type="auto"/>
            <w:hideMark/>
          </w:tcPr>
          <w:p w14:paraId="69297209" w14:textId="77777777" w:rsidR="00235425" w:rsidRPr="00B74CF9" w:rsidRDefault="00235425" w:rsidP="00255207">
            <w:pPr>
              <w:jc w:val="left"/>
              <w:rPr>
                <w:rFonts w:eastAsia="Times New Roman" w:cs="Times New Roman"/>
                <w:color w:val="auto"/>
                <w:kern w:val="0"/>
                <w:szCs w:val="24"/>
                <w:lang w:eastAsia="en-GB" w:bidi="hi-IN"/>
                <w14:ligatures w14:val="none"/>
              </w:rPr>
            </w:pPr>
          </w:p>
        </w:tc>
        <w:tc>
          <w:tcPr>
            <w:tcW w:w="0" w:type="auto"/>
            <w:hideMark/>
          </w:tcPr>
          <w:p w14:paraId="7608C544"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Interaction (WLC x FWA)</w:t>
            </w:r>
          </w:p>
        </w:tc>
        <w:tc>
          <w:tcPr>
            <w:tcW w:w="0" w:type="auto"/>
            <w:hideMark/>
          </w:tcPr>
          <w:p w14:paraId="4984C786"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-0.103</w:t>
            </w:r>
          </w:p>
        </w:tc>
        <w:tc>
          <w:tcPr>
            <w:tcW w:w="0" w:type="auto"/>
            <w:hideMark/>
          </w:tcPr>
          <w:p w14:paraId="05E74968"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0.075</w:t>
            </w:r>
          </w:p>
        </w:tc>
        <w:tc>
          <w:tcPr>
            <w:tcW w:w="0" w:type="auto"/>
            <w:hideMark/>
          </w:tcPr>
          <w:p w14:paraId="14F7D993"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-1.364</w:t>
            </w:r>
          </w:p>
        </w:tc>
        <w:tc>
          <w:tcPr>
            <w:tcW w:w="0" w:type="auto"/>
            <w:hideMark/>
          </w:tcPr>
          <w:p w14:paraId="03629820"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.175</w:t>
            </w:r>
          </w:p>
        </w:tc>
        <w:tc>
          <w:tcPr>
            <w:tcW w:w="0" w:type="auto"/>
            <w:hideMark/>
          </w:tcPr>
          <w:p w14:paraId="7872AE2E"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[-0.252, 0.046]</w:t>
            </w:r>
          </w:p>
        </w:tc>
        <w:tc>
          <w:tcPr>
            <w:tcW w:w="0" w:type="auto"/>
            <w:hideMark/>
          </w:tcPr>
          <w:p w14:paraId="62912181" w14:textId="77777777" w:rsidR="00235425" w:rsidRPr="00B74CF9" w:rsidRDefault="00235425" w:rsidP="00255207">
            <w:pPr>
              <w:jc w:val="left"/>
              <w:rPr>
                <w:rFonts w:eastAsia="Times New Roman" w:cs="Times New Roman"/>
                <w:color w:val="auto"/>
                <w:kern w:val="0"/>
                <w:szCs w:val="24"/>
                <w:lang w:eastAsia="en-GB" w:bidi="hi-IN"/>
                <w14:ligatures w14:val="none"/>
              </w:rPr>
            </w:pPr>
            <w:r w:rsidRPr="00B74CF9">
              <w:rPr>
                <w:rFonts w:eastAsia="Times New Roman" w:cs="Times New Roman"/>
                <w:b/>
                <w:bCs/>
                <w:color w:val="auto"/>
                <w:kern w:val="0"/>
                <w:szCs w:val="24"/>
                <w:lang w:eastAsia="en-GB" w:bidi="hi-IN"/>
                <w14:ligatures w14:val="none"/>
              </w:rPr>
              <w:t>.0036</w:t>
            </w:r>
          </w:p>
        </w:tc>
      </w:tr>
    </w:tbl>
    <w:p w14:paraId="696EB6D9" w14:textId="77777777" w:rsidR="00235425" w:rsidRPr="00B74CF9" w:rsidRDefault="00235425" w:rsidP="00235425">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B74CF9">
        <w:rPr>
          <w:rFonts w:eastAsia="Times New Roman" w:cs="Times New Roman"/>
          <w:i/>
          <w:iCs/>
          <w:color w:val="000000"/>
          <w:kern w:val="0"/>
          <w:szCs w:val="24"/>
          <w:lang w:eastAsia="en-GB" w:bidi="hi-IN"/>
          <w14:ligatures w14:val="none"/>
        </w:rPr>
        <w:t>Note. N = 135. Dependent Variable (Y) = Turnover Intention (TI). Independent Variable (X) = Work-Life Conflict (WLC). Predictor variables were mean-centered prior to analysis. CI = Confidence Interval. Significant p-values (&lt; .05) are bolded.</w:t>
      </w:r>
    </w:p>
    <w:p w14:paraId="57698E0E" w14:textId="77777777" w:rsidR="00775C83" w:rsidRPr="00775C83" w:rsidRDefault="00775C83" w:rsidP="00775C83">
      <w:pPr>
        <w:rPr>
          <w:lang w:eastAsia="en-GB" w:bidi="hi-IN"/>
        </w:rPr>
      </w:pPr>
      <w:r w:rsidRPr="00775C83">
        <w:rPr>
          <w:lang w:eastAsia="en-GB" w:bidi="hi-IN"/>
        </w:rPr>
        <w:t>The hierarchical moderation analysis shows a highly revealing and statistically significant rejection of all three interaction hypotheses (H4, H5 and H6); organisational factors were not shown to statistically moderate the withdrawal trajectory in this particular NHS sample.</w:t>
      </w:r>
    </w:p>
    <w:p w14:paraId="077B8628" w14:textId="77777777" w:rsidR="00775C83" w:rsidRPr="00775C83" w:rsidRDefault="00775C83" w:rsidP="00775C83">
      <w:pPr>
        <w:rPr>
          <w:lang w:eastAsia="en-GB" w:bidi="hi-IN"/>
        </w:rPr>
      </w:pPr>
      <w:r w:rsidRPr="00775C83">
        <w:rPr>
          <w:lang w:eastAsia="en-GB" w:bidi="hi-IN"/>
        </w:rPr>
        <w:t>Hypothesis 4: Workload Intensity (WI) positively moderates the WLC-Turnover relationship is rejected as well. The overall model accounts for a huge 76.4% of the variance in Turnover Intention (R² = .764, p &lt; .001), which is entirely attributable to the extraordinary direct main effect of Workload itself (β = 0.900, p &lt; .001). The critical interaction term (WLC x WI) is completely unimportant (p = .594)</w:t>
      </w:r>
      <w:r>
        <w:rPr>
          <w:lang w:val="en-US" w:eastAsia="en-GB" w:bidi="hi-IN"/>
        </w:rPr>
        <w:t>,</w:t>
      </w:r>
      <w:r w:rsidRPr="00775C83">
        <w:rPr>
          <w:lang w:eastAsia="en-GB" w:bidi="hi-IN"/>
        </w:rPr>
        <w:t xml:space="preserve"> and the change in variance is quite close to zero (ΔR² = .0005). This validates that workload is a direct and highly assertive precipitant for turnover intent but is not a dynamic statistical "multiplier" of work-life conflict.</w:t>
      </w:r>
    </w:p>
    <w:p w14:paraId="28D6628E" w14:textId="77777777" w:rsidR="00775C83" w:rsidRPr="00775C83" w:rsidRDefault="00775C83" w:rsidP="00775C83">
      <w:pPr>
        <w:rPr>
          <w:lang w:eastAsia="en-GB" w:bidi="hi-IN"/>
        </w:rPr>
      </w:pPr>
      <w:r w:rsidRPr="00775C83">
        <w:rPr>
          <w:lang w:eastAsia="en-GB" w:bidi="hi-IN"/>
        </w:rPr>
        <w:lastRenderedPageBreak/>
        <w:t xml:space="preserve">Likewise, Hypothesis 5 and Hypothesis 6 about the theorised BS and FWA are definitely disproved. While both models are important overall, only Managerial Support (p = .614) and Flexibility (p = .175) miss the mark for statistical significance entirely. The mathematically trivial interaction terms show that all of these </w:t>
      </w:r>
      <w:r w:rsidR="002330B6">
        <w:rPr>
          <w:lang w:eastAsia="en-GB" w:bidi="hi-IN"/>
        </w:rPr>
        <w:t>organis</w:t>
      </w:r>
      <w:r w:rsidRPr="00775C83">
        <w:rPr>
          <w:lang w:eastAsia="en-GB" w:bidi="hi-IN"/>
        </w:rPr>
        <w:t>ational resources are a complete failure to disrupt or counteract or weaken the direct path between occupational friction and the intent to quit.</w:t>
      </w:r>
    </w:p>
    <w:p w14:paraId="438FBA00" w14:textId="77777777" w:rsidR="00235425" w:rsidRPr="00235425" w:rsidRDefault="00775C83" w:rsidP="00775C83">
      <w:pPr>
        <w:rPr>
          <w:lang w:eastAsia="en-GB" w:bidi="hi-IN"/>
        </w:rPr>
      </w:pPr>
      <w:r w:rsidRPr="00775C83">
        <w:rPr>
          <w:lang w:eastAsia="en-GB" w:bidi="hi-IN"/>
        </w:rPr>
        <w:t>From the methodological point of view, this consistent lack of finding moderation is very deep and explainable as the architecture of the dataset. Empirically confirms the descriptive analysis critique that the absence of mathematical variance for the variables is attributable to the universal extreme, leptokurtic workload &amp; withdrawal intent scores among the NHS staff. Hence, th</w:t>
      </w:r>
      <w:r>
        <w:rPr>
          <w:lang w:eastAsia="en-GB" w:bidi="hi-IN"/>
        </w:rPr>
        <w:t>ese</w:t>
      </w:r>
      <w:r w:rsidRPr="00775C83">
        <w:rPr>
          <w:lang w:eastAsia="en-GB" w:bidi="hi-IN"/>
        </w:rPr>
        <w:t xml:space="preserve"> data contradict the traditional Job Demands-Resources (JD-R) buffering hypothesis. </w:t>
      </w:r>
      <w:r>
        <w:rPr>
          <w:lang w:val="en-US" w:eastAsia="en-GB" w:bidi="hi-IN"/>
        </w:rPr>
        <w:t>S</w:t>
      </w:r>
      <w:r w:rsidRPr="00775C83">
        <w:rPr>
          <w:lang w:eastAsia="en-GB" w:bidi="hi-IN"/>
        </w:rPr>
        <w:t>tructurally rigid healthcare systems with persistent demands, theorised buffers are overwhelming direct predictors of the process instead of interactive moderators.</w:t>
      </w:r>
    </w:p>
    <w:p w14:paraId="7BDF78B9" w14:textId="77777777" w:rsidR="00DA1B4D" w:rsidRPr="00DA1B4D" w:rsidRDefault="00DA1B4D" w:rsidP="00DA1B4D">
      <w:pPr>
        <w:pStyle w:val="Heading2"/>
        <w:rPr>
          <w:rFonts w:eastAsia="Times New Roman"/>
          <w:lang w:eastAsia="en-GB" w:bidi="hi-IN"/>
        </w:rPr>
      </w:pPr>
      <w:bookmarkStart w:id="63" w:name="_Toc240913070"/>
      <w:r w:rsidRPr="00DA1B4D">
        <w:rPr>
          <w:rFonts w:eastAsia="Times New Roman"/>
          <w:lang w:eastAsia="en-GB" w:bidi="hi-IN"/>
        </w:rPr>
        <w:t>4.5 Discussion</w:t>
      </w:r>
      <w:bookmarkEnd w:id="63"/>
    </w:p>
    <w:p w14:paraId="47275288" w14:textId="77777777" w:rsidR="00DA1B4D" w:rsidRPr="00DA1B4D" w:rsidRDefault="00DA1B4D" w:rsidP="00DA1B4D">
      <w:pPr>
        <w:rPr>
          <w:lang w:eastAsia="en-GB" w:bidi="hi-IN"/>
        </w:rPr>
      </w:pPr>
      <w:r w:rsidRPr="00DA1B4D">
        <w:rPr>
          <w:lang w:eastAsia="en-GB" w:bidi="hi-IN"/>
        </w:rPr>
        <w:t>The empirical results that emerged from the quantitative analysis of the NHS employees are synthesised in this chapter, and considered in the context of the theoretical description of the Job Demands-Resources (JD-R) model as well as other occupational health literature. This study had two main objectives: Firstly, to critically examine the relationship between the multidimensional nature of work-life conflict (WLC) and turnover intentions; and secondly, to clearly measure the capacity of organisational resources to act as a moderator in explaining the link between WLC and turnover intentions within the context of the post-pandemic healthcare sector. This discussion goes beyond the descriptive nature of the meta-analysis to directly affect the realities of the current healthcare system. The results confirm withdrawal patterns previously described and provide new insight into the generali</w:t>
      </w:r>
      <w:r w:rsidR="002330B6">
        <w:rPr>
          <w:lang w:val="en-US" w:eastAsia="en-GB" w:bidi="hi-IN"/>
        </w:rPr>
        <w:t>s</w:t>
      </w:r>
      <w:r w:rsidRPr="00DA1B4D">
        <w:rPr>
          <w:lang w:eastAsia="en-GB" w:bidi="hi-IN"/>
        </w:rPr>
        <w:t>ability of the JD-R buffering effects of structurally rigid, high-acuity clinical environments.</w:t>
      </w:r>
    </w:p>
    <w:p w14:paraId="4A961907" w14:textId="77777777" w:rsidR="00DA1B4D" w:rsidRDefault="00DA1B4D" w:rsidP="00DA1B4D">
      <w:pPr>
        <w:pStyle w:val="Heading3"/>
        <w:rPr>
          <w:rFonts w:eastAsia="Times New Roman"/>
          <w:lang w:eastAsia="en-GB" w:bidi="hi-IN"/>
        </w:rPr>
      </w:pPr>
      <w:bookmarkStart w:id="64" w:name="_Toc240913071"/>
      <w:r w:rsidRPr="00DA1B4D">
        <w:rPr>
          <w:rFonts w:eastAsia="Times New Roman"/>
          <w:lang w:eastAsia="en-GB" w:bidi="hi-IN"/>
        </w:rPr>
        <w:lastRenderedPageBreak/>
        <w:t>4.5.1 The Pervasiveness of Multidimensional Work-Life Conflict</w:t>
      </w:r>
      <w:bookmarkEnd w:id="64"/>
      <w:r w:rsidRPr="00DA1B4D">
        <w:rPr>
          <w:rFonts w:eastAsia="Times New Roman"/>
          <w:lang w:eastAsia="en-GB" w:bidi="hi-IN"/>
        </w:rPr>
        <w:t> </w:t>
      </w:r>
    </w:p>
    <w:p w14:paraId="7B4AF16A" w14:textId="77777777" w:rsidR="00DA1B4D" w:rsidRPr="00DA1B4D" w:rsidRDefault="00DA1B4D" w:rsidP="00DA1B4D">
      <w:pPr>
        <w:rPr>
          <w:lang w:eastAsia="en-GB" w:bidi="hi-IN"/>
        </w:rPr>
      </w:pPr>
      <w:r w:rsidRPr="00DA1B4D">
        <w:rPr>
          <w:lang w:eastAsia="en-GB" w:bidi="hi-IN"/>
        </w:rPr>
        <w:t>In relation to the first research objective, the descriptive analysis makes clear that healthcare professionals experience it pathologically regarding the relationships between different healthcare professions. Across all three conflict typologies with exceptionally high central tendencies in time-based (mean = 4.90), strain-based (mean = 4.66) and behaviour-based conflict (mean = 4.81), they depict an overarching loss of boundaries in work-life. At the theoretical level, it is a verification of the central concept of Conservation of Resources (COR) theory (Hobfoll, 1989; Carlo et al., 2019), that is, when an individual is called upon to expend his limited energy resources to satisfy the requirements of his job, his personal domain is, in essence, undercut by the presence of occupational fatigue (Wen et al., 2023).</w:t>
      </w:r>
    </w:p>
    <w:p w14:paraId="051C617A" w14:textId="77777777" w:rsidR="00DA1B4D" w:rsidRPr="00DA1B4D" w:rsidRDefault="00DA1B4D" w:rsidP="00DA1B4D">
      <w:pPr>
        <w:rPr>
          <w:lang w:eastAsia="en-GB" w:bidi="hi-IN"/>
        </w:rPr>
      </w:pPr>
      <w:r w:rsidRPr="00DA1B4D">
        <w:rPr>
          <w:lang w:eastAsia="en-GB" w:bidi="hi-IN"/>
        </w:rPr>
        <w:t>The statistical structure of this data, however, makes the common measurement of WLC in the literature problematic</w:t>
      </w:r>
      <w:r>
        <w:rPr>
          <w:lang w:val="en-US" w:eastAsia="en-GB" w:bidi="hi-IN"/>
        </w:rPr>
        <w:t>,</w:t>
      </w:r>
      <w:r w:rsidRPr="00DA1B4D">
        <w:rPr>
          <w:lang w:eastAsia="en-GB" w:bidi="hi-IN"/>
        </w:rPr>
        <w:t xml:space="preserve"> as it has extreme negative skewness and is </w:t>
      </w:r>
      <w:r>
        <w:rPr>
          <w:lang w:eastAsia="en-GB" w:bidi="hi-IN"/>
        </w:rPr>
        <w:t>also leptokurtic</w:t>
      </w:r>
      <w:r>
        <w:rPr>
          <w:lang w:val="en-US" w:eastAsia="en-GB" w:bidi="hi-IN"/>
        </w:rPr>
        <w:t>,</w:t>
      </w:r>
      <w:r w:rsidRPr="00DA1B4D">
        <w:rPr>
          <w:lang w:eastAsia="en-GB" w:bidi="hi-IN"/>
        </w:rPr>
        <w:t xml:space="preserve"> meaning that it focuses around a few modes rather than being distributed over a range of values. For most studies using the scale of Netemeyer et al. (1996), a normally distributed phenomenon is assumed in which different degrees of conflict are experienced </w:t>
      </w:r>
      <w:r>
        <w:rPr>
          <w:lang w:eastAsia="en-GB" w:bidi="hi-IN"/>
        </w:rPr>
        <w:t>by</w:t>
      </w:r>
      <w:r w:rsidRPr="00DA1B4D">
        <w:rPr>
          <w:lang w:eastAsia="en-GB" w:bidi="hi-IN"/>
        </w:rPr>
        <w:t xml:space="preserve"> staff (Komlenac et al., 2021). By contrast, the brain-level saturation seen in almost all members of this NHS sample suggests that it is by no longer a variable phenomenon, determined by circumstances in each individual ward and the ability of individual health care workers to withstand them</w:t>
      </w:r>
      <w:r>
        <w:rPr>
          <w:lang w:val="en-US" w:eastAsia="en-GB" w:bidi="hi-IN"/>
        </w:rPr>
        <w:t>,</w:t>
      </w:r>
      <w:r w:rsidRPr="00DA1B4D">
        <w:rPr>
          <w:lang w:eastAsia="en-GB" w:bidi="hi-IN"/>
        </w:rPr>
        <w:t xml:space="preserve"> but has become part and parcel of the ‘baseline' system of contemporary NHS work. This absolute convergence positions WLC as an issue of the macro level rather than as one that can be solved individually as a scheduling problem (Negt and Haunschild, 2024), and more closely resembles the observations from the macro level (NHS Digital, 2024). which typically indicate that WLC affects all practitioners as a result of systemic understaffing and a compressed clinical shift (Weyman et al., 2026).</w:t>
      </w:r>
    </w:p>
    <w:p w14:paraId="2CD44370" w14:textId="77777777" w:rsidR="00DA1B4D" w:rsidRDefault="00DA1B4D" w:rsidP="00DA1B4D">
      <w:pPr>
        <w:pStyle w:val="Heading3"/>
        <w:rPr>
          <w:rFonts w:eastAsia="Times New Roman"/>
          <w:lang w:eastAsia="en-GB" w:bidi="hi-IN"/>
        </w:rPr>
      </w:pPr>
      <w:bookmarkStart w:id="65" w:name="_Toc240913072"/>
      <w:r w:rsidRPr="00DA1B4D">
        <w:rPr>
          <w:rFonts w:eastAsia="Times New Roman"/>
          <w:lang w:eastAsia="en-GB" w:bidi="hi-IN"/>
        </w:rPr>
        <w:lastRenderedPageBreak/>
        <w:t>4.5.2 Evaluating the Impact of WLC Dimensions on Turnover Intention</w:t>
      </w:r>
      <w:bookmarkEnd w:id="65"/>
      <w:r w:rsidRPr="00DA1B4D">
        <w:rPr>
          <w:rFonts w:eastAsia="Times New Roman"/>
          <w:lang w:eastAsia="en-GB" w:bidi="hi-IN"/>
        </w:rPr>
        <w:t> </w:t>
      </w:r>
    </w:p>
    <w:p w14:paraId="662BE96A" w14:textId="77777777" w:rsidR="00DA1B4D" w:rsidRPr="00DA1B4D" w:rsidRDefault="00DA1B4D" w:rsidP="00DA1B4D">
      <w:pPr>
        <w:rPr>
          <w:lang w:eastAsia="en-GB" w:bidi="hi-IN"/>
        </w:rPr>
      </w:pPr>
      <w:r w:rsidRPr="00DA1B4D">
        <w:rPr>
          <w:lang w:eastAsia="en-GB" w:bidi="hi-IN"/>
        </w:rPr>
        <w:t>The bivariate results show different linear relationships, varying widely from each other, that both agree with and perplex previous empirical studies. The result showed that, time-based conflict was significantly positively correlated with turnover intention (r=.427, p&lt;.001) and the hypotheses were supported. The results are high congruent with Parida et al. (2021) and Weyman et al. (2026) who argue that such prescriptive time requirements of NHS rotations create a forced withdrawal from NUMS as it requires a logistical approach of an exit. Turnover is no longer just a psychological choice but a logistical inevitability when the mathematically fact of the unpredictable shift patterns clash with the inflexibility of home based caregiving patterns, and the caring for one's own is more often a female practitioner's responsibility (Cubas, Juhn and Silos, 2019).</w:t>
      </w:r>
    </w:p>
    <w:p w14:paraId="3DA67D85" w14:textId="77777777" w:rsidR="00DA1B4D" w:rsidRPr="00DA1B4D" w:rsidRDefault="00DA1B4D" w:rsidP="00DA1B4D">
      <w:pPr>
        <w:rPr>
          <w:lang w:eastAsia="en-GB" w:bidi="hi-IN"/>
        </w:rPr>
      </w:pPr>
      <w:r w:rsidRPr="00DA1B4D">
        <w:rPr>
          <w:lang w:eastAsia="en-GB" w:bidi="hi-IN"/>
        </w:rPr>
        <w:t>More fundamentally, behaviour-based conflict appeared to be the best bivariate correlate with turnover intention (r = .574, p &lt; .001) thus strongly supporting Hypothesis 3. A crucial theory work. Despite the work of DeBaylo and Michel (2022), the behavioural dimension is still an area lacking much research. Such psychological friction between attempting an authoritative, emotionally detached "clinical persona" and attempting to work in a domestic fashion where they are working collaboratively is often overlooked in the literature which focuses on the more quantifiable aspect of working hours (Loscalzo et al., 2019). This strong and positive statistical relationship openly questions the approach of rostering scholars who look at time-temporal dominance relationship only (Poon et al., 2022). Rozo and Erazo (2024) shows mathematically how when one is forced to work in high-pressure clinical settings, a psychological dissonance arises that actively damages interpersonal relationships, creating a psychological impossibility of continuing to work in the UK National Health Service (NHS).</w:t>
      </w:r>
    </w:p>
    <w:p w14:paraId="372A3461" w14:textId="77777777" w:rsidR="00DA1B4D" w:rsidRPr="00DA1B4D" w:rsidRDefault="00DA1B4D" w:rsidP="00DA1B4D">
      <w:pPr>
        <w:rPr>
          <w:lang w:eastAsia="en-GB" w:bidi="hi-IN"/>
        </w:rPr>
      </w:pPr>
      <w:r w:rsidRPr="00DA1B4D">
        <w:rPr>
          <w:lang w:eastAsia="en-GB" w:bidi="hi-IN"/>
        </w:rPr>
        <w:t xml:space="preserve">On the other hand, it was clearly revealed by the provided data that there is a serious empirical paradox on question of strain when it comes to conflict. Hypothesis 2 was strongly rejected as </w:t>
      </w:r>
      <w:r w:rsidRPr="00DA1B4D">
        <w:rPr>
          <w:lang w:eastAsia="en-GB" w:bidi="hi-IN"/>
        </w:rPr>
        <w:lastRenderedPageBreak/>
        <w:t xml:space="preserve">it gave an almost zero (inconsequential) correlation (r=−.019,p=.829). On the surface, this seemingly directly challenges the prevailing occupational health consensus, which was represented by Rotenstein et al. (2023) and Wen et al. (2023), who used massive structural equation models, with emotional exhaustion as the main and ultimate mediator of withdrawal behaviour. A penetrating methodological examination, however, indicates that this statistical disavowal is very likely a pathological attribute of the data generated by a ceiling effect and that it doesn't involve a genuine theoretical change. The sampled population reported maximum levels of strain (kurtosis = </w:t>
      </w:r>
      <w:r>
        <w:rPr>
          <w:kern w:val="0"/>
          <w:lang w:eastAsia="en-GB" w:bidi="hi-IN"/>
          <w14:ligatures w14:val="none"/>
        </w:rPr>
        <w:t>11.493); therefore, it was not mesokurtic, meaning that it has the needed variance to admit the detection of covariance mathematically</w:t>
      </w:r>
      <w:r w:rsidRPr="00DA1B4D">
        <w:rPr>
          <w:lang w:eastAsia="en-GB" w:bidi="hi-IN"/>
        </w:rPr>
        <w:t xml:space="preserve"> using a Pearson coefficient. In this case, the quantitative models mathematically did not turn out to correlate to turnover, but the statistical failure does point to a fundamental limitation of a cross sectional design of a survey, in crisis situations when everyone is working at capacity, the quantitative models are no longer predictive of the level of strain, and necessitate the qualitative approach or phenomenological depth </w:t>
      </w:r>
      <w:r>
        <w:rPr>
          <w:lang w:eastAsia="en-GB" w:bidi="hi-IN"/>
        </w:rPr>
        <w:t>shown</w:t>
      </w:r>
      <w:r>
        <w:rPr>
          <w:lang w:val="en-US" w:eastAsia="en-GB" w:bidi="hi-IN"/>
        </w:rPr>
        <w:t xml:space="preserve"> by </w:t>
      </w:r>
      <w:r w:rsidRPr="00DA1B4D">
        <w:rPr>
          <w:lang w:eastAsia="en-GB" w:bidi="hi-IN"/>
        </w:rPr>
        <w:t>Ramsay and Edwards (2025).</w:t>
      </w:r>
    </w:p>
    <w:p w14:paraId="692837A4" w14:textId="77777777" w:rsidR="00DA1B4D" w:rsidRDefault="00DA1B4D" w:rsidP="00DA1B4D">
      <w:pPr>
        <w:pStyle w:val="Heading3"/>
        <w:rPr>
          <w:rFonts w:eastAsia="Times New Roman"/>
          <w:lang w:eastAsia="en-GB" w:bidi="hi-IN"/>
        </w:rPr>
      </w:pPr>
      <w:bookmarkStart w:id="66" w:name="_Toc240913073"/>
      <w:r w:rsidRPr="00DA1B4D">
        <w:rPr>
          <w:rFonts w:eastAsia="Times New Roman"/>
          <w:lang w:eastAsia="en-GB" w:bidi="hi-IN"/>
        </w:rPr>
        <w:t>4.5.3 The Collapse of the JD-R Buffering Hypothesis</w:t>
      </w:r>
      <w:bookmarkEnd w:id="66"/>
      <w:r w:rsidRPr="00DA1B4D">
        <w:rPr>
          <w:rFonts w:eastAsia="Times New Roman"/>
          <w:lang w:eastAsia="en-GB" w:bidi="hi-IN"/>
        </w:rPr>
        <w:t> </w:t>
      </w:r>
    </w:p>
    <w:p w14:paraId="46EB7694" w14:textId="77777777" w:rsidR="00DA1B4D" w:rsidRPr="00DA1B4D" w:rsidRDefault="00DA1B4D" w:rsidP="00DA1B4D">
      <w:pPr>
        <w:rPr>
          <w:lang w:eastAsia="en-GB" w:bidi="hi-IN"/>
        </w:rPr>
      </w:pPr>
      <w:r w:rsidRPr="00DA1B4D">
        <w:rPr>
          <w:lang w:eastAsia="en-GB" w:bidi="hi-IN"/>
        </w:rPr>
        <w:t>The important</w:t>
      </w:r>
      <w:r>
        <w:rPr>
          <w:lang w:val="en-US" w:eastAsia="en-GB" w:bidi="hi-IN"/>
        </w:rPr>
        <w:t xml:space="preserve"> consequence</w:t>
      </w:r>
      <w:r w:rsidRPr="00DA1B4D">
        <w:rPr>
          <w:lang w:eastAsia="en-GB" w:bidi="hi-IN"/>
        </w:rPr>
        <w:t xml:space="preserve"> </w:t>
      </w:r>
      <w:r>
        <w:rPr>
          <w:lang w:eastAsia="en-GB" w:bidi="hi-IN"/>
        </w:rPr>
        <w:t>of</w:t>
      </w:r>
      <w:r w:rsidRPr="00DA1B4D">
        <w:rPr>
          <w:lang w:eastAsia="en-GB" w:bidi="hi-IN"/>
        </w:rPr>
        <w:t xml:space="preserve"> this study </w:t>
      </w:r>
      <w:r>
        <w:rPr>
          <w:lang w:eastAsia="en-GB" w:bidi="hi-IN"/>
        </w:rPr>
        <w:t>is</w:t>
      </w:r>
      <w:r w:rsidRPr="00DA1B4D">
        <w:rPr>
          <w:lang w:eastAsia="en-GB" w:bidi="hi-IN"/>
        </w:rPr>
        <w:t xml:space="preserve"> the findings of the hierarchical moderation analysis, which clearly failed Hypotheses 4, 5 and 6. The total lack of statistical influence of the organisational factors in the Job Demands-Resources model (JD-R), however, puts the main buffering hypothesis of this model into question (Bakker and Demerouti, 2017).</w:t>
      </w:r>
    </w:p>
    <w:p w14:paraId="5230EA19" w14:textId="77777777" w:rsidR="00DA1B4D" w:rsidRPr="00DA1B4D" w:rsidRDefault="00DA1B4D" w:rsidP="00DA1B4D">
      <w:pPr>
        <w:rPr>
          <w:lang w:eastAsia="en-GB" w:bidi="hi-IN"/>
        </w:rPr>
      </w:pPr>
      <w:r w:rsidRPr="00DA1B4D">
        <w:rPr>
          <w:lang w:eastAsia="en-GB" w:bidi="hi-IN"/>
        </w:rPr>
        <w:t xml:space="preserve">In all the traditional research on JD-R, it </w:t>
      </w:r>
      <w:r>
        <w:rPr>
          <w:lang w:eastAsia="en-GB" w:bidi="hi-IN"/>
        </w:rPr>
        <w:t>is assumed</w:t>
      </w:r>
      <w:r w:rsidRPr="00DA1B4D">
        <w:rPr>
          <w:lang w:eastAsia="en-GB" w:bidi="hi-IN"/>
        </w:rPr>
        <w:t xml:space="preserve"> that the health-impairment process of the job demand model can be stopped by providing strong job resources, namely flexible work schedules and managerial support, which render the friction between the job demand and withdrawal behaviours neutral (Gil et al., 2023; Heerden &amp; Naicker, 2023). Here, however, this study confirms the theoretical prediction that these buffers are statistically "inert" when it comes to the NHS in post-pandemic times. Unfortunately, an interaction between managerial </w:t>
      </w:r>
      <w:r w:rsidRPr="00DA1B4D">
        <w:rPr>
          <w:lang w:eastAsia="en-GB" w:bidi="hi-IN"/>
        </w:rPr>
        <w:lastRenderedPageBreak/>
        <w:t>support (H5) was not significant (p=.614). The statistical omission is a good match for the criticism of Björk et al. (2023) and Sandberg et al. (2023) that mixed methods theories poorly capture how line managers lend necessary support: the theoretical picture paints an ideali</w:t>
      </w:r>
      <w:r w:rsidR="002330B6">
        <w:rPr>
          <w:lang w:val="en-US" w:eastAsia="en-GB" w:bidi="hi-IN"/>
        </w:rPr>
        <w:t>s</w:t>
      </w:r>
      <w:r w:rsidRPr="00DA1B4D">
        <w:rPr>
          <w:lang w:eastAsia="en-GB" w:bidi="hi-IN"/>
        </w:rPr>
        <w:t xml:space="preserve">ed image of the line manager's capacity to give sufficient support. A manager who is psychologically exhausted at the middle of the </w:t>
      </w:r>
      <w:r w:rsidR="002330B6">
        <w:rPr>
          <w:lang w:eastAsia="en-GB" w:bidi="hi-IN"/>
        </w:rPr>
        <w:t>organis</w:t>
      </w:r>
      <w:r w:rsidRPr="00DA1B4D">
        <w:rPr>
          <w:lang w:eastAsia="en-GB" w:bidi="hi-IN"/>
        </w:rPr>
        <w:t>ation is not able to sufficiently buffer the clinical team from demands coming from the system. The respondents expressed support as being high perceived; however, perceived support did not moderate the relationship between any of the other variables and turnover intent, thereby supporting our mathematical models that found that empathetic leadership is mathematically insufficient alone to moderate the relationship between any of the other variables and turnover intent.</w:t>
      </w:r>
    </w:p>
    <w:p w14:paraId="3991B539" w14:textId="77777777" w:rsidR="00DA1B4D" w:rsidRPr="00DA1B4D" w:rsidRDefault="00DA1B4D" w:rsidP="00DA1B4D">
      <w:pPr>
        <w:rPr>
          <w:lang w:eastAsia="en-GB" w:bidi="hi-IN"/>
        </w:rPr>
      </w:pPr>
      <w:r w:rsidRPr="00DA1B4D">
        <w:rPr>
          <w:lang w:eastAsia="en-GB" w:bidi="hi-IN"/>
        </w:rPr>
        <w:t>Likewise, Flexible Working Arrangements (FWA) did not moderate the relationship between the WLC-turnover trend (H6, p=.175). This finding challenges head-on the current policy rhetoric of the democratised rostering as the new 'solution' to retention in the NHS (Picker, 2025). Survey-based evidence from community settings may point to the protective aspects of FWA (Weyman et al., 2026), but this study supports the 'flexibility backlash' reported by Choudhary and Brookes (2025) and Holland et al. (2021). Giving a minority of staff bespoke flexibility, in extremely limited non-negotiable instititions with specific patient staff ratios, is actually having the opposite effect and strengthening the structure on the rest of the staff. There is a disadvantage, however: asymmetrical FWAs cannot be interpreted as dynamic, statistical buffers because they are mathematically downplayed by the much more critical clinical context (Hartner-Tiefenthaler et al., 2023).</w:t>
      </w:r>
    </w:p>
    <w:p w14:paraId="25E21404" w14:textId="77777777" w:rsidR="00DA1B4D" w:rsidRPr="00DA1B4D" w:rsidRDefault="00DA1B4D" w:rsidP="00DA1B4D">
      <w:pPr>
        <w:rPr>
          <w:lang w:eastAsia="en-GB" w:bidi="hi-IN"/>
        </w:rPr>
      </w:pPr>
      <w:r w:rsidRPr="00DA1B4D">
        <w:rPr>
          <w:lang w:eastAsia="en-GB" w:bidi="hi-IN"/>
        </w:rPr>
        <w:t xml:space="preserve">Finally, the study tried to reconceptualise workload as not solely a base required workload, but instead as an active structural moderator (H4). Although the interaction term was not significant (p=.594), the hierarchical regression showed that the workload had a huge main effect (direct interaction) that was overwhelming (β=0.900,p&lt;.001) and accounted for almost all of the </w:t>
      </w:r>
      <w:r w:rsidRPr="00DA1B4D">
        <w:rPr>
          <w:lang w:eastAsia="en-GB" w:bidi="hi-IN"/>
        </w:rPr>
        <w:lastRenderedPageBreak/>
        <w:t>predictive variance of the model (76.4%). This supports the findings of Singh et al. (2026) and Alzoubi et al. (2024) that this was more of a blunt impact and that extreme workload had a negative influence on turnover intent, regardless of personal WLC, thereby completely negating the recovery capacity (Rosemarino, 2026).</w:t>
      </w:r>
    </w:p>
    <w:p w14:paraId="6D269BCB" w14:textId="77777777" w:rsidR="00DA1B4D" w:rsidRDefault="00DA1B4D" w:rsidP="00DA1B4D">
      <w:pPr>
        <w:pStyle w:val="Heading3"/>
        <w:rPr>
          <w:rFonts w:eastAsia="Times New Roman"/>
          <w:lang w:eastAsia="en-GB" w:bidi="hi-IN"/>
        </w:rPr>
      </w:pPr>
      <w:bookmarkStart w:id="67" w:name="_Toc240913074"/>
      <w:r w:rsidRPr="00DA1B4D">
        <w:rPr>
          <w:rFonts w:eastAsia="Times New Roman"/>
          <w:lang w:eastAsia="en-GB" w:bidi="hi-IN"/>
        </w:rPr>
        <w:t>4.5.4 Implications and Evidence-Based Retention Recommendations</w:t>
      </w:r>
      <w:bookmarkEnd w:id="67"/>
      <w:r w:rsidRPr="00DA1B4D">
        <w:rPr>
          <w:rFonts w:eastAsia="Times New Roman"/>
          <w:lang w:eastAsia="en-GB" w:bidi="hi-IN"/>
        </w:rPr>
        <w:t> </w:t>
      </w:r>
    </w:p>
    <w:p w14:paraId="7D339961" w14:textId="77777777" w:rsidR="00DA1B4D" w:rsidRPr="00DA1B4D" w:rsidRDefault="00DA1B4D" w:rsidP="00DA1B4D">
      <w:pPr>
        <w:rPr>
          <w:lang w:eastAsia="en-GB" w:bidi="hi-IN"/>
        </w:rPr>
      </w:pPr>
      <w:r w:rsidRPr="00DA1B4D">
        <w:rPr>
          <w:lang w:eastAsia="en-GB" w:bidi="hi-IN"/>
        </w:rPr>
        <w:t xml:space="preserve">These are an empirical body of work that an </w:t>
      </w:r>
      <w:r w:rsidR="002330B6">
        <w:rPr>
          <w:lang w:eastAsia="en-GB" w:bidi="hi-IN"/>
        </w:rPr>
        <w:t>organis</w:t>
      </w:r>
      <w:r w:rsidRPr="00DA1B4D">
        <w:rPr>
          <w:lang w:eastAsia="en-GB" w:bidi="hi-IN"/>
        </w:rPr>
        <w:t xml:space="preserve">ation will have to deviate from the traditional understanding of human resource strategy in </w:t>
      </w:r>
      <w:r>
        <w:rPr>
          <w:lang w:val="en-US" w:eastAsia="en-GB" w:bidi="hi-IN"/>
        </w:rPr>
        <w:t xml:space="preserve">the </w:t>
      </w:r>
      <w:r w:rsidRPr="00DA1B4D">
        <w:rPr>
          <w:lang w:eastAsia="en-GB" w:bidi="hi-IN"/>
        </w:rPr>
        <w:t>NHS. The data make clear that it is a mistake to trust that the primary assumption of the JD-R model, namely that resources are malleable and could be made more supportive as a remedy for infinite clinical demands (Tremblay and Messervey, 2011), is correct when we are in a period of devolved fiscal austerity (Nguyen et al., 2025). No micro-level, individualised resilience interventions (mindful self-compassion or simply asking managerial staff to exercise empathy) should be deployed in the NHS: none of these psychosocial resources are, on average, statistically able to protect individuals against the pathological amounts of multidimensional conflict that drive attrition in the NHS, which must now cease the proliferation of such interventions.</w:t>
      </w:r>
    </w:p>
    <w:p w14:paraId="3F9007F6" w14:textId="77777777" w:rsidR="00DA1B4D" w:rsidRPr="00DA1B4D" w:rsidRDefault="00DA1B4D" w:rsidP="00DA1B4D">
      <w:pPr>
        <w:rPr>
          <w:lang w:eastAsia="en-GB" w:bidi="hi-IN"/>
        </w:rPr>
      </w:pPr>
      <w:r w:rsidRPr="00DA1B4D">
        <w:rPr>
          <w:lang w:eastAsia="en-GB" w:bidi="hi-IN"/>
        </w:rPr>
        <w:t xml:space="preserve">Instead, all evidence-based retention recommendations need to be solely at the macro-level, related to structural load reduction. As behaviour-based and time-based conflict are the two factors that affect the statistics the most, and workload is an overwhelming direct predictor, the only practical solution to retain is an absolute decrease of the clinical denominator. This involves a structural change in how each department is managed, away from compressed shifts of 12 hours or more with no time to recover (Matre, 2026) and towards a maximum patient-to-staff ratio set locally, but ratified by the governing body and unable to be altered by the managers of the department. The psychological contract between the NHS and its workers will only be restored once the absolute number of structural requests can be reduced, and forced. </w:t>
      </w:r>
      <w:r w:rsidRPr="00DA1B4D">
        <w:rPr>
          <w:lang w:eastAsia="en-GB" w:bidi="hi-IN"/>
        </w:rPr>
        <w:lastRenderedPageBreak/>
        <w:t>NHS resignation</w:t>
      </w:r>
      <w:r>
        <w:rPr>
          <w:lang w:val="en-US" w:eastAsia="en-GB" w:bidi="hi-IN"/>
        </w:rPr>
        <w:t>s</w:t>
      </w:r>
      <w:r w:rsidRPr="00DA1B4D">
        <w:rPr>
          <w:lang w:eastAsia="en-GB" w:bidi="hi-IN"/>
        </w:rPr>
        <w:t xml:space="preserve"> will increase at an ever</w:t>
      </w:r>
      <w:r>
        <w:rPr>
          <w:lang w:val="en-US" w:eastAsia="en-GB" w:bidi="hi-IN"/>
        </w:rPr>
        <w:t>-</w:t>
      </w:r>
      <w:r w:rsidRPr="00DA1B4D">
        <w:rPr>
          <w:lang w:eastAsia="en-GB" w:bidi="hi-IN"/>
        </w:rPr>
        <w:t>increasing rate, whatever flexible policies are put in place</w:t>
      </w:r>
      <w:r>
        <w:rPr>
          <w:lang w:val="en-US" w:eastAsia="en-GB" w:bidi="hi-IN"/>
        </w:rPr>
        <w:t>,</w:t>
      </w:r>
      <w:r w:rsidRPr="00DA1B4D">
        <w:rPr>
          <w:lang w:eastAsia="en-GB" w:bidi="hi-IN"/>
        </w:rPr>
        <w:t xml:space="preserve"> until the structural number of requests is compulsorily reduced.</w:t>
      </w:r>
    </w:p>
    <w:p w14:paraId="138E4D99" w14:textId="77777777" w:rsidR="00DA1B4D" w:rsidRDefault="00DA1B4D" w:rsidP="00DA1B4D">
      <w:pPr>
        <w:pStyle w:val="Heading3"/>
        <w:rPr>
          <w:rFonts w:eastAsia="Times New Roman"/>
          <w:lang w:eastAsia="en-GB" w:bidi="hi-IN"/>
        </w:rPr>
      </w:pPr>
      <w:bookmarkStart w:id="68" w:name="_Toc240913075"/>
      <w:r w:rsidRPr="00DA1B4D">
        <w:rPr>
          <w:rFonts w:eastAsia="Times New Roman"/>
          <w:lang w:eastAsia="en-GB" w:bidi="hi-IN"/>
        </w:rPr>
        <w:t>4.5.5 Methodological Limitations</w:t>
      </w:r>
      <w:bookmarkEnd w:id="68"/>
      <w:r w:rsidRPr="00DA1B4D">
        <w:rPr>
          <w:rFonts w:eastAsia="Times New Roman"/>
          <w:lang w:eastAsia="en-GB" w:bidi="hi-IN"/>
        </w:rPr>
        <w:t> </w:t>
      </w:r>
    </w:p>
    <w:p w14:paraId="5543A944" w14:textId="77777777" w:rsidR="00DA1B4D" w:rsidRPr="00DA1B4D" w:rsidRDefault="00DA1B4D" w:rsidP="00DA1B4D">
      <w:pPr>
        <w:rPr>
          <w:lang w:eastAsia="en-GB" w:bidi="hi-IN"/>
        </w:rPr>
      </w:pPr>
      <w:r w:rsidRPr="00DA1B4D">
        <w:rPr>
          <w:lang w:eastAsia="en-GB" w:bidi="hi-IN"/>
        </w:rPr>
        <w:t>The findings offer strong quantitative evidence for the United Kingdom, but they are limited by the methodology of the study that is based on a post-positivist approach. However, the cross sectional design does not allow researchers to draw definitive conclusions about (time-lagged) causal relationships (Xueying et al., 2025); theoretically, employees who had already decided to quit may also retrospectively exaggerate their WLC results because of the active disengagement and psychological processes. Also, the use of the self-report measures results in Common Method Bias, which means that the measures are the subjective opinion of load account of the amount of load the worker believes they experienced, not necessarily their actual clinical hours. Finally, employing a convenience sampling and digital distribution method can have inadvertently created a sample with a higher proportion of staff discussing the issue on professional platforms and/or staff who are in the middle of a distressing experience, which may have resulted in the overall severity of the findings being overstated and reduced the absolute generalisability of the findings to all NHS trusts.</w:t>
      </w:r>
    </w:p>
    <w:p w14:paraId="1FC188DF" w14:textId="77777777" w:rsidR="00DA1B4D" w:rsidRDefault="00DA1B4D" w:rsidP="00DA1B4D">
      <w:pPr>
        <w:pStyle w:val="Heading2"/>
        <w:rPr>
          <w:rFonts w:eastAsia="Times New Roman"/>
          <w:lang w:eastAsia="en-GB" w:bidi="hi-IN"/>
        </w:rPr>
      </w:pPr>
      <w:bookmarkStart w:id="69" w:name="_Toc240913076"/>
      <w:r w:rsidRPr="00DA1B4D">
        <w:rPr>
          <w:rFonts w:eastAsia="Times New Roman"/>
          <w:lang w:eastAsia="en-GB" w:bidi="hi-IN"/>
        </w:rPr>
        <w:t>4.6 Chapter Summary</w:t>
      </w:r>
      <w:bookmarkEnd w:id="69"/>
      <w:r w:rsidRPr="00DA1B4D">
        <w:rPr>
          <w:rFonts w:eastAsia="Times New Roman"/>
          <w:lang w:eastAsia="en-GB" w:bidi="hi-IN"/>
        </w:rPr>
        <w:t> </w:t>
      </w:r>
    </w:p>
    <w:p w14:paraId="5EAC8D74" w14:textId="77777777" w:rsidR="00DA1B4D" w:rsidRDefault="00DA1B4D" w:rsidP="00DA1B4D">
      <w:pPr>
        <w:rPr>
          <w:lang w:eastAsia="en-GB" w:bidi="hi-IN"/>
        </w:rPr>
      </w:pPr>
      <w:r w:rsidRPr="00DA1B4D">
        <w:rPr>
          <w:lang w:eastAsia="en-GB" w:bidi="hi-IN"/>
        </w:rPr>
        <w:t xml:space="preserve">In this chapter, a critical evaluation of the empirical data has been performed from a description of the results of their profiling to more in-depth hierarchical moderation testing. The results confirmed time-based and behaviour-based conflict as significant and effective predictors of NHS turnover intention; and systematically demonstrated that theorised organisational resources (managerial support and flexible working) do not statistically dampen the stretch of the withdrawal trajectory in highly constrained work settings. These findings provide a solid empirical basis for the final recommendation that structured workload demands exist as </w:t>
      </w:r>
      <w:r w:rsidRPr="00DA1B4D">
        <w:rPr>
          <w:lang w:eastAsia="en-GB" w:bidi="hi-IN"/>
        </w:rPr>
        <w:lastRenderedPageBreak/>
        <w:t>overpowering direct predictions which neutralise psychosocial interventions, challenging the universal applicability of workload aspects of the JD-R model.</w:t>
      </w:r>
    </w:p>
    <w:p w14:paraId="1CBB8F0F" w14:textId="77777777" w:rsidR="00DA1B4D" w:rsidRDefault="00DA1B4D" w:rsidP="00DA1B4D">
      <w:pPr>
        <w:rPr>
          <w:lang w:eastAsia="en-GB" w:bidi="hi-IN"/>
        </w:rPr>
      </w:pPr>
    </w:p>
    <w:p w14:paraId="626BE5D9" w14:textId="77777777" w:rsidR="00DA1B4D" w:rsidRDefault="00DA1B4D">
      <w:pPr>
        <w:spacing w:line="240" w:lineRule="auto"/>
        <w:jc w:val="left"/>
        <w:rPr>
          <w:lang w:eastAsia="en-GB" w:bidi="hi-IN"/>
        </w:rPr>
      </w:pPr>
      <w:r>
        <w:rPr>
          <w:lang w:eastAsia="en-GB" w:bidi="hi-IN"/>
        </w:rPr>
        <w:br w:type="page"/>
      </w:r>
    </w:p>
    <w:p w14:paraId="605DA6E6" w14:textId="77777777" w:rsidR="00DA1B4D" w:rsidRPr="00DA1B4D" w:rsidRDefault="00DA1B4D" w:rsidP="00DA1B4D">
      <w:pPr>
        <w:pStyle w:val="Heading1"/>
        <w:rPr>
          <w:lang w:eastAsia="en-GB" w:bidi="hi-IN"/>
        </w:rPr>
      </w:pPr>
      <w:bookmarkStart w:id="70" w:name="_Toc240913077"/>
      <w:r w:rsidRPr="00DA1B4D">
        <w:rPr>
          <w:lang w:eastAsia="en-GB" w:bidi="hi-IN"/>
        </w:rPr>
        <w:lastRenderedPageBreak/>
        <w:t>Chapter Five: Conclusions and Recommendations</w:t>
      </w:r>
      <w:bookmarkEnd w:id="70"/>
    </w:p>
    <w:p w14:paraId="03D8A312" w14:textId="77777777" w:rsidR="00DA1B4D" w:rsidRPr="00DA1B4D" w:rsidRDefault="00DA1B4D" w:rsidP="00DA1B4D">
      <w:pPr>
        <w:pStyle w:val="Heading2"/>
        <w:rPr>
          <w:lang w:eastAsia="en-GB" w:bidi="hi-IN"/>
        </w:rPr>
      </w:pPr>
      <w:bookmarkStart w:id="71" w:name="_Toc240913078"/>
      <w:r w:rsidRPr="00DA1B4D">
        <w:rPr>
          <w:lang w:eastAsia="en-GB" w:bidi="hi-IN"/>
        </w:rPr>
        <w:t>5.1 Introduction</w:t>
      </w:r>
      <w:bookmarkEnd w:id="71"/>
    </w:p>
    <w:p w14:paraId="28F49107" w14:textId="77777777" w:rsidR="00DA1B4D" w:rsidRPr="00DA1B4D" w:rsidRDefault="00DA1B4D" w:rsidP="00DA1B4D">
      <w:pPr>
        <w:rPr>
          <w:lang w:eastAsia="en-GB" w:bidi="hi-IN"/>
        </w:rPr>
      </w:pPr>
      <w:r w:rsidRPr="00DA1B4D">
        <w:rPr>
          <w:lang w:eastAsia="en-GB" w:bidi="hi-IN"/>
        </w:rPr>
        <w:t>This final chapter provides an overview of the empirical research results from the quantitative study on work-life conflict (WLC), organisational buffering mechanisms, and turnover intention that took place in the National Health Service (NHS), in the United Kingdom. The crucial context for this study was the urgent need to move beyond the notion that is hypothetical and abstract and to get the essence of the post-pandemic health care landscape down to Earth and expressed in numbers. This chapter therefore systematically reviews the extent to which the research goals (which are stated below) have been met, and discusses the findings from 135 substantive NHS employees in light of this. The chapter makes a strong advancement in theory of occupational psychology, discusses critically how the foundational moderation hypotheses are rejected, and brings the strong contributions from this research into a structurally inextricable place into perspective. Moreover, it provides very practical macro-level managerial implications using a comprehensive list of evidence-based recommendations, makes serious concession</w:t>
      </w:r>
      <w:r>
        <w:rPr>
          <w:lang w:val="en-US" w:eastAsia="en-GB" w:bidi="hi-IN"/>
        </w:rPr>
        <w:t>s</w:t>
      </w:r>
      <w:r w:rsidRPr="00DA1B4D">
        <w:rPr>
          <w:lang w:eastAsia="en-GB" w:bidi="hi-IN"/>
        </w:rPr>
        <w:t xml:space="preserve"> to the methodological pitfalls of the study's post-positivist, cross-sectional design and lays a clear path for future empirical research.</w:t>
      </w:r>
    </w:p>
    <w:p w14:paraId="496C88D1" w14:textId="77777777" w:rsidR="00DA1B4D" w:rsidRPr="00DA1B4D" w:rsidRDefault="00DA1B4D" w:rsidP="00DA1B4D">
      <w:pPr>
        <w:pStyle w:val="Heading2"/>
        <w:rPr>
          <w:lang w:eastAsia="en-GB" w:bidi="hi-IN"/>
        </w:rPr>
      </w:pPr>
      <w:bookmarkStart w:id="72" w:name="_Toc240913079"/>
      <w:r w:rsidRPr="00DA1B4D">
        <w:rPr>
          <w:lang w:eastAsia="en-GB" w:bidi="hi-IN"/>
        </w:rPr>
        <w:t>5.2 Summary of Conclusions</w:t>
      </w:r>
      <w:bookmarkEnd w:id="72"/>
    </w:p>
    <w:p w14:paraId="63C99A82" w14:textId="77777777" w:rsidR="00DA1B4D" w:rsidRPr="00DA1B4D" w:rsidRDefault="00DA1B4D" w:rsidP="00DA1B4D">
      <w:pPr>
        <w:rPr>
          <w:lang w:eastAsia="en-GB" w:bidi="hi-IN"/>
        </w:rPr>
      </w:pPr>
      <w:r w:rsidRPr="00DA1B4D">
        <w:rPr>
          <w:lang w:eastAsia="en-GB" w:bidi="hi-IN"/>
        </w:rPr>
        <w:t xml:space="preserve">The ultimate finding to come from this study is that the modern-day NHS is in a mode of quiet systemic inter-role warfare, an overload pattern of acceleration of disengagement from work, and that standard human resource interventions are statistically ineffective at slowing the toll. The empirical findings clearly showed that time-based (and behaviour-based) dimensions of WLC strongly and positively predict turnover intention, supporting prevalent macro-level suggestions that there is a psychological disaffirmation of clinical staff's relationships in relation to healthcare employers (Kinman and Teoh, 2024; Weyman et al., 2026). Carefully </w:t>
      </w:r>
      <w:r w:rsidRPr="00DA1B4D">
        <w:rPr>
          <w:lang w:eastAsia="en-GB" w:bidi="hi-IN"/>
        </w:rPr>
        <w:lastRenderedPageBreak/>
        <w:t>reading the methods section of the papers revealed that despite the lack of a meaningful bivariate correlation, the results of strain-based conflict were not revealed to be a lack of emotional exhaustion but rather psychometric ceiling effects; that is, if an entire cohort is extremely exhausted, the variable has a reduced level of variance and does not allow for mathematical covariance.</w:t>
      </w:r>
    </w:p>
    <w:p w14:paraId="48394C3C" w14:textId="77777777" w:rsidR="00DA1B4D" w:rsidRPr="00DA1B4D" w:rsidRDefault="00DA1B4D" w:rsidP="00DA1B4D">
      <w:pPr>
        <w:rPr>
          <w:lang w:eastAsia="en-GB" w:bidi="hi-IN"/>
        </w:rPr>
      </w:pPr>
      <w:r w:rsidRPr="00DA1B4D">
        <w:rPr>
          <w:lang w:eastAsia="en-GB" w:bidi="hi-IN"/>
        </w:rPr>
        <w:t xml:space="preserve">Most importantly, all the moderation hypotheses were disconfirmed in the hierarchical multiple regression analyses that were conducted to test the JD-R model's buffering assumption. Results from the data showed that the interaction of managerial support and flexible work arrangements had no significant effect on reducing turnover intention and only interacted marginally with WLC. Moreover, workload intensity failed to serve as a dynamic statistical </w:t>
      </w:r>
      <w:r>
        <w:rPr>
          <w:kern w:val="0"/>
          <w:lang w:eastAsia="en-GB" w:bidi="hi-IN"/>
          <w14:ligatures w14:val="none"/>
        </w:rPr>
        <w:t>multiplier; rather, it was a comfortable, massive, overwhelming direct predictor and accounted for the vast majority of the variance in changes in withdrawal intention.</w:t>
      </w:r>
      <w:r w:rsidRPr="00DA1B4D">
        <w:rPr>
          <w:lang w:eastAsia="en-GB" w:bidi="hi-IN"/>
        </w:rPr>
        <w:t xml:space="preserve"> Final</w:t>
      </w:r>
      <w:r>
        <w:rPr>
          <w:lang w:val="en-US" w:eastAsia="en-GB" w:bidi="hi-IN"/>
        </w:rPr>
        <w:t>l</w:t>
      </w:r>
      <w:r w:rsidRPr="00DA1B4D">
        <w:rPr>
          <w:lang w:eastAsia="en-GB" w:bidi="hi-IN"/>
        </w:rPr>
        <w:t>y, the study concludes that</w:t>
      </w:r>
      <w:r>
        <w:rPr>
          <w:lang w:val="en-US" w:eastAsia="en-GB" w:bidi="hi-IN"/>
        </w:rPr>
        <w:t>,</w:t>
      </w:r>
      <w:r w:rsidRPr="00DA1B4D">
        <w:rPr>
          <w:lang w:eastAsia="en-GB" w:bidi="hi-IN"/>
        </w:rPr>
        <w:t xml:space="preserve"> in high-acuity contexts with low levels of resources, this change is a systemic effect that neutrali</w:t>
      </w:r>
      <w:r>
        <w:rPr>
          <w:lang w:val="en-US" w:eastAsia="en-GB" w:bidi="hi-IN"/>
        </w:rPr>
        <w:t>s</w:t>
      </w:r>
      <w:r w:rsidRPr="00DA1B4D">
        <w:rPr>
          <w:lang w:eastAsia="en-GB" w:bidi="hi-IN"/>
        </w:rPr>
        <w:t>es the protective effect of psychosocial job resources.</w:t>
      </w:r>
    </w:p>
    <w:p w14:paraId="592E7FEC" w14:textId="77777777" w:rsidR="00DA1B4D" w:rsidRPr="00DA1B4D" w:rsidRDefault="00DA1B4D" w:rsidP="00DA1B4D">
      <w:pPr>
        <w:pStyle w:val="Heading2"/>
        <w:rPr>
          <w:lang w:eastAsia="en-GB" w:bidi="hi-IN"/>
        </w:rPr>
      </w:pPr>
      <w:bookmarkStart w:id="73" w:name="_Toc240913080"/>
      <w:r w:rsidRPr="00DA1B4D">
        <w:rPr>
          <w:lang w:eastAsia="en-GB" w:bidi="hi-IN"/>
        </w:rPr>
        <w:t>5.3 Achievement of the Research Objectives</w:t>
      </w:r>
      <w:bookmarkEnd w:id="73"/>
    </w:p>
    <w:p w14:paraId="67EE70AD" w14:textId="77777777" w:rsidR="00DA1B4D" w:rsidRPr="00DA1B4D" w:rsidRDefault="00DA1B4D" w:rsidP="00DA1B4D">
      <w:pPr>
        <w:rPr>
          <w:lang w:eastAsia="en-GB" w:bidi="hi-IN"/>
        </w:rPr>
      </w:pPr>
      <w:r w:rsidRPr="00DA1B4D">
        <w:rPr>
          <w:lang w:eastAsia="en-GB" w:bidi="hi-IN"/>
        </w:rPr>
        <w:t>The structure of the research was planned in order to serve four objectives, which have been intensively accomplished through putting the methodology into operation and the subsequent econometric analysis.</w:t>
      </w:r>
    </w:p>
    <w:p w14:paraId="416584EC" w14:textId="77777777" w:rsidR="00DA1B4D" w:rsidRPr="00DA1B4D" w:rsidRDefault="00DA1B4D" w:rsidP="00DA1B4D">
      <w:pPr>
        <w:rPr>
          <w:lang w:eastAsia="en-GB" w:bidi="hi-IN"/>
        </w:rPr>
      </w:pPr>
      <w:r w:rsidRPr="00DA1B4D">
        <w:rPr>
          <w:lang w:eastAsia="en-GB" w:bidi="hi-IN"/>
        </w:rPr>
        <w:t>The first objective of measuring the extent of specific (time, strain, behaviour-based) WLC among NHS staff was met by using the Netemeyer et al. Descriptive statistical analysis revealed critical (pathological) increases in all three areas. Empirically, the extreme negative skewness and very high clustering together in the responses, attested to the fact that today, boundary spanning occupational stress can no longer be thought of as a solitary phenomenon that depends on individual resilience, but became a universal experience as a condition of the sampled workforce.</w:t>
      </w:r>
    </w:p>
    <w:p w14:paraId="6EA93709" w14:textId="77777777" w:rsidR="00DA1B4D" w:rsidRPr="00DA1B4D" w:rsidRDefault="00DA1B4D" w:rsidP="00DA1B4D">
      <w:pPr>
        <w:rPr>
          <w:lang w:eastAsia="en-GB" w:bidi="hi-IN"/>
        </w:rPr>
      </w:pPr>
      <w:r w:rsidRPr="00DA1B4D">
        <w:rPr>
          <w:lang w:eastAsia="en-GB" w:bidi="hi-IN"/>
        </w:rPr>
        <w:lastRenderedPageBreak/>
        <w:t>The second objective, which sought to determine the statistical effect of these specific conflict dimensions on turnover intention</w:t>
      </w:r>
      <w:r>
        <w:rPr>
          <w:lang w:val="en-US" w:eastAsia="en-GB" w:bidi="hi-IN"/>
        </w:rPr>
        <w:t>,</w:t>
      </w:r>
      <w:r w:rsidRPr="00DA1B4D">
        <w:rPr>
          <w:lang w:eastAsia="en-GB" w:bidi="hi-IN"/>
        </w:rPr>
        <w:t xml:space="preserve"> was met with the use of a bivariate Pearson correlation test</w:t>
      </w:r>
      <w:r>
        <w:rPr>
          <w:lang w:val="en-US" w:eastAsia="en-GB" w:bidi="hi-IN"/>
        </w:rPr>
        <w:t>,</w:t>
      </w:r>
      <w:r w:rsidRPr="00DA1B4D">
        <w:rPr>
          <w:lang w:eastAsia="en-GB" w:bidi="hi-IN"/>
        </w:rPr>
        <w:t xml:space="preserve"> which was successful. The results mathematically demonstrated that the more time- and behaviour-based psychological dissonances occur, combined with the increase of time-based restrictions, the more the intention to permanently quit the NHS increases in an exponential manner (Li et al., 2025). The study was able to distinguish between each of these dimensions to overcome the use of generic measures of job dissatisfaction and identify exactly how these forces work in the mechanics of inter-role friction and how these effects relate to turnover.</w:t>
      </w:r>
    </w:p>
    <w:p w14:paraId="6CB14449" w14:textId="77777777" w:rsidR="00DA1B4D" w:rsidRPr="00DA1B4D" w:rsidRDefault="00DA1B4D" w:rsidP="00DA1B4D">
      <w:pPr>
        <w:rPr>
          <w:lang w:eastAsia="en-GB" w:bidi="hi-IN"/>
        </w:rPr>
      </w:pPr>
      <w:r w:rsidRPr="00DA1B4D">
        <w:rPr>
          <w:lang w:eastAsia="en-GB" w:bidi="hi-IN"/>
        </w:rPr>
        <w:t>The third goal aimed to test the moderating effects of organisational factors (workload, managerial support, and flexibility) on this basic withdrawal relationship. This was done with the use of hierarchical multiple linear regressions with mean-centred interaction terms. Overall, the lack of statistical significance for all these interaction effects provided a successful answer to the research question, namely in demonstrating that these specific organisational factors have no mathematical ability to buffer or modify the 'marriage trap' effects on employee turnover.</w:t>
      </w:r>
    </w:p>
    <w:p w14:paraId="679593A3" w14:textId="77777777" w:rsidR="00DA1B4D" w:rsidRPr="00DA1B4D" w:rsidRDefault="00DA1B4D" w:rsidP="00DA1B4D">
      <w:pPr>
        <w:rPr>
          <w:lang w:eastAsia="en-GB" w:bidi="hi-IN"/>
        </w:rPr>
      </w:pPr>
      <w:r w:rsidRPr="00DA1B4D">
        <w:rPr>
          <w:lang w:eastAsia="en-GB" w:bidi="hi-IN"/>
        </w:rPr>
        <w:t>The fourth objective, that NHS management development should be based on evidence to make retention recommendations, has been reali</w:t>
      </w:r>
      <w:r w:rsidR="002330B6">
        <w:rPr>
          <w:lang w:val="en-US" w:eastAsia="en-GB" w:bidi="hi-IN"/>
        </w:rPr>
        <w:t>s</w:t>
      </w:r>
      <w:r w:rsidRPr="00DA1B4D">
        <w:rPr>
          <w:lang w:eastAsia="en-GB" w:bidi="hi-IN"/>
        </w:rPr>
        <w:t xml:space="preserve">ed as a direct result of what has been found in the empirical evidence. The researchers used an objective quantitative measurement of failed psychosocial buffers as a basis from which to recommend to policymakers that Macroscale (structural) load-reduction, extensively discussed in the later section, is preferable to continued investment in </w:t>
      </w:r>
      <w:r>
        <w:rPr>
          <w:lang w:eastAsia="en-GB" w:bidi="hi-IN"/>
        </w:rPr>
        <w:t>micro</w:t>
      </w:r>
      <w:r w:rsidRPr="00DA1B4D">
        <w:rPr>
          <w:lang w:eastAsia="en-GB" w:bidi="hi-IN"/>
        </w:rPr>
        <w:t>scale.</w:t>
      </w:r>
    </w:p>
    <w:p w14:paraId="704DBC70" w14:textId="77777777" w:rsidR="00DA1B4D" w:rsidRPr="00DA1B4D" w:rsidRDefault="00DA1B4D" w:rsidP="00DA1B4D">
      <w:pPr>
        <w:pStyle w:val="Heading2"/>
        <w:rPr>
          <w:lang w:eastAsia="en-GB" w:bidi="hi-IN"/>
        </w:rPr>
      </w:pPr>
      <w:bookmarkStart w:id="74" w:name="_Toc240913081"/>
      <w:r w:rsidRPr="00DA1B4D">
        <w:rPr>
          <w:lang w:eastAsia="en-GB" w:bidi="hi-IN"/>
        </w:rPr>
        <w:t>5.4 Recommendations for Managerial Practice</w:t>
      </w:r>
      <w:bookmarkEnd w:id="74"/>
    </w:p>
    <w:p w14:paraId="714307ED" w14:textId="77777777" w:rsidR="00DA1B4D" w:rsidRPr="00DA1B4D" w:rsidRDefault="00DA1B4D" w:rsidP="00DA1B4D">
      <w:pPr>
        <w:rPr>
          <w:lang w:eastAsia="en-GB" w:bidi="hi-IN"/>
        </w:rPr>
      </w:pPr>
      <w:r w:rsidRPr="00DA1B4D">
        <w:rPr>
          <w:lang w:eastAsia="en-GB" w:bidi="hi-IN"/>
        </w:rPr>
        <w:t>This empirical evidence against the JD-R buffering hypothesis requires a paradigm shift in human resource approaches for workforce retention in the NHS. The data clearly show that</w:t>
      </w:r>
      <w:r>
        <w:rPr>
          <w:lang w:val="en-US" w:eastAsia="en-GB" w:bidi="hi-IN"/>
        </w:rPr>
        <w:t>,</w:t>
      </w:r>
      <w:r w:rsidRPr="00DA1B4D">
        <w:rPr>
          <w:lang w:eastAsia="en-GB" w:bidi="hi-IN"/>
        </w:rPr>
        <w:t xml:space="preserve"> in theory, leadership initiatives for empathy or democratised scheduling </w:t>
      </w:r>
      <w:r>
        <w:rPr>
          <w:lang w:eastAsia="en-GB" w:bidi="hi-IN"/>
        </w:rPr>
        <w:t>are</w:t>
      </w:r>
      <w:r w:rsidRPr="00DA1B4D">
        <w:rPr>
          <w:lang w:eastAsia="en-GB" w:bidi="hi-IN"/>
        </w:rPr>
        <w:t xml:space="preserve"> operationally as well as statistically pointless in the world of infinite demands that characterises management </w:t>
      </w:r>
      <w:r w:rsidRPr="00DA1B4D">
        <w:rPr>
          <w:lang w:eastAsia="en-GB" w:bidi="hi-IN"/>
        </w:rPr>
        <w:lastRenderedPageBreak/>
        <w:t>structures. Thus, we have a need to shift managerial approach markedly from individualised resilience interventions towards the micro-level. This can lead to worse psychological fracture if, for a clinician in an extreme time</w:t>
      </w:r>
      <w:r>
        <w:rPr>
          <w:lang w:val="en-US" w:eastAsia="en-GB" w:bidi="hi-IN"/>
        </w:rPr>
        <w:t>-</w:t>
      </w:r>
      <w:r w:rsidRPr="00DA1B4D">
        <w:rPr>
          <w:lang w:eastAsia="en-GB" w:bidi="hi-IN"/>
        </w:rPr>
        <w:t>based and behaviour</w:t>
      </w:r>
      <w:r>
        <w:rPr>
          <w:lang w:val="en-US" w:eastAsia="en-GB" w:bidi="hi-IN"/>
        </w:rPr>
        <w:t>-</w:t>
      </w:r>
      <w:r w:rsidRPr="00DA1B4D">
        <w:rPr>
          <w:lang w:eastAsia="en-GB" w:bidi="hi-IN"/>
        </w:rPr>
        <w:t>based WLC, making the difficult assumptions that mindfulness seminars or wellbeing workshops are going to help that WLC is something they need to address themselves is unhelpful for the work.</w:t>
      </w:r>
    </w:p>
    <w:p w14:paraId="3393F706" w14:textId="77777777" w:rsidR="00DA1B4D" w:rsidRPr="00DA1B4D" w:rsidRDefault="00DA1B4D" w:rsidP="00DA1B4D">
      <w:pPr>
        <w:rPr>
          <w:lang w:eastAsia="en-GB" w:bidi="hi-IN"/>
        </w:rPr>
      </w:pPr>
      <w:r w:rsidRPr="00DA1B4D">
        <w:rPr>
          <w:lang w:eastAsia="en-GB" w:bidi="hi-IN"/>
        </w:rPr>
        <w:t>Hence, macro</w:t>
      </w:r>
      <w:r>
        <w:rPr>
          <w:lang w:val="en-US" w:eastAsia="en-GB" w:bidi="hi-IN"/>
        </w:rPr>
        <w:t>-</w:t>
      </w:r>
      <w:r w:rsidRPr="00DA1B4D">
        <w:rPr>
          <w:lang w:eastAsia="en-GB" w:bidi="hi-IN"/>
        </w:rPr>
        <w:t>level NHS management should ultimately aim for a reduction in the clinical structural denominator which is inherent and cannot be negotiated. However, since workload was a prove</w:t>
      </w:r>
      <w:r>
        <w:rPr>
          <w:lang w:val="en-US" w:eastAsia="en-GB" w:bidi="hi-IN"/>
        </w:rPr>
        <w:t>n</w:t>
      </w:r>
      <w:r w:rsidRPr="00DA1B4D">
        <w:rPr>
          <w:lang w:eastAsia="en-GB" w:bidi="hi-IN"/>
        </w:rPr>
        <w:t xml:space="preserve"> overwhelming direct antecedent of turnover intention that completely circumvented the moderating processes of the organisation, retention strategies should only concern themselves with load suppression. This calls for leaders to regularly review business practices that are based on short working hours of 12 hours or less. This move often has been touted as being efficient in the operation and as theoretically providing extended recovery blocks, but the results of this study join competing critical studies (Matre, 2026 and Weyman et al., 2026) highlighting paradoxical annihilation of recovery time at the operational level and resulting in extreme time conflict</w:t>
      </w:r>
      <w:r>
        <w:rPr>
          <w:lang w:val="en-US" w:eastAsia="en-GB" w:bidi="hi-IN"/>
        </w:rPr>
        <w:t>,</w:t>
      </w:r>
      <w:r w:rsidRPr="00DA1B4D">
        <w:rPr>
          <w:lang w:eastAsia="en-GB" w:bidi="hi-IN"/>
        </w:rPr>
        <w:t xml:space="preserve"> particularly evident in the data.</w:t>
      </w:r>
    </w:p>
    <w:p w14:paraId="4E78789F" w14:textId="77777777" w:rsidR="00DA1B4D" w:rsidRPr="00DA1B4D" w:rsidRDefault="00DA1B4D" w:rsidP="00DA1B4D">
      <w:pPr>
        <w:rPr>
          <w:lang w:eastAsia="en-GB" w:bidi="hi-IN"/>
        </w:rPr>
      </w:pPr>
      <w:r w:rsidRPr="00DA1B4D">
        <w:rPr>
          <w:lang w:eastAsia="en-GB" w:bidi="hi-IN"/>
        </w:rPr>
        <w:t>Second, as regards flexible working schemes (FWAs), NHS policymakers need to exercise great care. This study reflects Choudhary and Brookes' (2025) reported need for a "flexibility backlash" because the statistical failure of FWAs to buffer WLC. In rigorous, high</w:t>
      </w:r>
      <w:r>
        <w:rPr>
          <w:lang w:val="en-US" w:eastAsia="en-GB" w:bidi="hi-IN"/>
        </w:rPr>
        <w:t>-</w:t>
      </w:r>
      <w:r w:rsidRPr="00DA1B4D">
        <w:rPr>
          <w:lang w:eastAsia="en-GB" w:bidi="hi-IN"/>
        </w:rPr>
        <w:t>acuity acute wards, where there has to be a ratio of patients to staff, introducing flexibility to the care of a minority of health professionals by necessity increases the load on the rest of the full</w:t>
      </w:r>
      <w:r>
        <w:rPr>
          <w:lang w:val="en-US" w:eastAsia="en-GB" w:bidi="hi-IN"/>
        </w:rPr>
        <w:t>-</w:t>
      </w:r>
      <w:r w:rsidRPr="00DA1B4D">
        <w:rPr>
          <w:lang w:eastAsia="en-GB" w:bidi="hi-IN"/>
        </w:rPr>
        <w:t>time staff, unless other case numbers are reduced. It is therefore recommended that FWAs can only be approved/introduced along with an equal ratio of increased absolute baseline staffing. Adding flexibility to the same over</w:t>
      </w:r>
      <w:r>
        <w:rPr>
          <w:lang w:eastAsia="en-GB" w:bidi="hi-IN"/>
        </w:rPr>
        <w:t>charged</w:t>
      </w:r>
      <w:r w:rsidRPr="00DA1B4D">
        <w:rPr>
          <w:lang w:eastAsia="en-GB" w:bidi="hi-IN"/>
        </w:rPr>
        <w:t xml:space="preserve"> workforce system merely puts the same strain on the system as a whole, undermines the capacity for peer cohesion, and fragments the ward, driving the whole system towards burnout. Lastly, subsidiary clinical managers must be recogni</w:t>
      </w:r>
      <w:r w:rsidR="002330B6">
        <w:rPr>
          <w:lang w:val="en-US" w:eastAsia="en-GB" w:bidi="hi-IN"/>
        </w:rPr>
        <w:t>s</w:t>
      </w:r>
      <w:r w:rsidRPr="00DA1B4D">
        <w:rPr>
          <w:lang w:eastAsia="en-GB" w:bidi="hi-IN"/>
        </w:rPr>
        <w:t xml:space="preserve">ed as </w:t>
      </w:r>
      <w:r w:rsidRPr="00DA1B4D">
        <w:rPr>
          <w:lang w:eastAsia="en-GB" w:bidi="hi-IN"/>
        </w:rPr>
        <w:lastRenderedPageBreak/>
        <w:t>often being subjected to the same pathologies of WLC as their subordinates (Björk et al., 2023); the requirement on such managers who are likely to be as exhausted as their patients, to act as emotional buffers, but with no responsibility for the number of patients admitted, is an active breach of duty of care.</w:t>
      </w:r>
    </w:p>
    <w:p w14:paraId="7EB844A0" w14:textId="77777777" w:rsidR="00DA1B4D" w:rsidRPr="00DA1B4D" w:rsidRDefault="00DA1B4D" w:rsidP="00DA1B4D">
      <w:pPr>
        <w:pStyle w:val="Heading2"/>
        <w:rPr>
          <w:lang w:eastAsia="en-GB" w:bidi="hi-IN"/>
        </w:rPr>
      </w:pPr>
      <w:bookmarkStart w:id="75" w:name="_Toc240913082"/>
      <w:r w:rsidRPr="00DA1B4D">
        <w:rPr>
          <w:lang w:eastAsia="en-GB" w:bidi="hi-IN"/>
        </w:rPr>
        <w:t>5.5 Contributions to Theory</w:t>
      </w:r>
      <w:bookmarkEnd w:id="75"/>
    </w:p>
    <w:p w14:paraId="7E2D984C" w14:textId="77777777" w:rsidR="00DA1B4D" w:rsidRPr="00DA1B4D" w:rsidRDefault="00DA1B4D" w:rsidP="00DA1B4D">
      <w:pPr>
        <w:rPr>
          <w:lang w:eastAsia="en-GB" w:bidi="hi-IN"/>
        </w:rPr>
      </w:pPr>
      <w:r w:rsidRPr="00DA1B4D">
        <w:rPr>
          <w:lang w:eastAsia="en-GB" w:bidi="hi-IN"/>
        </w:rPr>
        <w:t>This research is thus an empirical and highly critical contribution towards the current field of occupational psychology in directly challenging the universal applicability of the Job Demands-Resources (JD-R) model (Bakker and Demerouti, 2017). The JD-R model is based on an assumption of malleability of resources</w:t>
      </w:r>
      <w:r>
        <w:rPr>
          <w:lang w:val="en-US" w:eastAsia="en-GB" w:bidi="hi-IN"/>
        </w:rPr>
        <w:t>,</w:t>
      </w:r>
      <w:r w:rsidRPr="00DA1B4D">
        <w:rPr>
          <w:lang w:eastAsia="en-GB" w:bidi="hi-IN"/>
        </w:rPr>
        <w:t xml:space="preserve"> whatever the job demands are, an organisation could intervene and flexibly add in enough psychosocial resources to counter the health impairment process (Tremblay and Messervey, 2011).</w:t>
      </w:r>
    </w:p>
    <w:p w14:paraId="36388449" w14:textId="77777777" w:rsidR="00DA1B4D" w:rsidRPr="00DA1B4D" w:rsidRDefault="00DA1B4D" w:rsidP="00DA1B4D">
      <w:pPr>
        <w:rPr>
          <w:lang w:eastAsia="en-GB" w:bidi="hi-IN"/>
        </w:rPr>
      </w:pPr>
      <w:r w:rsidRPr="00DA1B4D">
        <w:rPr>
          <w:lang w:eastAsia="en-GB" w:bidi="hi-IN"/>
        </w:rPr>
        <w:t>This study contributes to the establishment of an important theoretical boundary condition for the JD-R model by empirically demonstrating the statistical failure of two identified ways of counteraction (managerial support and flexibility) to reduce turnover intention in a structurally rigid healthcare context. It builds upon Conservation of Resources (COR) theory (Hobfoll, 1989)</w:t>
      </w:r>
      <w:r>
        <w:rPr>
          <w:lang w:val="en-US" w:eastAsia="en-GB" w:bidi="hi-IN"/>
        </w:rPr>
        <w:t>,</w:t>
      </w:r>
      <w:r w:rsidRPr="00DA1B4D">
        <w:rPr>
          <w:lang w:eastAsia="en-GB" w:bidi="hi-IN"/>
        </w:rPr>
        <w:t xml:space="preserve"> which implies and shows that beyond a critical point of chronic, unrelenting structural demand in the occupational environment, the psychosocial resources that are theorised are mathematically and practically void of utility. The study, for the first time, demonstrates that inelastic public sectors do not just diminish buffers, but destroy them altogether.</w:t>
      </w:r>
    </w:p>
    <w:p w14:paraId="3137B4EB" w14:textId="77777777" w:rsidR="00DA1B4D" w:rsidRPr="00DA1B4D" w:rsidRDefault="00DA1B4D" w:rsidP="00DA1B4D">
      <w:pPr>
        <w:rPr>
          <w:lang w:eastAsia="en-GB" w:bidi="hi-IN"/>
        </w:rPr>
      </w:pPr>
      <w:r w:rsidRPr="00DA1B4D">
        <w:rPr>
          <w:lang w:eastAsia="en-GB" w:bidi="hi-IN"/>
        </w:rPr>
        <w:t>Further, this study adds to the methodological literature on the subject of multidimensional WLC measurement. The study has revealed the limitations of using legacy psychometric instruments (Netemeyer et al., 1996) in the crisis post-pandemic environment, given the extreme psychometric ceiling effects and pathological non-normality found in capturing strain-based conflict of the crisis cohort. It is important as an alert to potential future researchers that survey</w:t>
      </w:r>
      <w:r>
        <w:rPr>
          <w:lang w:val="en-US" w:eastAsia="en-GB" w:bidi="hi-IN"/>
        </w:rPr>
        <w:t>s</w:t>
      </w:r>
      <w:r w:rsidRPr="00DA1B4D">
        <w:rPr>
          <w:lang w:eastAsia="en-GB" w:bidi="hi-IN"/>
        </w:rPr>
        <w:t xml:space="preserve"> of universally traumatised or acutely depleted occupational populations often involve </w:t>
      </w:r>
      <w:r w:rsidRPr="00DA1B4D">
        <w:rPr>
          <w:lang w:eastAsia="en-GB" w:bidi="hi-IN"/>
        </w:rPr>
        <w:lastRenderedPageBreak/>
        <w:t>new</w:t>
      </w:r>
      <w:r>
        <w:rPr>
          <w:lang w:val="en-US" w:eastAsia="en-GB" w:bidi="hi-IN"/>
        </w:rPr>
        <w:t>,</w:t>
      </w:r>
      <w:r w:rsidRPr="00DA1B4D">
        <w:rPr>
          <w:lang w:eastAsia="en-GB" w:bidi="hi-IN"/>
        </w:rPr>
        <w:t xml:space="preserve"> more calibrated measurement scales</w:t>
      </w:r>
      <w:r>
        <w:rPr>
          <w:lang w:val="en-US" w:eastAsia="en-GB" w:bidi="hi-IN"/>
        </w:rPr>
        <w:t>, for</w:t>
      </w:r>
      <w:r w:rsidRPr="00DA1B4D">
        <w:rPr>
          <w:lang w:eastAsia="en-GB" w:bidi="hi-IN"/>
        </w:rPr>
        <w:t xml:space="preserve"> </w:t>
      </w:r>
      <w:r>
        <w:rPr>
          <w:lang w:eastAsia="en-GB" w:bidi="hi-IN"/>
        </w:rPr>
        <w:t>which</w:t>
      </w:r>
      <w:r w:rsidRPr="00DA1B4D">
        <w:rPr>
          <w:lang w:eastAsia="en-GB" w:bidi="hi-IN"/>
        </w:rPr>
        <w:t xml:space="preserve"> the conventional parametric assumptions are likely to be inappropriate.</w:t>
      </w:r>
    </w:p>
    <w:p w14:paraId="41247164" w14:textId="77777777" w:rsidR="00DA1B4D" w:rsidRPr="00DA1B4D" w:rsidRDefault="00DA1B4D" w:rsidP="00DA1B4D">
      <w:pPr>
        <w:pStyle w:val="Heading2"/>
        <w:rPr>
          <w:lang w:eastAsia="en-GB" w:bidi="hi-IN"/>
        </w:rPr>
      </w:pPr>
      <w:bookmarkStart w:id="76" w:name="_Toc240913083"/>
      <w:r w:rsidRPr="00DA1B4D">
        <w:rPr>
          <w:lang w:eastAsia="en-GB" w:bidi="hi-IN"/>
        </w:rPr>
        <w:t>5.6 Limitations of the Study</w:t>
      </w:r>
      <w:bookmarkEnd w:id="76"/>
    </w:p>
    <w:p w14:paraId="2E1ED0E3" w14:textId="77777777" w:rsidR="00DA1B4D" w:rsidRPr="00DA1B4D" w:rsidRDefault="00DA1B4D" w:rsidP="00DA1B4D">
      <w:pPr>
        <w:rPr>
          <w:lang w:eastAsia="en-GB" w:bidi="hi-IN"/>
        </w:rPr>
      </w:pPr>
      <w:r w:rsidRPr="00DA1B4D">
        <w:rPr>
          <w:lang w:eastAsia="en-GB" w:bidi="hi-IN"/>
        </w:rPr>
        <w:t>It requires a very straightforward and strongly critical awareness of the methodological restrictions of this empirical design. This study has several drawbacks</w:t>
      </w:r>
      <w:r>
        <w:rPr>
          <w:lang w:val="en-US" w:eastAsia="en-GB" w:bidi="hi-IN"/>
        </w:rPr>
        <w:t>;</w:t>
      </w:r>
      <w:r w:rsidRPr="00DA1B4D">
        <w:rPr>
          <w:lang w:eastAsia="en-GB" w:bidi="hi-IN"/>
        </w:rPr>
        <w:t xml:space="preserve"> most importantly, it used a cross-sectional survey methodology. Considering only observation</w:t>
      </w:r>
      <w:r>
        <w:rPr>
          <w:lang w:val="en-US" w:eastAsia="en-GB" w:bidi="hi-IN"/>
        </w:rPr>
        <w:t>al</w:t>
      </w:r>
      <w:r w:rsidRPr="00DA1B4D">
        <w:rPr>
          <w:lang w:eastAsia="en-GB" w:bidi="hi-IN"/>
        </w:rPr>
        <w:t xml:space="preserve"> data at a fixed (now) time window greatly restricts the analytical outcome to covariance and statistical prediction (Xueying et al., 2025). The mathematical models used with the hierarchical regressions cannot provide a clear delimitation of causality in temporal aspects. Therefore it is possible that the cause-effect relationship is reversed and that an employee who has already decided to leave the organisation would acquaint him/her of having experienced and reported the WLC in a more negative manner in the cross-sectional data.</w:t>
      </w:r>
    </w:p>
    <w:p w14:paraId="6F4059D9" w14:textId="77777777" w:rsidR="00DA1B4D" w:rsidRPr="00DA1B4D" w:rsidRDefault="00DA1B4D" w:rsidP="00DA1B4D">
      <w:pPr>
        <w:rPr>
          <w:lang w:eastAsia="en-GB" w:bidi="hi-IN"/>
        </w:rPr>
      </w:pPr>
      <w:r w:rsidRPr="00DA1B4D">
        <w:rPr>
          <w:lang w:eastAsia="en-GB" w:bidi="hi-IN"/>
        </w:rPr>
        <w:t>Second, it is only based on quantitative, self-reported tools, making it more prone to Common Method Bias (CMB) and Subjective Respondent Distortion (Kock et al., 2021). The survey design did not assess objective</w:t>
      </w:r>
      <w:r>
        <w:rPr>
          <w:lang w:val="en-US" w:eastAsia="en-GB" w:bidi="hi-IN"/>
        </w:rPr>
        <w:t>,</w:t>
      </w:r>
      <w:r w:rsidRPr="00DA1B4D">
        <w:rPr>
          <w:lang w:eastAsia="en-GB" w:bidi="hi-IN"/>
        </w:rPr>
        <w:t xml:space="preserve"> verifiable organisational achievement scores based on patient-to-staff ratios or documented patient-to-hour ratios, or uncompensated overtime hours worked or documented patient-to-clinical hours ratios, but rather assessed the employees' subjective perception of their clinical workload and managerial support. This dependence is an indication that dispositional factors (negative affectivity) might have caused an artificial over-reporting of the severity of the occupational stressors.</w:t>
      </w:r>
    </w:p>
    <w:p w14:paraId="12C3BB51" w14:textId="77777777" w:rsidR="00DA1B4D" w:rsidRPr="00DA1B4D" w:rsidRDefault="00DA1B4D" w:rsidP="00DA1B4D">
      <w:pPr>
        <w:rPr>
          <w:lang w:eastAsia="en-GB" w:bidi="hi-IN"/>
        </w:rPr>
      </w:pPr>
      <w:r w:rsidRPr="00DA1B4D">
        <w:rPr>
          <w:lang w:eastAsia="en-GB" w:bidi="hi-IN"/>
        </w:rPr>
        <w:t>Finally, the use of a convenience sampling approach combined with an arduous method of targeting and digital distribution has a questionable level of generalisability generally. In terms of the data set</w:t>
      </w:r>
      <w:r>
        <w:rPr>
          <w:lang w:val="en-US" w:eastAsia="en-GB" w:bidi="hi-IN"/>
        </w:rPr>
        <w:t>,</w:t>
      </w:r>
      <w:r w:rsidRPr="00DA1B4D">
        <w:rPr>
          <w:lang w:eastAsia="en-GB" w:bidi="hi-IN"/>
        </w:rPr>
        <w:t xml:space="preserve"> it is entirely voluntary and dependent on access to professional online forums, and as such cannot be taken to represent the overall NHS workforce in a perfectly proportionate manner. This necessarily entails a sample that will exhibit self-selection bias: practitioners who </w:t>
      </w:r>
      <w:r w:rsidRPr="00DA1B4D">
        <w:rPr>
          <w:lang w:eastAsia="en-GB" w:bidi="hi-IN"/>
        </w:rPr>
        <w:lastRenderedPageBreak/>
        <w:t>are more distressed at work or who may be experiencing moral injury will be disproportionately sampled, which can result in a sample that represents a higher threshold of the level of distress or moral injury, potentially presenting problems in transferring the conclusions of such samples to other sectors, such as highly resourced private healthcare or non-clinical roles.</w:t>
      </w:r>
    </w:p>
    <w:p w14:paraId="79F5D209" w14:textId="77777777" w:rsidR="00DA1B4D" w:rsidRPr="00DA1B4D" w:rsidRDefault="00DA1B4D" w:rsidP="00DA1B4D">
      <w:pPr>
        <w:pStyle w:val="Heading2"/>
        <w:rPr>
          <w:lang w:eastAsia="en-GB" w:bidi="hi-IN"/>
        </w:rPr>
      </w:pPr>
      <w:bookmarkStart w:id="77" w:name="_Toc240913084"/>
      <w:r w:rsidRPr="00DA1B4D">
        <w:rPr>
          <w:lang w:eastAsia="en-GB" w:bidi="hi-IN"/>
        </w:rPr>
        <w:t>5.7 Recommendations for Future Research</w:t>
      </w:r>
      <w:bookmarkEnd w:id="77"/>
    </w:p>
    <w:p w14:paraId="6687ABA3" w14:textId="77777777" w:rsidR="00DA1B4D" w:rsidRPr="00DA1B4D" w:rsidRDefault="00DA1B4D" w:rsidP="00DA1B4D">
      <w:pPr>
        <w:rPr>
          <w:lang w:eastAsia="en-GB" w:bidi="hi-IN"/>
        </w:rPr>
      </w:pPr>
      <w:r w:rsidRPr="00DA1B4D">
        <w:rPr>
          <w:lang w:eastAsia="en-GB" w:bidi="hi-IN"/>
        </w:rPr>
        <w:t xml:space="preserve">Based on the limitations of the methodology found in </w:t>
      </w:r>
      <w:r>
        <w:rPr>
          <w:lang w:val="en-US" w:eastAsia="en-GB" w:bidi="hi-IN"/>
        </w:rPr>
        <w:t xml:space="preserve">this </w:t>
      </w:r>
      <w:r w:rsidRPr="00DA1B4D">
        <w:rPr>
          <w:lang w:eastAsia="en-GB" w:bidi="hi-IN"/>
        </w:rPr>
        <w:t xml:space="preserve">research, and to further develop the theoretical aspect of this research, a number of important paths for further empirical research are recommended. First, occupational psychologists need to break away from the cross-sectional design and follow the </w:t>
      </w:r>
      <w:r>
        <w:rPr>
          <w:lang w:eastAsia="en-GB" w:bidi="hi-IN"/>
        </w:rPr>
        <w:t>path</w:t>
      </w:r>
      <w:r w:rsidRPr="00DA1B4D">
        <w:rPr>
          <w:lang w:eastAsia="en-GB" w:bidi="hi-IN"/>
        </w:rPr>
        <w:t xml:space="preserve"> of proper longitudinal tracking. To confirm true temporal precedence, the sequential and progressive degradation of cognitive resources over time should definitely be included by implementing multi-wave longitudinal methodologies (Van der Heijden et al., 2019), which would enable to definitively track the decline of cognitive resources over time and map out the chronological trajectory from initial work-life incongruence towards actual resignations.</w:t>
      </w:r>
    </w:p>
    <w:p w14:paraId="7DD07C87" w14:textId="77777777" w:rsidR="00DA1B4D" w:rsidRPr="00DA1B4D" w:rsidRDefault="00DA1B4D" w:rsidP="00DA1B4D">
      <w:pPr>
        <w:rPr>
          <w:lang w:eastAsia="en-GB" w:bidi="hi-IN"/>
        </w:rPr>
      </w:pPr>
      <w:r w:rsidRPr="00DA1B4D">
        <w:rPr>
          <w:lang w:eastAsia="en-GB" w:bidi="hi-IN"/>
        </w:rPr>
        <w:t xml:space="preserve">In addition, future studies have to actively try to find a triangulation </w:t>
      </w:r>
      <w:r>
        <w:rPr>
          <w:lang w:eastAsia="en-GB" w:bidi="hi-IN"/>
        </w:rPr>
        <w:t>between</w:t>
      </w:r>
      <w:r w:rsidRPr="00DA1B4D">
        <w:rPr>
          <w:lang w:eastAsia="en-GB" w:bidi="hi-IN"/>
        </w:rPr>
        <w:t xml:space="preserve"> subjective self-report data and objective organisational variables. Future quantitative models should consider verifiable HR data which could measure objective turnover rates, sickness absences, and clinical hours (calling for reducing inflation due to common method variance) instead of only depending on the employee's perception of turnover intention.</w:t>
      </w:r>
    </w:p>
    <w:p w14:paraId="424651F6" w14:textId="77777777" w:rsidR="00DA1B4D" w:rsidRPr="00DA1B4D" w:rsidRDefault="00DA1B4D" w:rsidP="00DA1B4D">
      <w:pPr>
        <w:rPr>
          <w:lang w:eastAsia="en-GB" w:bidi="hi-IN"/>
        </w:rPr>
      </w:pPr>
      <w:r w:rsidRPr="00DA1B4D">
        <w:rPr>
          <w:lang w:eastAsia="en-GB" w:bidi="hi-IN"/>
        </w:rPr>
        <w:t xml:space="preserve">Further, the issue of behaviour-based conflict measurement is particularly problematic, requiring more than one source </w:t>
      </w:r>
      <w:r>
        <w:rPr>
          <w:lang w:val="en-US" w:eastAsia="en-GB" w:bidi="hi-IN"/>
        </w:rPr>
        <w:t xml:space="preserve">of </w:t>
      </w:r>
      <w:r w:rsidRPr="00DA1B4D">
        <w:rPr>
          <w:lang w:eastAsia="en-GB" w:bidi="hi-IN"/>
        </w:rPr>
        <w:t xml:space="preserve">surveys to be solved. Filling dyadic research designs with simultaneous questionnaires about marital conflict shared by the clinician and the spouse, or other family member with whom the clinician cohabits, would eliminate the social desirability bias of the first (clinician) reporter and offer a much more objective and thorough picture of </w:t>
      </w:r>
      <w:r>
        <w:rPr>
          <w:lang w:eastAsia="en-GB" w:bidi="hi-IN"/>
        </w:rPr>
        <w:t>the</w:t>
      </w:r>
      <w:r w:rsidRPr="00DA1B4D">
        <w:rPr>
          <w:lang w:eastAsia="en-GB" w:bidi="hi-IN"/>
        </w:rPr>
        <w:t xml:space="preserve"> clinician's impact on the personal domain (DeBaylo and Michel, 2022). Last</w:t>
      </w:r>
      <w:r>
        <w:rPr>
          <w:lang w:val="en-US" w:eastAsia="en-GB" w:bidi="hi-IN"/>
        </w:rPr>
        <w:t>ly</w:t>
      </w:r>
      <w:r w:rsidRPr="00DA1B4D">
        <w:rPr>
          <w:lang w:eastAsia="en-GB" w:bidi="hi-IN"/>
        </w:rPr>
        <w:t xml:space="preserve">, future </w:t>
      </w:r>
      <w:r w:rsidRPr="00DA1B4D">
        <w:rPr>
          <w:lang w:eastAsia="en-GB" w:bidi="hi-IN"/>
        </w:rPr>
        <w:lastRenderedPageBreak/>
        <w:t>studies may benefit from using multi-level structural equation modelling to be able to distinguish between ward</w:t>
      </w:r>
      <w:r>
        <w:rPr>
          <w:lang w:val="en-US" w:eastAsia="en-GB" w:bidi="hi-IN"/>
        </w:rPr>
        <w:t>-</w:t>
      </w:r>
      <w:r w:rsidRPr="00DA1B4D">
        <w:rPr>
          <w:lang w:eastAsia="en-GB" w:bidi="hi-IN"/>
        </w:rPr>
        <w:t>level operational strain and individual</w:t>
      </w:r>
      <w:r>
        <w:rPr>
          <w:lang w:val="en-US" w:eastAsia="en-GB" w:bidi="hi-IN"/>
        </w:rPr>
        <w:t>-</w:t>
      </w:r>
      <w:r w:rsidRPr="00DA1B4D">
        <w:rPr>
          <w:lang w:eastAsia="en-GB" w:bidi="hi-IN"/>
        </w:rPr>
        <w:t>level psychological resilience and thus precisely characterise the point at which such structures neutrali</w:t>
      </w:r>
      <w:r w:rsidR="002330B6">
        <w:rPr>
          <w:lang w:val="en-US" w:eastAsia="en-GB" w:bidi="hi-IN"/>
        </w:rPr>
        <w:t>s</w:t>
      </w:r>
      <w:r w:rsidRPr="00DA1B4D">
        <w:rPr>
          <w:lang w:eastAsia="en-GB" w:bidi="hi-IN"/>
        </w:rPr>
        <w:t>ed the buffers.</w:t>
      </w:r>
    </w:p>
    <w:p w14:paraId="1EC31B38" w14:textId="77777777" w:rsidR="00DA1B4D" w:rsidRPr="00DA1B4D" w:rsidRDefault="00DA1B4D" w:rsidP="00DA1B4D">
      <w:pPr>
        <w:pStyle w:val="Heading2"/>
        <w:rPr>
          <w:lang w:eastAsia="en-GB" w:bidi="hi-IN"/>
        </w:rPr>
      </w:pPr>
      <w:bookmarkStart w:id="78" w:name="_Toc240913085"/>
      <w:r w:rsidRPr="00DA1B4D">
        <w:rPr>
          <w:lang w:eastAsia="en-GB" w:bidi="hi-IN"/>
        </w:rPr>
        <w:t>5.8 Concluding Remarks</w:t>
      </w:r>
      <w:bookmarkEnd w:id="78"/>
    </w:p>
    <w:p w14:paraId="3DF7E672" w14:textId="77777777" w:rsidR="00DA1B4D" w:rsidRPr="00DA1B4D" w:rsidRDefault="00DA1B4D" w:rsidP="00DA1B4D">
      <w:pPr>
        <w:rPr>
          <w:lang w:eastAsia="en-GB" w:bidi="hi-IN"/>
        </w:rPr>
      </w:pPr>
      <w:r w:rsidRPr="00DA1B4D">
        <w:rPr>
          <w:lang w:eastAsia="en-GB" w:bidi="hi-IN"/>
        </w:rPr>
        <w:t>The current situation of the UK National Health Service (NHS) is one of unprecedented burden of staff leaving the health service due to an occupational structure that is structurally set against sustaining a personal life. This research has empirically shown that conflicts of frontline and administrative staff which exist between both of them in terms of behaviours and time have not been mere peripheral conflicts but quite potent ones for organisational withdrawal. This brings a clear statistical note: managerial efforts and flexible working arrangements are not proving to be effective in mitigating this trend and are, in a real sense, empirical evidence of the inability of the NHS to simply aliens and treats using psychosocial interventions or minor rostering arrangements. The psychological contract will stay broken and the freedom of highly skilled, deeply committed and dedicated healthcare workers will further seep out if macro-level policy remains to be unconditionally committed towards reducing the clinical demands in the system.</w:t>
      </w:r>
    </w:p>
    <w:p w14:paraId="6A50789B" w14:textId="77777777" w:rsidR="001C46C3" w:rsidRPr="00B10792" w:rsidRDefault="001C46C3">
      <w:pPr>
        <w:spacing w:line="240" w:lineRule="auto"/>
        <w:jc w:val="left"/>
        <w:rPr>
          <w:rFonts w:cs="Times New Roman"/>
        </w:rPr>
      </w:pPr>
      <w:r w:rsidRPr="00B10792">
        <w:rPr>
          <w:rFonts w:cs="Times New Roman"/>
        </w:rPr>
        <w:br w:type="page"/>
      </w:r>
    </w:p>
    <w:p w14:paraId="2C2FC04E" w14:textId="77777777" w:rsidR="00B10792" w:rsidRPr="00B10792" w:rsidRDefault="00B10792" w:rsidP="00B10792">
      <w:pPr>
        <w:pStyle w:val="Heading1"/>
        <w:rPr>
          <w:lang w:eastAsia="en-GB" w:bidi="hi-IN"/>
        </w:rPr>
      </w:pPr>
      <w:bookmarkStart w:id="79" w:name="_Toc240913086"/>
      <w:r w:rsidRPr="00B10792">
        <w:rPr>
          <w:lang w:eastAsia="en-GB" w:bidi="hi-IN"/>
        </w:rPr>
        <w:lastRenderedPageBreak/>
        <w:t>Reference</w:t>
      </w:r>
      <w:bookmarkEnd w:id="79"/>
      <w:r w:rsidRPr="00B10792">
        <w:rPr>
          <w:lang w:eastAsia="en-GB" w:bidi="hi-IN"/>
        </w:rPr>
        <w:t xml:space="preserve"> </w:t>
      </w:r>
    </w:p>
    <w:p w14:paraId="3EF13CB0" w14:textId="55C826D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Adriano, J. and Callaghan, C.W. (2020) ‘Work-life balance, job satisfaction and retention: Turnover intentions of professionals in part-time study’, </w:t>
      </w:r>
      <w:r w:rsidRPr="00B10792">
        <w:rPr>
          <w:rFonts w:eastAsia="Times New Roman" w:cs="Times New Roman"/>
          <w:i/>
          <w:iCs/>
          <w:color w:val="000000"/>
          <w:kern w:val="0"/>
          <w:szCs w:val="24"/>
          <w:lang w:eastAsia="en-GB" w:bidi="hi-IN"/>
          <w14:ligatures w14:val="none"/>
        </w:rPr>
        <w:t>South African Journal of Economic and management Sciences</w:t>
      </w:r>
      <w:r w:rsidRPr="00B10792">
        <w:rPr>
          <w:rFonts w:eastAsia="Times New Roman" w:cs="Times New Roman"/>
          <w:color w:val="000000"/>
          <w:kern w:val="0"/>
          <w:szCs w:val="24"/>
          <w:lang w:eastAsia="en-GB" w:bidi="hi-IN"/>
          <w14:ligatures w14:val="none"/>
        </w:rPr>
        <w:t>, 23(1),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12. Available at: https://doi.org/10.4102/sajems.v23i1.3028.</w:t>
      </w:r>
    </w:p>
    <w:p w14:paraId="47B2094C" w14:textId="10A66F4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Ahmed, S.K. (2024) ‘Research methodology simplified: How to choose the right sampling technique and determine the appropriate sample size for research’, </w:t>
      </w:r>
      <w:r w:rsidRPr="00B10792">
        <w:rPr>
          <w:rFonts w:eastAsia="Times New Roman" w:cs="Times New Roman"/>
          <w:i/>
          <w:iCs/>
          <w:color w:val="000000"/>
          <w:kern w:val="0"/>
          <w:szCs w:val="24"/>
          <w:lang w:eastAsia="en-GB" w:bidi="hi-IN"/>
          <w14:ligatures w14:val="none"/>
        </w:rPr>
        <w:t>Oral Oncology Reports</w:t>
      </w:r>
      <w:r w:rsidRPr="00B10792">
        <w:rPr>
          <w:rFonts w:eastAsia="Times New Roman" w:cs="Times New Roman"/>
          <w:color w:val="000000"/>
          <w:kern w:val="0"/>
          <w:szCs w:val="24"/>
          <w:lang w:eastAsia="en-GB" w:bidi="hi-IN"/>
          <w14:ligatures w14:val="none"/>
        </w:rPr>
        <w:t>, 12(100662),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 Available at: https://doi.org/10.1016/j.oor.2024.100662.</w:t>
      </w:r>
    </w:p>
    <w:p w14:paraId="141B8EE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Akerstrom, M., Severin, J., Imberg, H., Jonsdottir, I.H., Björk, L. and Corin, L. (2021) ‘Methodological approach for measuring the effects of organisational-level interventions on employee withdrawal behaviour’, </w:t>
      </w:r>
      <w:r w:rsidRPr="00B10792">
        <w:rPr>
          <w:rFonts w:eastAsia="Times New Roman" w:cs="Times New Roman"/>
          <w:i/>
          <w:iCs/>
          <w:color w:val="000000"/>
          <w:kern w:val="0"/>
          <w:szCs w:val="24"/>
          <w:lang w:eastAsia="en-GB" w:bidi="hi-IN"/>
          <w14:ligatures w14:val="none"/>
        </w:rPr>
        <w:t>International Archives of Occupational and Environmental Health</w:t>
      </w:r>
      <w:r w:rsidRPr="00B10792">
        <w:rPr>
          <w:rFonts w:eastAsia="Times New Roman" w:cs="Times New Roman"/>
          <w:color w:val="000000"/>
          <w:kern w:val="0"/>
          <w:szCs w:val="24"/>
          <w:lang w:eastAsia="en-GB" w:bidi="hi-IN"/>
          <w14:ligatures w14:val="none"/>
        </w:rPr>
        <w:t> . Available at: https://doi.org/10.1007/s00420-021-01686-y.</w:t>
      </w:r>
    </w:p>
    <w:p w14:paraId="004571F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Akinwale, O.E., Edegwa, S.K. and Ofuani, A.B. (2024) ‘Individual and organisational determinants of work-life balance and quality of work-life (qwl) among nurses and pharmacists in government hospital’, </w:t>
      </w:r>
      <w:r w:rsidRPr="00B10792">
        <w:rPr>
          <w:rFonts w:eastAsia="Times New Roman" w:cs="Times New Roman"/>
          <w:i/>
          <w:iCs/>
          <w:color w:val="000000"/>
          <w:kern w:val="0"/>
          <w:szCs w:val="24"/>
          <w:lang w:eastAsia="en-GB" w:bidi="hi-IN"/>
          <w14:ligatures w14:val="none"/>
        </w:rPr>
        <w:t>African Journal of Economics and Business Research</w:t>
      </w:r>
      <w:r w:rsidRPr="00B10792">
        <w:rPr>
          <w:rFonts w:eastAsia="Times New Roman" w:cs="Times New Roman"/>
          <w:color w:val="000000"/>
          <w:kern w:val="0"/>
          <w:szCs w:val="24"/>
          <w:lang w:eastAsia="en-GB" w:bidi="hi-IN"/>
          <w14:ligatures w14:val="none"/>
        </w:rPr>
        <w:t>, 3(2). Available at: https://doi.org/10.4314/ajebr.v3i2.3.</w:t>
      </w:r>
    </w:p>
    <w:p w14:paraId="03328A05" w14:textId="23685A7A"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Alameddine, M., Al-Yateem, N., Bou-Karroum, K., Hijazi, H., Marzouqi, A.A. and Al-Adawi, S. (2023) ‘Measurement of work-life balance: A scoping review with a focus on the health sector’, </w:t>
      </w:r>
      <w:r w:rsidRPr="00B10792">
        <w:rPr>
          <w:rFonts w:eastAsia="Times New Roman" w:cs="Times New Roman"/>
          <w:i/>
          <w:iCs/>
          <w:color w:val="000000"/>
          <w:kern w:val="0"/>
          <w:szCs w:val="24"/>
          <w:lang w:eastAsia="en-GB" w:bidi="hi-IN"/>
          <w14:ligatures w14:val="none"/>
        </w:rPr>
        <w:t>Journal of Nursing Management</w:t>
      </w:r>
      <w:r w:rsidRPr="00B10792">
        <w:rPr>
          <w:rFonts w:eastAsia="Times New Roman" w:cs="Times New Roman"/>
          <w:color w:val="000000"/>
          <w:kern w:val="0"/>
          <w:szCs w:val="24"/>
          <w:lang w:eastAsia="en-GB" w:bidi="hi-IN"/>
          <w14:ligatures w14:val="none"/>
        </w:rPr>
        <w:t>, 2023,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10. Available at: https://doi.org/10.1155/2023/3666224.</w:t>
      </w:r>
    </w:p>
    <w:p w14:paraId="44E5A182" w14:textId="10A9C7C3"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Alblihed, M. and Alzghaibi, H.A. (2022) ‘The impact of job stress, role ambiguity and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imbalance on turnover intention during COVID-19: A case study of frontline health workers in Saudi Arabia’, </w:t>
      </w:r>
      <w:r w:rsidRPr="00B10792">
        <w:rPr>
          <w:rFonts w:eastAsia="Times New Roman" w:cs="Times New Roman"/>
          <w:i/>
          <w:iCs/>
          <w:color w:val="000000"/>
          <w:kern w:val="0"/>
          <w:szCs w:val="24"/>
          <w:lang w:eastAsia="en-GB" w:bidi="hi-IN"/>
          <w14:ligatures w14:val="none"/>
        </w:rPr>
        <w:t>International Journal of Environmental Research and Public Health</w:t>
      </w:r>
      <w:r w:rsidRPr="00B10792">
        <w:rPr>
          <w:rFonts w:eastAsia="Times New Roman" w:cs="Times New Roman"/>
          <w:color w:val="000000"/>
          <w:kern w:val="0"/>
          <w:szCs w:val="24"/>
          <w:lang w:eastAsia="en-GB" w:bidi="hi-IN"/>
          <w14:ligatures w14:val="none"/>
        </w:rPr>
        <w:t>, 19(20), p. 13132. Available at: https://doi.org/10.3390/ijerph192013132.</w:t>
      </w:r>
    </w:p>
    <w:p w14:paraId="3871C93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Alkan, E., Cushen-Brewster, N. and Anyanwu, P. (2024) ‘Organisational factors associated with healthcare workforce development, recruitment, and retention in the United Kingdom: A systematic review’, </w:t>
      </w:r>
      <w:r w:rsidRPr="00B10792">
        <w:rPr>
          <w:rFonts w:eastAsia="Times New Roman" w:cs="Times New Roman"/>
          <w:i/>
          <w:iCs/>
          <w:color w:val="000000"/>
          <w:kern w:val="0"/>
          <w:szCs w:val="24"/>
          <w:lang w:eastAsia="en-GB" w:bidi="hi-IN"/>
          <w14:ligatures w14:val="none"/>
        </w:rPr>
        <w:t>BMC Nursing</w:t>
      </w:r>
      <w:r w:rsidRPr="00B10792">
        <w:rPr>
          <w:rFonts w:eastAsia="Times New Roman" w:cs="Times New Roman"/>
          <w:color w:val="000000"/>
          <w:kern w:val="0"/>
          <w:szCs w:val="24"/>
          <w:lang w:eastAsia="en-GB" w:bidi="hi-IN"/>
          <w14:ligatures w14:val="none"/>
        </w:rPr>
        <w:t>, 23(1). Available at: https://doi.org/10.1186/s12912-024-02216-0.</w:t>
      </w:r>
    </w:p>
    <w:p w14:paraId="00410419"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Alzoubi, M.M., Al-Mugheed, K., Oweidat, I., Alrahbeni, T., Alnaeem, M.M., Alabdullah, A.A.S., Abdelaliem, S.M.F. and Hendy, A. (2024) ‘Moderating role of relationships between workloads, job burnout, turnover intention, and healthcare quality among nurses’, </w:t>
      </w:r>
      <w:r w:rsidRPr="00B10792">
        <w:rPr>
          <w:rFonts w:eastAsia="Times New Roman" w:cs="Times New Roman"/>
          <w:i/>
          <w:iCs/>
          <w:color w:val="000000"/>
          <w:kern w:val="0"/>
          <w:szCs w:val="24"/>
          <w:lang w:eastAsia="en-GB" w:bidi="hi-IN"/>
          <w14:ligatures w14:val="none"/>
        </w:rPr>
        <w:t>BMC Psychology</w:t>
      </w:r>
      <w:r w:rsidRPr="00B10792">
        <w:rPr>
          <w:rFonts w:eastAsia="Times New Roman" w:cs="Times New Roman"/>
          <w:color w:val="000000"/>
          <w:kern w:val="0"/>
          <w:szCs w:val="24"/>
          <w:lang w:eastAsia="en-GB" w:bidi="hi-IN"/>
          <w14:ligatures w14:val="none"/>
        </w:rPr>
        <w:t>, 12(1). Available at: https://doi.org/10.1186/s40359-024-01891-7.</w:t>
      </w:r>
    </w:p>
    <w:p w14:paraId="5946E0A3" w14:textId="7051EBFB"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Arlinghaus, A., BOHLE, P., ISKRA-GOLEC, I., JANSEN, N., JAY, S. and ROTENBERG, L. (2019) ‘Working Time Society consensus statements: Evidence-based effects of shift work and non-standard working hours on workers, family and community’, </w:t>
      </w:r>
      <w:r w:rsidRPr="00B10792">
        <w:rPr>
          <w:rFonts w:eastAsia="Times New Roman" w:cs="Times New Roman"/>
          <w:i/>
          <w:iCs/>
          <w:color w:val="000000"/>
          <w:kern w:val="0"/>
          <w:szCs w:val="24"/>
          <w:lang w:eastAsia="en-GB" w:bidi="hi-IN"/>
          <w14:ligatures w14:val="none"/>
        </w:rPr>
        <w:t>Industrial Health</w:t>
      </w:r>
      <w:r w:rsidRPr="00B10792">
        <w:rPr>
          <w:rFonts w:eastAsia="Times New Roman" w:cs="Times New Roman"/>
          <w:color w:val="000000"/>
          <w:kern w:val="0"/>
          <w:szCs w:val="24"/>
          <w:lang w:eastAsia="en-GB" w:bidi="hi-IN"/>
          <w14:ligatures w14:val="none"/>
        </w:rPr>
        <w:t>, 57(2), pp. 184</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200. Available at: https://doi.org/10.2486/indhealth.sw-4.</w:t>
      </w:r>
    </w:p>
    <w:p w14:paraId="0F24B7D8" w14:textId="7C4D39C9"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Aunger, J.A., Abrams, R., Westbrook, J.I., Wright, J.M., Pearson, M., Jones, A., Mannion, R. and Maben, J. (2024) ‘Why do acute healthcare staff behave unprofessionally towards each other and how can these behaviours be reduced? A realist review’, </w:t>
      </w:r>
      <w:r w:rsidRPr="00B10792">
        <w:rPr>
          <w:rFonts w:eastAsia="Times New Roman" w:cs="Times New Roman"/>
          <w:i/>
          <w:iCs/>
          <w:color w:val="000000"/>
          <w:kern w:val="0"/>
          <w:szCs w:val="24"/>
          <w:lang w:eastAsia="en-GB" w:bidi="hi-IN"/>
          <w14:ligatures w14:val="none"/>
        </w:rPr>
        <w:t>Health and Social Care Delivery Research</w:t>
      </w:r>
      <w:r w:rsidRPr="00B10792">
        <w:rPr>
          <w:rFonts w:eastAsia="Times New Roman" w:cs="Times New Roman"/>
          <w:color w:val="000000"/>
          <w:kern w:val="0"/>
          <w:szCs w:val="24"/>
          <w:lang w:eastAsia="en-GB" w:bidi="hi-IN"/>
          <w14:ligatures w14:val="none"/>
        </w:rPr>
        <w:t>, 12(25),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195. Available at: https://doi.org/10.3310/PAMV3758.</w:t>
      </w:r>
    </w:p>
    <w:p w14:paraId="0EAD872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Babin, B.J., Zikmund, W.G., Quinlan, C., Carr, J.C. and Griffin, M. (2019) </w:t>
      </w:r>
      <w:r w:rsidRPr="00B10792">
        <w:rPr>
          <w:rFonts w:eastAsia="Times New Roman" w:cs="Times New Roman"/>
          <w:i/>
          <w:iCs/>
          <w:color w:val="000000"/>
          <w:kern w:val="0"/>
          <w:szCs w:val="24"/>
          <w:lang w:eastAsia="en-GB" w:bidi="hi-IN"/>
          <w14:ligatures w14:val="none"/>
        </w:rPr>
        <w:t>Business Research Methods</w:t>
      </w:r>
      <w:r w:rsidRPr="00B10792">
        <w:rPr>
          <w:rFonts w:eastAsia="Times New Roman" w:cs="Times New Roman"/>
          <w:color w:val="000000"/>
          <w:kern w:val="0"/>
          <w:szCs w:val="24"/>
          <w:lang w:eastAsia="en-GB" w:bidi="hi-IN"/>
          <w14:ligatures w14:val="none"/>
        </w:rPr>
        <w:t>. Cengage Learning.</w:t>
      </w:r>
    </w:p>
    <w:p w14:paraId="32279B8C" w14:textId="5FBC0B0A"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Bakker, A.B. and Demerouti, E. (2017) ‘Job demands</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resources theory: Taking stock and looking forward.’, </w:t>
      </w:r>
      <w:r w:rsidRPr="00B10792">
        <w:rPr>
          <w:rFonts w:eastAsia="Times New Roman" w:cs="Times New Roman"/>
          <w:i/>
          <w:iCs/>
          <w:color w:val="000000"/>
          <w:kern w:val="0"/>
          <w:szCs w:val="24"/>
          <w:lang w:eastAsia="en-GB" w:bidi="hi-IN"/>
          <w14:ligatures w14:val="none"/>
        </w:rPr>
        <w:t>Journal of Occupational Health Psychology</w:t>
      </w:r>
      <w:r w:rsidRPr="00B10792">
        <w:rPr>
          <w:rFonts w:eastAsia="Times New Roman" w:cs="Times New Roman"/>
          <w:color w:val="000000"/>
          <w:kern w:val="0"/>
          <w:szCs w:val="24"/>
          <w:lang w:eastAsia="en-GB" w:bidi="hi-IN"/>
          <w14:ligatures w14:val="none"/>
        </w:rPr>
        <w:t>, 22(3), pp. 273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285. Available at: https://doi.org/https://doi.org/10.1037/ocp0000056.</w:t>
      </w:r>
    </w:p>
    <w:p w14:paraId="3487074D" w14:textId="44E0150F"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Baumgartner, V., Prem, R., Uhlig, L., Korunka, C. and Kubicek, B. (2023) ‘Employer‐oriented flexible work in health care: A diary study on the resulting cognitive demands and their relationship with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home outcomes’, </w:t>
      </w:r>
      <w:r w:rsidRPr="00B10792">
        <w:rPr>
          <w:rFonts w:eastAsia="Times New Roman" w:cs="Times New Roman"/>
          <w:i/>
          <w:iCs/>
          <w:color w:val="000000"/>
          <w:kern w:val="0"/>
          <w:szCs w:val="24"/>
          <w:lang w:eastAsia="en-GB" w:bidi="hi-IN"/>
          <w14:ligatures w14:val="none"/>
        </w:rPr>
        <w:t xml:space="preserve">Journal of Occupational and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ational Psychology</w:t>
      </w:r>
      <w:r w:rsidRPr="00B10792">
        <w:rPr>
          <w:rFonts w:eastAsia="Times New Roman" w:cs="Times New Roman"/>
          <w:color w:val="000000"/>
          <w:kern w:val="0"/>
          <w:szCs w:val="24"/>
          <w:lang w:eastAsia="en-GB" w:bidi="hi-IN"/>
          <w14:ligatures w14:val="none"/>
        </w:rPr>
        <w:t> . Available at: https://doi.org/10.1111/joop.12483.</w:t>
      </w:r>
    </w:p>
    <w:p w14:paraId="3B2FECB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Bayot, M., Boone, A., Godderis, L. and Lenoir, A.-L. (2024) ‘Multidimensional factors of burnout in general practice: A cross sectional survey’, </w:t>
      </w:r>
      <w:r w:rsidRPr="00B10792">
        <w:rPr>
          <w:rFonts w:eastAsia="Times New Roman" w:cs="Times New Roman"/>
          <w:i/>
          <w:iCs/>
          <w:color w:val="000000"/>
          <w:kern w:val="0"/>
          <w:szCs w:val="24"/>
          <w:lang w:eastAsia="en-GB" w:bidi="hi-IN"/>
          <w14:ligatures w14:val="none"/>
        </w:rPr>
        <w:t>BJGP Open</w:t>
      </w:r>
      <w:r w:rsidRPr="00B10792">
        <w:rPr>
          <w:rFonts w:eastAsia="Times New Roman" w:cs="Times New Roman"/>
          <w:color w:val="000000"/>
          <w:kern w:val="0"/>
          <w:szCs w:val="24"/>
          <w:lang w:eastAsia="en-GB" w:bidi="hi-IN"/>
          <w14:ligatures w14:val="none"/>
        </w:rPr>
        <w:t>, 8(2), p. BJGPO.2023.0171. Available at: https://doi.org/10.3399/bjgpo.2023.0171.</w:t>
      </w:r>
    </w:p>
    <w:p w14:paraId="3898F6DB"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Bell, E. and Bryman, A. (2022) </w:t>
      </w:r>
      <w:r w:rsidRPr="00B10792">
        <w:rPr>
          <w:rFonts w:eastAsia="Times New Roman" w:cs="Times New Roman"/>
          <w:i/>
          <w:iCs/>
          <w:color w:val="000000"/>
          <w:kern w:val="0"/>
          <w:szCs w:val="24"/>
          <w:lang w:eastAsia="en-GB" w:bidi="hi-IN"/>
          <w14:ligatures w14:val="none"/>
        </w:rPr>
        <w:t>Business Research Methods</w:t>
      </w:r>
      <w:r w:rsidRPr="00B10792">
        <w:rPr>
          <w:rFonts w:eastAsia="Times New Roman" w:cs="Times New Roman"/>
          <w:color w:val="000000"/>
          <w:kern w:val="0"/>
          <w:szCs w:val="24"/>
          <w:lang w:eastAsia="en-GB" w:bidi="hi-IN"/>
          <w14:ligatures w14:val="none"/>
        </w:rPr>
        <w:t>. 6th edn. Oxford University Press.</w:t>
      </w:r>
    </w:p>
    <w:p w14:paraId="5F43093F" w14:textId="5E731B42"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Bimpong, K.A.A., Khan, A., Slight, R., Tolley, C.L. and Slight, S.P. (2020) ‘Relationship between labour force satisfaction, wages and retention within the UK National Health Service: A systematic review of the literature’, </w:t>
      </w:r>
      <w:r w:rsidRPr="00B10792">
        <w:rPr>
          <w:rFonts w:eastAsia="Times New Roman" w:cs="Times New Roman"/>
          <w:i/>
          <w:iCs/>
          <w:color w:val="000000"/>
          <w:kern w:val="0"/>
          <w:szCs w:val="24"/>
          <w:lang w:eastAsia="en-GB" w:bidi="hi-IN"/>
          <w14:ligatures w14:val="none"/>
        </w:rPr>
        <w:t>BMJ Open</w:t>
      </w:r>
      <w:r w:rsidRPr="00B10792">
        <w:rPr>
          <w:rFonts w:eastAsia="Times New Roman" w:cs="Times New Roman"/>
          <w:color w:val="000000"/>
          <w:kern w:val="0"/>
          <w:szCs w:val="24"/>
          <w:lang w:eastAsia="en-GB" w:bidi="hi-IN"/>
          <w14:ligatures w14:val="none"/>
        </w:rPr>
        <w:t>, 10(7),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w:t>
      </w:r>
    </w:p>
    <w:p w14:paraId="29C69FFD" w14:textId="1AC0801E"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 xml:space="preserve">Björk, L., Corin, L., Akerstrom, M., Jonsdottir, I.H., Innocenti, A.D., Wijk, H. and Ahlstrom, L. (2023) ‘Under pressure </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 xml:space="preserve"> the working situation of Swedish healthcare managers during the first wave of COVID-19’,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13. Available at: https://doi.org/10.3389/fpsyg.2022.1052382.</w:t>
      </w:r>
    </w:p>
    <w:p w14:paraId="43F4682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Blake, H., Mancini, H., Coyne, E., Cooper, J. and Stanulewicz-Buckley, N. (2024) ‘Workforce wellbeing centres and their positive role for wellbeing and presenteeism in healthcare workers during the COVID-19 pandemic: Secondary analysis of COVID-Well data’,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24(1). Available at: https://doi.org/10.1186/s12913-024-10730-9.</w:t>
      </w:r>
    </w:p>
    <w:p w14:paraId="124D7A31"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Bogaert, P. Van, Peremans, L., Van Heusden, D., Verspuy, M., Kureckova, V., Van de Cruys, Z. and Franck, E. (2017) ‘Predictors of burnout, work engagement and nurse reported job outcomes and quality of care: A mixed method study’, </w:t>
      </w:r>
      <w:r w:rsidRPr="00B10792">
        <w:rPr>
          <w:rFonts w:eastAsia="Times New Roman" w:cs="Times New Roman"/>
          <w:i/>
          <w:iCs/>
          <w:color w:val="000000"/>
          <w:kern w:val="0"/>
          <w:szCs w:val="24"/>
          <w:lang w:eastAsia="en-GB" w:bidi="hi-IN"/>
          <w14:ligatures w14:val="none"/>
        </w:rPr>
        <w:t>BMC Nursing</w:t>
      </w:r>
      <w:r w:rsidRPr="00B10792">
        <w:rPr>
          <w:rFonts w:eastAsia="Times New Roman" w:cs="Times New Roman"/>
          <w:color w:val="000000"/>
          <w:kern w:val="0"/>
          <w:szCs w:val="24"/>
          <w:lang w:eastAsia="en-GB" w:bidi="hi-IN"/>
          <w14:ligatures w14:val="none"/>
        </w:rPr>
        <w:t>, 16(1). Available at: https://doi.org/10.1186/s12912-016-0200-4.</w:t>
      </w:r>
    </w:p>
    <w:p w14:paraId="4155563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Bolt, E.E.T., Winterton, J. and Cafferkey, K. (2022) ‘A Century of Labour turnover research: A systematic literature review’, </w:t>
      </w:r>
      <w:r w:rsidRPr="00B10792">
        <w:rPr>
          <w:rFonts w:eastAsia="Times New Roman" w:cs="Times New Roman"/>
          <w:i/>
          <w:iCs/>
          <w:color w:val="000000"/>
          <w:kern w:val="0"/>
          <w:szCs w:val="24"/>
          <w:lang w:eastAsia="en-GB" w:bidi="hi-IN"/>
          <w14:ligatures w14:val="none"/>
        </w:rPr>
        <w:t>International Journal of Management Reviews</w:t>
      </w:r>
      <w:r w:rsidRPr="00B10792">
        <w:rPr>
          <w:rFonts w:eastAsia="Times New Roman" w:cs="Times New Roman"/>
          <w:color w:val="000000"/>
          <w:kern w:val="0"/>
          <w:szCs w:val="24"/>
          <w:lang w:eastAsia="en-GB" w:bidi="hi-IN"/>
          <w14:ligatures w14:val="none"/>
        </w:rPr>
        <w:t>, 24(4).</w:t>
      </w:r>
    </w:p>
    <w:p w14:paraId="01DA0AA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Bonaparte, Y. (2021) ‘FOMO Index: A Cross Sectional and Time Series Analyses’, </w:t>
      </w:r>
      <w:r w:rsidRPr="00B10792">
        <w:rPr>
          <w:rFonts w:eastAsia="Times New Roman" w:cs="Times New Roman"/>
          <w:i/>
          <w:iCs/>
          <w:color w:val="000000"/>
          <w:kern w:val="0"/>
          <w:szCs w:val="24"/>
          <w:lang w:eastAsia="en-GB" w:bidi="hi-IN"/>
          <w14:ligatures w14:val="none"/>
        </w:rPr>
        <w:t>SSRN Electronic Journal</w:t>
      </w:r>
      <w:r w:rsidRPr="00B10792">
        <w:rPr>
          <w:rFonts w:eastAsia="Times New Roman" w:cs="Times New Roman"/>
          <w:color w:val="000000"/>
          <w:kern w:val="0"/>
          <w:szCs w:val="24"/>
          <w:lang w:eastAsia="en-GB" w:bidi="hi-IN"/>
          <w14:ligatures w14:val="none"/>
        </w:rPr>
        <w:t>, 33(3). Available at: https://doi.org/10.2139/ssrn.3924594.</w:t>
      </w:r>
    </w:p>
    <w:p w14:paraId="24D652E6"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Bosque-Mercader, L., Conroy, S., Lasserson, D., Mannion, R., Nicodemo, C. and Wittenberg, R. (2025) ‘Resilience of the acute sector in recovery from COVID-19 pressures’, </w:t>
      </w:r>
      <w:r w:rsidRPr="00B10792">
        <w:rPr>
          <w:rFonts w:eastAsia="Times New Roman" w:cs="Times New Roman"/>
          <w:i/>
          <w:iCs/>
          <w:color w:val="000000"/>
          <w:kern w:val="0"/>
          <w:szCs w:val="24"/>
          <w:lang w:eastAsia="en-GB" w:bidi="hi-IN"/>
          <w14:ligatures w14:val="none"/>
        </w:rPr>
        <w:t>Social Science &amp; Medicine</w:t>
      </w:r>
      <w:r w:rsidRPr="00B10792">
        <w:rPr>
          <w:rFonts w:eastAsia="Times New Roman" w:cs="Times New Roman"/>
          <w:color w:val="000000"/>
          <w:kern w:val="0"/>
          <w:szCs w:val="24"/>
          <w:lang w:eastAsia="en-GB" w:bidi="hi-IN"/>
          <w14:ligatures w14:val="none"/>
        </w:rPr>
        <w:t>, 375, p. 118062. Available at: https://doi.org/10.1016/j.socscimed.2025.118062.</w:t>
      </w:r>
    </w:p>
    <w:p w14:paraId="4D3712E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Bouncken, R.B., Czakon, W. and Schmitt, F. (2025) ‘Purposeful sampling and saturation in qualitative research methodologies: recommendations and review’, </w:t>
      </w:r>
      <w:r w:rsidRPr="00B10792">
        <w:rPr>
          <w:rFonts w:eastAsia="Times New Roman" w:cs="Times New Roman"/>
          <w:i/>
          <w:iCs/>
          <w:color w:val="000000"/>
          <w:kern w:val="0"/>
          <w:szCs w:val="24"/>
          <w:lang w:eastAsia="en-GB" w:bidi="hi-IN"/>
          <w14:ligatures w14:val="none"/>
        </w:rPr>
        <w:t>Review of Managerial Science</w:t>
      </w:r>
      <w:r w:rsidRPr="00B10792">
        <w:rPr>
          <w:rFonts w:eastAsia="Times New Roman" w:cs="Times New Roman"/>
          <w:color w:val="000000"/>
          <w:kern w:val="0"/>
          <w:szCs w:val="24"/>
          <w:lang w:eastAsia="en-GB" w:bidi="hi-IN"/>
          <w14:ligatures w14:val="none"/>
        </w:rPr>
        <w:t> . Available at: https://doi.org/10.1007/s11846-025-00881-2.</w:t>
      </w:r>
    </w:p>
    <w:p w14:paraId="54DE08FB"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Boy, Y. and Sürmeli, M. (2023) ‘Quiet quitting: A significant risk for global healthcare’, </w:t>
      </w:r>
      <w:r w:rsidRPr="00B10792">
        <w:rPr>
          <w:rFonts w:eastAsia="Times New Roman" w:cs="Times New Roman"/>
          <w:i/>
          <w:iCs/>
          <w:color w:val="000000"/>
          <w:kern w:val="0"/>
          <w:szCs w:val="24"/>
          <w:lang w:eastAsia="en-GB" w:bidi="hi-IN"/>
          <w14:ligatures w14:val="none"/>
        </w:rPr>
        <w:t>Journal of Global Health</w:t>
      </w:r>
      <w:r w:rsidRPr="00B10792">
        <w:rPr>
          <w:rFonts w:eastAsia="Times New Roman" w:cs="Times New Roman"/>
          <w:color w:val="000000"/>
          <w:kern w:val="0"/>
          <w:szCs w:val="24"/>
          <w:lang w:eastAsia="en-GB" w:bidi="hi-IN"/>
          <w14:ligatures w14:val="none"/>
        </w:rPr>
        <w:t>, 13. Available at: https://doi.org/10.7189/jogh.13.03014.</w:t>
      </w:r>
    </w:p>
    <w:p w14:paraId="650B5AD3"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Buruck, G., Pfarr, A.-L., Penz, M., Wekenborg, M., Rothe, N. and Walther, A. (2020) ‘The influence of workload and work flexibility on work-life conflict and the role of emotional exhaustion’, </w:t>
      </w:r>
      <w:r w:rsidR="002330B6">
        <w:rPr>
          <w:rFonts w:eastAsia="Times New Roman" w:cs="Times New Roman"/>
          <w:i/>
          <w:iCs/>
          <w:color w:val="000000"/>
          <w:kern w:val="0"/>
          <w:szCs w:val="24"/>
          <w:lang w:eastAsia="en-GB" w:bidi="hi-IN"/>
          <w14:ligatures w14:val="none"/>
        </w:rPr>
        <w:t>Behaviour</w:t>
      </w:r>
      <w:r w:rsidRPr="00B10792">
        <w:rPr>
          <w:rFonts w:eastAsia="Times New Roman" w:cs="Times New Roman"/>
          <w:i/>
          <w:iCs/>
          <w:color w:val="000000"/>
          <w:kern w:val="0"/>
          <w:szCs w:val="24"/>
          <w:lang w:eastAsia="en-GB" w:bidi="hi-IN"/>
          <w14:ligatures w14:val="none"/>
        </w:rPr>
        <w:t>al Sciences</w:t>
      </w:r>
      <w:r w:rsidRPr="00B10792">
        <w:rPr>
          <w:rFonts w:eastAsia="Times New Roman" w:cs="Times New Roman"/>
          <w:color w:val="000000"/>
          <w:kern w:val="0"/>
          <w:szCs w:val="24"/>
          <w:lang w:eastAsia="en-GB" w:bidi="hi-IN"/>
          <w14:ligatures w14:val="none"/>
        </w:rPr>
        <w:t>, 10(11), p. 174. Available at: https://doi.org/10.3390/bs10110174.</w:t>
      </w:r>
    </w:p>
    <w:p w14:paraId="7FA84217" w14:textId="1FD20E60"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 xml:space="preserve">Campos-Garcia, X., Guevara, R. and Idrovo-Carlier, S. (2021) ‘The effect of family supportive supervisor </w:t>
      </w:r>
      <w:r w:rsidR="002330B6">
        <w:rPr>
          <w:rFonts w:eastAsia="Times New Roman" w:cs="Times New Roman"/>
          <w:color w:val="000000"/>
          <w:kern w:val="0"/>
          <w:szCs w:val="24"/>
          <w:lang w:eastAsia="en-GB" w:bidi="hi-IN"/>
          <w14:ligatures w14:val="none"/>
        </w:rPr>
        <w:t>behaviour</w:t>
      </w:r>
      <w:r w:rsidRPr="00B10792">
        <w:rPr>
          <w:rFonts w:eastAsia="Times New Roman" w:cs="Times New Roman"/>
          <w:color w:val="000000"/>
          <w:kern w:val="0"/>
          <w:szCs w:val="24"/>
          <w:lang w:eastAsia="en-GB" w:bidi="hi-IN"/>
          <w14:ligatures w14:val="none"/>
        </w:rPr>
        <w:t>s and work-family culture on turnover intention and work-family conflict’, </w:t>
      </w:r>
      <w:r w:rsidRPr="00B10792">
        <w:rPr>
          <w:rFonts w:eastAsia="Times New Roman" w:cs="Times New Roman"/>
          <w:i/>
          <w:iCs/>
          <w:color w:val="000000"/>
          <w:kern w:val="0"/>
          <w:szCs w:val="24"/>
          <w:lang w:eastAsia="en-GB" w:bidi="hi-IN"/>
          <w14:ligatures w14:val="none"/>
        </w:rPr>
        <w:t>Management Science Letters</w:t>
      </w:r>
      <w:r w:rsidRPr="00B10792">
        <w:rPr>
          <w:rFonts w:eastAsia="Times New Roman" w:cs="Times New Roman"/>
          <w:color w:val="000000"/>
          <w:kern w:val="0"/>
          <w:szCs w:val="24"/>
          <w:lang w:eastAsia="en-GB" w:bidi="hi-IN"/>
          <w14:ligatures w14:val="none"/>
        </w:rPr>
        <w:t>, 11(9), pp. 2377</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2390. Available at: https://doi.org/10.5267/j.msl.2021.5.003.</w:t>
      </w:r>
    </w:p>
    <w:p w14:paraId="74FC6CB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Carlo, A. De, Girardi, D., Falco, A., Dal Corso, L. and Di Sipio, A. (2019) ‘When does work interfere with teachers” private life? An application of the job demands-resources model’,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10. Available at: https://doi.org/10.3389/fpsyg.2019.01121.</w:t>
      </w:r>
    </w:p>
    <w:p w14:paraId="12E33B71"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Carolan, S., Harris, P.R. and Cavanagh, K. (2017) ‘Improving employee well-being and effectiveness: Systematic review and meta-analysis of web-based psychological interventions delivered in the workplace’, </w:t>
      </w:r>
      <w:r w:rsidRPr="00B10792">
        <w:rPr>
          <w:rFonts w:eastAsia="Times New Roman" w:cs="Times New Roman"/>
          <w:i/>
          <w:iCs/>
          <w:color w:val="000000"/>
          <w:kern w:val="0"/>
          <w:szCs w:val="24"/>
          <w:lang w:eastAsia="en-GB" w:bidi="hi-IN"/>
          <w14:ligatures w14:val="none"/>
        </w:rPr>
        <w:t>Journal of Medical Internet Research</w:t>
      </w:r>
      <w:r w:rsidRPr="00B10792">
        <w:rPr>
          <w:rFonts w:eastAsia="Times New Roman" w:cs="Times New Roman"/>
          <w:color w:val="000000"/>
          <w:kern w:val="0"/>
          <w:szCs w:val="24"/>
          <w:lang w:eastAsia="en-GB" w:bidi="hi-IN"/>
          <w14:ligatures w14:val="none"/>
        </w:rPr>
        <w:t>, 19(7), p. e271. Available at: https://doi.org/10.2196/jmir.7583.</w:t>
      </w:r>
    </w:p>
    <w:p w14:paraId="326C0FE1" w14:textId="7DA8D12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Casula, M., Rangarajan, N. and Shields, P. (2021) ‘The potential of working hypotheses for deductive exploratory research’, </w:t>
      </w:r>
      <w:r w:rsidRPr="00B10792">
        <w:rPr>
          <w:rFonts w:eastAsia="Times New Roman" w:cs="Times New Roman"/>
          <w:i/>
          <w:iCs/>
          <w:color w:val="000000"/>
          <w:kern w:val="0"/>
          <w:szCs w:val="24"/>
          <w:lang w:eastAsia="en-GB" w:bidi="hi-IN"/>
          <w14:ligatures w14:val="none"/>
        </w:rPr>
        <w:t>Quality &amp; Quantity</w:t>
      </w:r>
      <w:r w:rsidRPr="00B10792">
        <w:rPr>
          <w:rFonts w:eastAsia="Times New Roman" w:cs="Times New Roman"/>
          <w:color w:val="000000"/>
          <w:kern w:val="0"/>
          <w:szCs w:val="24"/>
          <w:lang w:eastAsia="en-GB" w:bidi="hi-IN"/>
          <w14:ligatures w14:val="none"/>
        </w:rPr>
        <w:t>, 55(1), pp. 1703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1725. Available at: https://doi.org/10.1007/s11135-020-01072-9.</w:t>
      </w:r>
    </w:p>
    <w:p w14:paraId="76A9FC8F" w14:textId="6C9980E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Choudhary, N. and Brookes, G. (2025) ‘A systematic review of flexible working arrangements for frontline workforce: Challenges, benefits and implications’, </w:t>
      </w:r>
      <w:r w:rsidRPr="00B10792">
        <w:rPr>
          <w:rFonts w:eastAsia="Times New Roman" w:cs="Times New Roman"/>
          <w:i/>
          <w:iCs/>
          <w:color w:val="000000"/>
          <w:kern w:val="0"/>
          <w:szCs w:val="24"/>
          <w:lang w:eastAsia="en-GB" w:bidi="hi-IN"/>
          <w14:ligatures w14:val="none"/>
        </w:rPr>
        <w:t>Journal of Work-Applied Management</w:t>
      </w:r>
      <w:r w:rsidRPr="00B10792">
        <w:rPr>
          <w:rFonts w:eastAsia="Times New Roman" w:cs="Times New Roman"/>
          <w:color w:val="000000"/>
          <w:kern w:val="0"/>
          <w:szCs w:val="24"/>
          <w:lang w:eastAsia="en-GB" w:bidi="hi-IN"/>
          <w14:ligatures w14:val="none"/>
        </w:rPr>
        <w:t>,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14. Available at: https://doi.org/10.1108/jwam-06-2025-0110.</w:t>
      </w:r>
    </w:p>
    <w:p w14:paraId="724AE146"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Chênevert, D., Kilroy, S., Johnson, K. and Fournier, P.-L. (2021) ‘The determinants of burnout and professional turnover intentions among Canadian physicians: Application of the job demands-resources model’,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21(1). Available at: https://doi.org/10.1186/s12913-021-06981-5.</w:t>
      </w:r>
    </w:p>
    <w:p w14:paraId="3DB126DA"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Clarkson, C., Scott, H.R., Hegarty, S., Souliou, E., Bhundia, R., Gnanapragasam, S., Docherty, M.J., Raine, R., Stevelink, S.A.M., Greenberg, N., Hotopf, M., Wessely, S., Madan, I., Rafferty, A.M. and Lamb, D. (2022) ‘Experiences of Mental Health and wellbeing support for NHS staff during the COVID-19 pandemic: A reflexive thematic analysis’, </w:t>
      </w:r>
      <w:r w:rsidRPr="00B10792">
        <w:rPr>
          <w:rFonts w:eastAsia="Times New Roman" w:cs="Times New Roman"/>
          <w:i/>
          <w:iCs/>
          <w:color w:val="000000"/>
          <w:kern w:val="0"/>
          <w:szCs w:val="24"/>
          <w:lang w:eastAsia="en-GB" w:bidi="hi-IN"/>
          <w14:ligatures w14:val="none"/>
        </w:rPr>
        <w:t>medRxiv</w:t>
      </w:r>
      <w:r w:rsidRPr="00B10792">
        <w:rPr>
          <w:rFonts w:eastAsia="Times New Roman" w:cs="Times New Roman"/>
          <w:color w:val="000000"/>
          <w:kern w:val="0"/>
          <w:szCs w:val="24"/>
          <w:lang w:eastAsia="en-GB" w:bidi="hi-IN"/>
          <w14:ligatures w14:val="none"/>
        </w:rPr>
        <w:t>. Available at: https://doi.org/10.1101/2022.06.15.22276446.</w:t>
      </w:r>
    </w:p>
    <w:p w14:paraId="502C4CBD"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Creswell, J.W. and Creswell, J.D. (2018) </w:t>
      </w:r>
      <w:r w:rsidRPr="00B10792">
        <w:rPr>
          <w:rFonts w:eastAsia="Times New Roman" w:cs="Times New Roman"/>
          <w:i/>
          <w:iCs/>
          <w:color w:val="000000"/>
          <w:kern w:val="0"/>
          <w:szCs w:val="24"/>
          <w:lang w:eastAsia="en-GB" w:bidi="hi-IN"/>
          <w14:ligatures w14:val="none"/>
        </w:rPr>
        <w:t>Research design: Qualitative, quantitative, and Mixed Methods Approaches</w:t>
      </w:r>
      <w:r w:rsidRPr="00B10792">
        <w:rPr>
          <w:rFonts w:eastAsia="Times New Roman" w:cs="Times New Roman"/>
          <w:color w:val="000000"/>
          <w:kern w:val="0"/>
          <w:szCs w:val="24"/>
          <w:lang w:eastAsia="en-GB" w:bidi="hi-IN"/>
          <w14:ligatures w14:val="none"/>
        </w:rPr>
        <w:t>. 5th edn. SAGE Publications.</w:t>
      </w:r>
    </w:p>
    <w:p w14:paraId="4E88DCC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Cubas, G., Juhn, C. and Silos, P. (2019) ‘Coordinated Work Schedules and the Gender Wage Gap’, </w:t>
      </w:r>
      <w:r w:rsidRPr="00B10792">
        <w:rPr>
          <w:rFonts w:eastAsia="Times New Roman" w:cs="Times New Roman"/>
          <w:i/>
          <w:iCs/>
          <w:color w:val="000000"/>
          <w:kern w:val="0"/>
          <w:szCs w:val="24"/>
          <w:lang w:eastAsia="en-GB" w:bidi="hi-IN"/>
          <w14:ligatures w14:val="none"/>
        </w:rPr>
        <w:t>National Bureau of Economic Research</w:t>
      </w:r>
      <w:r w:rsidRPr="00B10792">
        <w:rPr>
          <w:rFonts w:eastAsia="Times New Roman" w:cs="Times New Roman"/>
          <w:color w:val="000000"/>
          <w:kern w:val="0"/>
          <w:szCs w:val="24"/>
          <w:lang w:eastAsia="en-GB" w:bidi="hi-IN"/>
          <w14:ligatures w14:val="none"/>
        </w:rPr>
        <w:t> . Available at: https://doi.org/10.3386/w26548.</w:t>
      </w:r>
    </w:p>
    <w:p w14:paraId="738BA51F" w14:textId="17CE133C"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Datta, A. and Narayanamma, Dr.P.L. (2024) ‘Finding harmony amidst the hustle: Balancing work and life and employee commitment in private healthcare’, </w:t>
      </w:r>
      <w:r w:rsidRPr="00B10792">
        <w:rPr>
          <w:rFonts w:eastAsia="Times New Roman" w:cs="Times New Roman"/>
          <w:i/>
          <w:iCs/>
          <w:color w:val="000000"/>
          <w:kern w:val="0"/>
          <w:szCs w:val="24"/>
          <w:lang w:eastAsia="en-GB" w:bidi="hi-IN"/>
          <w14:ligatures w14:val="none"/>
        </w:rPr>
        <w:t>International Journal for Research in Applied Science and Engineering Technology</w:t>
      </w:r>
      <w:r w:rsidRPr="00B10792">
        <w:rPr>
          <w:rFonts w:eastAsia="Times New Roman" w:cs="Times New Roman"/>
          <w:color w:val="000000"/>
          <w:kern w:val="0"/>
          <w:szCs w:val="24"/>
          <w:lang w:eastAsia="en-GB" w:bidi="hi-IN"/>
          <w14:ligatures w14:val="none"/>
        </w:rPr>
        <w:t>, 12(4), pp. 3124</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3128. Available at: https://doi.org/10.22214/ijraset.2024.60665.</w:t>
      </w:r>
    </w:p>
    <w:p w14:paraId="4F4A91B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DeBaylo, P. and Michel, J.S. (2022) ‘Identifying energy and emotion‐based conflict: Development of a refined work‐life conflict scale’, </w:t>
      </w:r>
      <w:r w:rsidRPr="00B10792">
        <w:rPr>
          <w:rFonts w:eastAsia="Times New Roman" w:cs="Times New Roman"/>
          <w:i/>
          <w:iCs/>
          <w:color w:val="000000"/>
          <w:kern w:val="0"/>
          <w:szCs w:val="24"/>
          <w:lang w:eastAsia="en-GB" w:bidi="hi-IN"/>
          <w14:ligatures w14:val="none"/>
        </w:rPr>
        <w:t>Stress and Health</w:t>
      </w:r>
      <w:r w:rsidRPr="00B10792">
        <w:rPr>
          <w:rFonts w:eastAsia="Times New Roman" w:cs="Times New Roman"/>
          <w:color w:val="000000"/>
          <w:kern w:val="0"/>
          <w:szCs w:val="24"/>
          <w:lang w:eastAsia="en-GB" w:bidi="hi-IN"/>
          <w14:ligatures w14:val="none"/>
        </w:rPr>
        <w:t> . Available at: https://doi.org/10.1002/smi.3148.</w:t>
      </w:r>
    </w:p>
    <w:p w14:paraId="7AC60D0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Degen, C., Li, J. and Angerer, P. (2015) ‘Physicians” intention to leave direct patient care: An integrative review’, </w:t>
      </w:r>
      <w:r w:rsidRPr="00B10792">
        <w:rPr>
          <w:rFonts w:eastAsia="Times New Roman" w:cs="Times New Roman"/>
          <w:i/>
          <w:iCs/>
          <w:color w:val="000000"/>
          <w:kern w:val="0"/>
          <w:szCs w:val="24"/>
          <w:lang w:eastAsia="en-GB" w:bidi="hi-IN"/>
          <w14:ligatures w14:val="none"/>
        </w:rPr>
        <w:t>Human Resources for Health</w:t>
      </w:r>
      <w:r w:rsidRPr="00B10792">
        <w:rPr>
          <w:rFonts w:eastAsia="Times New Roman" w:cs="Times New Roman"/>
          <w:color w:val="000000"/>
          <w:kern w:val="0"/>
          <w:szCs w:val="24"/>
          <w:lang w:eastAsia="en-GB" w:bidi="hi-IN"/>
          <w14:ligatures w14:val="none"/>
        </w:rPr>
        <w:t>, 13(1). Available at: https://doi.org/10.1186/s12960-015-0068-5.</w:t>
      </w:r>
    </w:p>
    <w:p w14:paraId="1AEF7C33" w14:textId="2C77229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Demerouti, E. and Bakker, A.B. (2022) ‘Job demands-resources theory in times of crises: New propositions’,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ational Psychology Review</w:t>
      </w:r>
      <w:r w:rsidRPr="00B10792">
        <w:rPr>
          <w:rFonts w:eastAsia="Times New Roman" w:cs="Times New Roman"/>
          <w:color w:val="000000"/>
          <w:kern w:val="0"/>
          <w:szCs w:val="24"/>
          <w:lang w:eastAsia="en-GB" w:bidi="hi-IN"/>
          <w14:ligatures w14:val="none"/>
        </w:rPr>
        <w:t>, 13(3),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28. Available at: https://doi.org/https://doi.org/10.1177/20413866221135022.</w:t>
      </w:r>
    </w:p>
    <w:p w14:paraId="707C674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Dixon, J., Banwell, C., Strazdins, L., Corr, L. and Burgess, J. (2019) ‘Flexible employment policies, temporal control and health promoting practices: A qualitative study in two Australian worksites’, </w:t>
      </w:r>
      <w:r w:rsidRPr="00B10792">
        <w:rPr>
          <w:rFonts w:eastAsia="Times New Roman" w:cs="Times New Roman"/>
          <w:i/>
          <w:iCs/>
          <w:color w:val="000000"/>
          <w:kern w:val="0"/>
          <w:szCs w:val="24"/>
          <w:lang w:eastAsia="en-GB" w:bidi="hi-IN"/>
          <w14:ligatures w14:val="none"/>
        </w:rPr>
        <w:t>PLoS ONE</w:t>
      </w:r>
      <w:r w:rsidRPr="00B10792">
        <w:rPr>
          <w:rFonts w:eastAsia="Times New Roman" w:cs="Times New Roman"/>
          <w:color w:val="000000"/>
          <w:kern w:val="0"/>
          <w:szCs w:val="24"/>
          <w:lang w:eastAsia="en-GB" w:bidi="hi-IN"/>
          <w14:ligatures w14:val="none"/>
        </w:rPr>
        <w:t>, 14(12). Available at: https://doi.org/10.1371/journal.pone.0224542.</w:t>
      </w:r>
    </w:p>
    <w:p w14:paraId="6F93C658" w14:textId="611BDC10"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Fraboni, F., Paganin, G., Mazzetti, G., Guglielmi, D. and Pietrantoni, L. (2023) ‘The intricate pathways from empowering leadership to burnout: A deep dive into interpersonal conflicts, work-home interactions, and supportive colleagues’, </w:t>
      </w:r>
      <w:r w:rsidRPr="00B10792">
        <w:rPr>
          <w:rFonts w:eastAsia="Times New Roman" w:cs="Times New Roman"/>
          <w:i/>
          <w:iCs/>
          <w:color w:val="000000"/>
          <w:kern w:val="0"/>
          <w:szCs w:val="24"/>
          <w:lang w:eastAsia="en-GB" w:bidi="hi-IN"/>
          <w14:ligatures w14:val="none"/>
        </w:rPr>
        <w:t>Informing Science The International Journal of an Emerging Transdiscipline</w:t>
      </w:r>
      <w:r w:rsidRPr="00B10792">
        <w:rPr>
          <w:rFonts w:eastAsia="Times New Roman" w:cs="Times New Roman"/>
          <w:color w:val="000000"/>
          <w:kern w:val="0"/>
          <w:szCs w:val="24"/>
          <w:lang w:eastAsia="en-GB" w:bidi="hi-IN"/>
          <w14:ligatures w14:val="none"/>
        </w:rPr>
        <w:t>, 26, pp. 149</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172. Available at: https://doi.org/10.28945/5178.</w:t>
      </w:r>
    </w:p>
    <w:p w14:paraId="132D020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Frias, C.E., Samarasinghe, N., Cuzco, C., Koorankot, J., de Juan, A., Ali Rudwan, H.M., Rahim, H.F.A., Zabalegui, A., Tulley, I., Al-Harahsheh, S.T., Al-Homaiddi, M.S.S.T., Fendt-Newlin, M. and Campbell, J. (2025) ‘Strategies to support the mental health and well-being of health and care workforce: A rapid review of reviews’, </w:t>
      </w:r>
      <w:r w:rsidRPr="00B10792">
        <w:rPr>
          <w:rFonts w:eastAsia="Times New Roman" w:cs="Times New Roman"/>
          <w:i/>
          <w:iCs/>
          <w:color w:val="000000"/>
          <w:kern w:val="0"/>
          <w:szCs w:val="24"/>
          <w:lang w:eastAsia="en-GB" w:bidi="hi-IN"/>
          <w14:ligatures w14:val="none"/>
        </w:rPr>
        <w:t>Frontiers in Medicine</w:t>
      </w:r>
      <w:r w:rsidRPr="00B10792">
        <w:rPr>
          <w:rFonts w:eastAsia="Times New Roman" w:cs="Times New Roman"/>
          <w:color w:val="000000"/>
          <w:kern w:val="0"/>
          <w:szCs w:val="24"/>
          <w:lang w:eastAsia="en-GB" w:bidi="hi-IN"/>
          <w14:ligatures w14:val="none"/>
        </w:rPr>
        <w:t>, 12. Available at: https://doi.org/10.3389/fmed.2025.1530287.</w:t>
      </w:r>
    </w:p>
    <w:p w14:paraId="40B2805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Fuß, I., Nübling, M., Hasselhorn, H.-M., Schwappach, D. and Rieger, M.A. (2008) ‘Working conditions and work-family conflict in German hospital physicians: Psychosocial and organisational predictors and consequences’, </w:t>
      </w:r>
      <w:r w:rsidRPr="00B10792">
        <w:rPr>
          <w:rFonts w:eastAsia="Times New Roman" w:cs="Times New Roman"/>
          <w:i/>
          <w:iCs/>
          <w:color w:val="000000"/>
          <w:kern w:val="0"/>
          <w:szCs w:val="24"/>
          <w:lang w:eastAsia="en-GB" w:bidi="hi-IN"/>
          <w14:ligatures w14:val="none"/>
        </w:rPr>
        <w:t>BMC Public Health</w:t>
      </w:r>
      <w:r w:rsidRPr="00B10792">
        <w:rPr>
          <w:rFonts w:eastAsia="Times New Roman" w:cs="Times New Roman"/>
          <w:color w:val="000000"/>
          <w:kern w:val="0"/>
          <w:szCs w:val="24"/>
          <w:lang w:eastAsia="en-GB" w:bidi="hi-IN"/>
          <w14:ligatures w14:val="none"/>
        </w:rPr>
        <w:t>, 8(1). Available at: https://doi.org/10.1186/1471-2458-8-353.</w:t>
      </w:r>
    </w:p>
    <w:p w14:paraId="1AF31268"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Gan, Y., Jiang, H., Li, L., Yang, Y., Wang, C., Liu, J., Yang, T., Opoku, S., Hu, S., Xu, H., Herath, C., Chang, Y., Fang, P. and Lu, Z. (2019) ‘Prevalence of burnout and associated factors among general practitioners in Hubei, China: A cross-sectional study’, </w:t>
      </w:r>
      <w:r w:rsidRPr="00B10792">
        <w:rPr>
          <w:rFonts w:eastAsia="Times New Roman" w:cs="Times New Roman"/>
          <w:i/>
          <w:iCs/>
          <w:color w:val="000000"/>
          <w:kern w:val="0"/>
          <w:szCs w:val="24"/>
          <w:lang w:eastAsia="en-GB" w:bidi="hi-IN"/>
          <w14:ligatures w14:val="none"/>
        </w:rPr>
        <w:t>BMC Public Health</w:t>
      </w:r>
      <w:r w:rsidRPr="00B10792">
        <w:rPr>
          <w:rFonts w:eastAsia="Times New Roman" w:cs="Times New Roman"/>
          <w:color w:val="000000"/>
          <w:kern w:val="0"/>
          <w:szCs w:val="24"/>
          <w:lang w:eastAsia="en-GB" w:bidi="hi-IN"/>
          <w14:ligatures w14:val="none"/>
        </w:rPr>
        <w:t>, 19(1). Available at: https://doi.org/10.1186/s12889-019-7755-4.</w:t>
      </w:r>
    </w:p>
    <w:p w14:paraId="7A15D01B" w14:textId="29C25B68"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Gardner, S.K. (2012) ‘“I couldn’t wait to leave the toxic environment”: A mixed methods study of women faculty satisfaction and departure from one research institution’, </w:t>
      </w:r>
      <w:r w:rsidRPr="00B10792">
        <w:rPr>
          <w:rFonts w:eastAsia="Times New Roman" w:cs="Times New Roman"/>
          <w:i/>
          <w:iCs/>
          <w:color w:val="000000"/>
          <w:kern w:val="0"/>
          <w:szCs w:val="24"/>
          <w:lang w:eastAsia="en-GB" w:bidi="hi-IN"/>
          <w14:ligatures w14:val="none"/>
        </w:rPr>
        <w:t>NASPA Journal About Women in Higher Education</w:t>
      </w:r>
      <w:r w:rsidRPr="00B10792">
        <w:rPr>
          <w:rFonts w:eastAsia="Times New Roman" w:cs="Times New Roman"/>
          <w:color w:val="000000"/>
          <w:kern w:val="0"/>
          <w:szCs w:val="24"/>
          <w:lang w:eastAsia="en-GB" w:bidi="hi-IN"/>
          <w14:ligatures w14:val="none"/>
        </w:rPr>
        <w:t>, 5(1), pp. 71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95. Available at: https://doi.org/10.1515/1940-7890.1079.</w:t>
      </w:r>
    </w:p>
    <w:p w14:paraId="31DDA21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Gil, A.J., Cegarra-Navarro, J.G., Tobias, C. and Marin-Malumbres, C. (2023) ‘Job involvement and valuation of job resources: The mediating effect of satisfaction with job resources’, </w:t>
      </w:r>
      <w:r w:rsidRPr="00B10792">
        <w:rPr>
          <w:rFonts w:eastAsia="Times New Roman" w:cs="Times New Roman"/>
          <w:i/>
          <w:iCs/>
          <w:color w:val="000000"/>
          <w:kern w:val="0"/>
          <w:szCs w:val="24"/>
          <w:lang w:eastAsia="en-GB" w:bidi="hi-IN"/>
          <w14:ligatures w14:val="none"/>
        </w:rPr>
        <w:t>Intangible Capital</w:t>
      </w:r>
      <w:r w:rsidRPr="00B10792">
        <w:rPr>
          <w:rFonts w:eastAsia="Times New Roman" w:cs="Times New Roman"/>
          <w:color w:val="000000"/>
          <w:kern w:val="0"/>
          <w:szCs w:val="24"/>
          <w:lang w:eastAsia="en-GB" w:bidi="hi-IN"/>
          <w14:ligatures w14:val="none"/>
        </w:rPr>
        <w:t>, 19(2), p. 189. Available at: https://doi.org/10.3926/ic.2208.</w:t>
      </w:r>
    </w:p>
    <w:p w14:paraId="1E9FC64A"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Gilles, I., Le Saux, C., Zuercher, E., Jubin, J., Roth, L., Bachmann, A.O. and Peytremann-Bridevaux, I. (2025) ‘Work experiences of healthcare professionals in a shortage context: Analysis of open-ended comments in a Swiss cohort (SCOHPICA)’,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25(1), p. 520. Available at: https://doi.org/10.1186/s12913-025-12659-z.</w:t>
      </w:r>
    </w:p>
    <w:p w14:paraId="7286C35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Hair, J.F., Black, W.C., Babin, B.J. and Anderson, R.E. (2019) </w:t>
      </w:r>
      <w:r w:rsidRPr="00B10792">
        <w:rPr>
          <w:rFonts w:eastAsia="Times New Roman" w:cs="Times New Roman"/>
          <w:i/>
          <w:iCs/>
          <w:color w:val="000000"/>
          <w:kern w:val="0"/>
          <w:szCs w:val="24"/>
          <w:lang w:eastAsia="en-GB" w:bidi="hi-IN"/>
          <w14:ligatures w14:val="none"/>
        </w:rPr>
        <w:t>Multivariate data analysis</w:t>
      </w:r>
      <w:r w:rsidRPr="00B10792">
        <w:rPr>
          <w:rFonts w:eastAsia="Times New Roman" w:cs="Times New Roman"/>
          <w:color w:val="000000"/>
          <w:kern w:val="0"/>
          <w:szCs w:val="24"/>
          <w:lang w:eastAsia="en-GB" w:bidi="hi-IN"/>
          <w14:ligatures w14:val="none"/>
        </w:rPr>
        <w:t>. Cengage.</w:t>
      </w:r>
    </w:p>
    <w:p w14:paraId="3702001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Hander, N.R., Gulde, M., Klein, T., Mulfinger, N., Jerg-Bretzke, L., Ziegenhain, U., Gündel, H. and Rothermund, E. (2021) ‘Group-treatment for dealing with the work-family conflict for healthcare professionals’, </w:t>
      </w:r>
      <w:r w:rsidRPr="00B10792">
        <w:rPr>
          <w:rFonts w:eastAsia="Times New Roman" w:cs="Times New Roman"/>
          <w:i/>
          <w:iCs/>
          <w:color w:val="000000"/>
          <w:kern w:val="0"/>
          <w:szCs w:val="24"/>
          <w:lang w:eastAsia="en-GB" w:bidi="hi-IN"/>
          <w14:ligatures w14:val="none"/>
        </w:rPr>
        <w:t>International Journal of Environmental Research and Public Health</w:t>
      </w:r>
      <w:r w:rsidRPr="00B10792">
        <w:rPr>
          <w:rFonts w:eastAsia="Times New Roman" w:cs="Times New Roman"/>
          <w:color w:val="000000"/>
          <w:kern w:val="0"/>
          <w:szCs w:val="24"/>
          <w:lang w:eastAsia="en-GB" w:bidi="hi-IN"/>
          <w14:ligatures w14:val="none"/>
        </w:rPr>
        <w:t>, 18(21), p. 11728. Available at: https://doi.org/10.3390/ijerph182111728.</w:t>
      </w:r>
    </w:p>
    <w:p w14:paraId="62CA071C" w14:textId="577F39A9"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Hanoum, F.C., Rizan, M. and Handaru, A.W. (2024) ‘The role of work-life balance, work stress, and work-family conflict in creating job satisfaction and their impact on turnover intention in nurses at Level I Health Facilities Hospital in Karawang’, </w:t>
      </w:r>
      <w:r w:rsidRPr="00B10792">
        <w:rPr>
          <w:rFonts w:eastAsia="Times New Roman" w:cs="Times New Roman"/>
          <w:i/>
          <w:iCs/>
          <w:color w:val="000000"/>
          <w:kern w:val="0"/>
          <w:szCs w:val="24"/>
          <w:lang w:eastAsia="en-GB" w:bidi="hi-IN"/>
          <w14:ligatures w14:val="none"/>
        </w:rPr>
        <w:t>Critical Care Nursing Quarterly</w:t>
      </w:r>
      <w:r w:rsidRPr="00B10792">
        <w:rPr>
          <w:rFonts w:eastAsia="Times New Roman" w:cs="Times New Roman"/>
          <w:color w:val="000000"/>
          <w:kern w:val="0"/>
          <w:szCs w:val="24"/>
          <w:lang w:eastAsia="en-GB" w:bidi="hi-IN"/>
          <w14:ligatures w14:val="none"/>
        </w:rPr>
        <w:t>, 47(4), pp. 346</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369. Available at: https://doi.org/10.1097/cnq.0000000000000527.</w:t>
      </w:r>
    </w:p>
    <w:p w14:paraId="7B7FA312"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Harripersaud, A. and Edwards, K. (2026) ‘The erosion of the educator: A multidimensional analysis of teacher burnout’, </w:t>
      </w:r>
      <w:r w:rsidRPr="00B10792">
        <w:rPr>
          <w:rFonts w:eastAsia="Times New Roman" w:cs="Times New Roman"/>
          <w:i/>
          <w:iCs/>
          <w:color w:val="000000"/>
          <w:kern w:val="0"/>
          <w:szCs w:val="24"/>
          <w:lang w:eastAsia="en-GB" w:bidi="hi-IN"/>
          <w14:ligatures w14:val="none"/>
        </w:rPr>
        <w:t>International Journal of Innovative Science and Research Technology</w:t>
      </w:r>
      <w:r w:rsidRPr="00B10792">
        <w:rPr>
          <w:rFonts w:eastAsia="Times New Roman" w:cs="Times New Roman"/>
          <w:color w:val="000000"/>
          <w:kern w:val="0"/>
          <w:szCs w:val="24"/>
          <w:lang w:eastAsia="en-GB" w:bidi="hi-IN"/>
          <w14:ligatures w14:val="none"/>
        </w:rPr>
        <w:t>, p. 808. Available at: https://doi.org/10.38124/ijisrt/26may929.</w:t>
      </w:r>
    </w:p>
    <w:p w14:paraId="6A9FEAF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Hartner-Tiefenthaler, M., Zedlacher, E. and Clarke, S. (2023) ‘Flexibles arbeiten als privileg oder selbstverständlichkeit? Die art des zugangs zu Flexiblem Arbeiten Steuert Reziproke Ansichten und soziale austauschbeziehungen in Hybriden teams’, </w:t>
      </w:r>
      <w:r w:rsidRPr="00B10792">
        <w:rPr>
          <w:rFonts w:eastAsia="Times New Roman" w:cs="Times New Roman"/>
          <w:i/>
          <w:iCs/>
          <w:color w:val="000000"/>
          <w:kern w:val="0"/>
          <w:szCs w:val="24"/>
          <w:lang w:eastAsia="en-GB" w:bidi="hi-IN"/>
          <w14:ligatures w14:val="none"/>
        </w:rPr>
        <w:t>Zeitschrift für Arbeitswissenschaft</w:t>
      </w:r>
      <w:r w:rsidRPr="00B10792">
        <w:rPr>
          <w:rFonts w:eastAsia="Times New Roman" w:cs="Times New Roman"/>
          <w:color w:val="000000"/>
          <w:kern w:val="0"/>
          <w:szCs w:val="24"/>
          <w:lang w:eastAsia="en-GB" w:bidi="hi-IN"/>
          <w14:ligatures w14:val="none"/>
        </w:rPr>
        <w:t>, 77. Available at: https://doi.org/10.1007/s41449-023-00388-0.</w:t>
      </w:r>
    </w:p>
    <w:p w14:paraId="1404EDB4" w14:textId="487B766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Harun, I., Mahmood, R. and Md. Som, H. (2020) ‘Role stressors and turnover intention among doctors in Malaysian public hospitals: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family conflict and work engagement as mediators’, </w:t>
      </w:r>
      <w:r w:rsidRPr="00B10792">
        <w:rPr>
          <w:rFonts w:eastAsia="Times New Roman" w:cs="Times New Roman"/>
          <w:i/>
          <w:iCs/>
          <w:color w:val="000000"/>
          <w:kern w:val="0"/>
          <w:szCs w:val="24"/>
          <w:lang w:eastAsia="en-GB" w:bidi="hi-IN"/>
          <w14:ligatures w14:val="none"/>
        </w:rPr>
        <w:t>PSU Research Review</w:t>
      </w:r>
      <w:r w:rsidRPr="00B10792">
        <w:rPr>
          <w:rFonts w:eastAsia="Times New Roman" w:cs="Times New Roman"/>
          <w:color w:val="000000"/>
          <w:kern w:val="0"/>
          <w:szCs w:val="24"/>
          <w:lang w:eastAsia="en-GB" w:bidi="hi-IN"/>
          <w14:ligatures w14:val="none"/>
        </w:rPr>
        <w:t>, ahead-of-print(ahead-of-print). Available at: https://doi.org/10.1108/prr-08-2020-0025.</w:t>
      </w:r>
    </w:p>
    <w:p w14:paraId="1C1FD72D" w14:textId="3EB4327F"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Heerden, R. Van and Naicker, V. (2023) ‘The mitigating consequences of perceived organisational support on the influence of worker morale in a distributed work landscape’, </w:t>
      </w:r>
      <w:r w:rsidRPr="00B10792">
        <w:rPr>
          <w:rFonts w:eastAsia="Times New Roman" w:cs="Times New Roman"/>
          <w:i/>
          <w:iCs/>
          <w:color w:val="000000"/>
          <w:kern w:val="0"/>
          <w:szCs w:val="24"/>
          <w:lang w:eastAsia="en-GB" w:bidi="hi-IN"/>
          <w14:ligatures w14:val="none"/>
        </w:rPr>
        <w:t>Technology audit and production reserves</w:t>
      </w:r>
      <w:r w:rsidRPr="00B10792">
        <w:rPr>
          <w:rFonts w:eastAsia="Times New Roman" w:cs="Times New Roman"/>
          <w:color w:val="000000"/>
          <w:kern w:val="0"/>
          <w:szCs w:val="24"/>
          <w:lang w:eastAsia="en-GB" w:bidi="hi-IN"/>
          <w14:ligatures w14:val="none"/>
        </w:rPr>
        <w:t>, 6(4(74)), pp. 51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57. Available at: https://doi.org/10.15587/2706-5448.2023.292872.</w:t>
      </w:r>
    </w:p>
    <w:p w14:paraId="0C8EA973" w14:textId="427E53E8"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Heijden, B.I.J.M. Van der, Peeters, M.C.W., Le Blanc, P.M. and Van Breukelen, J.W.M. (2018) ‘Job characteristics and experience as predictors of occupational turnover intention and occupational turnover in the European nursing sector’, </w:t>
      </w:r>
      <w:r w:rsidRPr="00B10792">
        <w:rPr>
          <w:rFonts w:eastAsia="Times New Roman" w:cs="Times New Roman"/>
          <w:i/>
          <w:iCs/>
          <w:color w:val="000000"/>
          <w:kern w:val="0"/>
          <w:szCs w:val="24"/>
          <w:lang w:eastAsia="en-GB" w:bidi="hi-IN"/>
          <w14:ligatures w14:val="none"/>
        </w:rPr>
        <w:t xml:space="preserve">Journal of Vocational </w:t>
      </w:r>
      <w:r w:rsidR="002330B6">
        <w:rPr>
          <w:rFonts w:eastAsia="Times New Roman" w:cs="Times New Roman"/>
          <w:i/>
          <w:iCs/>
          <w:color w:val="000000"/>
          <w:kern w:val="0"/>
          <w:szCs w:val="24"/>
          <w:lang w:eastAsia="en-GB" w:bidi="hi-IN"/>
          <w14:ligatures w14:val="none"/>
        </w:rPr>
        <w:t>Behaviour</w:t>
      </w:r>
      <w:r w:rsidRPr="00B10792">
        <w:rPr>
          <w:rFonts w:eastAsia="Times New Roman" w:cs="Times New Roman"/>
          <w:color w:val="000000"/>
          <w:kern w:val="0"/>
          <w:szCs w:val="24"/>
          <w:lang w:eastAsia="en-GB" w:bidi="hi-IN"/>
          <w14:ligatures w14:val="none"/>
        </w:rPr>
        <w:t>, 108, pp. 108</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120. Available at: https://doi.org/10.1016/j.jvb.2018.06.008.</w:t>
      </w:r>
    </w:p>
    <w:p w14:paraId="58075AEC" w14:textId="7402B40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Hobfoll, S.E. (1989) ‘Conservation of resources: A new attempt at conceptualizing stress.’, </w:t>
      </w:r>
      <w:r w:rsidRPr="00B10792">
        <w:rPr>
          <w:rFonts w:eastAsia="Times New Roman" w:cs="Times New Roman"/>
          <w:i/>
          <w:iCs/>
          <w:color w:val="000000"/>
          <w:kern w:val="0"/>
          <w:szCs w:val="24"/>
          <w:lang w:eastAsia="en-GB" w:bidi="hi-IN"/>
          <w14:ligatures w14:val="none"/>
        </w:rPr>
        <w:t>American Psychologist</w:t>
      </w:r>
      <w:r w:rsidRPr="00B10792">
        <w:rPr>
          <w:rFonts w:eastAsia="Times New Roman" w:cs="Times New Roman"/>
          <w:color w:val="000000"/>
          <w:kern w:val="0"/>
          <w:szCs w:val="24"/>
          <w:lang w:eastAsia="en-GB" w:bidi="hi-IN"/>
          <w14:ligatures w14:val="none"/>
        </w:rPr>
        <w:t>, 44(3), pp. 513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524. Available at: https://doi.org/https://doi.org/10.1037/0003-066X.44.3.513.</w:t>
      </w:r>
    </w:p>
    <w:p w14:paraId="2D37E7C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Holland, J., Kingston, L., McCarthy, C., Armstrong, E., O’Dwyer, P., Merz, F. and McConnell, M. (2021) ‘Service robots in the healthcare sector’, </w:t>
      </w:r>
      <w:r w:rsidRPr="00B10792">
        <w:rPr>
          <w:rFonts w:eastAsia="Times New Roman" w:cs="Times New Roman"/>
          <w:i/>
          <w:iCs/>
          <w:color w:val="000000"/>
          <w:kern w:val="0"/>
          <w:szCs w:val="24"/>
          <w:lang w:eastAsia="en-GB" w:bidi="hi-IN"/>
          <w14:ligatures w14:val="none"/>
        </w:rPr>
        <w:t>Robotics</w:t>
      </w:r>
      <w:r w:rsidRPr="00B10792">
        <w:rPr>
          <w:rFonts w:eastAsia="Times New Roman" w:cs="Times New Roman"/>
          <w:color w:val="000000"/>
          <w:kern w:val="0"/>
          <w:szCs w:val="24"/>
          <w:lang w:eastAsia="en-GB" w:bidi="hi-IN"/>
          <w14:ligatures w14:val="none"/>
        </w:rPr>
        <w:t>, 10(1), p. 47. Available at: https://doi.org/10.3390/robotics10010047.</w:t>
      </w:r>
    </w:p>
    <w:p w14:paraId="54C3812D" w14:textId="519F8C81"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Hom, P.W., Mitchell, T.R., Lee, T.W. and Griffeth, R.W. (2012) ‘Reviewing employee turnover: Focusing on proximal withdrawal states and an expanded criterion.’, </w:t>
      </w:r>
      <w:r w:rsidRPr="00B10792">
        <w:rPr>
          <w:rFonts w:eastAsia="Times New Roman" w:cs="Times New Roman"/>
          <w:i/>
          <w:iCs/>
          <w:color w:val="000000"/>
          <w:kern w:val="0"/>
          <w:szCs w:val="24"/>
          <w:lang w:eastAsia="en-GB" w:bidi="hi-IN"/>
          <w14:ligatures w14:val="none"/>
        </w:rPr>
        <w:t>Psychological Bulletin</w:t>
      </w:r>
      <w:r w:rsidRPr="00B10792">
        <w:rPr>
          <w:rFonts w:eastAsia="Times New Roman" w:cs="Times New Roman"/>
          <w:color w:val="000000"/>
          <w:kern w:val="0"/>
          <w:szCs w:val="24"/>
          <w:lang w:eastAsia="en-GB" w:bidi="hi-IN"/>
          <w14:ligatures w14:val="none"/>
        </w:rPr>
        <w:t>, 138(5), pp. 831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858. Available at: https://doi.org/10.1037/a0027983.</w:t>
      </w:r>
    </w:p>
    <w:p w14:paraId="6B3F8AEA" w14:textId="1532E030"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Hujová, A., Zemanová, M., Stupková, D. and Vostrý, M. (2025) ‘Exploring the determinants impacting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for general nurses in diverse healthcare settings: A cross‐sectional study’, </w:t>
      </w:r>
      <w:r w:rsidRPr="00B10792">
        <w:rPr>
          <w:rFonts w:eastAsia="Times New Roman" w:cs="Times New Roman"/>
          <w:i/>
          <w:iCs/>
          <w:color w:val="000000"/>
          <w:kern w:val="0"/>
          <w:szCs w:val="24"/>
          <w:lang w:eastAsia="en-GB" w:bidi="hi-IN"/>
          <w14:ligatures w14:val="none"/>
        </w:rPr>
        <w:t>Journal of Nursing Management</w:t>
      </w:r>
      <w:r w:rsidRPr="00B10792">
        <w:rPr>
          <w:rFonts w:eastAsia="Times New Roman" w:cs="Times New Roman"/>
          <w:color w:val="000000"/>
          <w:kern w:val="0"/>
          <w:szCs w:val="24"/>
          <w:lang w:eastAsia="en-GB" w:bidi="hi-IN"/>
          <w14:ligatures w14:val="none"/>
        </w:rPr>
        <w:t>, 2025(1). Available at: https://doi.org/10.1155/jonm/8856776.</w:t>
      </w:r>
    </w:p>
    <w:p w14:paraId="7FC11E9A"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Hur, Y. (2024) ‘Assessing the effects of workplace contextual factors on turnover intention: Evidence from U.S. federal employees’, </w:t>
      </w:r>
      <w:r w:rsidRPr="00B10792">
        <w:rPr>
          <w:rFonts w:eastAsia="Times New Roman" w:cs="Times New Roman"/>
          <w:i/>
          <w:iCs/>
          <w:color w:val="000000"/>
          <w:kern w:val="0"/>
          <w:szCs w:val="24"/>
          <w:lang w:eastAsia="en-GB" w:bidi="hi-IN"/>
          <w14:ligatures w14:val="none"/>
        </w:rPr>
        <w:t xml:space="preserve">Public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 review</w:t>
      </w:r>
      <w:r w:rsidRPr="00B10792">
        <w:rPr>
          <w:rFonts w:eastAsia="Times New Roman" w:cs="Times New Roman"/>
          <w:color w:val="000000"/>
          <w:kern w:val="0"/>
          <w:szCs w:val="24"/>
          <w:lang w:eastAsia="en-GB" w:bidi="hi-IN"/>
          <w14:ligatures w14:val="none"/>
        </w:rPr>
        <w:t> . Available at: https://doi.org/10.1007/s11115-024-00784-y.</w:t>
      </w:r>
    </w:p>
    <w:p w14:paraId="2EBFF3DB"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Huseynova, G. and İslamoğlu, M. (2024) ‘Mind over matter: Mindfulness as a buffer against workplace incivility’,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15. Available at: https://doi.org/10.3389/fpsyg.2024.1409326.</w:t>
      </w:r>
    </w:p>
    <w:p w14:paraId="14FAE06B" w14:textId="3DAFA759"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Huyghebaert, T., Gillet, N., Fernet, C., Lahiani, F.-J. and Fouquereau, E. (2018) ‘Leveraging psychosocial safety climate to prevent ill-being: The mediating role of psychological need thwarting’, </w:t>
      </w:r>
      <w:r w:rsidRPr="00B10792">
        <w:rPr>
          <w:rFonts w:eastAsia="Times New Roman" w:cs="Times New Roman"/>
          <w:i/>
          <w:iCs/>
          <w:color w:val="000000"/>
          <w:kern w:val="0"/>
          <w:szCs w:val="24"/>
          <w:lang w:eastAsia="en-GB" w:bidi="hi-IN"/>
          <w14:ligatures w14:val="none"/>
        </w:rPr>
        <w:t xml:space="preserve">Journal of Vocational </w:t>
      </w:r>
      <w:r w:rsidR="002330B6">
        <w:rPr>
          <w:rFonts w:eastAsia="Times New Roman" w:cs="Times New Roman"/>
          <w:i/>
          <w:iCs/>
          <w:color w:val="000000"/>
          <w:kern w:val="0"/>
          <w:szCs w:val="24"/>
          <w:lang w:eastAsia="en-GB" w:bidi="hi-IN"/>
          <w14:ligatures w14:val="none"/>
        </w:rPr>
        <w:t>Behaviour</w:t>
      </w:r>
      <w:r w:rsidRPr="00B10792">
        <w:rPr>
          <w:rFonts w:eastAsia="Times New Roman" w:cs="Times New Roman"/>
          <w:color w:val="000000"/>
          <w:kern w:val="0"/>
          <w:szCs w:val="24"/>
          <w:lang w:eastAsia="en-GB" w:bidi="hi-IN"/>
          <w14:ligatures w14:val="none"/>
        </w:rPr>
        <w:t>, 107, pp. 111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125. Available at: https://doi.org/10.1016/j.jvb.2018.03.010.</w:t>
      </w:r>
    </w:p>
    <w:p w14:paraId="778023C3" w14:textId="561A416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Jayawardhana, R. and Karunarathne, P. (2026) ‘From balance to harmony: Reframing the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 xml:space="preserve">life interface for healthier people and high-performing </w:t>
      </w:r>
      <w:r w:rsidR="002330B6">
        <w:rPr>
          <w:rFonts w:eastAsia="Times New Roman" w:cs="Times New Roman"/>
          <w:color w:val="000000"/>
          <w:kern w:val="0"/>
          <w:szCs w:val="24"/>
          <w:lang w:eastAsia="en-GB" w:bidi="hi-IN"/>
          <w14:ligatures w14:val="none"/>
        </w:rPr>
        <w:t>organis</w:t>
      </w:r>
      <w:r w:rsidRPr="00B10792">
        <w:rPr>
          <w:rFonts w:eastAsia="Times New Roman" w:cs="Times New Roman"/>
          <w:color w:val="000000"/>
          <w:kern w:val="0"/>
          <w:szCs w:val="24"/>
          <w:lang w:eastAsia="en-GB" w:bidi="hi-IN"/>
          <w14:ligatures w14:val="none"/>
        </w:rPr>
        <w:t>ations, with lessons for Sri Lanka’, </w:t>
      </w:r>
      <w:r w:rsidRPr="00B10792">
        <w:rPr>
          <w:rFonts w:eastAsia="Times New Roman" w:cs="Times New Roman"/>
          <w:i/>
          <w:iCs/>
          <w:color w:val="000000"/>
          <w:kern w:val="0"/>
          <w:szCs w:val="24"/>
          <w:lang w:eastAsia="en-GB" w:bidi="hi-IN"/>
          <w14:ligatures w14:val="none"/>
        </w:rPr>
        <w:t>Sri Lankan Journal of Medical Administration</w:t>
      </w:r>
      <w:r w:rsidRPr="00B10792">
        <w:rPr>
          <w:rFonts w:eastAsia="Times New Roman" w:cs="Times New Roman"/>
          <w:color w:val="000000"/>
          <w:kern w:val="0"/>
          <w:szCs w:val="24"/>
          <w:lang w:eastAsia="en-GB" w:bidi="hi-IN"/>
          <w14:ligatures w14:val="none"/>
        </w:rPr>
        <w:t>, 26(2), pp. 72</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76. Available at: https://doi.org/10.4038/sljma.v26i2.5585.</w:t>
      </w:r>
    </w:p>
    <w:p w14:paraId="09E8E73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Kamboj, J. and Eronimus , A. (2025) ‘Modelling the relationship between work-family boundaries, work-life balance, workload and employees” turnover intentions: Moderated mediation analysis’, </w:t>
      </w:r>
      <w:r w:rsidRPr="00B10792">
        <w:rPr>
          <w:rFonts w:eastAsia="Times New Roman" w:cs="Times New Roman"/>
          <w:i/>
          <w:iCs/>
          <w:color w:val="000000"/>
          <w:kern w:val="0"/>
          <w:szCs w:val="24"/>
          <w:lang w:eastAsia="en-GB" w:bidi="hi-IN"/>
          <w14:ligatures w14:val="none"/>
        </w:rPr>
        <w:t>International Journal of Productivity and Performance Management</w:t>
      </w:r>
      <w:r w:rsidRPr="00B10792">
        <w:rPr>
          <w:rFonts w:eastAsia="Times New Roman" w:cs="Times New Roman"/>
          <w:color w:val="000000"/>
          <w:kern w:val="0"/>
          <w:szCs w:val="24"/>
          <w:lang w:eastAsia="en-GB" w:bidi="hi-IN"/>
          <w14:ligatures w14:val="none"/>
        </w:rPr>
        <w:t> . Available at: https://doi.org/10.1108/ijppm-07-2024-0475.</w:t>
      </w:r>
    </w:p>
    <w:p w14:paraId="46FA7701"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Kelly, E., Stoye, G. and Warner, M. (2022) </w:t>
      </w:r>
      <w:r w:rsidRPr="00B10792">
        <w:rPr>
          <w:rFonts w:eastAsia="Times New Roman" w:cs="Times New Roman"/>
          <w:i/>
          <w:iCs/>
          <w:color w:val="000000"/>
          <w:kern w:val="0"/>
          <w:szCs w:val="24"/>
          <w:lang w:eastAsia="en-GB" w:bidi="hi-IN"/>
          <w14:ligatures w14:val="none"/>
        </w:rPr>
        <w:t>Factors associated with staff retention in the NHS acute sector</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www.econstor.eu</w:t>
      </w:r>
      <w:r w:rsidRPr="00B10792">
        <w:rPr>
          <w:rFonts w:eastAsia="Times New Roman" w:cs="Times New Roman"/>
          <w:color w:val="000000"/>
          <w:kern w:val="0"/>
          <w:szCs w:val="24"/>
          <w:lang w:eastAsia="en-GB" w:bidi="hi-IN"/>
          <w14:ligatures w14:val="none"/>
        </w:rPr>
        <w:t>. Available at: https://www.econstor.eu/handle/10419/273003 (Accessed: 24 August 2026).</w:t>
      </w:r>
    </w:p>
    <w:p w14:paraId="11B43549"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Khan, S.P. and Wadhwa, M. (2026) ‘Work-life balance challenges and </w:t>
      </w:r>
      <w:r w:rsidR="002330B6">
        <w:rPr>
          <w:rFonts w:eastAsia="Times New Roman" w:cs="Times New Roman"/>
          <w:color w:val="000000"/>
          <w:kern w:val="0"/>
          <w:szCs w:val="24"/>
          <w:lang w:eastAsia="en-GB" w:bidi="hi-IN"/>
          <w14:ligatures w14:val="none"/>
        </w:rPr>
        <w:t>organis</w:t>
      </w:r>
      <w:r w:rsidRPr="00B10792">
        <w:rPr>
          <w:rFonts w:eastAsia="Times New Roman" w:cs="Times New Roman"/>
          <w:color w:val="000000"/>
          <w:kern w:val="0"/>
          <w:szCs w:val="24"/>
          <w:lang w:eastAsia="en-GB" w:bidi="hi-IN"/>
          <w14:ligatures w14:val="none"/>
        </w:rPr>
        <w:t>ational support for women in the healthcare sector: A study of private and trust hospitals in Vadodara District’, </w:t>
      </w:r>
      <w:r w:rsidRPr="00B10792">
        <w:rPr>
          <w:rFonts w:eastAsia="Times New Roman" w:cs="Times New Roman"/>
          <w:i/>
          <w:iCs/>
          <w:color w:val="000000"/>
          <w:kern w:val="0"/>
          <w:szCs w:val="24"/>
          <w:lang w:eastAsia="en-GB" w:bidi="hi-IN"/>
          <w14:ligatures w14:val="none"/>
        </w:rPr>
        <w:t>Research Square</w:t>
      </w:r>
      <w:r w:rsidRPr="00B10792">
        <w:rPr>
          <w:rFonts w:eastAsia="Times New Roman" w:cs="Times New Roman"/>
          <w:color w:val="000000"/>
          <w:kern w:val="0"/>
          <w:szCs w:val="24"/>
          <w:lang w:eastAsia="en-GB" w:bidi="hi-IN"/>
          <w14:ligatures w14:val="none"/>
        </w:rPr>
        <w:t> . Available at: https://doi.org/10.21203/rs.3.rs-8365572/v1.</w:t>
      </w:r>
    </w:p>
    <w:p w14:paraId="496CF5C7" w14:textId="179E4476"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 xml:space="preserve">Khatri, N., Gupta, V. and Varma, A. (2016) ‘The relationship between HR capabilities and quality of patient care: The mediating role of proactive work </w:t>
      </w:r>
      <w:r w:rsidR="002330B6">
        <w:rPr>
          <w:rFonts w:eastAsia="Times New Roman" w:cs="Times New Roman"/>
          <w:color w:val="000000"/>
          <w:kern w:val="0"/>
          <w:szCs w:val="24"/>
          <w:lang w:eastAsia="en-GB" w:bidi="hi-IN"/>
          <w14:ligatures w14:val="none"/>
        </w:rPr>
        <w:t>behaviour</w:t>
      </w:r>
      <w:r w:rsidRPr="00B10792">
        <w:rPr>
          <w:rFonts w:eastAsia="Times New Roman" w:cs="Times New Roman"/>
          <w:color w:val="000000"/>
          <w:kern w:val="0"/>
          <w:szCs w:val="24"/>
          <w:lang w:eastAsia="en-GB" w:bidi="hi-IN"/>
          <w14:ligatures w14:val="none"/>
        </w:rPr>
        <w:t>s’, </w:t>
      </w:r>
      <w:r w:rsidRPr="00B10792">
        <w:rPr>
          <w:rFonts w:eastAsia="Times New Roman" w:cs="Times New Roman"/>
          <w:i/>
          <w:iCs/>
          <w:color w:val="000000"/>
          <w:kern w:val="0"/>
          <w:szCs w:val="24"/>
          <w:lang w:eastAsia="en-GB" w:bidi="hi-IN"/>
          <w14:ligatures w14:val="none"/>
        </w:rPr>
        <w:t>Human Resource Management</w:t>
      </w:r>
      <w:r w:rsidRPr="00B10792">
        <w:rPr>
          <w:rFonts w:eastAsia="Times New Roman" w:cs="Times New Roman"/>
          <w:color w:val="000000"/>
          <w:kern w:val="0"/>
          <w:szCs w:val="24"/>
          <w:lang w:eastAsia="en-GB" w:bidi="hi-IN"/>
          <w14:ligatures w14:val="none"/>
        </w:rPr>
        <w:t>, 56(4), pp. 673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691. Available at: https://doi.org/10.1002/hrm.21794.</w:t>
      </w:r>
    </w:p>
    <w:p w14:paraId="741DBF56"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Kim, S.-Y. and Mukhiddinov, M. (2023) ‘Data anomaly detection for structural health monitoring based on a convolutional neural network’, </w:t>
      </w:r>
      <w:r w:rsidRPr="00B10792">
        <w:rPr>
          <w:rFonts w:eastAsia="Times New Roman" w:cs="Times New Roman"/>
          <w:i/>
          <w:iCs/>
          <w:color w:val="000000"/>
          <w:kern w:val="0"/>
          <w:szCs w:val="24"/>
          <w:lang w:eastAsia="en-GB" w:bidi="hi-IN"/>
          <w14:ligatures w14:val="none"/>
        </w:rPr>
        <w:t>Sensors</w:t>
      </w:r>
      <w:r w:rsidRPr="00B10792">
        <w:rPr>
          <w:rFonts w:eastAsia="Times New Roman" w:cs="Times New Roman"/>
          <w:color w:val="000000"/>
          <w:kern w:val="0"/>
          <w:szCs w:val="24"/>
          <w:lang w:eastAsia="en-GB" w:bidi="hi-IN"/>
          <w14:ligatures w14:val="none"/>
        </w:rPr>
        <w:t>, 23(20), p. 8525. Available at: https://doi.org/10.3390/s23208525.</w:t>
      </w:r>
    </w:p>
    <w:p w14:paraId="34424399"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Kock, F., Berbekova, A. and Assaf, A.G. (2021) ‘Understanding and managing the threat of common method bias: Detection, prevention and control’, </w:t>
      </w:r>
      <w:r w:rsidRPr="00B10792">
        <w:rPr>
          <w:rFonts w:eastAsia="Times New Roman" w:cs="Times New Roman"/>
          <w:i/>
          <w:iCs/>
          <w:color w:val="000000"/>
          <w:kern w:val="0"/>
          <w:szCs w:val="24"/>
          <w:lang w:eastAsia="en-GB" w:bidi="hi-IN"/>
          <w14:ligatures w14:val="none"/>
        </w:rPr>
        <w:t>Tourism Management</w:t>
      </w:r>
      <w:r w:rsidRPr="00B10792">
        <w:rPr>
          <w:rFonts w:eastAsia="Times New Roman" w:cs="Times New Roman"/>
          <w:color w:val="000000"/>
          <w:kern w:val="0"/>
          <w:szCs w:val="24"/>
          <w:lang w:eastAsia="en-GB" w:bidi="hi-IN"/>
          <w14:ligatures w14:val="none"/>
        </w:rPr>
        <w:t>, 86(1), p. 104330. Available at: https://doi.org/10.1016/j.tourman.2021.104330.</w:t>
      </w:r>
    </w:p>
    <w:p w14:paraId="6D281A13" w14:textId="1DB8494B"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Komlenac, N., Stockinger, L., Vogler, T. and Hochleitner, M. (2021) ‘Psychometric analysis of a German-language version of the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family conflict and family</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work conflict scale’,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12. Available at: https://doi.org/10.3389/fpsyg.2021.782618.</w:t>
      </w:r>
    </w:p>
    <w:p w14:paraId="367D2E68"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Kraus, M., Stegner, C., Reiss, M., Riedel, M., Anne Sofie Børsch, Karsten Vrangbæk, Michel, M., Turmaine, K., Cseh, B., Csaba Dózsa, Dandi, R., Angelo Rossi Mori and Czypionka, T. (2023) ‘The role of primary care during the pandemic: Shared experiences from providers in five European countries’,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23(1). Available at: https://doi.org/10.1186/s12913-023-09998-0.</w:t>
      </w:r>
    </w:p>
    <w:p w14:paraId="7B6A2E02" w14:textId="5E416726"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Laschinger, H.K.S. and Fida, R. (2014) ‘A time-lagged analysis of the effect of authentic leadership on workplace bullying, burnout, and occupational turnover intentions’, </w:t>
      </w:r>
      <w:r w:rsidRPr="00B10792">
        <w:rPr>
          <w:rFonts w:eastAsia="Times New Roman" w:cs="Times New Roman"/>
          <w:i/>
          <w:iCs/>
          <w:color w:val="000000"/>
          <w:kern w:val="0"/>
          <w:szCs w:val="24"/>
          <w:lang w:eastAsia="en-GB" w:bidi="hi-IN"/>
          <w14:ligatures w14:val="none"/>
        </w:rPr>
        <w:t xml:space="preserve">European Journal of Work and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ational Psychology</w:t>
      </w:r>
      <w:r w:rsidRPr="00B10792">
        <w:rPr>
          <w:rFonts w:eastAsia="Times New Roman" w:cs="Times New Roman"/>
          <w:color w:val="000000"/>
          <w:kern w:val="0"/>
          <w:szCs w:val="24"/>
          <w:lang w:eastAsia="en-GB" w:bidi="hi-IN"/>
          <w14:ligatures w14:val="none"/>
        </w:rPr>
        <w:t>, 23(5), pp. 739</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753. Available at: https://doi.org/10.1080/1359432x.2013.804646.</w:t>
      </w:r>
    </w:p>
    <w:p w14:paraId="337407F3"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Lee, R.S., Son Hing, L.S., Gnanakumaran, V., Weiss, S.K., Lero, D.S., Hausdorf, P.A. and Daneman, D. (2021) ‘INSPIRED but tired: How medical faculty’s job demands and resources lead to engagement, work-life conflict, and burnout’,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12. Available at: https://doi.org/10.3389/fpsyg.2021.609639.</w:t>
      </w:r>
    </w:p>
    <w:p w14:paraId="0561CD9F" w14:textId="57AC09CC"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 G., Zhou, Y., Zhang, X. and Martek, I. (2025) ‘The integrative relationship between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family conflict and turnover intention: A meta-analysis’, </w:t>
      </w:r>
      <w:r w:rsidRPr="00B10792">
        <w:rPr>
          <w:rFonts w:eastAsia="Times New Roman" w:cs="Times New Roman"/>
          <w:i/>
          <w:iCs/>
          <w:color w:val="000000"/>
          <w:kern w:val="0"/>
          <w:szCs w:val="24"/>
          <w:lang w:eastAsia="en-GB" w:bidi="hi-IN"/>
          <w14:ligatures w14:val="none"/>
        </w:rPr>
        <w:t>Frontiers in Public Health</w:t>
      </w:r>
      <w:r w:rsidRPr="00B10792">
        <w:rPr>
          <w:rFonts w:eastAsia="Times New Roman" w:cs="Times New Roman"/>
          <w:color w:val="000000"/>
          <w:kern w:val="0"/>
          <w:szCs w:val="24"/>
          <w:lang w:eastAsia="en-GB" w:bidi="hi-IN"/>
          <w14:ligatures w14:val="none"/>
        </w:rPr>
        <w:t>, 13. Available at: https://doi.org/10.3389/fpubh.2025.1642843.</w:t>
      </w:r>
    </w:p>
    <w:p w14:paraId="141A0629" w14:textId="7ECD06B3"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Liang, X.M., Andrews, R., Hadley, F. and Petocz, P. (2026) ‘Online survey data integrity: Lessons learnt from investigating a bot attack on a small-scale educational study’, </w:t>
      </w:r>
      <w:r w:rsidRPr="00B10792">
        <w:rPr>
          <w:rFonts w:eastAsia="Times New Roman" w:cs="Times New Roman"/>
          <w:i/>
          <w:iCs/>
          <w:color w:val="000000"/>
          <w:kern w:val="0"/>
          <w:szCs w:val="24"/>
          <w:lang w:eastAsia="en-GB" w:bidi="hi-IN"/>
          <w14:ligatures w14:val="none"/>
        </w:rPr>
        <w:t>International Journal of Social Research Methodology</w:t>
      </w:r>
      <w:r w:rsidRPr="00B10792">
        <w:rPr>
          <w:rFonts w:eastAsia="Times New Roman" w:cs="Times New Roman"/>
          <w:color w:val="000000"/>
          <w:kern w:val="0"/>
          <w:szCs w:val="24"/>
          <w:lang w:eastAsia="en-GB" w:bidi="hi-IN"/>
          <w14:ligatures w14:val="none"/>
        </w:rPr>
        <w:t>,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20. Available at: https://doi.org/10.1080/13645579.2026.2636205.</w:t>
      </w:r>
    </w:p>
    <w:p w14:paraId="456B0B9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Ligibel, J.A., Goularte, N., Berliner, J.I., Bird, S.B., Chantal, Rowe, S.G., Stewart, M.T. and Trockel, M.T. (2023) ‘Well-being parameters and intention to leave current institution among academic physicians’, </w:t>
      </w:r>
      <w:r w:rsidRPr="00B10792">
        <w:rPr>
          <w:rFonts w:eastAsia="Times New Roman" w:cs="Times New Roman"/>
          <w:i/>
          <w:iCs/>
          <w:color w:val="000000"/>
          <w:kern w:val="0"/>
          <w:szCs w:val="24"/>
          <w:lang w:eastAsia="en-GB" w:bidi="hi-IN"/>
          <w14:ligatures w14:val="none"/>
        </w:rPr>
        <w:t>JAMA Network Open</w:t>
      </w:r>
      <w:r w:rsidRPr="00B10792">
        <w:rPr>
          <w:rFonts w:eastAsia="Times New Roman" w:cs="Times New Roman"/>
          <w:color w:val="000000"/>
          <w:kern w:val="0"/>
          <w:szCs w:val="24"/>
          <w:lang w:eastAsia="en-GB" w:bidi="hi-IN"/>
          <w14:ligatures w14:val="none"/>
        </w:rPr>
        <w:t>, 6(12), pp. e2347894-e2347894. Available at: https://doi.org/10.1001/jamanetworkopen.2023.47894.</w:t>
      </w:r>
    </w:p>
    <w:p w14:paraId="36A97322" w14:textId="4897828F"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Lihua, H., Bin Arshad, M.A. and Xueying, Y. (2025) ‘Effective Strategies for Reducing Employee Turnover in Healthcare Institutions: A Comprehensive Approach to Enhancing Employee Satisfaction and Work Environment’, </w:t>
      </w:r>
      <w:r w:rsidRPr="00B10792">
        <w:rPr>
          <w:rFonts w:eastAsia="Times New Roman" w:cs="Times New Roman"/>
          <w:i/>
          <w:iCs/>
          <w:color w:val="000000"/>
          <w:kern w:val="0"/>
          <w:szCs w:val="24"/>
          <w:lang w:eastAsia="en-GB" w:bidi="hi-IN"/>
          <w14:ligatures w14:val="none"/>
        </w:rPr>
        <w:t>International Journal of Academic Research in Business and Social Sciences</w:t>
      </w:r>
      <w:r w:rsidRPr="00B10792">
        <w:rPr>
          <w:rFonts w:eastAsia="Times New Roman" w:cs="Times New Roman"/>
          <w:color w:val="000000"/>
          <w:kern w:val="0"/>
          <w:szCs w:val="24"/>
          <w:lang w:eastAsia="en-GB" w:bidi="hi-IN"/>
          <w14:ligatures w14:val="none"/>
        </w:rPr>
        <w:t>, 15(12), pp. 1378</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1391. Available at: https://doi.org/10.6007/IJARBSS/v15-i12/25596.</w:t>
      </w:r>
    </w:p>
    <w:p w14:paraId="1DB2A4D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Lim, Y.W., Tan, S.W., Tan, C.Y.B., Lee, D.H.M., Siow, W.T., Heng, D.G.N., Mukhopadhyay, A., Lim, J.C., Sivadas, S., Teo, E.L.K., Ho, L.K.Y. and Phua, J. (2024) ‘An assessment of an inpatient robotic nurse assistant: A mixed-method study’, </w:t>
      </w:r>
      <w:r w:rsidRPr="00B10792">
        <w:rPr>
          <w:rFonts w:eastAsia="Times New Roman" w:cs="Times New Roman"/>
          <w:i/>
          <w:iCs/>
          <w:color w:val="000000"/>
          <w:kern w:val="0"/>
          <w:szCs w:val="24"/>
          <w:lang w:eastAsia="en-GB" w:bidi="hi-IN"/>
          <w14:ligatures w14:val="none"/>
        </w:rPr>
        <w:t>Journal of Medical Systems</w:t>
      </w:r>
      <w:r w:rsidRPr="00B10792">
        <w:rPr>
          <w:rFonts w:eastAsia="Times New Roman" w:cs="Times New Roman"/>
          <w:color w:val="000000"/>
          <w:kern w:val="0"/>
          <w:szCs w:val="24"/>
          <w:lang w:eastAsia="en-GB" w:bidi="hi-IN"/>
          <w14:ligatures w14:val="none"/>
        </w:rPr>
        <w:t>, 48(1). Available at: https://doi.org/10.1007/s10916-024-02117-4.</w:t>
      </w:r>
    </w:p>
    <w:p w14:paraId="696981A6" w14:textId="66068952"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Linzer, M., Jin, J.O., Shah, P., Stillman, M., Brown, R., Poplau, S., Nankivil, N., Cappelucci, K. and Sinsky, C.A. (2022) ‘Trends in clinician burnout with associated mitigating and aggravating factors during the COVID-19 pandemic’, </w:t>
      </w:r>
      <w:r w:rsidRPr="00B10792">
        <w:rPr>
          <w:rFonts w:eastAsia="Times New Roman" w:cs="Times New Roman"/>
          <w:i/>
          <w:iCs/>
          <w:color w:val="000000"/>
          <w:kern w:val="0"/>
          <w:szCs w:val="24"/>
          <w:lang w:eastAsia="en-GB" w:bidi="hi-IN"/>
          <w14:ligatures w14:val="none"/>
        </w:rPr>
        <w:t>JAMA Health Forum</w:t>
      </w:r>
      <w:r w:rsidRPr="00B10792">
        <w:rPr>
          <w:rFonts w:eastAsia="Times New Roman" w:cs="Times New Roman"/>
          <w:color w:val="000000"/>
          <w:kern w:val="0"/>
          <w:szCs w:val="24"/>
          <w:lang w:eastAsia="en-GB" w:bidi="hi-IN"/>
          <w14:ligatures w14:val="none"/>
        </w:rPr>
        <w:t>, 3(11), pp. e224163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e224163. Available at: https://doi.org/10.1001/jamahealthforum.2022.4163.</w:t>
      </w:r>
    </w:p>
    <w:p w14:paraId="0F9F9F1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Liu, E. and Cho, K. (2026) ‘Deep learning-based labor relations prediction system with multi-source data fusion and early warning mechanisms’, </w:t>
      </w:r>
      <w:r w:rsidRPr="00B10792">
        <w:rPr>
          <w:rFonts w:eastAsia="Times New Roman" w:cs="Times New Roman"/>
          <w:i/>
          <w:iCs/>
          <w:color w:val="000000"/>
          <w:kern w:val="0"/>
          <w:szCs w:val="24"/>
          <w:lang w:eastAsia="en-GB" w:bidi="hi-IN"/>
          <w14:ligatures w14:val="none"/>
        </w:rPr>
        <w:t>Scientific Reports</w:t>
      </w:r>
      <w:r w:rsidRPr="00B10792">
        <w:rPr>
          <w:rFonts w:eastAsia="Times New Roman" w:cs="Times New Roman"/>
          <w:color w:val="000000"/>
          <w:kern w:val="0"/>
          <w:szCs w:val="24"/>
          <w:lang w:eastAsia="en-GB" w:bidi="hi-IN"/>
          <w14:ligatures w14:val="none"/>
        </w:rPr>
        <w:t>, 16(1). Available at: https://doi.org/10.1038/s41598-026-40369-x.</w:t>
      </w:r>
    </w:p>
    <w:p w14:paraId="79A6EA67" w14:textId="542C753F"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Lochmann, J., Patzke, K., Wahl, S., Renger, F. and Czirfusz, A. (2026) ‘The erosion of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boundaries and burnout: A narrative review of mechanisms, vulnerable populations and public health implications’, </w:t>
      </w:r>
      <w:r w:rsidRPr="00B10792">
        <w:rPr>
          <w:rFonts w:eastAsia="Times New Roman" w:cs="Times New Roman"/>
          <w:i/>
          <w:iCs/>
          <w:color w:val="000000"/>
          <w:kern w:val="0"/>
          <w:szCs w:val="24"/>
          <w:lang w:eastAsia="en-GB" w:bidi="hi-IN"/>
          <w14:ligatures w14:val="none"/>
        </w:rPr>
        <w:t>Psychiatry International</w:t>
      </w:r>
      <w:r w:rsidRPr="00B10792">
        <w:rPr>
          <w:rFonts w:eastAsia="Times New Roman" w:cs="Times New Roman"/>
          <w:color w:val="000000"/>
          <w:kern w:val="0"/>
          <w:szCs w:val="24"/>
          <w:lang w:eastAsia="en-GB" w:bidi="hi-IN"/>
          <w14:ligatures w14:val="none"/>
        </w:rPr>
        <w:t>, 7(4), p. 186. Available at: https://doi.org/10.3390/psychiatryint7040186.</w:t>
      </w:r>
    </w:p>
    <w:p w14:paraId="137B6257" w14:textId="74FC7672"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Loscalzo, Y., Raffagnino, R., Gonnelli, C. and Giannini, M. (2019)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family conflict scale: Psychometric properties of the Italian version’, </w:t>
      </w:r>
      <w:r w:rsidRPr="00B10792">
        <w:rPr>
          <w:rFonts w:eastAsia="Times New Roman" w:cs="Times New Roman"/>
          <w:i/>
          <w:iCs/>
          <w:color w:val="000000"/>
          <w:kern w:val="0"/>
          <w:szCs w:val="24"/>
          <w:lang w:eastAsia="en-GB" w:bidi="hi-IN"/>
          <w14:ligatures w14:val="none"/>
        </w:rPr>
        <w:t>SAGE Open</w:t>
      </w:r>
      <w:r w:rsidRPr="00B10792">
        <w:rPr>
          <w:rFonts w:eastAsia="Times New Roman" w:cs="Times New Roman"/>
          <w:color w:val="000000"/>
          <w:kern w:val="0"/>
          <w:szCs w:val="24"/>
          <w:lang w:eastAsia="en-GB" w:bidi="hi-IN"/>
          <w14:ligatures w14:val="none"/>
        </w:rPr>
        <w:t>, 9(3), p. 215824401986149. Available at: https://doi.org/10.1177/2158244019861495.</w:t>
      </w:r>
    </w:p>
    <w:p w14:paraId="7F784CE3"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Lundmark, R., Agrell, A., Abildgaard, J.S., Wahlström, J. and Tafvelin, S. (2024) ‘A joint training of healthcare line managers and health and safety representatives in facilitating occupational health interventions: A feasibility study protocol for the co-pilot project’,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15. Available at: https://doi.org/10.3389/fpsyg.2024.1340279.</w:t>
      </w:r>
    </w:p>
    <w:p w14:paraId="452AA3E4" w14:textId="345B7C93"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Maben, J., Taylor, C., Jagosh, J., Carrieri, D., Briscoe, S., Klepacz, N. and Mattick, K. (2024) ‘Causes and solutions to workplace psychological ill-health for nurses, midwives and paramedics: The care under pressure 2 realist review’, </w:t>
      </w:r>
      <w:r w:rsidRPr="00B10792">
        <w:rPr>
          <w:rFonts w:eastAsia="Times New Roman" w:cs="Times New Roman"/>
          <w:i/>
          <w:iCs/>
          <w:color w:val="000000"/>
          <w:kern w:val="0"/>
          <w:szCs w:val="24"/>
          <w:lang w:eastAsia="en-GB" w:bidi="hi-IN"/>
          <w14:ligatures w14:val="none"/>
        </w:rPr>
        <w:t>Health and Social Care Delivery Research</w:t>
      </w:r>
      <w:r w:rsidRPr="00B10792">
        <w:rPr>
          <w:rFonts w:eastAsia="Times New Roman" w:cs="Times New Roman"/>
          <w:color w:val="000000"/>
          <w:kern w:val="0"/>
          <w:szCs w:val="24"/>
          <w:lang w:eastAsia="en-GB" w:bidi="hi-IN"/>
          <w14:ligatures w14:val="none"/>
        </w:rPr>
        <w:t>, 12(9),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171. Available at: https://doi.org/10.3310/TWDU4109.</w:t>
      </w:r>
    </w:p>
    <w:p w14:paraId="0FDE2C63" w14:textId="4FCD069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Maksimović, J. and Evtimov, J. (2023) ‘Positivism and post-positivism as the Basis of Quantitative Research in Pedagogy’, </w:t>
      </w:r>
      <w:r w:rsidRPr="00B10792">
        <w:rPr>
          <w:rFonts w:eastAsia="Times New Roman" w:cs="Times New Roman"/>
          <w:i/>
          <w:iCs/>
          <w:color w:val="000000"/>
          <w:kern w:val="0"/>
          <w:szCs w:val="24"/>
          <w:lang w:eastAsia="en-GB" w:bidi="hi-IN"/>
          <w14:ligatures w14:val="none"/>
        </w:rPr>
        <w:t>Research in Pedagogy</w:t>
      </w:r>
      <w:r w:rsidRPr="00B10792">
        <w:rPr>
          <w:rFonts w:eastAsia="Times New Roman" w:cs="Times New Roman"/>
          <w:color w:val="000000"/>
          <w:kern w:val="0"/>
          <w:szCs w:val="24"/>
          <w:lang w:eastAsia="en-GB" w:bidi="hi-IN"/>
          <w14:ligatures w14:val="none"/>
        </w:rPr>
        <w:t>, 13(1), pp. 208</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218. Available at: https://doi.org/10.5937/istrped2301208m.</w:t>
      </w:r>
    </w:p>
    <w:p w14:paraId="59597B2D"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Maniscalco, L., Enea, M., N. de Vries, Mazzucco, W., Boone, A., O. Lavreysen, Baranski, K., Miceli, S., A. Savatteri, Fruscione, S., Kowalska, M., P. de Winter, S. Szemik, L. Godderis and Matranga, D. (2024) ‘Intention to leave, Depersonalisation and job satisfaction in physicians and nurses: A cross-sectional study in Europe’, </w:t>
      </w:r>
      <w:r w:rsidRPr="00B10792">
        <w:rPr>
          <w:rFonts w:eastAsia="Times New Roman" w:cs="Times New Roman"/>
          <w:i/>
          <w:iCs/>
          <w:color w:val="000000"/>
          <w:kern w:val="0"/>
          <w:szCs w:val="24"/>
          <w:lang w:eastAsia="en-GB" w:bidi="hi-IN"/>
          <w14:ligatures w14:val="none"/>
        </w:rPr>
        <w:t>Scientific Reports</w:t>
      </w:r>
      <w:r w:rsidRPr="00B10792">
        <w:rPr>
          <w:rFonts w:eastAsia="Times New Roman" w:cs="Times New Roman"/>
          <w:color w:val="000000"/>
          <w:kern w:val="0"/>
          <w:szCs w:val="24"/>
          <w:lang w:eastAsia="en-GB" w:bidi="hi-IN"/>
          <w14:ligatures w14:val="none"/>
        </w:rPr>
        <w:t>, 14(1). Available at: https://doi.org/10.1038/s41598-024-52887-7.</w:t>
      </w:r>
    </w:p>
    <w:p w14:paraId="58D74370" w14:textId="2E31B4BA"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Mansour, S., Azeem, M.F. and Chênevert, D. (2024) ‘Work-life balance in health care’, </w:t>
      </w:r>
      <w:r w:rsidRPr="00B10792">
        <w:rPr>
          <w:rFonts w:eastAsia="Times New Roman" w:cs="Times New Roman"/>
          <w:i/>
          <w:iCs/>
          <w:color w:val="000000"/>
          <w:kern w:val="0"/>
          <w:szCs w:val="24"/>
          <w:lang w:eastAsia="en-GB" w:bidi="hi-IN"/>
          <w14:ligatures w14:val="none"/>
        </w:rPr>
        <w:t>Edward Elgar Publishing eBooks</w:t>
      </w:r>
      <w:r w:rsidRPr="00B10792">
        <w:rPr>
          <w:rFonts w:eastAsia="Times New Roman" w:cs="Times New Roman"/>
          <w:color w:val="000000"/>
          <w:kern w:val="0"/>
          <w:szCs w:val="24"/>
          <w:lang w:eastAsia="en-GB" w:bidi="hi-IN"/>
          <w14:ligatures w14:val="none"/>
        </w:rPr>
        <w:t>, pp. 357</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372. Available at: https://doi.org/10.4337/9781802205718.00033.</w:t>
      </w:r>
    </w:p>
    <w:p w14:paraId="55431493" w14:textId="406319CE"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Matre, D. (2026) ‘The compressed workweek in public health and social care </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 xml:space="preserve"> is it sustainable?’, </w:t>
      </w:r>
      <w:r w:rsidRPr="00B10792">
        <w:rPr>
          <w:rFonts w:eastAsia="Times New Roman" w:cs="Times New Roman"/>
          <w:i/>
          <w:iCs/>
          <w:color w:val="000000"/>
          <w:kern w:val="0"/>
          <w:szCs w:val="24"/>
          <w:lang w:eastAsia="en-GB" w:bidi="hi-IN"/>
          <w14:ligatures w14:val="none"/>
        </w:rPr>
        <w:t>Scandinavian Journal of Work, Environment &amp; Health</w:t>
      </w:r>
      <w:r w:rsidRPr="00B10792">
        <w:rPr>
          <w:rFonts w:eastAsia="Times New Roman" w:cs="Times New Roman"/>
          <w:color w:val="000000"/>
          <w:kern w:val="0"/>
          <w:szCs w:val="24"/>
          <w:lang w:eastAsia="en-GB" w:bidi="hi-IN"/>
          <w14:ligatures w14:val="none"/>
        </w:rPr>
        <w:t>, 52(2), pp. 75</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77. Available at: https://doi.org/10.5271/sjweh.4276.</w:t>
      </w:r>
    </w:p>
    <w:p w14:paraId="09793308"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Maunder, R.G., Heeney, N.D., Hunter, J.J., Strudwick, G., Jeffs, L.P., Ginty, L., Johnstone, J., Kiss, A., Loftus, C.A. and Wiesenfeld, L.A. (2022) ‘Trends in burnout and psychological distress in hospital staff over 12 months of the COVID-19 pandemic: A prospective </w:t>
      </w:r>
      <w:r w:rsidRPr="00B10792">
        <w:rPr>
          <w:rFonts w:eastAsia="Times New Roman" w:cs="Times New Roman"/>
          <w:color w:val="000000"/>
          <w:kern w:val="0"/>
          <w:szCs w:val="24"/>
          <w:lang w:eastAsia="en-GB" w:bidi="hi-IN"/>
          <w14:ligatures w14:val="none"/>
        </w:rPr>
        <w:lastRenderedPageBreak/>
        <w:t>longitudinal survey’, </w:t>
      </w:r>
      <w:r w:rsidRPr="00B10792">
        <w:rPr>
          <w:rFonts w:eastAsia="Times New Roman" w:cs="Times New Roman"/>
          <w:i/>
          <w:iCs/>
          <w:color w:val="000000"/>
          <w:kern w:val="0"/>
          <w:szCs w:val="24"/>
          <w:lang w:eastAsia="en-GB" w:bidi="hi-IN"/>
          <w14:ligatures w14:val="none"/>
        </w:rPr>
        <w:t>Journal of Occupational Medicine and Toxicology</w:t>
      </w:r>
      <w:r w:rsidRPr="00B10792">
        <w:rPr>
          <w:rFonts w:eastAsia="Times New Roman" w:cs="Times New Roman"/>
          <w:color w:val="000000"/>
          <w:kern w:val="0"/>
          <w:szCs w:val="24"/>
          <w:lang w:eastAsia="en-GB" w:bidi="hi-IN"/>
          <w14:ligatures w14:val="none"/>
        </w:rPr>
        <w:t>, 17(1). Available at: https://doi.org/10.1186/s12995-022-00352-4.</w:t>
      </w:r>
    </w:p>
    <w:p w14:paraId="09A7756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Moscelli, G., Sayli, M., Mello, M. and Vesperoni, A. (2024) ‘Staff engagement, co‐workers” complementarity and employee retention: Evidence from english NHS hospitals’, </w:t>
      </w:r>
      <w:r w:rsidRPr="00B10792">
        <w:rPr>
          <w:rFonts w:eastAsia="Times New Roman" w:cs="Times New Roman"/>
          <w:i/>
          <w:iCs/>
          <w:color w:val="000000"/>
          <w:kern w:val="0"/>
          <w:szCs w:val="24"/>
          <w:lang w:eastAsia="en-GB" w:bidi="hi-IN"/>
          <w14:ligatures w14:val="none"/>
        </w:rPr>
        <w:t>Economica</w:t>
      </w:r>
      <w:r w:rsidRPr="00B10792">
        <w:rPr>
          <w:rFonts w:eastAsia="Times New Roman" w:cs="Times New Roman"/>
          <w:color w:val="000000"/>
          <w:kern w:val="0"/>
          <w:szCs w:val="24"/>
          <w:lang w:eastAsia="en-GB" w:bidi="hi-IN"/>
          <w14:ligatures w14:val="none"/>
        </w:rPr>
        <w:t>, 92(365). Available at: https://doi.org/10.1111/ecca.12554.</w:t>
      </w:r>
    </w:p>
    <w:p w14:paraId="784FAC6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Moss, R., Rivas, C., Mann, A., Manish Pareek, Woolf, K., Woodhams, C., Krammer, S., Guyatt, A.L., Asta Medisauskaite, Srinivasa Vittal Katikireddi, Padmasayee Papineni, Lagrata, S., Suleman, M., Masood, A. and Bryant, L. (2025) ‘A horizon scanning exercise to explore retention policies for international and minoritised NHS Trust Staff in England: What are the current pledges and where are the gaps?’,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25(1). Available at: https://doi.org/10.1186/s12913-025-13348-7.</w:t>
      </w:r>
    </w:p>
    <w:p w14:paraId="23970B1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Negt, P. and Haunschild, A. (2024) ‘Exploring the gap between research and practice in human resource management (HRM): A scoping review and agenda for future research’, </w:t>
      </w:r>
      <w:r w:rsidRPr="00B10792">
        <w:rPr>
          <w:rFonts w:eastAsia="Times New Roman" w:cs="Times New Roman"/>
          <w:i/>
          <w:iCs/>
          <w:color w:val="000000"/>
          <w:kern w:val="0"/>
          <w:szCs w:val="24"/>
          <w:lang w:eastAsia="en-GB" w:bidi="hi-IN"/>
          <w14:ligatures w14:val="none"/>
        </w:rPr>
        <w:t>Management Review Quarterly</w:t>
      </w:r>
      <w:r w:rsidRPr="00B10792">
        <w:rPr>
          <w:rFonts w:eastAsia="Times New Roman" w:cs="Times New Roman"/>
          <w:color w:val="000000"/>
          <w:kern w:val="0"/>
          <w:szCs w:val="24"/>
          <w:lang w:eastAsia="en-GB" w:bidi="hi-IN"/>
          <w14:ligatures w14:val="none"/>
        </w:rPr>
        <w:t>, 1(1). Available at: https://doi.org/10.1007/s11301-023-00397-7.</w:t>
      </w:r>
    </w:p>
    <w:p w14:paraId="74927435" w14:textId="524F1D8A"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Netemeyer, R.G., Boles, J.S. and McMurrian, R. (1996) ‘Development and validation of work-family conflict and family-work conflict scales.’, </w:t>
      </w:r>
      <w:r w:rsidRPr="00B10792">
        <w:rPr>
          <w:rFonts w:eastAsia="Times New Roman" w:cs="Times New Roman"/>
          <w:i/>
          <w:iCs/>
          <w:color w:val="000000"/>
          <w:kern w:val="0"/>
          <w:szCs w:val="24"/>
          <w:lang w:eastAsia="en-GB" w:bidi="hi-IN"/>
          <w14:ligatures w14:val="none"/>
        </w:rPr>
        <w:t>Journal of Applied Psychology</w:t>
      </w:r>
      <w:r w:rsidRPr="00B10792">
        <w:rPr>
          <w:rFonts w:eastAsia="Times New Roman" w:cs="Times New Roman"/>
          <w:color w:val="000000"/>
          <w:kern w:val="0"/>
          <w:szCs w:val="24"/>
          <w:lang w:eastAsia="en-GB" w:bidi="hi-IN"/>
          <w14:ligatures w14:val="none"/>
        </w:rPr>
        <w:t>, 81(4), pp. 400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410. Available at: https://doi.org/10.1037/0021-9010.81.4.400.</w:t>
      </w:r>
    </w:p>
    <w:p w14:paraId="31810E3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Nguyen, Le K.N., McCabe, H., Howick, S., Megiddo, I., Sengupta, S. and Morton, A. (2025) ‘Exploring the drivers of unsustainable pressures in health and social care: A qualitative system dynamics approach’, </w:t>
      </w:r>
      <w:r w:rsidRPr="00B10792">
        <w:rPr>
          <w:rFonts w:eastAsia="Times New Roman" w:cs="Times New Roman"/>
          <w:i/>
          <w:iCs/>
          <w:color w:val="000000"/>
          <w:kern w:val="0"/>
          <w:szCs w:val="24"/>
          <w:lang w:eastAsia="en-GB" w:bidi="hi-IN"/>
          <w14:ligatures w14:val="none"/>
        </w:rPr>
        <w:t>Social Science &amp; Medicine</w:t>
      </w:r>
      <w:r w:rsidRPr="00B10792">
        <w:rPr>
          <w:rFonts w:eastAsia="Times New Roman" w:cs="Times New Roman"/>
          <w:color w:val="000000"/>
          <w:kern w:val="0"/>
          <w:szCs w:val="24"/>
          <w:lang w:eastAsia="en-GB" w:bidi="hi-IN"/>
          <w14:ligatures w14:val="none"/>
        </w:rPr>
        <w:t>, 371, p. 117913. Available at: https://doi.org/10.1016/j.socscimed.2025.117913.</w:t>
      </w:r>
    </w:p>
    <w:p w14:paraId="3F0A27DF" w14:textId="1F384C5E"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NHS (2025) </w:t>
      </w:r>
      <w:r w:rsidRPr="00B10792">
        <w:rPr>
          <w:rFonts w:eastAsia="Times New Roman" w:cs="Times New Roman"/>
          <w:i/>
          <w:iCs/>
          <w:color w:val="000000"/>
          <w:kern w:val="0"/>
          <w:szCs w:val="24"/>
          <w:lang w:eastAsia="en-GB" w:bidi="hi-IN"/>
          <w14:ligatures w14:val="none"/>
        </w:rPr>
        <w:t xml:space="preserve">NHS Digital Workforce Statistics </w:t>
      </w:r>
      <w:r w:rsidR="00ED0AC5">
        <w:rPr>
          <w:rFonts w:eastAsia="Times New Roman" w:cs="Times New Roman"/>
          <w:i/>
          <w:iCs/>
          <w:color w:val="000000"/>
          <w:kern w:val="0"/>
          <w:szCs w:val="24"/>
          <w:lang w:eastAsia="en-GB" w:bidi="hi-IN"/>
          <w14:ligatures w14:val="none"/>
        </w:rPr>
        <w:t>-</w:t>
      </w:r>
      <w:r w:rsidRPr="00B10792">
        <w:rPr>
          <w:rFonts w:eastAsia="Times New Roman" w:cs="Times New Roman"/>
          <w:i/>
          <w:iCs/>
          <w:color w:val="000000"/>
          <w:kern w:val="0"/>
          <w:szCs w:val="24"/>
          <w:lang w:eastAsia="en-GB" w:bidi="hi-IN"/>
          <w14:ligatures w14:val="none"/>
        </w:rPr>
        <w:t xml:space="preserve"> november 2025</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The NHS Alliance</w:t>
      </w:r>
      <w:r w:rsidRPr="00B10792">
        <w:rPr>
          <w:rFonts w:eastAsia="Times New Roman" w:cs="Times New Roman"/>
          <w:color w:val="000000"/>
          <w:kern w:val="0"/>
          <w:szCs w:val="24"/>
          <w:lang w:eastAsia="en-GB" w:bidi="hi-IN"/>
          <w14:ligatures w14:val="none"/>
        </w:rPr>
        <w:t>. Available at: https://thenhsalliance.org/resources/nhs-digital-workforce-statistics-november-2025 (Accessed: 24 August 2026).</w:t>
      </w:r>
    </w:p>
    <w:p w14:paraId="03A8671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NHS Digital (2024) </w:t>
      </w:r>
      <w:r w:rsidRPr="00B10792">
        <w:rPr>
          <w:rFonts w:eastAsia="Times New Roman" w:cs="Times New Roman"/>
          <w:i/>
          <w:iCs/>
          <w:color w:val="000000"/>
          <w:kern w:val="0"/>
          <w:szCs w:val="24"/>
          <w:lang w:eastAsia="en-GB" w:bidi="hi-IN"/>
          <w14:ligatures w14:val="none"/>
        </w:rPr>
        <w:t>NHS workforce statistics - NHS Digital</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NHS Digital</w:t>
      </w:r>
      <w:r w:rsidRPr="00B10792">
        <w:rPr>
          <w:rFonts w:eastAsia="Times New Roman" w:cs="Times New Roman"/>
          <w:color w:val="000000"/>
          <w:kern w:val="0"/>
          <w:szCs w:val="24"/>
          <w:lang w:eastAsia="en-GB" w:bidi="hi-IN"/>
          <w14:ligatures w14:val="none"/>
        </w:rPr>
        <w:t>. Available at: https://digital.nhs.uk/data-and-information/publications/statistical/nhs-workforce-statistics (Accessed: 22 June 2026).</w:t>
      </w:r>
    </w:p>
    <w:p w14:paraId="6E877EF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Nunnally, J.C. (1978) </w:t>
      </w:r>
      <w:r w:rsidRPr="00B10792">
        <w:rPr>
          <w:rFonts w:eastAsia="Times New Roman" w:cs="Times New Roman"/>
          <w:i/>
          <w:iCs/>
          <w:color w:val="000000"/>
          <w:kern w:val="0"/>
          <w:szCs w:val="24"/>
          <w:lang w:eastAsia="en-GB" w:bidi="hi-IN"/>
          <w14:ligatures w14:val="none"/>
        </w:rPr>
        <w:t>Psychometric theory</w:t>
      </w:r>
      <w:r w:rsidRPr="00B10792">
        <w:rPr>
          <w:rFonts w:eastAsia="Times New Roman" w:cs="Times New Roman"/>
          <w:color w:val="000000"/>
          <w:kern w:val="0"/>
          <w:szCs w:val="24"/>
          <w:lang w:eastAsia="en-GB" w:bidi="hi-IN"/>
          <w14:ligatures w14:val="none"/>
        </w:rPr>
        <w:t>. 2nd edn. McGraw-Hill Companies.</w:t>
      </w:r>
    </w:p>
    <w:p w14:paraId="5F1FEBD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 xml:space="preserve">Obeng, H.A., Atan, T. and Arhinful, R. (2025) ‘Exploring </w:t>
      </w:r>
      <w:r w:rsidR="002330B6">
        <w:rPr>
          <w:rFonts w:eastAsia="Times New Roman" w:cs="Times New Roman"/>
          <w:color w:val="000000"/>
          <w:kern w:val="0"/>
          <w:szCs w:val="24"/>
          <w:lang w:eastAsia="en-GB" w:bidi="hi-IN"/>
          <w14:ligatures w14:val="none"/>
        </w:rPr>
        <w:t>organis</w:t>
      </w:r>
      <w:r w:rsidRPr="00B10792">
        <w:rPr>
          <w:rFonts w:eastAsia="Times New Roman" w:cs="Times New Roman"/>
          <w:color w:val="000000"/>
          <w:kern w:val="0"/>
          <w:szCs w:val="24"/>
          <w:lang w:eastAsia="en-GB" w:bidi="hi-IN"/>
          <w14:ligatures w14:val="none"/>
        </w:rPr>
        <w:t>ational politics, psychological well-being, work-life balance, and turnover intentions in Ghanaian hospitals: A conservation of resource theory perspective’,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25(1). Available at: https://doi.org/10.1186/s12913-025-13056-2.</w:t>
      </w:r>
    </w:p>
    <w:p w14:paraId="66A71322"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Ocean, N. and Meyer, C. (2023) ‘Satisfaction and attrition in the UK Healthcare sector over the past decade’, </w:t>
      </w:r>
      <w:r w:rsidRPr="00B10792">
        <w:rPr>
          <w:rFonts w:eastAsia="Times New Roman" w:cs="Times New Roman"/>
          <w:i/>
          <w:iCs/>
          <w:color w:val="000000"/>
          <w:kern w:val="0"/>
          <w:szCs w:val="24"/>
          <w:lang w:eastAsia="en-GB" w:bidi="hi-IN"/>
          <w14:ligatures w14:val="none"/>
        </w:rPr>
        <w:t>PLOS ONE</w:t>
      </w:r>
      <w:r w:rsidRPr="00B10792">
        <w:rPr>
          <w:rFonts w:eastAsia="Times New Roman" w:cs="Times New Roman"/>
          <w:color w:val="000000"/>
          <w:kern w:val="0"/>
          <w:szCs w:val="24"/>
          <w:lang w:eastAsia="en-GB" w:bidi="hi-IN"/>
          <w14:ligatures w14:val="none"/>
        </w:rPr>
        <w:t>, 18(4). Available at: https://doi.org/10.1371/journal.pone.0284516.</w:t>
      </w:r>
    </w:p>
    <w:p w14:paraId="3295E781" w14:textId="389793AC"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Onyejesi, C.R., James, T. and Kharicha, K. (2025) ‘Understanding why health professionals are leaving the UK National Health Service (NHS) </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 xml:space="preserve"> a systematic review and narrative synthesis’, </w:t>
      </w:r>
      <w:r w:rsidRPr="00B10792">
        <w:rPr>
          <w:rFonts w:eastAsia="Times New Roman" w:cs="Times New Roman"/>
          <w:i/>
          <w:iCs/>
          <w:color w:val="000000"/>
          <w:kern w:val="0"/>
          <w:szCs w:val="24"/>
          <w:lang w:eastAsia="en-GB" w:bidi="hi-IN"/>
          <w14:ligatures w14:val="none"/>
        </w:rPr>
        <w:t>Journal of Health Services Research &amp; Policy</w:t>
      </w:r>
      <w:r w:rsidRPr="00B10792">
        <w:rPr>
          <w:rFonts w:eastAsia="Times New Roman" w:cs="Times New Roman"/>
          <w:color w:val="000000"/>
          <w:kern w:val="0"/>
          <w:szCs w:val="24"/>
          <w:lang w:eastAsia="en-GB" w:bidi="hi-IN"/>
          <w14:ligatures w14:val="none"/>
        </w:rPr>
        <w:t>. Available at: https://doi.org/10.1177/13558196251384845.</w:t>
      </w:r>
    </w:p>
    <w:p w14:paraId="3BDF05C6" w14:textId="0140A662"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Parida, S., Aamir, A., Alom, J., Rufai, T.A. and Rufai, S.R. (2021) ‘British doctors”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and home-life satisfaction: A cross-sectional study’, </w:t>
      </w:r>
      <w:r w:rsidRPr="00B10792">
        <w:rPr>
          <w:rFonts w:eastAsia="Times New Roman" w:cs="Times New Roman"/>
          <w:i/>
          <w:iCs/>
          <w:color w:val="000000"/>
          <w:kern w:val="0"/>
          <w:szCs w:val="24"/>
          <w:lang w:eastAsia="en-GB" w:bidi="hi-IN"/>
          <w14:ligatures w14:val="none"/>
        </w:rPr>
        <w:t>Postgraduate Medical Journal</w:t>
      </w:r>
      <w:r w:rsidRPr="00B10792">
        <w:rPr>
          <w:rFonts w:eastAsia="Times New Roman" w:cs="Times New Roman"/>
          <w:color w:val="000000"/>
          <w:kern w:val="0"/>
          <w:szCs w:val="24"/>
          <w:lang w:eastAsia="en-GB" w:bidi="hi-IN"/>
          <w14:ligatures w14:val="none"/>
        </w:rPr>
        <w:t>, 99(1169), pp. postgradmedj-2021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141338. Available at: https://doi.org/10.1136/postgradmedj-2021-141338.</w:t>
      </w:r>
    </w:p>
    <w:p w14:paraId="75ED4276" w14:textId="135BB115"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Park, Y.S., Konge, L. and Artino, A.R. (2020) ‘The positivism paradigm of research’, </w:t>
      </w:r>
      <w:r w:rsidRPr="00B10792">
        <w:rPr>
          <w:rFonts w:eastAsia="Times New Roman" w:cs="Times New Roman"/>
          <w:i/>
          <w:iCs/>
          <w:color w:val="000000"/>
          <w:kern w:val="0"/>
          <w:szCs w:val="24"/>
          <w:lang w:eastAsia="en-GB" w:bidi="hi-IN"/>
          <w14:ligatures w14:val="none"/>
        </w:rPr>
        <w:t>Academic Medicine</w:t>
      </w:r>
      <w:r w:rsidRPr="00B10792">
        <w:rPr>
          <w:rFonts w:eastAsia="Times New Roman" w:cs="Times New Roman"/>
          <w:color w:val="000000"/>
          <w:kern w:val="0"/>
          <w:szCs w:val="24"/>
          <w:lang w:eastAsia="en-GB" w:bidi="hi-IN"/>
          <w14:ligatures w14:val="none"/>
        </w:rPr>
        <w:t>, 95(5), pp. 690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694. Available at: https://doi.org/10.1097/ACM.0000000000003093.</w:t>
      </w:r>
    </w:p>
    <w:p w14:paraId="2A1B984A"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Perwal, U. (2026) ‘Management of workplace burnout in healthcare professionals: A leadership and systems approach’, </w:t>
      </w:r>
      <w:r w:rsidRPr="00B10792">
        <w:rPr>
          <w:rFonts w:eastAsia="Times New Roman" w:cs="Times New Roman"/>
          <w:i/>
          <w:iCs/>
          <w:color w:val="000000"/>
          <w:kern w:val="0"/>
          <w:szCs w:val="24"/>
          <w:lang w:eastAsia="en-GB" w:bidi="hi-IN"/>
          <w14:ligatures w14:val="none"/>
        </w:rPr>
        <w:t>International Journal of Advances in Nursing Management</w:t>
      </w:r>
      <w:r w:rsidRPr="00B10792">
        <w:rPr>
          <w:rFonts w:eastAsia="Times New Roman" w:cs="Times New Roman"/>
          <w:color w:val="000000"/>
          <w:kern w:val="0"/>
          <w:szCs w:val="24"/>
          <w:lang w:eastAsia="en-GB" w:bidi="hi-IN"/>
          <w14:ligatures w14:val="none"/>
        </w:rPr>
        <w:t>, 14(1), p. 63. Available at: https://doi.org/10.52711/2454-2652.2026.00013.</w:t>
      </w:r>
    </w:p>
    <w:p w14:paraId="7FAE064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Picker (2025) ‘Flexible working in the NHS: Evidence from the 2024 staff survey’, </w:t>
      </w:r>
      <w:r w:rsidRPr="00B10792">
        <w:rPr>
          <w:rFonts w:eastAsia="Times New Roman" w:cs="Times New Roman"/>
          <w:i/>
          <w:iCs/>
          <w:color w:val="000000"/>
          <w:kern w:val="0"/>
          <w:szCs w:val="24"/>
          <w:lang w:eastAsia="en-GB" w:bidi="hi-IN"/>
          <w14:ligatures w14:val="none"/>
        </w:rPr>
        <w:t>Picker</w:t>
      </w:r>
      <w:r w:rsidRPr="00B10792">
        <w:rPr>
          <w:rFonts w:eastAsia="Times New Roman" w:cs="Times New Roman"/>
          <w:color w:val="000000"/>
          <w:kern w:val="0"/>
          <w:szCs w:val="24"/>
          <w:lang w:eastAsia="en-GB" w:bidi="hi-IN"/>
          <w14:ligatures w14:val="none"/>
        </w:rPr>
        <w:t> . Available at: https://picker.org/research_insights/flexible-working-in-the-nhs-evidence-from-the-2024-staff-survey/ (Accessed: 24 August 2026).</w:t>
      </w:r>
    </w:p>
    <w:p w14:paraId="5232CE5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Platts, D. (2023) </w:t>
      </w:r>
      <w:r w:rsidRPr="00B10792">
        <w:rPr>
          <w:rFonts w:eastAsia="Times New Roman" w:cs="Times New Roman"/>
          <w:i/>
          <w:iCs/>
          <w:color w:val="000000"/>
          <w:kern w:val="0"/>
          <w:szCs w:val="24"/>
          <w:lang w:eastAsia="en-GB" w:bidi="hi-IN"/>
          <w14:ligatures w14:val="none"/>
        </w:rPr>
        <w:t>Insights from our medical recruitment Agency | BDI resourcing</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www.bdiresourcing.com</w:t>
      </w:r>
      <w:r w:rsidRPr="00B10792">
        <w:rPr>
          <w:rFonts w:eastAsia="Times New Roman" w:cs="Times New Roman"/>
          <w:color w:val="000000"/>
          <w:kern w:val="0"/>
          <w:szCs w:val="24"/>
          <w:lang w:eastAsia="en-GB" w:bidi="hi-IN"/>
          <w14:ligatures w14:val="none"/>
        </w:rPr>
        <w:t>. Available at: https://www.bdiresourcing.com/img-media-hub/blog/reducing-nhs-locum-expenditure-with-international-recruitment/ (Accessed: 29 July 2026).</w:t>
      </w:r>
    </w:p>
    <w:p w14:paraId="0223D594" w14:textId="3EC62F21"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 xml:space="preserve">Podsakoff, P.M., MacKenzie, S.B., Lee, J.-Y. and Podsakoff, N.P. (2003) ‘Common method biases in </w:t>
      </w:r>
      <w:r w:rsidR="002330B6">
        <w:rPr>
          <w:rFonts w:eastAsia="Times New Roman" w:cs="Times New Roman"/>
          <w:color w:val="000000"/>
          <w:kern w:val="0"/>
          <w:szCs w:val="24"/>
          <w:lang w:eastAsia="en-GB" w:bidi="hi-IN"/>
          <w14:ligatures w14:val="none"/>
        </w:rPr>
        <w:t>behaviour</w:t>
      </w:r>
      <w:r w:rsidRPr="00B10792">
        <w:rPr>
          <w:rFonts w:eastAsia="Times New Roman" w:cs="Times New Roman"/>
          <w:color w:val="000000"/>
          <w:kern w:val="0"/>
          <w:szCs w:val="24"/>
          <w:lang w:eastAsia="en-GB" w:bidi="hi-IN"/>
          <w14:ligatures w14:val="none"/>
        </w:rPr>
        <w:t>al research: A critical review of the literature and recommended remedies.’, </w:t>
      </w:r>
      <w:r w:rsidRPr="00B10792">
        <w:rPr>
          <w:rFonts w:eastAsia="Times New Roman" w:cs="Times New Roman"/>
          <w:i/>
          <w:iCs/>
          <w:color w:val="000000"/>
          <w:kern w:val="0"/>
          <w:szCs w:val="24"/>
          <w:lang w:eastAsia="en-GB" w:bidi="hi-IN"/>
          <w14:ligatures w14:val="none"/>
        </w:rPr>
        <w:t>Journal of Applied Psychology</w:t>
      </w:r>
      <w:r w:rsidRPr="00B10792">
        <w:rPr>
          <w:rFonts w:eastAsia="Times New Roman" w:cs="Times New Roman"/>
          <w:color w:val="000000"/>
          <w:kern w:val="0"/>
          <w:szCs w:val="24"/>
          <w:lang w:eastAsia="en-GB" w:bidi="hi-IN"/>
          <w14:ligatures w14:val="none"/>
        </w:rPr>
        <w:t>, 88(5), pp. 879</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903.</w:t>
      </w:r>
    </w:p>
    <w:p w14:paraId="33C531AF" w14:textId="41638D8E"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Poh, T.E., Chai, S., Lim, Y.P., Wong, C.Y., Heng, F.E.K. and Wong, J.S.Y. (2022) ‘Implementation of flexible work arrangement among healthcare workers in Miri Hospital</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Assessment of the validity and reliability of flexible work arrangement perceived benefits and barriers scale, and the exploratory study’, </w:t>
      </w:r>
      <w:r w:rsidRPr="00B10792">
        <w:rPr>
          <w:rFonts w:eastAsia="Times New Roman" w:cs="Times New Roman"/>
          <w:i/>
          <w:iCs/>
          <w:color w:val="000000"/>
          <w:kern w:val="0"/>
          <w:szCs w:val="24"/>
          <w:lang w:eastAsia="en-GB" w:bidi="hi-IN"/>
          <w14:ligatures w14:val="none"/>
        </w:rPr>
        <w:t>Malaysian Journal of Medical Sciences</w:t>
      </w:r>
      <w:r w:rsidRPr="00B10792">
        <w:rPr>
          <w:rFonts w:eastAsia="Times New Roman" w:cs="Times New Roman"/>
          <w:color w:val="000000"/>
          <w:kern w:val="0"/>
          <w:szCs w:val="24"/>
          <w:lang w:eastAsia="en-GB" w:bidi="hi-IN"/>
          <w14:ligatures w14:val="none"/>
        </w:rPr>
        <w:t>, 29(6), pp. 89</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103.</w:t>
      </w:r>
    </w:p>
    <w:p w14:paraId="2F0FD2C8"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Poku, C.A., Alem, J.N., Poku, R.O., Osei, S.A., Amoah, E.O. and Ofei, A.M.A. (2022) ‘Quality of work-life and turnover intentions among the Ghanaian nursing workforce: A multicentre study’, </w:t>
      </w:r>
      <w:r w:rsidRPr="00B10792">
        <w:rPr>
          <w:rFonts w:eastAsia="Times New Roman" w:cs="Times New Roman"/>
          <w:i/>
          <w:iCs/>
          <w:color w:val="000000"/>
          <w:kern w:val="0"/>
          <w:szCs w:val="24"/>
          <w:lang w:eastAsia="en-GB" w:bidi="hi-IN"/>
          <w14:ligatures w14:val="none"/>
        </w:rPr>
        <w:t>PLOS ONE</w:t>
      </w:r>
      <w:r w:rsidRPr="00B10792">
        <w:rPr>
          <w:rFonts w:eastAsia="Times New Roman" w:cs="Times New Roman"/>
          <w:color w:val="000000"/>
          <w:kern w:val="0"/>
          <w:szCs w:val="24"/>
          <w:lang w:eastAsia="en-GB" w:bidi="hi-IN"/>
          <w14:ligatures w14:val="none"/>
        </w:rPr>
        <w:t>. Edited by C. Stamov Roßnagel, 17(9), p. e0272597. Available at: https://doi.org/10.1371/journal.pone.0272597.</w:t>
      </w:r>
    </w:p>
    <w:p w14:paraId="0D1602B9"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Poon, Y.-S.R., Lin, Y.P., Griffiths, P., Yong, K.K., Seah, B. and Liaw, S.Y. (2022) ‘A global overview of healthcare workers” turnover intention amid COVID-19 pandemic: A systematic review with future directions’, </w:t>
      </w:r>
      <w:r w:rsidRPr="00B10792">
        <w:rPr>
          <w:rFonts w:eastAsia="Times New Roman" w:cs="Times New Roman"/>
          <w:i/>
          <w:iCs/>
          <w:color w:val="000000"/>
          <w:kern w:val="0"/>
          <w:szCs w:val="24"/>
          <w:lang w:eastAsia="en-GB" w:bidi="hi-IN"/>
          <w14:ligatures w14:val="none"/>
        </w:rPr>
        <w:t>Human Resources for Health</w:t>
      </w:r>
      <w:r w:rsidRPr="00B10792">
        <w:rPr>
          <w:rFonts w:eastAsia="Times New Roman" w:cs="Times New Roman"/>
          <w:color w:val="000000"/>
          <w:kern w:val="0"/>
          <w:szCs w:val="24"/>
          <w:lang w:eastAsia="en-GB" w:bidi="hi-IN"/>
          <w14:ligatures w14:val="none"/>
        </w:rPr>
        <w:t>, 20(1). Available at: https://doi.org/10.1186/s12960-022-00764-7.</w:t>
      </w:r>
    </w:p>
    <w:p w14:paraId="2073324D" w14:textId="1315DD78"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Poulose, S. and Sudarsan, N. (2017) ‘Assessing the influence of work-life balance dimensions among nurses in the healthcare sector’, </w:t>
      </w:r>
      <w:r w:rsidRPr="00B10792">
        <w:rPr>
          <w:rFonts w:eastAsia="Times New Roman" w:cs="Times New Roman"/>
          <w:i/>
          <w:iCs/>
          <w:color w:val="000000"/>
          <w:kern w:val="0"/>
          <w:szCs w:val="24"/>
          <w:lang w:eastAsia="en-GB" w:bidi="hi-IN"/>
          <w14:ligatures w14:val="none"/>
        </w:rPr>
        <w:t>Journal of Management Development</w:t>
      </w:r>
      <w:r w:rsidRPr="00B10792">
        <w:rPr>
          <w:rFonts w:eastAsia="Times New Roman" w:cs="Times New Roman"/>
          <w:color w:val="000000"/>
          <w:kern w:val="0"/>
          <w:szCs w:val="24"/>
          <w:lang w:eastAsia="en-GB" w:bidi="hi-IN"/>
          <w14:ligatures w14:val="none"/>
        </w:rPr>
        <w:t>, 36(3), pp. 427</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437. Available at: https://doi.org/10.1108/jmd-12-2015-0188.</w:t>
      </w:r>
    </w:p>
    <w:p w14:paraId="7E5D6532" w14:textId="05E4835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Powell, M., Dawson, J., Topakas, A., Durose, J. and Fewtrell, C. (2014) ‘Staff satisfaction and organisational performance: Evidence from a longitudinal secondary analysis of the NHS staff survey and outcome data’, </w:t>
      </w:r>
      <w:r w:rsidRPr="00B10792">
        <w:rPr>
          <w:rFonts w:eastAsia="Times New Roman" w:cs="Times New Roman"/>
          <w:i/>
          <w:iCs/>
          <w:color w:val="000000"/>
          <w:kern w:val="0"/>
          <w:szCs w:val="24"/>
          <w:lang w:eastAsia="en-GB" w:bidi="hi-IN"/>
          <w14:ligatures w14:val="none"/>
        </w:rPr>
        <w:t>Health Services and Delivery Research</w:t>
      </w:r>
      <w:r w:rsidRPr="00B10792">
        <w:rPr>
          <w:rFonts w:eastAsia="Times New Roman" w:cs="Times New Roman"/>
          <w:color w:val="000000"/>
          <w:kern w:val="0"/>
          <w:szCs w:val="24"/>
          <w:lang w:eastAsia="en-GB" w:bidi="hi-IN"/>
          <w14:ligatures w14:val="none"/>
        </w:rPr>
        <w:t>, 2(50),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306. Available at: https://doi.org/10.3310/hsdr02500.</w:t>
      </w:r>
    </w:p>
    <w:p w14:paraId="60003C5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Prabhu, S., Thomas, P. and Singh, H.B. (2026) ‘Impact of job stress and work-life balance on turnover intention among Indian healthcare workers’, </w:t>
      </w:r>
      <w:r w:rsidRPr="00B10792">
        <w:rPr>
          <w:rFonts w:eastAsia="Times New Roman" w:cs="Times New Roman"/>
          <w:i/>
          <w:iCs/>
          <w:color w:val="000000"/>
          <w:kern w:val="0"/>
          <w:szCs w:val="24"/>
          <w:lang w:eastAsia="en-GB" w:bidi="hi-IN"/>
          <w14:ligatures w14:val="none"/>
        </w:rPr>
        <w:t>Discover Public Health</w:t>
      </w:r>
      <w:r w:rsidRPr="00B10792">
        <w:rPr>
          <w:rFonts w:eastAsia="Times New Roman" w:cs="Times New Roman"/>
          <w:color w:val="000000"/>
          <w:kern w:val="0"/>
          <w:szCs w:val="24"/>
          <w:lang w:eastAsia="en-GB" w:bidi="hi-IN"/>
          <w14:ligatures w14:val="none"/>
        </w:rPr>
        <w:t>, 23(1). Available at: https://doi.org/10.1186/s12982-026-01426-y.</w:t>
      </w:r>
    </w:p>
    <w:p w14:paraId="04174473"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Pulido-Fuentes, M., González, L.A., Reneo, I.A., Cipriano-Crespo, C., Flores-Martos, J.A. and Santos, A.P. (2022) ‘Towards a liquid healthcare: Primary care organisational and management </w:t>
      </w:r>
      <w:r w:rsidRPr="00B10792">
        <w:rPr>
          <w:rFonts w:eastAsia="Times New Roman" w:cs="Times New Roman"/>
          <w:color w:val="000000"/>
          <w:kern w:val="0"/>
          <w:szCs w:val="24"/>
          <w:lang w:eastAsia="en-GB" w:bidi="hi-IN"/>
          <w14:ligatures w14:val="none"/>
        </w:rPr>
        <w:lastRenderedPageBreak/>
        <w:t>strategies during the COVID-19 pandemic - a qualitative study’,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22(1). Available at: https://doi.org/10.1186/s12913-022-07855-0.</w:t>
      </w:r>
    </w:p>
    <w:p w14:paraId="0BA9B2C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Punzalan, A.M.I. and Reyes, M.V.F. (2026) ‘The psychological dimension of employee turnover: Integrating exit interview insights with quantitative attrition data’, </w:t>
      </w:r>
      <w:r w:rsidRPr="00B10792">
        <w:rPr>
          <w:rFonts w:eastAsia="Times New Roman" w:cs="Times New Roman"/>
          <w:i/>
          <w:iCs/>
          <w:color w:val="000000"/>
          <w:kern w:val="0"/>
          <w:szCs w:val="24"/>
          <w:lang w:eastAsia="en-GB" w:bidi="hi-IN"/>
          <w14:ligatures w14:val="none"/>
        </w:rPr>
        <w:t xml:space="preserve">Journal of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ational Psychology</w:t>
      </w:r>
      <w:r w:rsidRPr="00B10792">
        <w:rPr>
          <w:rFonts w:eastAsia="Times New Roman" w:cs="Times New Roman"/>
          <w:color w:val="000000"/>
          <w:kern w:val="0"/>
          <w:szCs w:val="24"/>
          <w:lang w:eastAsia="en-GB" w:bidi="hi-IN"/>
          <w14:ligatures w14:val="none"/>
        </w:rPr>
        <w:t>, 26(1). Available at: https://doi.org/10.33423/34haws71.</w:t>
      </w:r>
    </w:p>
    <w:p w14:paraId="083BCB8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Rathi, S. and Kumar, P. (2023) ‘A study of the mediating effect of work stress on work-life conflict and turnover intention in the private higher education sector in India’, </w:t>
      </w:r>
      <w:r w:rsidRPr="00B10792">
        <w:rPr>
          <w:rFonts w:eastAsia="Times New Roman" w:cs="Times New Roman"/>
          <w:i/>
          <w:iCs/>
          <w:color w:val="000000"/>
          <w:kern w:val="0"/>
          <w:szCs w:val="24"/>
          <w:lang w:eastAsia="en-GB" w:bidi="hi-IN"/>
          <w14:ligatures w14:val="none"/>
        </w:rPr>
        <w:t>Rupkatha Journal on Interdisciplinary Studies in Humanities</w:t>
      </w:r>
      <w:r w:rsidRPr="00B10792">
        <w:rPr>
          <w:rFonts w:eastAsia="Times New Roman" w:cs="Times New Roman"/>
          <w:color w:val="000000"/>
          <w:kern w:val="0"/>
          <w:szCs w:val="24"/>
          <w:lang w:eastAsia="en-GB" w:bidi="hi-IN"/>
          <w14:ligatures w14:val="none"/>
        </w:rPr>
        <w:t>, 15(2). Available at: https://doi.org/10.21659/rupkatha.v15n2.24.</w:t>
      </w:r>
    </w:p>
    <w:p w14:paraId="78FB5746"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Rosemarino, N.M. (2026) ‘Hybrid work enablement: A conservation of resources perspective on flexibility, logistical support, and supervisory relationships’, </w:t>
      </w:r>
      <w:r w:rsidRPr="00B10792">
        <w:rPr>
          <w:rFonts w:eastAsia="Times New Roman" w:cs="Times New Roman"/>
          <w:i/>
          <w:iCs/>
          <w:color w:val="000000"/>
          <w:kern w:val="0"/>
          <w:szCs w:val="24"/>
          <w:lang w:eastAsia="en-GB" w:bidi="hi-IN"/>
          <w14:ligatures w14:val="none"/>
        </w:rPr>
        <w:t xml:space="preserve">The Journal of Applied </w:t>
      </w:r>
      <w:r w:rsidR="002330B6">
        <w:rPr>
          <w:rFonts w:eastAsia="Times New Roman" w:cs="Times New Roman"/>
          <w:i/>
          <w:iCs/>
          <w:color w:val="000000"/>
          <w:kern w:val="0"/>
          <w:szCs w:val="24"/>
          <w:lang w:eastAsia="en-GB" w:bidi="hi-IN"/>
          <w14:ligatures w14:val="none"/>
        </w:rPr>
        <w:t>Behaviour</w:t>
      </w:r>
      <w:r w:rsidRPr="00B10792">
        <w:rPr>
          <w:rFonts w:eastAsia="Times New Roman" w:cs="Times New Roman"/>
          <w:i/>
          <w:iCs/>
          <w:color w:val="000000"/>
          <w:kern w:val="0"/>
          <w:szCs w:val="24"/>
          <w:lang w:eastAsia="en-GB" w:bidi="hi-IN"/>
          <w14:ligatures w14:val="none"/>
        </w:rPr>
        <w:t>al Science</w:t>
      </w:r>
      <w:r w:rsidRPr="00B10792">
        <w:rPr>
          <w:rFonts w:eastAsia="Times New Roman" w:cs="Times New Roman"/>
          <w:color w:val="000000"/>
          <w:kern w:val="0"/>
          <w:szCs w:val="24"/>
          <w:lang w:eastAsia="en-GB" w:bidi="hi-IN"/>
          <w14:ligatures w14:val="none"/>
        </w:rPr>
        <w:t> . Available at: https://doi.org/10.1177/00218863261446968.</w:t>
      </w:r>
    </w:p>
    <w:p w14:paraId="5D500DD7" w14:textId="45C1E8CD"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Roskams, M., McNeely, E., Weziak-Bialowolska, D. and Bialowolski, P. (2021) ‘Job demands-resources model’, </w:t>
      </w:r>
      <w:r w:rsidRPr="00B10792">
        <w:rPr>
          <w:rFonts w:eastAsia="Times New Roman" w:cs="Times New Roman"/>
          <w:i/>
          <w:iCs/>
          <w:color w:val="000000"/>
          <w:kern w:val="0"/>
          <w:szCs w:val="24"/>
          <w:lang w:eastAsia="en-GB" w:bidi="hi-IN"/>
          <w14:ligatures w14:val="none"/>
        </w:rPr>
        <w:t>A Handbook of Theories on Designing Alignment between People and the Office Environment</w:t>
      </w:r>
      <w:r w:rsidRPr="00B10792">
        <w:rPr>
          <w:rFonts w:eastAsia="Times New Roman" w:cs="Times New Roman"/>
          <w:color w:val="000000"/>
          <w:kern w:val="0"/>
          <w:szCs w:val="24"/>
          <w:lang w:eastAsia="en-GB" w:bidi="hi-IN"/>
          <w14:ligatures w14:val="none"/>
        </w:rPr>
        <w:t>, pp. 27</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38.</w:t>
      </w:r>
    </w:p>
    <w:p w14:paraId="632FE338" w14:textId="754B75D0"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Rotenstein, L.S., Brown, R., Sinsky, C. and Linzer, M. (2023) ‘The association of work overload with burnout and intent to leave the job across the healthcare workforce during COVID-19’, </w:t>
      </w:r>
      <w:r w:rsidRPr="00B10792">
        <w:rPr>
          <w:rFonts w:eastAsia="Times New Roman" w:cs="Times New Roman"/>
          <w:i/>
          <w:iCs/>
          <w:color w:val="000000"/>
          <w:kern w:val="0"/>
          <w:szCs w:val="24"/>
          <w:lang w:eastAsia="en-GB" w:bidi="hi-IN"/>
          <w14:ligatures w14:val="none"/>
        </w:rPr>
        <w:t>Journal of General Internal Medicine</w:t>
      </w:r>
      <w:r w:rsidRPr="00B10792">
        <w:rPr>
          <w:rFonts w:eastAsia="Times New Roman" w:cs="Times New Roman"/>
          <w:color w:val="000000"/>
          <w:kern w:val="0"/>
          <w:szCs w:val="24"/>
          <w:lang w:eastAsia="en-GB" w:bidi="hi-IN"/>
          <w14:ligatures w14:val="none"/>
        </w:rPr>
        <w:t>, 38(8), pp. 1920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1927. Available at: https://doi.org/10.1007/s11606-023-08153-z.</w:t>
      </w:r>
    </w:p>
    <w:p w14:paraId="3F2CCDA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Rozo, L. and Erazo, G.E.C. (2024) ‘Quality of work life for health professions in Colombia’s adult critical care: An integrative analysis’,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24(1). Available at: https://doi.org/10.1186/s12913-024-10780-z.</w:t>
      </w:r>
    </w:p>
    <w:p w14:paraId="34DB937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Sandberg, H.M., Landstad, B.J., Tjulin, Å. and Brulin, E. (2023) ‘COVID-19- related work, managerial factors and exhaustion among general practitioners in Sweden: A cross-sectional study’, </w:t>
      </w:r>
      <w:r w:rsidRPr="00B10792">
        <w:rPr>
          <w:rFonts w:eastAsia="Times New Roman" w:cs="Times New Roman"/>
          <w:i/>
          <w:iCs/>
          <w:color w:val="000000"/>
          <w:kern w:val="0"/>
          <w:szCs w:val="24"/>
          <w:lang w:eastAsia="en-GB" w:bidi="hi-IN"/>
          <w14:ligatures w14:val="none"/>
        </w:rPr>
        <w:t>BMC Primary Care</w:t>
      </w:r>
      <w:r w:rsidRPr="00B10792">
        <w:rPr>
          <w:rFonts w:eastAsia="Times New Roman" w:cs="Times New Roman"/>
          <w:color w:val="000000"/>
          <w:kern w:val="0"/>
          <w:szCs w:val="24"/>
          <w:lang w:eastAsia="en-GB" w:bidi="hi-IN"/>
          <w14:ligatures w14:val="none"/>
        </w:rPr>
        <w:t>, 24(1). Available at: https://doi.org/10.1186/s12875-023-02228-w.</w:t>
      </w:r>
    </w:p>
    <w:p w14:paraId="66B4C40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Saunders, M., Thornhill, A. and Lewis, P. (2023) </w:t>
      </w:r>
      <w:r w:rsidRPr="00B10792">
        <w:rPr>
          <w:rFonts w:eastAsia="Times New Roman" w:cs="Times New Roman"/>
          <w:i/>
          <w:iCs/>
          <w:color w:val="000000"/>
          <w:kern w:val="0"/>
          <w:szCs w:val="24"/>
          <w:lang w:eastAsia="en-GB" w:bidi="hi-IN"/>
          <w14:ligatures w14:val="none"/>
        </w:rPr>
        <w:t>Research Methods for Business Students</w:t>
      </w:r>
      <w:r w:rsidRPr="00B10792">
        <w:rPr>
          <w:rFonts w:eastAsia="Times New Roman" w:cs="Times New Roman"/>
          <w:color w:val="000000"/>
          <w:kern w:val="0"/>
          <w:szCs w:val="24"/>
          <w:lang w:eastAsia="en-GB" w:bidi="hi-IN"/>
          <w14:ligatures w14:val="none"/>
        </w:rPr>
        <w:t>. 9th edn. Pearson Education.</w:t>
      </w:r>
    </w:p>
    <w:p w14:paraId="3FD0EFD3" w14:textId="1E54EE4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Sehanovic, L., HADZIAHMETOVIC, N. and SEHANOVIC, A. (2025) ‘The role of support mechanisms in reducing burnout and turnover intention: A study of healthcare professionals’, </w:t>
      </w:r>
      <w:r w:rsidRPr="00B10792">
        <w:rPr>
          <w:rFonts w:eastAsia="Times New Roman" w:cs="Times New Roman"/>
          <w:i/>
          <w:iCs/>
          <w:color w:val="000000"/>
          <w:kern w:val="0"/>
          <w:szCs w:val="24"/>
          <w:lang w:eastAsia="en-GB" w:bidi="hi-IN"/>
          <w14:ligatures w14:val="none"/>
        </w:rPr>
        <w:t>Eurasian Journal of Business and Economics</w:t>
      </w:r>
      <w:r w:rsidRPr="00B10792">
        <w:rPr>
          <w:rFonts w:eastAsia="Times New Roman" w:cs="Times New Roman"/>
          <w:color w:val="000000"/>
          <w:kern w:val="0"/>
          <w:szCs w:val="24"/>
          <w:lang w:eastAsia="en-GB" w:bidi="hi-IN"/>
          <w14:ligatures w14:val="none"/>
        </w:rPr>
        <w:t>, 18(35), pp. 53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73. Available at: https://doi.org/10.17015/ejbe.2025.035.03.</w:t>
      </w:r>
    </w:p>
    <w:p w14:paraId="4D8D3CBB" w14:textId="6A57695A"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Sexton, J.B., Schwartz, S.P., Chadwick, W.A., Rehder, K.J., Bae, J., Bokovoy, J., Doram, K., Sotile, W., Adair, K.C. and Profit, J. (2016) ‘The associations between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behaviours, teamwork climate and safety climate: Cross-sectional survey introducing the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climate scale, psychometric properties, benchmarking data and future directions’, </w:t>
      </w:r>
      <w:r w:rsidRPr="00B10792">
        <w:rPr>
          <w:rFonts w:eastAsia="Times New Roman" w:cs="Times New Roman"/>
          <w:i/>
          <w:iCs/>
          <w:color w:val="000000"/>
          <w:kern w:val="0"/>
          <w:szCs w:val="24"/>
          <w:lang w:eastAsia="en-GB" w:bidi="hi-IN"/>
          <w14:ligatures w14:val="none"/>
        </w:rPr>
        <w:t>BMJ Quality &amp; Safety</w:t>
      </w:r>
      <w:r w:rsidRPr="00B10792">
        <w:rPr>
          <w:rFonts w:eastAsia="Times New Roman" w:cs="Times New Roman"/>
          <w:color w:val="000000"/>
          <w:kern w:val="0"/>
          <w:szCs w:val="24"/>
          <w:lang w:eastAsia="en-GB" w:bidi="hi-IN"/>
          <w14:ligatures w14:val="none"/>
        </w:rPr>
        <w:t>, 26(8), pp. 632</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640. Available at: https://doi.org/10.1136/bmjqs-2016-006032.</w:t>
      </w:r>
    </w:p>
    <w:p w14:paraId="3E5FABEC"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Sharkey, J. and Caska, B. (2020) ‘Work-life balance versus work-life merge: A comparative and thematic analysis of workplace well-being’, </w:t>
      </w:r>
      <w:r w:rsidRPr="00B10792">
        <w:rPr>
          <w:rFonts w:eastAsia="Times New Roman" w:cs="Times New Roman"/>
          <w:i/>
          <w:iCs/>
          <w:color w:val="000000"/>
          <w:kern w:val="0"/>
          <w:szCs w:val="24"/>
          <w:lang w:eastAsia="en-GB" w:bidi="hi-IN"/>
          <w14:ligatures w14:val="none"/>
        </w:rPr>
        <w:t>DBS Business Review</w:t>
      </w:r>
      <w:r w:rsidRPr="00B10792">
        <w:rPr>
          <w:rFonts w:eastAsia="Times New Roman" w:cs="Times New Roman"/>
          <w:color w:val="000000"/>
          <w:kern w:val="0"/>
          <w:szCs w:val="24"/>
          <w:lang w:eastAsia="en-GB" w:bidi="hi-IN"/>
          <w14:ligatures w14:val="none"/>
        </w:rPr>
        <w:t>, 3. Available at: https://doi.org/10.22375/dbr.v3i0.59.</w:t>
      </w:r>
    </w:p>
    <w:p w14:paraId="77535C57" w14:textId="3BDC1A16"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Shetu, S.H., Akter, F., Mostarin, M.M. and Nasrin, S. (2025) ‘From stress to exit: Can work-life balance pull employees back? A JD-R perspective’, </w:t>
      </w:r>
      <w:r w:rsidRPr="00B10792">
        <w:rPr>
          <w:rFonts w:eastAsia="Times New Roman" w:cs="Times New Roman"/>
          <w:i/>
          <w:iCs/>
          <w:color w:val="000000"/>
          <w:kern w:val="0"/>
          <w:szCs w:val="24"/>
          <w:lang w:eastAsia="en-GB" w:bidi="hi-IN"/>
          <w14:ligatures w14:val="none"/>
        </w:rPr>
        <w:t>Journal of Human Resource and Sustainability Studies</w:t>
      </w:r>
      <w:r w:rsidRPr="00B10792">
        <w:rPr>
          <w:rFonts w:eastAsia="Times New Roman" w:cs="Times New Roman"/>
          <w:color w:val="000000"/>
          <w:kern w:val="0"/>
          <w:szCs w:val="24"/>
          <w:lang w:eastAsia="en-GB" w:bidi="hi-IN"/>
          <w14:ligatures w14:val="none"/>
        </w:rPr>
        <w:t>, 13(04), pp. 665</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686. Available at: https://doi.org/10.4236/jhrss.2025.134032.</w:t>
      </w:r>
    </w:p>
    <w:p w14:paraId="540A6D1D" w14:textId="3AE973C9"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Simkin, S., Chamberland-Rowe, C. and Bourgeault, I.L. (2024) ‘Key considerations in health workforce planning’, </w:t>
      </w:r>
      <w:r w:rsidRPr="00B10792">
        <w:rPr>
          <w:rFonts w:eastAsia="Times New Roman" w:cs="Times New Roman"/>
          <w:i/>
          <w:iCs/>
          <w:color w:val="000000"/>
          <w:kern w:val="0"/>
          <w:szCs w:val="24"/>
          <w:lang w:eastAsia="en-GB" w:bidi="hi-IN"/>
          <w14:ligatures w14:val="none"/>
        </w:rPr>
        <w:t>Edward Elgar Publishing eBooks</w:t>
      </w:r>
      <w:r w:rsidRPr="00B10792">
        <w:rPr>
          <w:rFonts w:eastAsia="Times New Roman" w:cs="Times New Roman"/>
          <w:color w:val="000000"/>
          <w:kern w:val="0"/>
          <w:szCs w:val="24"/>
          <w:lang w:eastAsia="en-GB" w:bidi="hi-IN"/>
          <w14:ligatures w14:val="none"/>
        </w:rPr>
        <w:t>, pp. 181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199. Available at: https://doi.org/10.4337/9781802205718.00020.</w:t>
      </w:r>
    </w:p>
    <w:p w14:paraId="2F08E6F3" w14:textId="3F98F17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Singh, R., Dwivedi, A., Singh, A., Siddiqui, F. and Perwej, Dr.Y. (2026) ‘Code complexity patterns for mental health risk prediction by using artificial intelligence and machine learning’, </w:t>
      </w:r>
      <w:r w:rsidRPr="00B10792">
        <w:rPr>
          <w:rFonts w:eastAsia="Times New Roman" w:cs="Times New Roman"/>
          <w:i/>
          <w:iCs/>
          <w:color w:val="000000"/>
          <w:kern w:val="0"/>
          <w:szCs w:val="24"/>
          <w:lang w:eastAsia="en-GB" w:bidi="hi-IN"/>
          <w14:ligatures w14:val="none"/>
        </w:rPr>
        <w:t>International Journal of Scientific Research in Computer Science, Engineering and Information Technology</w:t>
      </w:r>
      <w:r w:rsidRPr="00B10792">
        <w:rPr>
          <w:rFonts w:eastAsia="Times New Roman" w:cs="Times New Roman"/>
          <w:color w:val="000000"/>
          <w:kern w:val="0"/>
          <w:szCs w:val="24"/>
          <w:lang w:eastAsia="en-GB" w:bidi="hi-IN"/>
          <w14:ligatures w14:val="none"/>
        </w:rPr>
        <w:t>, 12(2), pp. 570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600. Available at: https://doi.org/10.32628/cseit26121386.</w:t>
      </w:r>
    </w:p>
    <w:p w14:paraId="0390C3F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Sirgy, M.J., Joshanloo, M. and Yu, G.B. (2024) ‘How does work-life conflict influence wellbeing outcomes? A test of a mediating mechanism using data from 33 European countries’, </w:t>
      </w:r>
      <w:r w:rsidRPr="00B10792">
        <w:rPr>
          <w:rFonts w:eastAsia="Times New Roman" w:cs="Times New Roman"/>
          <w:i/>
          <w:iCs/>
          <w:color w:val="000000"/>
          <w:kern w:val="0"/>
          <w:szCs w:val="24"/>
          <w:lang w:eastAsia="en-GB" w:bidi="hi-IN"/>
          <w14:ligatures w14:val="none"/>
        </w:rPr>
        <w:t>Applied Research in Quality of Life</w:t>
      </w:r>
      <w:r w:rsidRPr="00B10792">
        <w:rPr>
          <w:rFonts w:eastAsia="Times New Roman" w:cs="Times New Roman"/>
          <w:color w:val="000000"/>
          <w:kern w:val="0"/>
          <w:szCs w:val="24"/>
          <w:lang w:eastAsia="en-GB" w:bidi="hi-IN"/>
          <w14:ligatures w14:val="none"/>
        </w:rPr>
        <w:t> . Available at: https://doi.org/10.1007/s11482-024-10401-1.</w:t>
      </w:r>
    </w:p>
    <w:p w14:paraId="63BA5303"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Steinmetz, S., Vries, D.H. de and Tijdens, K.G. (2014) ‘Should I stay or should I go? The impact of working time and wages on retention in the health workforce’, </w:t>
      </w:r>
      <w:r w:rsidRPr="00B10792">
        <w:rPr>
          <w:rFonts w:eastAsia="Times New Roman" w:cs="Times New Roman"/>
          <w:i/>
          <w:iCs/>
          <w:color w:val="000000"/>
          <w:kern w:val="0"/>
          <w:szCs w:val="24"/>
          <w:lang w:eastAsia="en-GB" w:bidi="hi-IN"/>
          <w14:ligatures w14:val="none"/>
        </w:rPr>
        <w:t>Human Resources for Health</w:t>
      </w:r>
      <w:r w:rsidRPr="00B10792">
        <w:rPr>
          <w:rFonts w:eastAsia="Times New Roman" w:cs="Times New Roman"/>
          <w:color w:val="000000"/>
          <w:kern w:val="0"/>
          <w:szCs w:val="24"/>
          <w:lang w:eastAsia="en-GB" w:bidi="hi-IN"/>
          <w14:ligatures w14:val="none"/>
        </w:rPr>
        <w:t>, 12(1). Available at: https://doi.org/10.1186/1478-4491-12-23.</w:t>
      </w:r>
    </w:p>
    <w:p w14:paraId="7E0F7F17" w14:textId="17AA911D"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Tavakol, M. and Dennick, R. (2011) ‘Making sense of Cronbach’s alpha’, </w:t>
      </w:r>
      <w:r w:rsidRPr="00B10792">
        <w:rPr>
          <w:rFonts w:eastAsia="Times New Roman" w:cs="Times New Roman"/>
          <w:i/>
          <w:iCs/>
          <w:color w:val="000000"/>
          <w:kern w:val="0"/>
          <w:szCs w:val="24"/>
          <w:lang w:eastAsia="en-GB" w:bidi="hi-IN"/>
          <w14:ligatures w14:val="none"/>
        </w:rPr>
        <w:t>International Journal of Medical Education</w:t>
      </w:r>
      <w:r w:rsidRPr="00B10792">
        <w:rPr>
          <w:rFonts w:eastAsia="Times New Roman" w:cs="Times New Roman"/>
          <w:color w:val="000000"/>
          <w:kern w:val="0"/>
          <w:szCs w:val="24"/>
          <w:lang w:eastAsia="en-GB" w:bidi="hi-IN"/>
          <w14:ligatures w14:val="none"/>
        </w:rPr>
        <w:t>, 2(2), pp. 53</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55. Available at: https://doi.org/10.5116/ijme.4dfb.8dfd.</w:t>
      </w:r>
    </w:p>
    <w:p w14:paraId="338B8FDD"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Tremblay, M.A. and Messervey, D. (2011) ‘The job demands-resources model: Further evidence for the buffering effect of personal resources’, </w:t>
      </w:r>
      <w:r w:rsidRPr="00B10792">
        <w:rPr>
          <w:rFonts w:eastAsia="Times New Roman" w:cs="Times New Roman"/>
          <w:i/>
          <w:iCs/>
          <w:color w:val="000000"/>
          <w:kern w:val="0"/>
          <w:szCs w:val="24"/>
          <w:lang w:eastAsia="en-GB" w:bidi="hi-IN"/>
          <w14:ligatures w14:val="none"/>
        </w:rPr>
        <w:t>SA Journal of Industrial Psychology</w:t>
      </w:r>
      <w:r w:rsidRPr="00B10792">
        <w:rPr>
          <w:rFonts w:eastAsia="Times New Roman" w:cs="Times New Roman"/>
          <w:color w:val="000000"/>
          <w:kern w:val="0"/>
          <w:szCs w:val="24"/>
          <w:lang w:eastAsia="en-GB" w:bidi="hi-IN"/>
          <w14:ligatures w14:val="none"/>
        </w:rPr>
        <w:t>, 37(2). Available at: https://doi.org/10.4102/sajip.v37i2.876.</w:t>
      </w:r>
    </w:p>
    <w:p w14:paraId="0C1AEA8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Tucker, M.K., Jimmieson, N.L. and Walsh, A.J. (2016) ‘Examination of the “demand trifecta” in the context of healthcare: A multi- sample examination’, </w:t>
      </w:r>
      <w:r w:rsidRPr="00B10792">
        <w:rPr>
          <w:rFonts w:eastAsia="Times New Roman" w:cs="Times New Roman"/>
          <w:i/>
          <w:iCs/>
          <w:color w:val="000000"/>
          <w:kern w:val="0"/>
          <w:szCs w:val="24"/>
          <w:lang w:eastAsia="en-GB" w:bidi="hi-IN"/>
          <w14:ligatures w14:val="none"/>
        </w:rPr>
        <w:t>Academy of Management Proceedings</w:t>
      </w:r>
      <w:r w:rsidRPr="00B10792">
        <w:rPr>
          <w:rFonts w:eastAsia="Times New Roman" w:cs="Times New Roman"/>
          <w:color w:val="000000"/>
          <w:kern w:val="0"/>
          <w:szCs w:val="24"/>
          <w:lang w:eastAsia="en-GB" w:bidi="hi-IN"/>
          <w14:ligatures w14:val="none"/>
        </w:rPr>
        <w:t>, 2016(1), p. 13751. Available at: https://doi.org/10.5465/ambpp.2016.13751abstract.</w:t>
      </w:r>
    </w:p>
    <w:p w14:paraId="7FA3FD5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UK Government (2018) </w:t>
      </w:r>
      <w:r w:rsidRPr="00B10792">
        <w:rPr>
          <w:rFonts w:eastAsia="Times New Roman" w:cs="Times New Roman"/>
          <w:i/>
          <w:iCs/>
          <w:color w:val="000000"/>
          <w:kern w:val="0"/>
          <w:szCs w:val="24"/>
          <w:lang w:eastAsia="en-GB" w:bidi="hi-IN"/>
          <w14:ligatures w14:val="none"/>
        </w:rPr>
        <w:t>Data protection act</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Gov.uk</w:t>
      </w:r>
      <w:r w:rsidRPr="00B10792">
        <w:rPr>
          <w:rFonts w:eastAsia="Times New Roman" w:cs="Times New Roman"/>
          <w:color w:val="000000"/>
          <w:kern w:val="0"/>
          <w:szCs w:val="24"/>
          <w:lang w:eastAsia="en-GB" w:bidi="hi-IN"/>
          <w14:ligatures w14:val="none"/>
        </w:rPr>
        <w:t>. www.gov.uk. Available at: https://www.gov.uk/data-protection (Accessed: 3 August 2026).</w:t>
      </w:r>
    </w:p>
    <w:p w14:paraId="513A79DF" w14:textId="71A84B5E"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Urban, A., Agus, M., Aru, N., Corona, F., Cantone, E., Cortese, C.G. and Marcello Nonnis (2024) ‘Double-duty caregiving, burnout, job satisfaction, and the sustainability of the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among Italian healthcare workers: A descriptive study’, </w:t>
      </w:r>
      <w:r w:rsidRPr="00B10792">
        <w:rPr>
          <w:rFonts w:eastAsia="Times New Roman" w:cs="Times New Roman"/>
          <w:i/>
          <w:iCs/>
          <w:color w:val="000000"/>
          <w:kern w:val="0"/>
          <w:szCs w:val="24"/>
          <w:lang w:eastAsia="en-GB" w:bidi="hi-IN"/>
          <w14:ligatures w14:val="none"/>
        </w:rPr>
        <w:t>Sustainability</w:t>
      </w:r>
      <w:r w:rsidRPr="00B10792">
        <w:rPr>
          <w:rFonts w:eastAsia="Times New Roman" w:cs="Times New Roman"/>
          <w:color w:val="000000"/>
          <w:kern w:val="0"/>
          <w:szCs w:val="24"/>
          <w:lang w:eastAsia="en-GB" w:bidi="hi-IN"/>
          <w14:ligatures w14:val="none"/>
        </w:rPr>
        <w:t>, 17(1), pp. 39</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39. Available at: https://doi.org/10.3390/su17010039.</w:t>
      </w:r>
    </w:p>
    <w:p w14:paraId="4B6251AD" w14:textId="6686FFC1"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van den Broek, A., Bruins, D. and de Vroege, L. (2025) ‘Staff retention: A tough challenge in (mental) health care. The opinion of the (mental) healthcare professional’, </w:t>
      </w:r>
      <w:r w:rsidRPr="00B10792">
        <w:rPr>
          <w:rFonts w:eastAsia="Times New Roman" w:cs="Times New Roman"/>
          <w:i/>
          <w:iCs/>
          <w:color w:val="000000"/>
          <w:kern w:val="0"/>
          <w:szCs w:val="24"/>
          <w:lang w:eastAsia="en-GB" w:bidi="hi-IN"/>
          <w14:ligatures w14:val="none"/>
        </w:rPr>
        <w:t>Psychology</w:t>
      </w:r>
      <w:r w:rsidRPr="00B10792">
        <w:rPr>
          <w:rFonts w:eastAsia="Times New Roman" w:cs="Times New Roman"/>
          <w:color w:val="000000"/>
          <w:kern w:val="0"/>
          <w:szCs w:val="24"/>
          <w:lang w:eastAsia="en-GB" w:bidi="hi-IN"/>
          <w14:ligatures w14:val="none"/>
        </w:rPr>
        <w:t>, 16(08), pp. 1004</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1018. Available at: https://doi.org/10.4236/psych.2025.168056.</w:t>
      </w:r>
    </w:p>
    <w:p w14:paraId="15E448B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Walker, P. (2025) </w:t>
      </w:r>
      <w:r w:rsidRPr="00B10792">
        <w:rPr>
          <w:rFonts w:eastAsia="Times New Roman" w:cs="Times New Roman"/>
          <w:i/>
          <w:iCs/>
          <w:color w:val="000000"/>
          <w:kern w:val="0"/>
          <w:szCs w:val="24"/>
          <w:lang w:eastAsia="en-GB" w:bidi="hi-IN"/>
          <w14:ligatures w14:val="none"/>
        </w:rPr>
        <w:t>Spending on agency staff across NHS in England drops by almost £1bn</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the Guardian</w:t>
      </w:r>
      <w:r w:rsidRPr="00B10792">
        <w:rPr>
          <w:rFonts w:eastAsia="Times New Roman" w:cs="Times New Roman"/>
          <w:color w:val="000000"/>
          <w:kern w:val="0"/>
          <w:szCs w:val="24"/>
          <w:lang w:eastAsia="en-GB" w:bidi="hi-IN"/>
          <w14:ligatures w14:val="none"/>
        </w:rPr>
        <w:t>. The Guardian. Available at: https://www.theguardian.com/society/2025/jun/02/spending-on-agency-staff-across-nhs-england-drops-by-almost-1bn (Accessed: 18 July 2026).</w:t>
      </w:r>
    </w:p>
    <w:p w14:paraId="71C77444"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Wang, H., Jin, Y., Wang, D., Zhao, S., Sang, X. and Yuan, B. (2020) ‘Job satisfaction, burnout, and turnover intention among primary care providers in rural China: Results from structural </w:t>
      </w:r>
      <w:r w:rsidRPr="00B10792">
        <w:rPr>
          <w:rFonts w:eastAsia="Times New Roman" w:cs="Times New Roman"/>
          <w:color w:val="000000"/>
          <w:kern w:val="0"/>
          <w:szCs w:val="24"/>
          <w:lang w:eastAsia="en-GB" w:bidi="hi-IN"/>
          <w14:ligatures w14:val="none"/>
        </w:rPr>
        <w:lastRenderedPageBreak/>
        <w:t>equation modeling’, </w:t>
      </w:r>
      <w:r w:rsidRPr="00B10792">
        <w:rPr>
          <w:rFonts w:eastAsia="Times New Roman" w:cs="Times New Roman"/>
          <w:i/>
          <w:iCs/>
          <w:color w:val="000000"/>
          <w:kern w:val="0"/>
          <w:szCs w:val="24"/>
          <w:lang w:eastAsia="en-GB" w:bidi="hi-IN"/>
          <w14:ligatures w14:val="none"/>
        </w:rPr>
        <w:t>BMC Family Practice</w:t>
      </w:r>
      <w:r w:rsidRPr="00B10792">
        <w:rPr>
          <w:rFonts w:eastAsia="Times New Roman" w:cs="Times New Roman"/>
          <w:color w:val="000000"/>
          <w:kern w:val="0"/>
          <w:szCs w:val="24"/>
          <w:lang w:eastAsia="en-GB" w:bidi="hi-IN"/>
          <w14:ligatures w14:val="none"/>
        </w:rPr>
        <w:t>, 21(1). Available at: https://doi.org/10.1186/s12875-020-1083-8.</w:t>
      </w:r>
    </w:p>
    <w:p w14:paraId="0BC44D57"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Wang, H., Zhang, Y., Cui, X., Liu, B., Niu, D., Yan, T., Zhang, H., Wang, L. and Li, J. (2025) ‘The occupational stress check and assessment questionnaire: Development, validity, and reliability’, </w:t>
      </w:r>
      <w:r w:rsidRPr="00B10792">
        <w:rPr>
          <w:rFonts w:eastAsia="Times New Roman" w:cs="Times New Roman"/>
          <w:i/>
          <w:iCs/>
          <w:color w:val="000000"/>
          <w:kern w:val="0"/>
          <w:szCs w:val="24"/>
          <w:lang w:eastAsia="en-GB" w:bidi="hi-IN"/>
          <w14:ligatures w14:val="none"/>
        </w:rPr>
        <w:t>BMC Public Health</w:t>
      </w:r>
      <w:r w:rsidRPr="00B10792">
        <w:rPr>
          <w:rFonts w:eastAsia="Times New Roman" w:cs="Times New Roman"/>
          <w:color w:val="000000"/>
          <w:kern w:val="0"/>
          <w:szCs w:val="24"/>
          <w:lang w:eastAsia="en-GB" w:bidi="hi-IN"/>
          <w14:ligatures w14:val="none"/>
        </w:rPr>
        <w:t>, 26(1). Available at: https://doi.org/10.1186/s12889-025-24713-w.</w:t>
      </w:r>
    </w:p>
    <w:p w14:paraId="04D7C72B"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Wen, Z., Xu, J., Yu, J., Huang, X. and Ni, Y. (2023) ‘Effects of work-family conflict on turnover intention among primary medical staff in Huaihai Economic Zone: A mediation model through burnout’, </w:t>
      </w:r>
      <w:r w:rsidRPr="00B10792">
        <w:rPr>
          <w:rFonts w:eastAsia="Times New Roman" w:cs="Times New Roman"/>
          <w:i/>
          <w:iCs/>
          <w:color w:val="000000"/>
          <w:kern w:val="0"/>
          <w:szCs w:val="24"/>
          <w:lang w:eastAsia="en-GB" w:bidi="hi-IN"/>
          <w14:ligatures w14:val="none"/>
        </w:rPr>
        <w:t>Frontiers in Psychiatry</w:t>
      </w:r>
      <w:r w:rsidRPr="00B10792">
        <w:rPr>
          <w:rFonts w:eastAsia="Times New Roman" w:cs="Times New Roman"/>
          <w:color w:val="000000"/>
          <w:kern w:val="0"/>
          <w:szCs w:val="24"/>
          <w:lang w:eastAsia="en-GB" w:bidi="hi-IN"/>
          <w14:ligatures w14:val="none"/>
        </w:rPr>
        <w:t>, 14. Available at: https://doi.org/10.3389/fpsyt.2023.1238315.</w:t>
      </w:r>
    </w:p>
    <w:p w14:paraId="650077D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West, M. and Wallbank, S. (2024) </w:t>
      </w:r>
      <w:r w:rsidRPr="00B10792">
        <w:rPr>
          <w:rFonts w:eastAsia="Times New Roman" w:cs="Times New Roman"/>
          <w:i/>
          <w:iCs/>
          <w:color w:val="000000"/>
          <w:kern w:val="0"/>
          <w:szCs w:val="24"/>
          <w:lang w:eastAsia="en-GB" w:bidi="hi-IN"/>
          <w14:ligatures w14:val="none"/>
        </w:rPr>
        <w:t>What does the NHS staff survey 2024 really tell us?</w:t>
      </w:r>
      <w:r w:rsidRPr="00B10792">
        <w:rPr>
          <w:rFonts w:eastAsia="Times New Roman" w:cs="Times New Roman"/>
          <w:color w:val="000000"/>
          <w:kern w:val="0"/>
          <w:szCs w:val="24"/>
          <w:lang w:eastAsia="en-GB" w:bidi="hi-IN"/>
          <w14:ligatures w14:val="none"/>
        </w:rPr>
        <w:t>, </w:t>
      </w:r>
      <w:r w:rsidRPr="00B10792">
        <w:rPr>
          <w:rFonts w:eastAsia="Times New Roman" w:cs="Times New Roman"/>
          <w:i/>
          <w:iCs/>
          <w:color w:val="000000"/>
          <w:kern w:val="0"/>
          <w:szCs w:val="24"/>
          <w:lang w:eastAsia="en-GB" w:bidi="hi-IN"/>
          <w14:ligatures w14:val="none"/>
        </w:rPr>
        <w:t>Kings Fund Insights and Analysis</w:t>
      </w:r>
      <w:r w:rsidRPr="00B10792">
        <w:rPr>
          <w:rFonts w:eastAsia="Times New Roman" w:cs="Times New Roman"/>
          <w:color w:val="000000"/>
          <w:kern w:val="0"/>
          <w:szCs w:val="24"/>
          <w:lang w:eastAsia="en-GB" w:bidi="hi-IN"/>
          <w14:ligatures w14:val="none"/>
        </w:rPr>
        <w:t>. Available at: https://www.kingsfund.org.uk/insight-and-analysis/blogs/nhs-staff-survey-2024-tell-us (Accessed: 29 June 2026).</w:t>
      </w:r>
    </w:p>
    <w:p w14:paraId="5E01536F"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Weyman, A., Glendinning, R. and O’Hara, R. (2026) ‘Impact of redeployment on healthcare staff well-being and retention: A survey of staff in the UK national health service’, </w:t>
      </w:r>
      <w:r w:rsidRPr="00B10792">
        <w:rPr>
          <w:rFonts w:eastAsia="Times New Roman" w:cs="Times New Roman"/>
          <w:i/>
          <w:iCs/>
          <w:color w:val="000000"/>
          <w:kern w:val="0"/>
          <w:szCs w:val="24"/>
          <w:lang w:eastAsia="en-GB" w:bidi="hi-IN"/>
          <w14:ligatures w14:val="none"/>
        </w:rPr>
        <w:t>BMJ Open</w:t>
      </w:r>
      <w:r w:rsidRPr="00B10792">
        <w:rPr>
          <w:rFonts w:eastAsia="Times New Roman" w:cs="Times New Roman"/>
          <w:color w:val="000000"/>
          <w:kern w:val="0"/>
          <w:szCs w:val="24"/>
          <w:lang w:eastAsia="en-GB" w:bidi="hi-IN"/>
          <w14:ligatures w14:val="none"/>
        </w:rPr>
        <w:t>, 16(2), pp. e107785-e107785. Available at: https://doi.org/10.1136/bmjopen-2025-107785.</w:t>
      </w:r>
    </w:p>
    <w:p w14:paraId="73EAA03D"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Weyman, A., O’Hara, R., Nolan, P., Glendinning, R., Roy, D. and Coster, J. (2023) ‘Determining the relative salience of recognised push variables on health professional decisions to leave the UK National Health Service (NHS) using the method of paired comparisons’, </w:t>
      </w:r>
      <w:r w:rsidRPr="00B10792">
        <w:rPr>
          <w:rFonts w:eastAsia="Times New Roman" w:cs="Times New Roman"/>
          <w:i/>
          <w:iCs/>
          <w:color w:val="000000"/>
          <w:kern w:val="0"/>
          <w:szCs w:val="24"/>
          <w:lang w:eastAsia="en-GB" w:bidi="hi-IN"/>
          <w14:ligatures w14:val="none"/>
        </w:rPr>
        <w:t>BMJ Open</w:t>
      </w:r>
      <w:r w:rsidRPr="00B10792">
        <w:rPr>
          <w:rFonts w:eastAsia="Times New Roman" w:cs="Times New Roman"/>
          <w:color w:val="000000"/>
          <w:kern w:val="0"/>
          <w:szCs w:val="24"/>
          <w:lang w:eastAsia="en-GB" w:bidi="hi-IN"/>
          <w14:ligatures w14:val="none"/>
        </w:rPr>
        <w:t>, 13(8), p. e070016. Available at: https://doi.org/10.1136/bmjopen-2022-070016.</w:t>
      </w:r>
    </w:p>
    <w:p w14:paraId="0B1238FA" w14:textId="1A472E83"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Weyman, A.K., O’Hara, R., Glendinning, R., Roy, D. and Coster, J.E. (2026) ‘Framing effects in factors influencing health professional staff decisions to leave or stay working in the UK national health service’, </w:t>
      </w:r>
      <w:r w:rsidRPr="00B10792">
        <w:rPr>
          <w:rFonts w:eastAsia="Times New Roman" w:cs="Times New Roman"/>
          <w:i/>
          <w:iCs/>
          <w:color w:val="000000"/>
          <w:kern w:val="0"/>
          <w:szCs w:val="24"/>
          <w:lang w:eastAsia="en-GB" w:bidi="hi-IN"/>
          <w14:ligatures w14:val="none"/>
        </w:rPr>
        <w:t xml:space="preserve">Journal of Health </w:t>
      </w:r>
      <w:r w:rsidR="002330B6">
        <w:rPr>
          <w:rFonts w:eastAsia="Times New Roman" w:cs="Times New Roman"/>
          <w:i/>
          <w:iCs/>
          <w:color w:val="000000"/>
          <w:kern w:val="0"/>
          <w:szCs w:val="24"/>
          <w:lang w:eastAsia="en-GB" w:bidi="hi-IN"/>
          <w14:ligatures w14:val="none"/>
        </w:rPr>
        <w:t>Organis</w:t>
      </w:r>
      <w:r w:rsidRPr="00B10792">
        <w:rPr>
          <w:rFonts w:eastAsia="Times New Roman" w:cs="Times New Roman"/>
          <w:i/>
          <w:iCs/>
          <w:color w:val="000000"/>
          <w:kern w:val="0"/>
          <w:szCs w:val="24"/>
          <w:lang w:eastAsia="en-GB" w:bidi="hi-IN"/>
          <w14:ligatures w14:val="none"/>
        </w:rPr>
        <w:t>ation and Management</w:t>
      </w:r>
      <w:r w:rsidRPr="00B10792">
        <w:rPr>
          <w:rFonts w:eastAsia="Times New Roman" w:cs="Times New Roman"/>
          <w:color w:val="000000"/>
          <w:kern w:val="0"/>
          <w:szCs w:val="24"/>
          <w:lang w:eastAsia="en-GB" w:bidi="hi-IN"/>
          <w14:ligatures w14:val="none"/>
        </w:rPr>
        <w:t>, 40(9), pp. 131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152. Available at: https://doi.org/10.1108/jhom-10-2025-0638.</w:t>
      </w:r>
    </w:p>
    <w:p w14:paraId="55208930"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William, A. (2024) ‘Delving into the principles and application of positivism in research: A guide for scholars’, </w:t>
      </w:r>
      <w:r w:rsidRPr="00B10792">
        <w:rPr>
          <w:rFonts w:eastAsia="Times New Roman" w:cs="Times New Roman"/>
          <w:i/>
          <w:iCs/>
          <w:color w:val="000000"/>
          <w:kern w:val="0"/>
          <w:szCs w:val="24"/>
          <w:lang w:eastAsia="en-GB" w:bidi="hi-IN"/>
          <w14:ligatures w14:val="none"/>
        </w:rPr>
        <w:t>International Journal of Research Publications</w:t>
      </w:r>
      <w:r w:rsidRPr="00B10792">
        <w:rPr>
          <w:rFonts w:eastAsia="Times New Roman" w:cs="Times New Roman"/>
          <w:color w:val="000000"/>
          <w:kern w:val="0"/>
          <w:szCs w:val="24"/>
          <w:lang w:eastAsia="en-GB" w:bidi="hi-IN"/>
          <w14:ligatures w14:val="none"/>
        </w:rPr>
        <w:t>, 146(1). Available at: https://doi.org/10.47119/ijrp1001461420246237.</w:t>
      </w:r>
    </w:p>
    <w:p w14:paraId="5C3BE362" w14:textId="42A743F6"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lastRenderedPageBreak/>
        <w:t>Willis, G., Cave, S. and Kunc, M. (2018) ‘Strategic workforce planning in healthcare: A multi-methodology approach’, </w:t>
      </w:r>
      <w:r w:rsidRPr="00B10792">
        <w:rPr>
          <w:rFonts w:eastAsia="Times New Roman" w:cs="Times New Roman"/>
          <w:i/>
          <w:iCs/>
          <w:color w:val="000000"/>
          <w:kern w:val="0"/>
          <w:szCs w:val="24"/>
          <w:lang w:eastAsia="en-GB" w:bidi="hi-IN"/>
          <w14:ligatures w14:val="none"/>
        </w:rPr>
        <w:t>European Journal of Operational Research</w:t>
      </w:r>
      <w:r w:rsidRPr="00B10792">
        <w:rPr>
          <w:rFonts w:eastAsia="Times New Roman" w:cs="Times New Roman"/>
          <w:color w:val="000000"/>
          <w:kern w:val="0"/>
          <w:szCs w:val="24"/>
          <w:lang w:eastAsia="en-GB" w:bidi="hi-IN"/>
          <w14:ligatures w14:val="none"/>
        </w:rPr>
        <w:t>, 267(1), pp. 250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263. Available at: https://doi.org/10.1016/j.ejor.2017.11.008.</w:t>
      </w:r>
    </w:p>
    <w:p w14:paraId="008F047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Witter, S., Hamza, M.M., Alazemi, N., Alluhidan, M., Alghaith, T. and Herbst, C.H. (2020) ‘Human resources for health interventions in high- and middle-income countries: Findings of an evidence review’, </w:t>
      </w:r>
      <w:r w:rsidRPr="00B10792">
        <w:rPr>
          <w:rFonts w:eastAsia="Times New Roman" w:cs="Times New Roman"/>
          <w:i/>
          <w:iCs/>
          <w:color w:val="000000"/>
          <w:kern w:val="0"/>
          <w:szCs w:val="24"/>
          <w:lang w:eastAsia="en-GB" w:bidi="hi-IN"/>
          <w14:ligatures w14:val="none"/>
        </w:rPr>
        <w:t>Human Resources for Health</w:t>
      </w:r>
      <w:r w:rsidRPr="00B10792">
        <w:rPr>
          <w:rFonts w:eastAsia="Times New Roman" w:cs="Times New Roman"/>
          <w:color w:val="000000"/>
          <w:kern w:val="0"/>
          <w:szCs w:val="24"/>
          <w:lang w:eastAsia="en-GB" w:bidi="hi-IN"/>
          <w14:ligatures w14:val="none"/>
        </w:rPr>
        <w:t>, 18(1). Available at: https://doi.org/10.1186/s12960-020-00484-w.</w:t>
      </w:r>
    </w:p>
    <w:p w14:paraId="09ABF9BE"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Xueying, L., Xiaoping, K., Chunhua, C., Xicheng, W., Meixia, S., Guopeng, Z., Chang, G. and Zihan, P. (2025) ‘Basics of designing and steps of implementing cross-sectional studies in general practice and primary care’, </w:t>
      </w:r>
      <w:r w:rsidRPr="00B10792">
        <w:rPr>
          <w:rFonts w:eastAsia="Times New Roman" w:cs="Times New Roman"/>
          <w:i/>
          <w:iCs/>
          <w:color w:val="000000"/>
          <w:kern w:val="0"/>
          <w:szCs w:val="24"/>
          <w:lang w:eastAsia="en-GB" w:bidi="hi-IN"/>
          <w14:ligatures w14:val="none"/>
        </w:rPr>
        <w:t>Chinese General Practice Journal</w:t>
      </w:r>
      <w:r w:rsidRPr="00B10792">
        <w:rPr>
          <w:rFonts w:eastAsia="Times New Roman" w:cs="Times New Roman"/>
          <w:color w:val="000000"/>
          <w:kern w:val="0"/>
          <w:szCs w:val="24"/>
          <w:lang w:eastAsia="en-GB" w:bidi="hi-IN"/>
          <w14:ligatures w14:val="none"/>
        </w:rPr>
        <w:t>, 2(2), p. 100064. Available at: https://doi.org/10.1016/j.cgpj.2025.100064.</w:t>
      </w:r>
    </w:p>
    <w:p w14:paraId="2598A8B2" w14:textId="42900DE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Yilmaz, S. and Soyukz, S. (2022) ‘Determination of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in healthcare professionals: Validity and reliability of the new work</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life balance scale’, </w:t>
      </w:r>
      <w:r w:rsidRPr="00B10792">
        <w:rPr>
          <w:rFonts w:eastAsia="Times New Roman" w:cs="Times New Roman"/>
          <w:i/>
          <w:iCs/>
          <w:color w:val="000000"/>
          <w:kern w:val="0"/>
          <w:szCs w:val="24"/>
          <w:lang w:eastAsia="en-GB" w:bidi="hi-IN"/>
          <w14:ligatures w14:val="none"/>
        </w:rPr>
        <w:t>Archives of Health Science and Research</w:t>
      </w:r>
      <w:r w:rsidRPr="00B10792">
        <w:rPr>
          <w:rFonts w:eastAsia="Times New Roman" w:cs="Times New Roman"/>
          <w:color w:val="000000"/>
          <w:kern w:val="0"/>
          <w:szCs w:val="24"/>
          <w:lang w:eastAsia="en-GB" w:bidi="hi-IN"/>
          <w14:ligatures w14:val="none"/>
        </w:rPr>
        <w:t>, 9(2), pp. 130</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137. Available at: https://doi.org/10.54614/archealthscires.2022.22025.</w:t>
      </w:r>
    </w:p>
    <w:p w14:paraId="6C8C7C41" w14:textId="0BBCA6B4"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Zaheer, S., Ginsburg, L., Wong, H.J., Thomson, K., Bain, L. and Wulffhart, Z. (2021) ‘Acute care nurses” perceptions of leadership, teamwork, turnover intention and patient safety </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 xml:space="preserve"> a mixed methods study’, </w:t>
      </w:r>
      <w:r w:rsidRPr="00B10792">
        <w:rPr>
          <w:rFonts w:eastAsia="Times New Roman" w:cs="Times New Roman"/>
          <w:i/>
          <w:iCs/>
          <w:color w:val="000000"/>
          <w:kern w:val="0"/>
          <w:szCs w:val="24"/>
          <w:lang w:eastAsia="en-GB" w:bidi="hi-IN"/>
          <w14:ligatures w14:val="none"/>
        </w:rPr>
        <w:t>BMC Nursing</w:t>
      </w:r>
      <w:r w:rsidRPr="00B10792">
        <w:rPr>
          <w:rFonts w:eastAsia="Times New Roman" w:cs="Times New Roman"/>
          <w:color w:val="000000"/>
          <w:kern w:val="0"/>
          <w:szCs w:val="24"/>
          <w:lang w:eastAsia="en-GB" w:bidi="hi-IN"/>
          <w14:ligatures w14:val="none"/>
        </w:rPr>
        <w:t>, 20(1), pp. 1</w:t>
      </w:r>
      <w:r w:rsidR="00ED0AC5">
        <w:rPr>
          <w:rFonts w:eastAsia="Times New Roman" w:cs="Times New Roman"/>
          <w:color w:val="000000"/>
          <w:kern w:val="0"/>
          <w:szCs w:val="24"/>
          <w:lang w:eastAsia="en-GB" w:bidi="hi-IN"/>
          <w14:ligatures w14:val="none"/>
        </w:rPr>
        <w:t>-</w:t>
      </w:r>
      <w:r w:rsidRPr="00B10792">
        <w:rPr>
          <w:rFonts w:eastAsia="Times New Roman" w:cs="Times New Roman"/>
          <w:color w:val="000000"/>
          <w:kern w:val="0"/>
          <w:szCs w:val="24"/>
          <w:lang w:eastAsia="en-GB" w:bidi="hi-IN"/>
          <w14:ligatures w14:val="none"/>
        </w:rPr>
        <w:t>14. Available at: https://doi.org/10.1186/s12912-021-00652-w.</w:t>
      </w:r>
    </w:p>
    <w:p w14:paraId="6487CC06"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Zhang, Y. and Feng, X. (2011) ‘The relationship between job satisfaction, burnout, and turnover intention among physicians from urban state-owned medical institutions in Hubei, China: A cross-sectional study’, </w:t>
      </w:r>
      <w:r w:rsidRPr="00B10792">
        <w:rPr>
          <w:rFonts w:eastAsia="Times New Roman" w:cs="Times New Roman"/>
          <w:i/>
          <w:iCs/>
          <w:color w:val="000000"/>
          <w:kern w:val="0"/>
          <w:szCs w:val="24"/>
          <w:lang w:eastAsia="en-GB" w:bidi="hi-IN"/>
          <w14:ligatures w14:val="none"/>
        </w:rPr>
        <w:t>BMC Health Services Research</w:t>
      </w:r>
      <w:r w:rsidRPr="00B10792">
        <w:rPr>
          <w:rFonts w:eastAsia="Times New Roman" w:cs="Times New Roman"/>
          <w:color w:val="000000"/>
          <w:kern w:val="0"/>
          <w:szCs w:val="24"/>
          <w:lang w:eastAsia="en-GB" w:bidi="hi-IN"/>
          <w14:ligatures w14:val="none"/>
        </w:rPr>
        <w:t>, 11(1). Available at: https://doi.org/10.1186/1472-6963-11-235.</w:t>
      </w:r>
    </w:p>
    <w:p w14:paraId="48AAF4E5"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Zhou, H. and Chen, J. (2021) ‘How does psychological empowerment prevent emotional exhaustion? Psychological safety and </w:t>
      </w:r>
      <w:r w:rsidR="002330B6">
        <w:rPr>
          <w:rFonts w:eastAsia="Times New Roman" w:cs="Times New Roman"/>
          <w:color w:val="000000"/>
          <w:kern w:val="0"/>
          <w:szCs w:val="24"/>
          <w:lang w:eastAsia="en-GB" w:bidi="hi-IN"/>
          <w14:ligatures w14:val="none"/>
        </w:rPr>
        <w:t>organis</w:t>
      </w:r>
      <w:r w:rsidRPr="00B10792">
        <w:rPr>
          <w:rFonts w:eastAsia="Times New Roman" w:cs="Times New Roman"/>
          <w:color w:val="000000"/>
          <w:kern w:val="0"/>
          <w:szCs w:val="24"/>
          <w:lang w:eastAsia="en-GB" w:bidi="hi-IN"/>
          <w14:ligatures w14:val="none"/>
        </w:rPr>
        <w:t>ational embeddedness as mediators’, </w:t>
      </w:r>
      <w:r w:rsidRPr="00B10792">
        <w:rPr>
          <w:rFonts w:eastAsia="Times New Roman" w:cs="Times New Roman"/>
          <w:i/>
          <w:iCs/>
          <w:color w:val="000000"/>
          <w:kern w:val="0"/>
          <w:szCs w:val="24"/>
          <w:lang w:eastAsia="en-GB" w:bidi="hi-IN"/>
          <w14:ligatures w14:val="none"/>
        </w:rPr>
        <w:t>Frontiers in Psychology</w:t>
      </w:r>
      <w:r w:rsidRPr="00B10792">
        <w:rPr>
          <w:rFonts w:eastAsia="Times New Roman" w:cs="Times New Roman"/>
          <w:color w:val="000000"/>
          <w:kern w:val="0"/>
          <w:szCs w:val="24"/>
          <w:lang w:eastAsia="en-GB" w:bidi="hi-IN"/>
          <w14:ligatures w14:val="none"/>
        </w:rPr>
        <w:t>, 12. Available at: https://doi.org/10.3389/fpsyg.2021.546687.</w:t>
      </w:r>
    </w:p>
    <w:p w14:paraId="6181D28D" w14:textId="77777777" w:rsidR="00B10792" w:rsidRPr="00B10792" w:rsidRDefault="00B10792" w:rsidP="00ED0AC5">
      <w:pPr>
        <w:spacing w:after="240" w:line="360" w:lineRule="auto"/>
        <w:rPr>
          <w:rFonts w:eastAsia="Times New Roman" w:cs="Times New Roman"/>
          <w:color w:val="000000"/>
          <w:kern w:val="0"/>
          <w:szCs w:val="24"/>
          <w:lang w:eastAsia="en-GB" w:bidi="hi-IN"/>
          <w14:ligatures w14:val="none"/>
        </w:rPr>
      </w:pPr>
      <w:r w:rsidRPr="00B10792">
        <w:rPr>
          <w:rFonts w:eastAsia="Times New Roman" w:cs="Times New Roman"/>
          <w:color w:val="000000"/>
          <w:kern w:val="0"/>
          <w:szCs w:val="24"/>
          <w:lang w:eastAsia="en-GB" w:bidi="hi-IN"/>
          <w14:ligatures w14:val="none"/>
        </w:rPr>
        <w:t xml:space="preserve">Zhou, J., Yang, Y., Qiu, X., Yang, X., Pan, H., Ban, B., Qiao, Z., Wang, L. and Wang, W. (2016) ‘Relationship between anxiety and burnout among Chinese physicians: A moderated </w:t>
      </w:r>
      <w:r w:rsidRPr="00B10792">
        <w:rPr>
          <w:rFonts w:eastAsia="Times New Roman" w:cs="Times New Roman"/>
          <w:color w:val="000000"/>
          <w:kern w:val="0"/>
          <w:szCs w:val="24"/>
          <w:lang w:eastAsia="en-GB" w:bidi="hi-IN"/>
          <w14:ligatures w14:val="none"/>
        </w:rPr>
        <w:lastRenderedPageBreak/>
        <w:t>mediation model’, </w:t>
      </w:r>
      <w:r w:rsidRPr="00B10792">
        <w:rPr>
          <w:rFonts w:eastAsia="Times New Roman" w:cs="Times New Roman"/>
          <w:i/>
          <w:iCs/>
          <w:color w:val="000000"/>
          <w:kern w:val="0"/>
          <w:szCs w:val="24"/>
          <w:lang w:eastAsia="en-GB" w:bidi="hi-IN"/>
          <w14:ligatures w14:val="none"/>
        </w:rPr>
        <w:t>PLOS ONE</w:t>
      </w:r>
      <w:r w:rsidRPr="00B10792">
        <w:rPr>
          <w:rFonts w:eastAsia="Times New Roman" w:cs="Times New Roman"/>
          <w:color w:val="000000"/>
          <w:kern w:val="0"/>
          <w:szCs w:val="24"/>
          <w:lang w:eastAsia="en-GB" w:bidi="hi-IN"/>
          <w14:ligatures w14:val="none"/>
        </w:rPr>
        <w:t>. Edited by J.G. Scott, 11(8), p. e0157013. Available at: https://doi.org/10.1371/journal.pone.0157013.</w:t>
      </w:r>
    </w:p>
    <w:p w14:paraId="4C775180" w14:textId="77777777" w:rsidR="001C46C3" w:rsidRPr="00B10792" w:rsidRDefault="001C46C3">
      <w:pPr>
        <w:spacing w:line="240" w:lineRule="auto"/>
        <w:jc w:val="left"/>
        <w:rPr>
          <w:rFonts w:cs="Times New Roman"/>
        </w:rPr>
      </w:pPr>
      <w:r w:rsidRPr="00B10792">
        <w:rPr>
          <w:rFonts w:cs="Times New Roman"/>
        </w:rPr>
        <w:br w:type="page"/>
      </w:r>
    </w:p>
    <w:p w14:paraId="187E7305" w14:textId="2BB71077" w:rsidR="001C46C3" w:rsidRPr="00B10792" w:rsidRDefault="001C46C3" w:rsidP="001C46C3">
      <w:pPr>
        <w:pStyle w:val="Heading1"/>
        <w:rPr>
          <w:rFonts w:cs="Times New Roman"/>
        </w:rPr>
      </w:pPr>
      <w:bookmarkStart w:id="80" w:name="_Toc240913087"/>
      <w:r w:rsidRPr="00B10792">
        <w:rPr>
          <w:rFonts w:cs="Times New Roman"/>
        </w:rPr>
        <w:lastRenderedPageBreak/>
        <w:t>Appendi</w:t>
      </w:r>
      <w:r w:rsidR="00ED0AC5">
        <w:rPr>
          <w:rFonts w:cs="Times New Roman"/>
        </w:rPr>
        <w:t>ces</w:t>
      </w:r>
      <w:bookmarkEnd w:id="80"/>
    </w:p>
    <w:p w14:paraId="460F4049" w14:textId="71BF1486" w:rsidR="001C46C3" w:rsidRPr="00B10792" w:rsidRDefault="00ED0AC5" w:rsidP="00ED0AC5">
      <w:pPr>
        <w:pStyle w:val="Heading2"/>
      </w:pPr>
      <w:bookmarkStart w:id="81" w:name="_Toc240872633"/>
      <w:bookmarkStart w:id="82" w:name="_Toc240913088"/>
      <w:r>
        <w:t>Appendix-A:</w:t>
      </w:r>
      <w:r w:rsidR="001C46C3" w:rsidRPr="00B10792">
        <w:t xml:space="preserve"> Research Structure</w:t>
      </w:r>
      <w:bookmarkEnd w:id="81"/>
      <w:bookmarkEnd w:id="82"/>
    </w:p>
    <w:tbl>
      <w:tblPr>
        <w:tblStyle w:val="TableGrid"/>
        <w:tblW w:w="0" w:type="auto"/>
        <w:tblLook w:val="04A0" w:firstRow="1" w:lastRow="0" w:firstColumn="1" w:lastColumn="0" w:noHBand="0" w:noVBand="1"/>
      </w:tblPr>
      <w:tblGrid>
        <w:gridCol w:w="1934"/>
        <w:gridCol w:w="7082"/>
      </w:tblGrid>
      <w:tr w:rsidR="001C46C3" w:rsidRPr="00B10792" w14:paraId="31AE074A" w14:textId="77777777" w:rsidTr="00255207">
        <w:tc>
          <w:tcPr>
            <w:tcW w:w="0" w:type="auto"/>
            <w:hideMark/>
          </w:tcPr>
          <w:p w14:paraId="52221692"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b/>
                <w:bCs/>
                <w:color w:val="auto"/>
                <w:kern w:val="0"/>
                <w:szCs w:val="24"/>
                <w:lang w:eastAsia="en-GB" w:bidi="hi-IN"/>
                <w14:ligatures w14:val="none"/>
              </w:rPr>
              <w:t>Chapter</w:t>
            </w:r>
          </w:p>
        </w:tc>
        <w:tc>
          <w:tcPr>
            <w:tcW w:w="0" w:type="auto"/>
            <w:hideMark/>
          </w:tcPr>
          <w:p w14:paraId="00C8C805"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b/>
                <w:bCs/>
                <w:color w:val="auto"/>
                <w:kern w:val="0"/>
                <w:szCs w:val="24"/>
                <w:lang w:eastAsia="en-GB" w:bidi="hi-IN"/>
                <w14:ligatures w14:val="none"/>
              </w:rPr>
              <w:t>Core Content</w:t>
            </w:r>
          </w:p>
        </w:tc>
      </w:tr>
      <w:tr w:rsidR="001C46C3" w:rsidRPr="00B10792" w14:paraId="67D8F21C" w14:textId="77777777" w:rsidTr="00255207">
        <w:tc>
          <w:tcPr>
            <w:tcW w:w="0" w:type="auto"/>
            <w:hideMark/>
          </w:tcPr>
          <w:p w14:paraId="7C5A6072"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1. Introduction</w:t>
            </w:r>
          </w:p>
        </w:tc>
        <w:tc>
          <w:tcPr>
            <w:tcW w:w="0" w:type="auto"/>
            <w:hideMark/>
          </w:tcPr>
          <w:p w14:paraId="3232F475"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Establishes the foundational background, clearly defines the urgent problem statement, outlines the comprehensive research rationale, and explicitly states the primary aims regarding NHS turnover.</w:t>
            </w:r>
          </w:p>
        </w:tc>
      </w:tr>
      <w:tr w:rsidR="001C46C3" w:rsidRPr="00B10792" w14:paraId="4A6A8492" w14:textId="77777777" w:rsidTr="00255207">
        <w:tc>
          <w:tcPr>
            <w:tcW w:w="0" w:type="auto"/>
            <w:hideMark/>
          </w:tcPr>
          <w:p w14:paraId="08CD1290"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2. Literature Review</w:t>
            </w:r>
          </w:p>
        </w:tc>
        <w:tc>
          <w:tcPr>
            <w:tcW w:w="0" w:type="auto"/>
            <w:hideMark/>
          </w:tcPr>
          <w:p w14:paraId="3E4DD17D"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Critically evaluates all contemporary literature, synthesises the established Job Demands-Resources framework, explores work-life conflict dimensions, and systematically identifies explicit empirical research gaps.</w:t>
            </w:r>
          </w:p>
        </w:tc>
      </w:tr>
      <w:tr w:rsidR="001C46C3" w:rsidRPr="00B10792" w14:paraId="41017D23" w14:textId="77777777" w:rsidTr="00255207">
        <w:tc>
          <w:tcPr>
            <w:tcW w:w="0" w:type="auto"/>
            <w:hideMark/>
          </w:tcPr>
          <w:p w14:paraId="736CBEE9"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3. Methodology</w:t>
            </w:r>
          </w:p>
        </w:tc>
        <w:tc>
          <w:tcPr>
            <w:tcW w:w="0" w:type="auto"/>
            <w:hideMark/>
          </w:tcPr>
          <w:p w14:paraId="2DE4E3BC"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Details the positivist philosophy, deductive approach, and quantitative cross-sectional survey design. Outlines the stratified purposive sampling strategy, psychometric instruments, and ethical protocols.</w:t>
            </w:r>
          </w:p>
        </w:tc>
      </w:tr>
      <w:tr w:rsidR="001C46C3" w:rsidRPr="00B10792" w14:paraId="0CD1055D" w14:textId="77777777" w:rsidTr="00255207">
        <w:tc>
          <w:tcPr>
            <w:tcW w:w="0" w:type="auto"/>
            <w:hideMark/>
          </w:tcPr>
          <w:p w14:paraId="712A7962"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4. Results</w:t>
            </w:r>
          </w:p>
        </w:tc>
        <w:tc>
          <w:tcPr>
            <w:tcW w:w="0" w:type="auto"/>
            <w:hideMark/>
          </w:tcPr>
          <w:p w14:paraId="057FA45C"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Presents comprehensive quantitative data analysis executed using IBM SPSS Statistics. Includes descriptive statistics, Pearson correlation matrices, and hierarchical multiple linear regression testing.</w:t>
            </w:r>
          </w:p>
        </w:tc>
      </w:tr>
      <w:tr w:rsidR="001C46C3" w:rsidRPr="00B10792" w14:paraId="252000DE" w14:textId="77777777" w:rsidTr="00255207">
        <w:tc>
          <w:tcPr>
            <w:tcW w:w="0" w:type="auto"/>
            <w:hideMark/>
          </w:tcPr>
          <w:p w14:paraId="49C76D24"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5. Discussion and Conclusion</w:t>
            </w:r>
          </w:p>
        </w:tc>
        <w:tc>
          <w:tcPr>
            <w:tcW w:w="0" w:type="auto"/>
            <w:hideMark/>
          </w:tcPr>
          <w:p w14:paraId="02B2EC4D" w14:textId="77777777" w:rsidR="001C46C3" w:rsidRPr="00B10792" w:rsidRDefault="001C46C3" w:rsidP="00255207">
            <w:pPr>
              <w:jc w:val="left"/>
              <w:rPr>
                <w:rFonts w:eastAsia="Times New Roman" w:cs="Times New Roman"/>
                <w:color w:val="auto"/>
                <w:kern w:val="0"/>
                <w:szCs w:val="24"/>
                <w:lang w:eastAsia="en-GB" w:bidi="hi-IN"/>
                <w14:ligatures w14:val="none"/>
              </w:rPr>
            </w:pPr>
            <w:r w:rsidRPr="00B10792">
              <w:rPr>
                <w:rFonts w:eastAsia="Times New Roman" w:cs="Times New Roman"/>
                <w:color w:val="auto"/>
                <w:kern w:val="0"/>
                <w:szCs w:val="24"/>
                <w:lang w:eastAsia="en-GB" w:bidi="hi-IN"/>
                <w14:ligatures w14:val="none"/>
              </w:rPr>
              <w:t>Interprets statistical findings against the theoretical framework, delivers actionable, evidence-based retention recommendations, acknowledges limitations, concludes.</w:t>
            </w:r>
          </w:p>
        </w:tc>
      </w:tr>
    </w:tbl>
    <w:p w14:paraId="57CE15A6" w14:textId="77777777" w:rsidR="001C46C3" w:rsidRPr="00B10792" w:rsidRDefault="001C46C3" w:rsidP="001C46C3">
      <w:pPr>
        <w:rPr>
          <w:rFonts w:cs="Times New Roman"/>
        </w:rPr>
      </w:pPr>
    </w:p>
    <w:p w14:paraId="18215959" w14:textId="77777777" w:rsidR="00DA1B4D" w:rsidRDefault="00DA1B4D">
      <w:pPr>
        <w:spacing w:line="240" w:lineRule="auto"/>
        <w:jc w:val="left"/>
        <w:rPr>
          <w:rFonts w:cs="Times New Roman"/>
        </w:rPr>
      </w:pPr>
      <w:r>
        <w:rPr>
          <w:rFonts w:cs="Times New Roman"/>
        </w:rPr>
        <w:br w:type="page"/>
      </w:r>
    </w:p>
    <w:p w14:paraId="526D6F37" w14:textId="72D8BC35" w:rsidR="00EC32C5" w:rsidRDefault="00DA1B4D" w:rsidP="00ED0AC5">
      <w:pPr>
        <w:pStyle w:val="Heading2"/>
      </w:pPr>
      <w:bookmarkStart w:id="83" w:name="_Toc240913089"/>
      <w:r>
        <w:lastRenderedPageBreak/>
        <w:t>Appendix</w:t>
      </w:r>
      <w:r w:rsidR="00ED0AC5">
        <w:t>-B: Ethics Form</w:t>
      </w:r>
      <w:bookmarkEnd w:id="83"/>
    </w:p>
    <w:p w14:paraId="4B50808C" w14:textId="27A31E8C" w:rsidR="00DA1B4D" w:rsidRDefault="00DA1B4D" w:rsidP="00DA1B4D"/>
    <w:bookmarkStart w:id="84" w:name="_MON_1851522284"/>
    <w:bookmarkEnd w:id="84"/>
    <w:p w14:paraId="7E35BD51" w14:textId="77777777" w:rsidR="00ED0AC5" w:rsidRDefault="00621FEF">
      <w:pPr>
        <w:spacing w:line="240" w:lineRule="auto"/>
        <w:jc w:val="left"/>
      </w:pPr>
      <w:r>
        <w:object w:dxaOrig="1520" w:dyaOrig="985" w14:anchorId="7CD05E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pt;height:49.45pt" o:ole="">
            <v:imagedata r:id="rId10" o:title=""/>
          </v:shape>
          <o:OLEObject Type="Embed" ProgID="Word.Document.12" ShapeID="_x0000_i1025" DrawAspect="Icon" ObjectID="_1851525780" r:id="rId11">
            <o:FieldCodes>\s</o:FieldCodes>
          </o:OLEObject>
        </w:object>
      </w:r>
    </w:p>
    <w:p w14:paraId="75E291DA" w14:textId="77777777" w:rsidR="00ED0AC5" w:rsidRDefault="00ED0AC5">
      <w:pPr>
        <w:spacing w:line="240" w:lineRule="auto"/>
        <w:jc w:val="left"/>
      </w:pPr>
    </w:p>
    <w:p w14:paraId="460E86E7" w14:textId="77777777" w:rsidR="00ED0AC5" w:rsidRDefault="00ED0AC5">
      <w:pPr>
        <w:spacing w:line="240" w:lineRule="auto"/>
        <w:jc w:val="left"/>
      </w:pPr>
    </w:p>
    <w:p w14:paraId="6A606674" w14:textId="10025F4B" w:rsidR="00DA1B4D" w:rsidRDefault="00DA1B4D">
      <w:pPr>
        <w:spacing w:line="240" w:lineRule="auto"/>
        <w:jc w:val="left"/>
      </w:pPr>
      <w:r>
        <w:br w:type="page"/>
      </w:r>
    </w:p>
    <w:p w14:paraId="0F476A0D" w14:textId="181B37BE" w:rsidR="00DA1B4D" w:rsidRPr="00DA1B4D" w:rsidRDefault="00DA1B4D" w:rsidP="00ED0AC5">
      <w:pPr>
        <w:pStyle w:val="Heading2"/>
      </w:pPr>
      <w:bookmarkStart w:id="85" w:name="_Toc240913090"/>
      <w:r>
        <w:lastRenderedPageBreak/>
        <w:t>Appendix</w:t>
      </w:r>
      <w:r w:rsidR="00ED0AC5">
        <w:t>-C: Survey and Data Files</w:t>
      </w:r>
      <w:bookmarkEnd w:id="85"/>
    </w:p>
    <w:p w14:paraId="6D69FB26" w14:textId="77777777" w:rsidR="00D17B96" w:rsidRPr="00B10792" w:rsidRDefault="00D17B96" w:rsidP="00D17B96">
      <w:pPr>
        <w:rPr>
          <w:rFonts w:cs="Times New Roman"/>
        </w:rPr>
      </w:pPr>
    </w:p>
    <w:bookmarkStart w:id="86" w:name="_MON_1851522329"/>
    <w:bookmarkEnd w:id="86"/>
    <w:p w14:paraId="23EC674B" w14:textId="77777777" w:rsidR="00ED0AC5" w:rsidRDefault="00621FEF">
      <w:pPr>
        <w:spacing w:line="240" w:lineRule="auto"/>
        <w:jc w:val="left"/>
      </w:pPr>
      <w:r>
        <w:object w:dxaOrig="1520" w:dyaOrig="985" w14:anchorId="0BCF2F73">
          <v:shape id="_x0000_i1026" type="#_x0000_t75" style="width:76.3pt;height:49.45pt" o:ole="">
            <v:imagedata r:id="rId12" o:title=""/>
          </v:shape>
          <o:OLEObject Type="Embed" ProgID="Word.Document.12" ShapeID="_x0000_i1026" DrawAspect="Icon" ObjectID="_1851525781" r:id="rId13">
            <o:FieldCodes>\s</o:FieldCodes>
          </o:OLEObject>
        </w:object>
      </w:r>
    </w:p>
    <w:p w14:paraId="1A896730" w14:textId="77777777" w:rsidR="00ED0AC5" w:rsidRDefault="00ED0AC5">
      <w:pPr>
        <w:spacing w:line="240" w:lineRule="auto"/>
        <w:jc w:val="left"/>
      </w:pPr>
    </w:p>
    <w:p w14:paraId="047C5DB4" w14:textId="77777777" w:rsidR="00ED0AC5" w:rsidRDefault="00ED0AC5">
      <w:pPr>
        <w:spacing w:line="240" w:lineRule="auto"/>
        <w:jc w:val="left"/>
      </w:pPr>
    </w:p>
    <w:p w14:paraId="45AD0E63" w14:textId="305D7145" w:rsidR="00621FEF" w:rsidRDefault="00621FEF" w:rsidP="00621FEF"/>
    <w:p w14:paraId="7B943490" w14:textId="77777777" w:rsidR="00621FEF" w:rsidRDefault="00621FEF" w:rsidP="00621FEF">
      <w:r>
        <w:object w:dxaOrig="1520" w:dyaOrig="985" w14:anchorId="37278A09">
          <v:shape id="_x0000_i1027" type="#_x0000_t75" style="width:76.3pt;height:49.45pt" o:ole="">
            <v:imagedata r:id="rId14" o:title=""/>
          </v:shape>
          <o:OLEObject Type="Embed" ProgID="Excel.Sheet.12" ShapeID="_x0000_i1027" DrawAspect="Icon" ObjectID="_1851525782" r:id="rId15"/>
        </w:object>
      </w:r>
    </w:p>
    <w:p w14:paraId="7FB16A34" w14:textId="77777777" w:rsidR="00621FEF" w:rsidRDefault="00621FEF" w:rsidP="00621FEF"/>
    <w:p w14:paraId="54444167" w14:textId="77777777" w:rsidR="00621FEF" w:rsidRPr="00B10792" w:rsidRDefault="00621FEF" w:rsidP="00621FEF">
      <w:pPr>
        <w:rPr>
          <w:rFonts w:cs="Times New Roman"/>
        </w:rPr>
      </w:pPr>
      <w:r>
        <w:object w:dxaOrig="1520" w:dyaOrig="985" w14:anchorId="02E73977">
          <v:shape id="_x0000_i1028" type="#_x0000_t75" style="width:76.3pt;height:49.45pt" o:ole="">
            <v:imagedata r:id="rId16" o:title=""/>
          </v:shape>
          <o:OLEObject Type="Embed" ProgID="Package" ShapeID="_x0000_i1028" DrawAspect="Icon" ObjectID="_1851525783" r:id="rId17"/>
        </w:object>
      </w:r>
    </w:p>
    <w:p w14:paraId="4AFF1724" w14:textId="77777777" w:rsidR="00621FEF" w:rsidRPr="00621FEF" w:rsidRDefault="00621FEF" w:rsidP="00621FEF"/>
    <w:sectPr w:rsidR="00621FEF" w:rsidRPr="00621FEF" w:rsidSect="00ED0AC5">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6EEF6" w14:textId="77777777" w:rsidR="00DB083F" w:rsidRDefault="00DB083F" w:rsidP="00ED0AC5">
      <w:pPr>
        <w:spacing w:line="240" w:lineRule="auto"/>
      </w:pPr>
      <w:r>
        <w:separator/>
      </w:r>
    </w:p>
  </w:endnote>
  <w:endnote w:type="continuationSeparator" w:id="0">
    <w:p w14:paraId="53C3A289" w14:textId="77777777" w:rsidR="00DB083F" w:rsidRDefault="00DB083F" w:rsidP="00ED0A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69688"/>
      <w:docPartObj>
        <w:docPartGallery w:val="Page Numbers (Bottom of Page)"/>
        <w:docPartUnique/>
      </w:docPartObj>
    </w:sdtPr>
    <w:sdtEndPr>
      <w:rPr>
        <w:noProof/>
      </w:rPr>
    </w:sdtEndPr>
    <w:sdtContent>
      <w:p w14:paraId="41B11A08" w14:textId="7E7936A3" w:rsidR="00ED0AC5" w:rsidRDefault="00ED0AC5" w:rsidP="00ED0A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3A58C" w14:textId="77777777" w:rsidR="00DB083F" w:rsidRDefault="00DB083F" w:rsidP="00ED0AC5">
      <w:pPr>
        <w:spacing w:line="240" w:lineRule="auto"/>
      </w:pPr>
      <w:r>
        <w:separator/>
      </w:r>
    </w:p>
  </w:footnote>
  <w:footnote w:type="continuationSeparator" w:id="0">
    <w:p w14:paraId="38780759" w14:textId="77777777" w:rsidR="00DB083F" w:rsidRDefault="00DB083F" w:rsidP="00ED0A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52E96"/>
    <w:multiLevelType w:val="multilevel"/>
    <w:tmpl w:val="C9660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B3483"/>
    <w:multiLevelType w:val="hybridMultilevel"/>
    <w:tmpl w:val="5B10E206"/>
    <w:lvl w:ilvl="0" w:tplc="08090001">
      <w:start w:val="1"/>
      <w:numFmt w:val="bullet"/>
      <w:lvlText w:val=""/>
      <w:lvlJc w:val="left"/>
      <w:pPr>
        <w:ind w:left="784"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17663AE"/>
    <w:multiLevelType w:val="hybridMultilevel"/>
    <w:tmpl w:val="9EAA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1E1326"/>
    <w:multiLevelType w:val="hybridMultilevel"/>
    <w:tmpl w:val="90EE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527B7"/>
    <w:multiLevelType w:val="multilevel"/>
    <w:tmpl w:val="9B32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DF637D"/>
    <w:multiLevelType w:val="hybridMultilevel"/>
    <w:tmpl w:val="061E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060778"/>
    <w:multiLevelType w:val="hybridMultilevel"/>
    <w:tmpl w:val="4B8A8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FA0181"/>
    <w:multiLevelType w:val="hybridMultilevel"/>
    <w:tmpl w:val="D276A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2436CA"/>
    <w:multiLevelType w:val="multilevel"/>
    <w:tmpl w:val="549A1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7E1EE3"/>
    <w:multiLevelType w:val="multilevel"/>
    <w:tmpl w:val="4810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4"/>
  </w:num>
  <w:num w:numId="4">
    <w:abstractNumId w:val="8"/>
  </w:num>
  <w:num w:numId="5">
    <w:abstractNumId w:val="6"/>
  </w:num>
  <w:num w:numId="6">
    <w:abstractNumId w:val="3"/>
  </w:num>
  <w:num w:numId="7">
    <w:abstractNumId w:val="9"/>
  </w:num>
  <w:num w:numId="8">
    <w:abstractNumId w:val="0"/>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A8"/>
    <w:rsid w:val="00025951"/>
    <w:rsid w:val="00052C62"/>
    <w:rsid w:val="000601BB"/>
    <w:rsid w:val="000750E3"/>
    <w:rsid w:val="0009686B"/>
    <w:rsid w:val="00097D19"/>
    <w:rsid w:val="000D465E"/>
    <w:rsid w:val="00173A57"/>
    <w:rsid w:val="00192772"/>
    <w:rsid w:val="001C46C3"/>
    <w:rsid w:val="001C6F04"/>
    <w:rsid w:val="001D75BC"/>
    <w:rsid w:val="00201274"/>
    <w:rsid w:val="002330B6"/>
    <w:rsid w:val="00235425"/>
    <w:rsid w:val="002471FF"/>
    <w:rsid w:val="002925A8"/>
    <w:rsid w:val="00340F99"/>
    <w:rsid w:val="00371EF3"/>
    <w:rsid w:val="00374D85"/>
    <w:rsid w:val="003C1491"/>
    <w:rsid w:val="003F4573"/>
    <w:rsid w:val="00405122"/>
    <w:rsid w:val="00421331"/>
    <w:rsid w:val="00422FE4"/>
    <w:rsid w:val="00444898"/>
    <w:rsid w:val="00460212"/>
    <w:rsid w:val="004656D2"/>
    <w:rsid w:val="00494405"/>
    <w:rsid w:val="004B0120"/>
    <w:rsid w:val="004C42EB"/>
    <w:rsid w:val="004C7AD0"/>
    <w:rsid w:val="0052322D"/>
    <w:rsid w:val="00541108"/>
    <w:rsid w:val="00560C48"/>
    <w:rsid w:val="00572106"/>
    <w:rsid w:val="00596B6A"/>
    <w:rsid w:val="005A3542"/>
    <w:rsid w:val="005B2A3D"/>
    <w:rsid w:val="005F1BCD"/>
    <w:rsid w:val="00604827"/>
    <w:rsid w:val="00620EA3"/>
    <w:rsid w:val="00621FEF"/>
    <w:rsid w:val="006248BD"/>
    <w:rsid w:val="00631669"/>
    <w:rsid w:val="006557E9"/>
    <w:rsid w:val="00656B2E"/>
    <w:rsid w:val="006A0A3C"/>
    <w:rsid w:val="006A7441"/>
    <w:rsid w:val="006C458E"/>
    <w:rsid w:val="006F188B"/>
    <w:rsid w:val="00726A36"/>
    <w:rsid w:val="00775C83"/>
    <w:rsid w:val="00797CC3"/>
    <w:rsid w:val="007E1112"/>
    <w:rsid w:val="008079E8"/>
    <w:rsid w:val="008166FF"/>
    <w:rsid w:val="00831FA6"/>
    <w:rsid w:val="008432F2"/>
    <w:rsid w:val="00861969"/>
    <w:rsid w:val="00881929"/>
    <w:rsid w:val="008A2181"/>
    <w:rsid w:val="008B5365"/>
    <w:rsid w:val="008B78A6"/>
    <w:rsid w:val="008F1FA6"/>
    <w:rsid w:val="008F7E0C"/>
    <w:rsid w:val="00910447"/>
    <w:rsid w:val="009355BB"/>
    <w:rsid w:val="00952757"/>
    <w:rsid w:val="00976C7B"/>
    <w:rsid w:val="00983E1C"/>
    <w:rsid w:val="00990255"/>
    <w:rsid w:val="009A5318"/>
    <w:rsid w:val="009B03DE"/>
    <w:rsid w:val="009B512F"/>
    <w:rsid w:val="009D1338"/>
    <w:rsid w:val="009D258A"/>
    <w:rsid w:val="009E02A1"/>
    <w:rsid w:val="00A342BE"/>
    <w:rsid w:val="00A411D1"/>
    <w:rsid w:val="00A70E51"/>
    <w:rsid w:val="00AA74A7"/>
    <w:rsid w:val="00AC59D1"/>
    <w:rsid w:val="00AD3AFB"/>
    <w:rsid w:val="00AF0A9F"/>
    <w:rsid w:val="00B032DF"/>
    <w:rsid w:val="00B10792"/>
    <w:rsid w:val="00B37CF6"/>
    <w:rsid w:val="00B53409"/>
    <w:rsid w:val="00B56029"/>
    <w:rsid w:val="00B91409"/>
    <w:rsid w:val="00BC2062"/>
    <w:rsid w:val="00BC4B9B"/>
    <w:rsid w:val="00BD25F6"/>
    <w:rsid w:val="00BE7AF1"/>
    <w:rsid w:val="00C138A8"/>
    <w:rsid w:val="00C443E5"/>
    <w:rsid w:val="00C534AE"/>
    <w:rsid w:val="00C5470E"/>
    <w:rsid w:val="00C765B1"/>
    <w:rsid w:val="00C842CD"/>
    <w:rsid w:val="00CB20FC"/>
    <w:rsid w:val="00CB46A0"/>
    <w:rsid w:val="00CC3444"/>
    <w:rsid w:val="00CE3A43"/>
    <w:rsid w:val="00CF1C82"/>
    <w:rsid w:val="00D12C93"/>
    <w:rsid w:val="00D163EE"/>
    <w:rsid w:val="00D17B96"/>
    <w:rsid w:val="00D33301"/>
    <w:rsid w:val="00D343D0"/>
    <w:rsid w:val="00D40BA5"/>
    <w:rsid w:val="00D71887"/>
    <w:rsid w:val="00DA1B4D"/>
    <w:rsid w:val="00DB083F"/>
    <w:rsid w:val="00DB0937"/>
    <w:rsid w:val="00DE0EFB"/>
    <w:rsid w:val="00DE17B2"/>
    <w:rsid w:val="00E1221E"/>
    <w:rsid w:val="00E24582"/>
    <w:rsid w:val="00E912C6"/>
    <w:rsid w:val="00EA0178"/>
    <w:rsid w:val="00EA1483"/>
    <w:rsid w:val="00EA6C9A"/>
    <w:rsid w:val="00EC32C5"/>
    <w:rsid w:val="00ED0AC5"/>
    <w:rsid w:val="00F02E34"/>
    <w:rsid w:val="00F10ECD"/>
    <w:rsid w:val="00F16218"/>
    <w:rsid w:val="00F2593A"/>
    <w:rsid w:val="00F51628"/>
    <w:rsid w:val="00F51B7D"/>
    <w:rsid w:val="00F719AE"/>
    <w:rsid w:val="00FB4BD5"/>
    <w:rsid w:val="00FC6DA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47029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AC5"/>
    <w:pPr>
      <w:spacing w:line="480" w:lineRule="auto"/>
      <w:jc w:val="both"/>
    </w:pPr>
    <w:rPr>
      <w:rFonts w:ascii="Times New Roman" w:hAnsi="Times New Roman" w:cs="Vrinda"/>
      <w:color w:val="000000" w:themeColor="text1"/>
      <w:lang w:val="en-GB"/>
    </w:rPr>
  </w:style>
  <w:style w:type="paragraph" w:styleId="Heading1">
    <w:name w:val="heading 1"/>
    <w:basedOn w:val="Normal"/>
    <w:next w:val="Normal"/>
    <w:link w:val="Heading1Char"/>
    <w:uiPriority w:val="9"/>
    <w:qFormat/>
    <w:rsid w:val="00861969"/>
    <w:pPr>
      <w:jc w:val="center"/>
      <w:outlineLvl w:val="0"/>
    </w:pPr>
    <w:rPr>
      <w:b/>
      <w:sz w:val="32"/>
    </w:rPr>
  </w:style>
  <w:style w:type="paragraph" w:styleId="Heading2">
    <w:name w:val="heading 2"/>
    <w:basedOn w:val="Normal"/>
    <w:next w:val="Normal"/>
    <w:link w:val="Heading2Char"/>
    <w:uiPriority w:val="9"/>
    <w:unhideWhenUsed/>
    <w:qFormat/>
    <w:rsid w:val="00861969"/>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861969"/>
    <w:rPr>
      <w:rFonts w:ascii="Times New Roman" w:hAnsi="Times New Roman" w:cs="Vrinda"/>
      <w:b/>
      <w:color w:val="000000" w:themeColor="text1"/>
      <w:sz w:val="32"/>
      <w:lang w:val="en-GB"/>
    </w:rPr>
  </w:style>
  <w:style w:type="character" w:customStyle="1" w:styleId="Heading3Char">
    <w:name w:val="Heading 3 Char"/>
    <w:basedOn w:val="DefaultParagraphFont"/>
    <w:link w:val="Heading3"/>
    <w:uiPriority w:val="9"/>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861969"/>
    <w:rPr>
      <w:rFonts w:ascii="Times New Roman" w:eastAsiaTheme="majorEastAsia" w:hAnsi="Times New Roman" w:cstheme="majorBidi"/>
      <w:b/>
      <w:color w:val="000000" w:themeColor="text1"/>
      <w:sz w:val="28"/>
      <w:szCs w:val="33"/>
      <w:lang w:val="en-GB"/>
    </w:rPr>
  </w:style>
  <w:style w:type="paragraph" w:styleId="TOC1">
    <w:name w:val="toc 1"/>
    <w:basedOn w:val="Normal"/>
    <w:next w:val="Normal"/>
    <w:autoRedefine/>
    <w:uiPriority w:val="39"/>
    <w:unhideWhenUsed/>
    <w:rsid w:val="00EA6C9A"/>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sz w:val="20"/>
      <w:szCs w:val="20"/>
    </w:rPr>
  </w:style>
  <w:style w:type="paragraph" w:styleId="Caption">
    <w:name w:val="caption"/>
    <w:basedOn w:val="Normal"/>
    <w:next w:val="Normal"/>
    <w:uiPriority w:val="35"/>
    <w:unhideWhenUsed/>
    <w:qFormat/>
    <w:rsid w:val="009A5318"/>
    <w:pPr>
      <w:spacing w:after="200" w:line="360" w:lineRule="auto"/>
    </w:pPr>
    <w:rPr>
      <w:b/>
      <w:iCs/>
      <w:color w:val="3B3838" w:themeColor="background2" w:themeShade="40"/>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paragraph" w:styleId="ListParagraph">
    <w:name w:val="List Paragraph"/>
    <w:basedOn w:val="Normal"/>
    <w:uiPriority w:val="34"/>
    <w:qFormat/>
    <w:rsid w:val="00C534AE"/>
    <w:pPr>
      <w:ind w:left="720"/>
      <w:contextualSpacing/>
    </w:pPr>
    <w:rPr>
      <w:rFonts w:eastAsia="Times New Roman" w:cs="Times New Roman"/>
      <w:color w:val="auto"/>
      <w:kern w:val="0"/>
      <w:szCs w:val="20"/>
      <w:lang w:bidi="ar-SA"/>
      <w14:ligatures w14:val="none"/>
    </w:rPr>
  </w:style>
  <w:style w:type="character" w:customStyle="1" w:styleId="apple-converted-space">
    <w:name w:val="apple-converted-space"/>
    <w:basedOn w:val="DefaultParagraphFont"/>
    <w:rsid w:val="00F02E34"/>
  </w:style>
  <w:style w:type="character" w:styleId="Strong">
    <w:name w:val="Strong"/>
    <w:basedOn w:val="DefaultParagraphFont"/>
    <w:uiPriority w:val="22"/>
    <w:qFormat/>
    <w:rsid w:val="004B0120"/>
    <w:rPr>
      <w:b/>
      <w:bCs/>
    </w:rPr>
  </w:style>
  <w:style w:type="table" w:styleId="TableGrid">
    <w:name w:val="Table Grid"/>
    <w:basedOn w:val="TableNormal"/>
    <w:uiPriority w:val="39"/>
    <w:rsid w:val="004B01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th-inline">
    <w:name w:val="math-inline"/>
    <w:basedOn w:val="DefaultParagraphFont"/>
    <w:rsid w:val="00B10792"/>
  </w:style>
  <w:style w:type="table" w:customStyle="1" w:styleId="APA7">
    <w:name w:val="APA 7"/>
    <w:basedOn w:val="TableNormal"/>
    <w:uiPriority w:val="99"/>
    <w:rsid w:val="00235425"/>
    <w:pPr>
      <w:spacing w:line="360" w:lineRule="auto"/>
    </w:pPr>
    <w:rPr>
      <w:rFonts w:ascii="Times New Roman" w:hAnsi="Times New Roman"/>
    </w:rPr>
    <w:tblPr>
      <w:tblBorders>
        <w:top w:val="single" w:sz="4" w:space="0" w:color="auto"/>
        <w:bottom w:val="single" w:sz="4" w:space="0" w:color="auto"/>
      </w:tblBorders>
    </w:tblPr>
    <w:tblStylePr w:type="firstRow">
      <w:rPr>
        <w:b/>
      </w:rPr>
      <w:tblPr/>
      <w:tcPr>
        <w:tcBorders>
          <w:bottom w:val="single" w:sz="4" w:space="0" w:color="auto"/>
        </w:tcBorders>
      </w:tcPr>
    </w:tblStylePr>
  </w:style>
  <w:style w:type="character" w:customStyle="1" w:styleId="mord">
    <w:name w:val="mord"/>
    <w:basedOn w:val="DefaultParagraphFont"/>
    <w:rsid w:val="00235425"/>
  </w:style>
  <w:style w:type="character" w:customStyle="1" w:styleId="mrel">
    <w:name w:val="mrel"/>
    <w:basedOn w:val="DefaultParagraphFont"/>
    <w:rsid w:val="00235425"/>
  </w:style>
  <w:style w:type="character" w:customStyle="1" w:styleId="mpunct">
    <w:name w:val="mpunct"/>
    <w:basedOn w:val="DefaultParagraphFont"/>
    <w:rsid w:val="00235425"/>
  </w:style>
  <w:style w:type="paragraph" w:styleId="TOCHeading">
    <w:name w:val="TOC Heading"/>
    <w:basedOn w:val="Heading1"/>
    <w:next w:val="Normal"/>
    <w:uiPriority w:val="39"/>
    <w:unhideWhenUsed/>
    <w:qFormat/>
    <w:rsid w:val="00421331"/>
    <w:pPr>
      <w:keepNext/>
      <w:keepLines/>
      <w:spacing w:before="480" w:line="276" w:lineRule="auto"/>
      <w:jc w:val="left"/>
      <w:outlineLvl w:val="9"/>
    </w:pPr>
    <w:rPr>
      <w:rFonts w:eastAsiaTheme="majorEastAsia" w:cstheme="majorBidi"/>
      <w:bCs/>
      <w:color w:val="auto"/>
      <w:kern w:val="0"/>
      <w:sz w:val="24"/>
      <w:szCs w:val="28"/>
      <w:lang w:val="en-US" w:bidi="ar-SA"/>
      <w14:ligatures w14:val="none"/>
    </w:rPr>
  </w:style>
  <w:style w:type="character" w:styleId="Hyperlink">
    <w:name w:val="Hyperlink"/>
    <w:basedOn w:val="DefaultParagraphFont"/>
    <w:uiPriority w:val="99"/>
    <w:unhideWhenUsed/>
    <w:rsid w:val="00DA1B4D"/>
    <w:rPr>
      <w:color w:val="0563C1" w:themeColor="hyperlink"/>
      <w:u w:val="single"/>
    </w:rPr>
  </w:style>
  <w:style w:type="paragraph" w:styleId="TOC4">
    <w:name w:val="toc 4"/>
    <w:basedOn w:val="Normal"/>
    <w:next w:val="Normal"/>
    <w:autoRedefine/>
    <w:uiPriority w:val="39"/>
    <w:semiHidden/>
    <w:unhideWhenUsed/>
    <w:rsid w:val="00DA1B4D"/>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A1B4D"/>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A1B4D"/>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A1B4D"/>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A1B4D"/>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A1B4D"/>
    <w:pPr>
      <w:ind w:left="1920"/>
      <w:jc w:val="left"/>
    </w:pPr>
    <w:rPr>
      <w:rFonts w:asciiTheme="minorHAnsi" w:hAnsiTheme="minorHAnsi"/>
      <w:sz w:val="20"/>
      <w:szCs w:val="20"/>
    </w:rPr>
  </w:style>
  <w:style w:type="paragraph" w:styleId="TableofFigures">
    <w:name w:val="table of figures"/>
    <w:basedOn w:val="Normal"/>
    <w:next w:val="Normal"/>
    <w:uiPriority w:val="99"/>
    <w:unhideWhenUsed/>
    <w:rsid w:val="00DA1B4D"/>
  </w:style>
  <w:style w:type="paragraph" w:styleId="Header">
    <w:name w:val="header"/>
    <w:basedOn w:val="Normal"/>
    <w:link w:val="HeaderChar"/>
    <w:uiPriority w:val="99"/>
    <w:unhideWhenUsed/>
    <w:rsid w:val="00ED0AC5"/>
    <w:pPr>
      <w:tabs>
        <w:tab w:val="center" w:pos="4513"/>
        <w:tab w:val="right" w:pos="9026"/>
      </w:tabs>
      <w:spacing w:line="240" w:lineRule="auto"/>
    </w:pPr>
  </w:style>
  <w:style w:type="character" w:customStyle="1" w:styleId="HeaderChar">
    <w:name w:val="Header Char"/>
    <w:basedOn w:val="DefaultParagraphFont"/>
    <w:link w:val="Header"/>
    <w:uiPriority w:val="99"/>
    <w:rsid w:val="00ED0AC5"/>
    <w:rPr>
      <w:rFonts w:ascii="Times New Roman" w:hAnsi="Times New Roman" w:cs="Vrinda"/>
      <w:color w:val="000000" w:themeColor="text1"/>
      <w:lang w:val="en-GB"/>
    </w:rPr>
  </w:style>
  <w:style w:type="paragraph" w:styleId="Footer">
    <w:name w:val="footer"/>
    <w:basedOn w:val="Normal"/>
    <w:link w:val="FooterChar"/>
    <w:uiPriority w:val="99"/>
    <w:unhideWhenUsed/>
    <w:rsid w:val="00ED0AC5"/>
    <w:pPr>
      <w:tabs>
        <w:tab w:val="center" w:pos="4513"/>
        <w:tab w:val="right" w:pos="9026"/>
      </w:tabs>
      <w:spacing w:line="240" w:lineRule="auto"/>
    </w:pPr>
  </w:style>
  <w:style w:type="character" w:customStyle="1" w:styleId="FooterChar">
    <w:name w:val="Footer Char"/>
    <w:basedOn w:val="DefaultParagraphFont"/>
    <w:link w:val="Footer"/>
    <w:uiPriority w:val="99"/>
    <w:rsid w:val="00ED0AC5"/>
    <w:rPr>
      <w:rFonts w:ascii="Times New Roman" w:hAnsi="Times New Roman" w:cs="Vrinda"/>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84666">
      <w:bodyDiv w:val="1"/>
      <w:marLeft w:val="0"/>
      <w:marRight w:val="0"/>
      <w:marTop w:val="0"/>
      <w:marBottom w:val="0"/>
      <w:divBdr>
        <w:top w:val="none" w:sz="0" w:space="0" w:color="auto"/>
        <w:left w:val="none" w:sz="0" w:space="0" w:color="auto"/>
        <w:bottom w:val="none" w:sz="0" w:space="0" w:color="auto"/>
        <w:right w:val="none" w:sz="0" w:space="0" w:color="auto"/>
      </w:divBdr>
      <w:divsChild>
        <w:div w:id="1956715308">
          <w:marLeft w:val="0"/>
          <w:marRight w:val="0"/>
          <w:marTop w:val="0"/>
          <w:marBottom w:val="0"/>
          <w:divBdr>
            <w:top w:val="none" w:sz="0" w:space="0" w:color="auto"/>
            <w:left w:val="none" w:sz="0" w:space="0" w:color="auto"/>
            <w:bottom w:val="none" w:sz="0" w:space="0" w:color="auto"/>
            <w:right w:val="none" w:sz="0" w:space="0" w:color="auto"/>
          </w:divBdr>
          <w:divsChild>
            <w:div w:id="171575390">
              <w:marLeft w:val="0"/>
              <w:marRight w:val="0"/>
              <w:marTop w:val="0"/>
              <w:marBottom w:val="0"/>
              <w:divBdr>
                <w:top w:val="none" w:sz="0" w:space="0" w:color="auto"/>
                <w:left w:val="none" w:sz="0" w:space="0" w:color="auto"/>
                <w:bottom w:val="none" w:sz="0" w:space="0" w:color="auto"/>
                <w:right w:val="none" w:sz="0" w:space="0" w:color="auto"/>
              </w:divBdr>
            </w:div>
            <w:div w:id="29576173">
              <w:marLeft w:val="0"/>
              <w:marRight w:val="0"/>
              <w:marTop w:val="0"/>
              <w:marBottom w:val="0"/>
              <w:divBdr>
                <w:top w:val="none" w:sz="0" w:space="0" w:color="auto"/>
                <w:left w:val="none" w:sz="0" w:space="0" w:color="auto"/>
                <w:bottom w:val="none" w:sz="0" w:space="0" w:color="auto"/>
                <w:right w:val="none" w:sz="0" w:space="0" w:color="auto"/>
              </w:divBdr>
            </w:div>
            <w:div w:id="1575309932">
              <w:marLeft w:val="0"/>
              <w:marRight w:val="0"/>
              <w:marTop w:val="0"/>
              <w:marBottom w:val="0"/>
              <w:divBdr>
                <w:top w:val="none" w:sz="0" w:space="0" w:color="auto"/>
                <w:left w:val="none" w:sz="0" w:space="0" w:color="auto"/>
                <w:bottom w:val="none" w:sz="0" w:space="0" w:color="auto"/>
                <w:right w:val="none" w:sz="0" w:space="0" w:color="auto"/>
              </w:divBdr>
            </w:div>
            <w:div w:id="311103939">
              <w:marLeft w:val="0"/>
              <w:marRight w:val="0"/>
              <w:marTop w:val="0"/>
              <w:marBottom w:val="0"/>
              <w:divBdr>
                <w:top w:val="none" w:sz="0" w:space="0" w:color="auto"/>
                <w:left w:val="none" w:sz="0" w:space="0" w:color="auto"/>
                <w:bottom w:val="none" w:sz="0" w:space="0" w:color="auto"/>
                <w:right w:val="none" w:sz="0" w:space="0" w:color="auto"/>
              </w:divBdr>
            </w:div>
            <w:div w:id="1883907734">
              <w:marLeft w:val="0"/>
              <w:marRight w:val="0"/>
              <w:marTop w:val="0"/>
              <w:marBottom w:val="0"/>
              <w:divBdr>
                <w:top w:val="none" w:sz="0" w:space="0" w:color="auto"/>
                <w:left w:val="none" w:sz="0" w:space="0" w:color="auto"/>
                <w:bottom w:val="none" w:sz="0" w:space="0" w:color="auto"/>
                <w:right w:val="none" w:sz="0" w:space="0" w:color="auto"/>
              </w:divBdr>
            </w:div>
            <w:div w:id="1672752267">
              <w:marLeft w:val="0"/>
              <w:marRight w:val="0"/>
              <w:marTop w:val="0"/>
              <w:marBottom w:val="0"/>
              <w:divBdr>
                <w:top w:val="none" w:sz="0" w:space="0" w:color="auto"/>
                <w:left w:val="none" w:sz="0" w:space="0" w:color="auto"/>
                <w:bottom w:val="none" w:sz="0" w:space="0" w:color="auto"/>
                <w:right w:val="none" w:sz="0" w:space="0" w:color="auto"/>
              </w:divBdr>
            </w:div>
            <w:div w:id="1873616074">
              <w:marLeft w:val="0"/>
              <w:marRight w:val="0"/>
              <w:marTop w:val="0"/>
              <w:marBottom w:val="0"/>
              <w:divBdr>
                <w:top w:val="none" w:sz="0" w:space="0" w:color="auto"/>
                <w:left w:val="none" w:sz="0" w:space="0" w:color="auto"/>
                <w:bottom w:val="none" w:sz="0" w:space="0" w:color="auto"/>
                <w:right w:val="none" w:sz="0" w:space="0" w:color="auto"/>
              </w:divBdr>
            </w:div>
            <w:div w:id="61484410">
              <w:marLeft w:val="0"/>
              <w:marRight w:val="0"/>
              <w:marTop w:val="0"/>
              <w:marBottom w:val="0"/>
              <w:divBdr>
                <w:top w:val="none" w:sz="0" w:space="0" w:color="auto"/>
                <w:left w:val="none" w:sz="0" w:space="0" w:color="auto"/>
                <w:bottom w:val="none" w:sz="0" w:space="0" w:color="auto"/>
                <w:right w:val="none" w:sz="0" w:space="0" w:color="auto"/>
              </w:divBdr>
            </w:div>
            <w:div w:id="785855289">
              <w:marLeft w:val="0"/>
              <w:marRight w:val="0"/>
              <w:marTop w:val="0"/>
              <w:marBottom w:val="0"/>
              <w:divBdr>
                <w:top w:val="none" w:sz="0" w:space="0" w:color="auto"/>
                <w:left w:val="none" w:sz="0" w:space="0" w:color="auto"/>
                <w:bottom w:val="none" w:sz="0" w:space="0" w:color="auto"/>
                <w:right w:val="none" w:sz="0" w:space="0" w:color="auto"/>
              </w:divBdr>
            </w:div>
            <w:div w:id="472913118">
              <w:marLeft w:val="0"/>
              <w:marRight w:val="0"/>
              <w:marTop w:val="0"/>
              <w:marBottom w:val="0"/>
              <w:divBdr>
                <w:top w:val="none" w:sz="0" w:space="0" w:color="auto"/>
                <w:left w:val="none" w:sz="0" w:space="0" w:color="auto"/>
                <w:bottom w:val="none" w:sz="0" w:space="0" w:color="auto"/>
                <w:right w:val="none" w:sz="0" w:space="0" w:color="auto"/>
              </w:divBdr>
            </w:div>
            <w:div w:id="443311240">
              <w:marLeft w:val="0"/>
              <w:marRight w:val="0"/>
              <w:marTop w:val="0"/>
              <w:marBottom w:val="0"/>
              <w:divBdr>
                <w:top w:val="none" w:sz="0" w:space="0" w:color="auto"/>
                <w:left w:val="none" w:sz="0" w:space="0" w:color="auto"/>
                <w:bottom w:val="none" w:sz="0" w:space="0" w:color="auto"/>
                <w:right w:val="none" w:sz="0" w:space="0" w:color="auto"/>
              </w:divBdr>
            </w:div>
            <w:div w:id="1697996506">
              <w:marLeft w:val="0"/>
              <w:marRight w:val="0"/>
              <w:marTop w:val="0"/>
              <w:marBottom w:val="0"/>
              <w:divBdr>
                <w:top w:val="none" w:sz="0" w:space="0" w:color="auto"/>
                <w:left w:val="none" w:sz="0" w:space="0" w:color="auto"/>
                <w:bottom w:val="none" w:sz="0" w:space="0" w:color="auto"/>
                <w:right w:val="none" w:sz="0" w:space="0" w:color="auto"/>
              </w:divBdr>
            </w:div>
            <w:div w:id="1730104502">
              <w:marLeft w:val="0"/>
              <w:marRight w:val="0"/>
              <w:marTop w:val="0"/>
              <w:marBottom w:val="0"/>
              <w:divBdr>
                <w:top w:val="none" w:sz="0" w:space="0" w:color="auto"/>
                <w:left w:val="none" w:sz="0" w:space="0" w:color="auto"/>
                <w:bottom w:val="none" w:sz="0" w:space="0" w:color="auto"/>
                <w:right w:val="none" w:sz="0" w:space="0" w:color="auto"/>
              </w:divBdr>
            </w:div>
            <w:div w:id="1852840108">
              <w:marLeft w:val="0"/>
              <w:marRight w:val="0"/>
              <w:marTop w:val="0"/>
              <w:marBottom w:val="0"/>
              <w:divBdr>
                <w:top w:val="none" w:sz="0" w:space="0" w:color="auto"/>
                <w:left w:val="none" w:sz="0" w:space="0" w:color="auto"/>
                <w:bottom w:val="none" w:sz="0" w:space="0" w:color="auto"/>
                <w:right w:val="none" w:sz="0" w:space="0" w:color="auto"/>
              </w:divBdr>
            </w:div>
            <w:div w:id="2099447318">
              <w:marLeft w:val="0"/>
              <w:marRight w:val="0"/>
              <w:marTop w:val="0"/>
              <w:marBottom w:val="0"/>
              <w:divBdr>
                <w:top w:val="none" w:sz="0" w:space="0" w:color="auto"/>
                <w:left w:val="none" w:sz="0" w:space="0" w:color="auto"/>
                <w:bottom w:val="none" w:sz="0" w:space="0" w:color="auto"/>
                <w:right w:val="none" w:sz="0" w:space="0" w:color="auto"/>
              </w:divBdr>
            </w:div>
            <w:div w:id="1902016833">
              <w:marLeft w:val="0"/>
              <w:marRight w:val="0"/>
              <w:marTop w:val="0"/>
              <w:marBottom w:val="0"/>
              <w:divBdr>
                <w:top w:val="none" w:sz="0" w:space="0" w:color="auto"/>
                <w:left w:val="none" w:sz="0" w:space="0" w:color="auto"/>
                <w:bottom w:val="none" w:sz="0" w:space="0" w:color="auto"/>
                <w:right w:val="none" w:sz="0" w:space="0" w:color="auto"/>
              </w:divBdr>
            </w:div>
            <w:div w:id="1767000318">
              <w:marLeft w:val="0"/>
              <w:marRight w:val="0"/>
              <w:marTop w:val="0"/>
              <w:marBottom w:val="0"/>
              <w:divBdr>
                <w:top w:val="none" w:sz="0" w:space="0" w:color="auto"/>
                <w:left w:val="none" w:sz="0" w:space="0" w:color="auto"/>
                <w:bottom w:val="none" w:sz="0" w:space="0" w:color="auto"/>
                <w:right w:val="none" w:sz="0" w:space="0" w:color="auto"/>
              </w:divBdr>
            </w:div>
            <w:div w:id="1220945279">
              <w:marLeft w:val="0"/>
              <w:marRight w:val="0"/>
              <w:marTop w:val="0"/>
              <w:marBottom w:val="0"/>
              <w:divBdr>
                <w:top w:val="none" w:sz="0" w:space="0" w:color="auto"/>
                <w:left w:val="none" w:sz="0" w:space="0" w:color="auto"/>
                <w:bottom w:val="none" w:sz="0" w:space="0" w:color="auto"/>
                <w:right w:val="none" w:sz="0" w:space="0" w:color="auto"/>
              </w:divBdr>
            </w:div>
            <w:div w:id="466433752">
              <w:marLeft w:val="0"/>
              <w:marRight w:val="0"/>
              <w:marTop w:val="0"/>
              <w:marBottom w:val="0"/>
              <w:divBdr>
                <w:top w:val="none" w:sz="0" w:space="0" w:color="auto"/>
                <w:left w:val="none" w:sz="0" w:space="0" w:color="auto"/>
                <w:bottom w:val="none" w:sz="0" w:space="0" w:color="auto"/>
                <w:right w:val="none" w:sz="0" w:space="0" w:color="auto"/>
              </w:divBdr>
            </w:div>
            <w:div w:id="142818809">
              <w:marLeft w:val="0"/>
              <w:marRight w:val="0"/>
              <w:marTop w:val="0"/>
              <w:marBottom w:val="0"/>
              <w:divBdr>
                <w:top w:val="none" w:sz="0" w:space="0" w:color="auto"/>
                <w:left w:val="none" w:sz="0" w:space="0" w:color="auto"/>
                <w:bottom w:val="none" w:sz="0" w:space="0" w:color="auto"/>
                <w:right w:val="none" w:sz="0" w:space="0" w:color="auto"/>
              </w:divBdr>
            </w:div>
            <w:div w:id="583534157">
              <w:marLeft w:val="0"/>
              <w:marRight w:val="0"/>
              <w:marTop w:val="0"/>
              <w:marBottom w:val="0"/>
              <w:divBdr>
                <w:top w:val="none" w:sz="0" w:space="0" w:color="auto"/>
                <w:left w:val="none" w:sz="0" w:space="0" w:color="auto"/>
                <w:bottom w:val="none" w:sz="0" w:space="0" w:color="auto"/>
                <w:right w:val="none" w:sz="0" w:space="0" w:color="auto"/>
              </w:divBdr>
            </w:div>
            <w:div w:id="810172664">
              <w:marLeft w:val="0"/>
              <w:marRight w:val="0"/>
              <w:marTop w:val="0"/>
              <w:marBottom w:val="0"/>
              <w:divBdr>
                <w:top w:val="none" w:sz="0" w:space="0" w:color="auto"/>
                <w:left w:val="none" w:sz="0" w:space="0" w:color="auto"/>
                <w:bottom w:val="none" w:sz="0" w:space="0" w:color="auto"/>
                <w:right w:val="none" w:sz="0" w:space="0" w:color="auto"/>
              </w:divBdr>
            </w:div>
            <w:div w:id="16808111">
              <w:marLeft w:val="0"/>
              <w:marRight w:val="0"/>
              <w:marTop w:val="0"/>
              <w:marBottom w:val="0"/>
              <w:divBdr>
                <w:top w:val="none" w:sz="0" w:space="0" w:color="auto"/>
                <w:left w:val="none" w:sz="0" w:space="0" w:color="auto"/>
                <w:bottom w:val="none" w:sz="0" w:space="0" w:color="auto"/>
                <w:right w:val="none" w:sz="0" w:space="0" w:color="auto"/>
              </w:divBdr>
            </w:div>
            <w:div w:id="151413248">
              <w:marLeft w:val="0"/>
              <w:marRight w:val="0"/>
              <w:marTop w:val="0"/>
              <w:marBottom w:val="0"/>
              <w:divBdr>
                <w:top w:val="none" w:sz="0" w:space="0" w:color="auto"/>
                <w:left w:val="none" w:sz="0" w:space="0" w:color="auto"/>
                <w:bottom w:val="none" w:sz="0" w:space="0" w:color="auto"/>
                <w:right w:val="none" w:sz="0" w:space="0" w:color="auto"/>
              </w:divBdr>
            </w:div>
            <w:div w:id="920677914">
              <w:marLeft w:val="0"/>
              <w:marRight w:val="0"/>
              <w:marTop w:val="0"/>
              <w:marBottom w:val="0"/>
              <w:divBdr>
                <w:top w:val="none" w:sz="0" w:space="0" w:color="auto"/>
                <w:left w:val="none" w:sz="0" w:space="0" w:color="auto"/>
                <w:bottom w:val="none" w:sz="0" w:space="0" w:color="auto"/>
                <w:right w:val="none" w:sz="0" w:space="0" w:color="auto"/>
              </w:divBdr>
            </w:div>
            <w:div w:id="2047826443">
              <w:marLeft w:val="0"/>
              <w:marRight w:val="0"/>
              <w:marTop w:val="0"/>
              <w:marBottom w:val="0"/>
              <w:divBdr>
                <w:top w:val="none" w:sz="0" w:space="0" w:color="auto"/>
                <w:left w:val="none" w:sz="0" w:space="0" w:color="auto"/>
                <w:bottom w:val="none" w:sz="0" w:space="0" w:color="auto"/>
                <w:right w:val="none" w:sz="0" w:space="0" w:color="auto"/>
              </w:divBdr>
            </w:div>
            <w:div w:id="214318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69802">
      <w:bodyDiv w:val="1"/>
      <w:marLeft w:val="0"/>
      <w:marRight w:val="0"/>
      <w:marTop w:val="0"/>
      <w:marBottom w:val="0"/>
      <w:divBdr>
        <w:top w:val="none" w:sz="0" w:space="0" w:color="auto"/>
        <w:left w:val="none" w:sz="0" w:space="0" w:color="auto"/>
        <w:bottom w:val="none" w:sz="0" w:space="0" w:color="auto"/>
        <w:right w:val="none" w:sz="0" w:space="0" w:color="auto"/>
      </w:divBdr>
    </w:div>
    <w:div w:id="149299203">
      <w:bodyDiv w:val="1"/>
      <w:marLeft w:val="0"/>
      <w:marRight w:val="0"/>
      <w:marTop w:val="0"/>
      <w:marBottom w:val="0"/>
      <w:divBdr>
        <w:top w:val="none" w:sz="0" w:space="0" w:color="auto"/>
        <w:left w:val="none" w:sz="0" w:space="0" w:color="auto"/>
        <w:bottom w:val="none" w:sz="0" w:space="0" w:color="auto"/>
        <w:right w:val="none" w:sz="0" w:space="0" w:color="auto"/>
      </w:divBdr>
      <w:divsChild>
        <w:div w:id="7028877">
          <w:marLeft w:val="0"/>
          <w:marRight w:val="0"/>
          <w:marTop w:val="0"/>
          <w:marBottom w:val="0"/>
          <w:divBdr>
            <w:top w:val="none" w:sz="0" w:space="0" w:color="auto"/>
            <w:left w:val="none" w:sz="0" w:space="0" w:color="auto"/>
            <w:bottom w:val="none" w:sz="0" w:space="0" w:color="auto"/>
            <w:right w:val="none" w:sz="0" w:space="0" w:color="auto"/>
          </w:divBdr>
          <w:divsChild>
            <w:div w:id="283928977">
              <w:marLeft w:val="0"/>
              <w:marRight w:val="0"/>
              <w:marTop w:val="0"/>
              <w:marBottom w:val="0"/>
              <w:divBdr>
                <w:top w:val="none" w:sz="0" w:space="0" w:color="auto"/>
                <w:left w:val="none" w:sz="0" w:space="0" w:color="auto"/>
                <w:bottom w:val="none" w:sz="0" w:space="0" w:color="auto"/>
                <w:right w:val="none" w:sz="0" w:space="0" w:color="auto"/>
              </w:divBdr>
            </w:div>
            <w:div w:id="16968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8111">
      <w:bodyDiv w:val="1"/>
      <w:marLeft w:val="0"/>
      <w:marRight w:val="0"/>
      <w:marTop w:val="0"/>
      <w:marBottom w:val="0"/>
      <w:divBdr>
        <w:top w:val="none" w:sz="0" w:space="0" w:color="auto"/>
        <w:left w:val="none" w:sz="0" w:space="0" w:color="auto"/>
        <w:bottom w:val="none" w:sz="0" w:space="0" w:color="auto"/>
        <w:right w:val="none" w:sz="0" w:space="0" w:color="auto"/>
      </w:divBdr>
    </w:div>
    <w:div w:id="464086835">
      <w:bodyDiv w:val="1"/>
      <w:marLeft w:val="0"/>
      <w:marRight w:val="0"/>
      <w:marTop w:val="0"/>
      <w:marBottom w:val="0"/>
      <w:divBdr>
        <w:top w:val="none" w:sz="0" w:space="0" w:color="auto"/>
        <w:left w:val="none" w:sz="0" w:space="0" w:color="auto"/>
        <w:bottom w:val="none" w:sz="0" w:space="0" w:color="auto"/>
        <w:right w:val="none" w:sz="0" w:space="0" w:color="auto"/>
      </w:divBdr>
      <w:divsChild>
        <w:div w:id="2047634697">
          <w:marLeft w:val="0"/>
          <w:marRight w:val="0"/>
          <w:marTop w:val="0"/>
          <w:marBottom w:val="0"/>
          <w:divBdr>
            <w:top w:val="none" w:sz="0" w:space="0" w:color="auto"/>
            <w:left w:val="none" w:sz="0" w:space="0" w:color="auto"/>
            <w:bottom w:val="none" w:sz="0" w:space="0" w:color="auto"/>
            <w:right w:val="none" w:sz="0" w:space="0" w:color="auto"/>
          </w:divBdr>
          <w:divsChild>
            <w:div w:id="46033457">
              <w:marLeft w:val="0"/>
              <w:marRight w:val="0"/>
              <w:marTop w:val="0"/>
              <w:marBottom w:val="0"/>
              <w:divBdr>
                <w:top w:val="none" w:sz="0" w:space="0" w:color="auto"/>
                <w:left w:val="none" w:sz="0" w:space="0" w:color="auto"/>
                <w:bottom w:val="none" w:sz="0" w:space="0" w:color="auto"/>
                <w:right w:val="none" w:sz="0" w:space="0" w:color="auto"/>
              </w:divBdr>
            </w:div>
            <w:div w:id="209539711">
              <w:marLeft w:val="0"/>
              <w:marRight w:val="0"/>
              <w:marTop w:val="0"/>
              <w:marBottom w:val="0"/>
              <w:divBdr>
                <w:top w:val="none" w:sz="0" w:space="0" w:color="auto"/>
                <w:left w:val="none" w:sz="0" w:space="0" w:color="auto"/>
                <w:bottom w:val="none" w:sz="0" w:space="0" w:color="auto"/>
                <w:right w:val="none" w:sz="0" w:space="0" w:color="auto"/>
              </w:divBdr>
            </w:div>
            <w:div w:id="1760250878">
              <w:marLeft w:val="0"/>
              <w:marRight w:val="0"/>
              <w:marTop w:val="0"/>
              <w:marBottom w:val="0"/>
              <w:divBdr>
                <w:top w:val="none" w:sz="0" w:space="0" w:color="auto"/>
                <w:left w:val="none" w:sz="0" w:space="0" w:color="auto"/>
                <w:bottom w:val="none" w:sz="0" w:space="0" w:color="auto"/>
                <w:right w:val="none" w:sz="0" w:space="0" w:color="auto"/>
              </w:divBdr>
            </w:div>
            <w:div w:id="610626069">
              <w:marLeft w:val="0"/>
              <w:marRight w:val="0"/>
              <w:marTop w:val="0"/>
              <w:marBottom w:val="0"/>
              <w:divBdr>
                <w:top w:val="none" w:sz="0" w:space="0" w:color="auto"/>
                <w:left w:val="none" w:sz="0" w:space="0" w:color="auto"/>
                <w:bottom w:val="none" w:sz="0" w:space="0" w:color="auto"/>
                <w:right w:val="none" w:sz="0" w:space="0" w:color="auto"/>
              </w:divBdr>
            </w:div>
            <w:div w:id="1112017048">
              <w:marLeft w:val="0"/>
              <w:marRight w:val="0"/>
              <w:marTop w:val="0"/>
              <w:marBottom w:val="0"/>
              <w:divBdr>
                <w:top w:val="none" w:sz="0" w:space="0" w:color="auto"/>
                <w:left w:val="none" w:sz="0" w:space="0" w:color="auto"/>
                <w:bottom w:val="none" w:sz="0" w:space="0" w:color="auto"/>
                <w:right w:val="none" w:sz="0" w:space="0" w:color="auto"/>
              </w:divBdr>
            </w:div>
            <w:div w:id="1279683877">
              <w:marLeft w:val="0"/>
              <w:marRight w:val="0"/>
              <w:marTop w:val="0"/>
              <w:marBottom w:val="0"/>
              <w:divBdr>
                <w:top w:val="none" w:sz="0" w:space="0" w:color="auto"/>
                <w:left w:val="none" w:sz="0" w:space="0" w:color="auto"/>
                <w:bottom w:val="none" w:sz="0" w:space="0" w:color="auto"/>
                <w:right w:val="none" w:sz="0" w:space="0" w:color="auto"/>
              </w:divBdr>
            </w:div>
            <w:div w:id="1469275823">
              <w:marLeft w:val="0"/>
              <w:marRight w:val="0"/>
              <w:marTop w:val="0"/>
              <w:marBottom w:val="0"/>
              <w:divBdr>
                <w:top w:val="none" w:sz="0" w:space="0" w:color="auto"/>
                <w:left w:val="none" w:sz="0" w:space="0" w:color="auto"/>
                <w:bottom w:val="none" w:sz="0" w:space="0" w:color="auto"/>
                <w:right w:val="none" w:sz="0" w:space="0" w:color="auto"/>
              </w:divBdr>
            </w:div>
            <w:div w:id="2126076166">
              <w:marLeft w:val="0"/>
              <w:marRight w:val="0"/>
              <w:marTop w:val="0"/>
              <w:marBottom w:val="0"/>
              <w:divBdr>
                <w:top w:val="none" w:sz="0" w:space="0" w:color="auto"/>
                <w:left w:val="none" w:sz="0" w:space="0" w:color="auto"/>
                <w:bottom w:val="none" w:sz="0" w:space="0" w:color="auto"/>
                <w:right w:val="none" w:sz="0" w:space="0" w:color="auto"/>
              </w:divBdr>
            </w:div>
            <w:div w:id="1507746066">
              <w:marLeft w:val="0"/>
              <w:marRight w:val="0"/>
              <w:marTop w:val="0"/>
              <w:marBottom w:val="0"/>
              <w:divBdr>
                <w:top w:val="none" w:sz="0" w:space="0" w:color="auto"/>
                <w:left w:val="none" w:sz="0" w:space="0" w:color="auto"/>
                <w:bottom w:val="none" w:sz="0" w:space="0" w:color="auto"/>
                <w:right w:val="none" w:sz="0" w:space="0" w:color="auto"/>
              </w:divBdr>
            </w:div>
            <w:div w:id="698704580">
              <w:marLeft w:val="0"/>
              <w:marRight w:val="0"/>
              <w:marTop w:val="0"/>
              <w:marBottom w:val="0"/>
              <w:divBdr>
                <w:top w:val="none" w:sz="0" w:space="0" w:color="auto"/>
                <w:left w:val="none" w:sz="0" w:space="0" w:color="auto"/>
                <w:bottom w:val="none" w:sz="0" w:space="0" w:color="auto"/>
                <w:right w:val="none" w:sz="0" w:space="0" w:color="auto"/>
              </w:divBdr>
            </w:div>
            <w:div w:id="258097955">
              <w:marLeft w:val="0"/>
              <w:marRight w:val="0"/>
              <w:marTop w:val="0"/>
              <w:marBottom w:val="0"/>
              <w:divBdr>
                <w:top w:val="none" w:sz="0" w:space="0" w:color="auto"/>
                <w:left w:val="none" w:sz="0" w:space="0" w:color="auto"/>
                <w:bottom w:val="none" w:sz="0" w:space="0" w:color="auto"/>
                <w:right w:val="none" w:sz="0" w:space="0" w:color="auto"/>
              </w:divBdr>
            </w:div>
            <w:div w:id="533200927">
              <w:marLeft w:val="0"/>
              <w:marRight w:val="0"/>
              <w:marTop w:val="0"/>
              <w:marBottom w:val="0"/>
              <w:divBdr>
                <w:top w:val="none" w:sz="0" w:space="0" w:color="auto"/>
                <w:left w:val="none" w:sz="0" w:space="0" w:color="auto"/>
                <w:bottom w:val="none" w:sz="0" w:space="0" w:color="auto"/>
                <w:right w:val="none" w:sz="0" w:space="0" w:color="auto"/>
              </w:divBdr>
            </w:div>
            <w:div w:id="436876852">
              <w:marLeft w:val="0"/>
              <w:marRight w:val="0"/>
              <w:marTop w:val="0"/>
              <w:marBottom w:val="0"/>
              <w:divBdr>
                <w:top w:val="none" w:sz="0" w:space="0" w:color="auto"/>
                <w:left w:val="none" w:sz="0" w:space="0" w:color="auto"/>
                <w:bottom w:val="none" w:sz="0" w:space="0" w:color="auto"/>
                <w:right w:val="none" w:sz="0" w:space="0" w:color="auto"/>
              </w:divBdr>
            </w:div>
            <w:div w:id="33766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4855">
      <w:bodyDiv w:val="1"/>
      <w:marLeft w:val="0"/>
      <w:marRight w:val="0"/>
      <w:marTop w:val="0"/>
      <w:marBottom w:val="0"/>
      <w:divBdr>
        <w:top w:val="none" w:sz="0" w:space="0" w:color="auto"/>
        <w:left w:val="none" w:sz="0" w:space="0" w:color="auto"/>
        <w:bottom w:val="none" w:sz="0" w:space="0" w:color="auto"/>
        <w:right w:val="none" w:sz="0" w:space="0" w:color="auto"/>
      </w:divBdr>
      <w:divsChild>
        <w:div w:id="2091460174">
          <w:marLeft w:val="0"/>
          <w:marRight w:val="0"/>
          <w:marTop w:val="0"/>
          <w:marBottom w:val="0"/>
          <w:divBdr>
            <w:top w:val="none" w:sz="0" w:space="0" w:color="auto"/>
            <w:left w:val="none" w:sz="0" w:space="0" w:color="auto"/>
            <w:bottom w:val="none" w:sz="0" w:space="0" w:color="auto"/>
            <w:right w:val="none" w:sz="0" w:space="0" w:color="auto"/>
          </w:divBdr>
        </w:div>
      </w:divsChild>
    </w:div>
    <w:div w:id="667253240">
      <w:bodyDiv w:val="1"/>
      <w:marLeft w:val="0"/>
      <w:marRight w:val="0"/>
      <w:marTop w:val="0"/>
      <w:marBottom w:val="0"/>
      <w:divBdr>
        <w:top w:val="none" w:sz="0" w:space="0" w:color="auto"/>
        <w:left w:val="none" w:sz="0" w:space="0" w:color="auto"/>
        <w:bottom w:val="none" w:sz="0" w:space="0" w:color="auto"/>
        <w:right w:val="none" w:sz="0" w:space="0" w:color="auto"/>
      </w:divBdr>
      <w:divsChild>
        <w:div w:id="662004884">
          <w:marLeft w:val="0"/>
          <w:marRight w:val="0"/>
          <w:marTop w:val="0"/>
          <w:marBottom w:val="0"/>
          <w:divBdr>
            <w:top w:val="none" w:sz="0" w:space="0" w:color="auto"/>
            <w:left w:val="none" w:sz="0" w:space="0" w:color="auto"/>
            <w:bottom w:val="none" w:sz="0" w:space="0" w:color="auto"/>
            <w:right w:val="none" w:sz="0" w:space="0" w:color="auto"/>
          </w:divBdr>
        </w:div>
      </w:divsChild>
    </w:div>
    <w:div w:id="688021427">
      <w:bodyDiv w:val="1"/>
      <w:marLeft w:val="0"/>
      <w:marRight w:val="0"/>
      <w:marTop w:val="0"/>
      <w:marBottom w:val="0"/>
      <w:divBdr>
        <w:top w:val="none" w:sz="0" w:space="0" w:color="auto"/>
        <w:left w:val="none" w:sz="0" w:space="0" w:color="auto"/>
        <w:bottom w:val="none" w:sz="0" w:space="0" w:color="auto"/>
        <w:right w:val="none" w:sz="0" w:space="0" w:color="auto"/>
      </w:divBdr>
      <w:divsChild>
        <w:div w:id="2099011408">
          <w:marLeft w:val="0"/>
          <w:marRight w:val="0"/>
          <w:marTop w:val="0"/>
          <w:marBottom w:val="0"/>
          <w:divBdr>
            <w:top w:val="none" w:sz="0" w:space="0" w:color="auto"/>
            <w:left w:val="none" w:sz="0" w:space="0" w:color="auto"/>
            <w:bottom w:val="none" w:sz="0" w:space="0" w:color="auto"/>
            <w:right w:val="none" w:sz="0" w:space="0" w:color="auto"/>
          </w:divBdr>
          <w:divsChild>
            <w:div w:id="1124302760">
              <w:marLeft w:val="0"/>
              <w:marRight w:val="0"/>
              <w:marTop w:val="0"/>
              <w:marBottom w:val="0"/>
              <w:divBdr>
                <w:top w:val="none" w:sz="0" w:space="0" w:color="auto"/>
                <w:left w:val="none" w:sz="0" w:space="0" w:color="auto"/>
                <w:bottom w:val="none" w:sz="0" w:space="0" w:color="auto"/>
                <w:right w:val="none" w:sz="0" w:space="0" w:color="auto"/>
              </w:divBdr>
            </w:div>
            <w:div w:id="2000190957">
              <w:marLeft w:val="0"/>
              <w:marRight w:val="0"/>
              <w:marTop w:val="0"/>
              <w:marBottom w:val="0"/>
              <w:divBdr>
                <w:top w:val="none" w:sz="0" w:space="0" w:color="auto"/>
                <w:left w:val="none" w:sz="0" w:space="0" w:color="auto"/>
                <w:bottom w:val="none" w:sz="0" w:space="0" w:color="auto"/>
                <w:right w:val="none" w:sz="0" w:space="0" w:color="auto"/>
              </w:divBdr>
            </w:div>
            <w:div w:id="318269158">
              <w:marLeft w:val="0"/>
              <w:marRight w:val="0"/>
              <w:marTop w:val="0"/>
              <w:marBottom w:val="0"/>
              <w:divBdr>
                <w:top w:val="none" w:sz="0" w:space="0" w:color="auto"/>
                <w:left w:val="none" w:sz="0" w:space="0" w:color="auto"/>
                <w:bottom w:val="none" w:sz="0" w:space="0" w:color="auto"/>
                <w:right w:val="none" w:sz="0" w:space="0" w:color="auto"/>
              </w:divBdr>
            </w:div>
            <w:div w:id="892817419">
              <w:marLeft w:val="0"/>
              <w:marRight w:val="0"/>
              <w:marTop w:val="0"/>
              <w:marBottom w:val="0"/>
              <w:divBdr>
                <w:top w:val="none" w:sz="0" w:space="0" w:color="auto"/>
                <w:left w:val="none" w:sz="0" w:space="0" w:color="auto"/>
                <w:bottom w:val="none" w:sz="0" w:space="0" w:color="auto"/>
                <w:right w:val="none" w:sz="0" w:space="0" w:color="auto"/>
              </w:divBdr>
            </w:div>
            <w:div w:id="1331719764">
              <w:marLeft w:val="0"/>
              <w:marRight w:val="0"/>
              <w:marTop w:val="0"/>
              <w:marBottom w:val="0"/>
              <w:divBdr>
                <w:top w:val="none" w:sz="0" w:space="0" w:color="auto"/>
                <w:left w:val="none" w:sz="0" w:space="0" w:color="auto"/>
                <w:bottom w:val="none" w:sz="0" w:space="0" w:color="auto"/>
                <w:right w:val="none" w:sz="0" w:space="0" w:color="auto"/>
              </w:divBdr>
            </w:div>
            <w:div w:id="954214266">
              <w:marLeft w:val="0"/>
              <w:marRight w:val="0"/>
              <w:marTop w:val="0"/>
              <w:marBottom w:val="0"/>
              <w:divBdr>
                <w:top w:val="none" w:sz="0" w:space="0" w:color="auto"/>
                <w:left w:val="none" w:sz="0" w:space="0" w:color="auto"/>
                <w:bottom w:val="none" w:sz="0" w:space="0" w:color="auto"/>
                <w:right w:val="none" w:sz="0" w:space="0" w:color="auto"/>
              </w:divBdr>
            </w:div>
            <w:div w:id="9675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310242">
      <w:bodyDiv w:val="1"/>
      <w:marLeft w:val="0"/>
      <w:marRight w:val="0"/>
      <w:marTop w:val="0"/>
      <w:marBottom w:val="0"/>
      <w:divBdr>
        <w:top w:val="none" w:sz="0" w:space="0" w:color="auto"/>
        <w:left w:val="none" w:sz="0" w:space="0" w:color="auto"/>
        <w:bottom w:val="none" w:sz="0" w:space="0" w:color="auto"/>
        <w:right w:val="none" w:sz="0" w:space="0" w:color="auto"/>
      </w:divBdr>
    </w:div>
    <w:div w:id="758521815">
      <w:bodyDiv w:val="1"/>
      <w:marLeft w:val="0"/>
      <w:marRight w:val="0"/>
      <w:marTop w:val="0"/>
      <w:marBottom w:val="0"/>
      <w:divBdr>
        <w:top w:val="none" w:sz="0" w:space="0" w:color="auto"/>
        <w:left w:val="none" w:sz="0" w:space="0" w:color="auto"/>
        <w:bottom w:val="none" w:sz="0" w:space="0" w:color="auto"/>
        <w:right w:val="none" w:sz="0" w:space="0" w:color="auto"/>
      </w:divBdr>
    </w:div>
    <w:div w:id="845100381">
      <w:bodyDiv w:val="1"/>
      <w:marLeft w:val="0"/>
      <w:marRight w:val="0"/>
      <w:marTop w:val="0"/>
      <w:marBottom w:val="0"/>
      <w:divBdr>
        <w:top w:val="none" w:sz="0" w:space="0" w:color="auto"/>
        <w:left w:val="none" w:sz="0" w:space="0" w:color="auto"/>
        <w:bottom w:val="none" w:sz="0" w:space="0" w:color="auto"/>
        <w:right w:val="none" w:sz="0" w:space="0" w:color="auto"/>
      </w:divBdr>
      <w:divsChild>
        <w:div w:id="1079981845">
          <w:marLeft w:val="0"/>
          <w:marRight w:val="0"/>
          <w:marTop w:val="0"/>
          <w:marBottom w:val="0"/>
          <w:divBdr>
            <w:top w:val="none" w:sz="0" w:space="0" w:color="auto"/>
            <w:left w:val="none" w:sz="0" w:space="0" w:color="auto"/>
            <w:bottom w:val="none" w:sz="0" w:space="0" w:color="auto"/>
            <w:right w:val="none" w:sz="0" w:space="0" w:color="auto"/>
          </w:divBdr>
        </w:div>
      </w:divsChild>
    </w:div>
    <w:div w:id="890075981">
      <w:bodyDiv w:val="1"/>
      <w:marLeft w:val="0"/>
      <w:marRight w:val="0"/>
      <w:marTop w:val="0"/>
      <w:marBottom w:val="0"/>
      <w:divBdr>
        <w:top w:val="none" w:sz="0" w:space="0" w:color="auto"/>
        <w:left w:val="none" w:sz="0" w:space="0" w:color="auto"/>
        <w:bottom w:val="none" w:sz="0" w:space="0" w:color="auto"/>
        <w:right w:val="none" w:sz="0" w:space="0" w:color="auto"/>
      </w:divBdr>
    </w:div>
    <w:div w:id="955988853">
      <w:bodyDiv w:val="1"/>
      <w:marLeft w:val="0"/>
      <w:marRight w:val="0"/>
      <w:marTop w:val="0"/>
      <w:marBottom w:val="0"/>
      <w:divBdr>
        <w:top w:val="none" w:sz="0" w:space="0" w:color="auto"/>
        <w:left w:val="none" w:sz="0" w:space="0" w:color="auto"/>
        <w:bottom w:val="none" w:sz="0" w:space="0" w:color="auto"/>
        <w:right w:val="none" w:sz="0" w:space="0" w:color="auto"/>
      </w:divBdr>
      <w:divsChild>
        <w:div w:id="867793546">
          <w:marLeft w:val="0"/>
          <w:marRight w:val="0"/>
          <w:marTop w:val="0"/>
          <w:marBottom w:val="0"/>
          <w:divBdr>
            <w:top w:val="none" w:sz="0" w:space="0" w:color="auto"/>
            <w:left w:val="none" w:sz="0" w:space="0" w:color="auto"/>
            <w:bottom w:val="none" w:sz="0" w:space="0" w:color="auto"/>
            <w:right w:val="none" w:sz="0" w:space="0" w:color="auto"/>
          </w:divBdr>
        </w:div>
      </w:divsChild>
    </w:div>
    <w:div w:id="1022048546">
      <w:bodyDiv w:val="1"/>
      <w:marLeft w:val="0"/>
      <w:marRight w:val="0"/>
      <w:marTop w:val="0"/>
      <w:marBottom w:val="0"/>
      <w:divBdr>
        <w:top w:val="none" w:sz="0" w:space="0" w:color="auto"/>
        <w:left w:val="none" w:sz="0" w:space="0" w:color="auto"/>
        <w:bottom w:val="none" w:sz="0" w:space="0" w:color="auto"/>
        <w:right w:val="none" w:sz="0" w:space="0" w:color="auto"/>
      </w:divBdr>
      <w:divsChild>
        <w:div w:id="1991211545">
          <w:marLeft w:val="0"/>
          <w:marRight w:val="0"/>
          <w:marTop w:val="0"/>
          <w:marBottom w:val="0"/>
          <w:divBdr>
            <w:top w:val="none" w:sz="0" w:space="0" w:color="auto"/>
            <w:left w:val="none" w:sz="0" w:space="0" w:color="auto"/>
            <w:bottom w:val="none" w:sz="0" w:space="0" w:color="auto"/>
            <w:right w:val="none" w:sz="0" w:space="0" w:color="auto"/>
          </w:divBdr>
          <w:divsChild>
            <w:div w:id="1833981425">
              <w:marLeft w:val="0"/>
              <w:marRight w:val="0"/>
              <w:marTop w:val="0"/>
              <w:marBottom w:val="0"/>
              <w:divBdr>
                <w:top w:val="none" w:sz="0" w:space="0" w:color="auto"/>
                <w:left w:val="none" w:sz="0" w:space="0" w:color="auto"/>
                <w:bottom w:val="none" w:sz="0" w:space="0" w:color="auto"/>
                <w:right w:val="none" w:sz="0" w:space="0" w:color="auto"/>
              </w:divBdr>
            </w:div>
            <w:div w:id="747002333">
              <w:marLeft w:val="0"/>
              <w:marRight w:val="0"/>
              <w:marTop w:val="0"/>
              <w:marBottom w:val="0"/>
              <w:divBdr>
                <w:top w:val="none" w:sz="0" w:space="0" w:color="auto"/>
                <w:left w:val="none" w:sz="0" w:space="0" w:color="auto"/>
                <w:bottom w:val="none" w:sz="0" w:space="0" w:color="auto"/>
                <w:right w:val="none" w:sz="0" w:space="0" w:color="auto"/>
              </w:divBdr>
            </w:div>
            <w:div w:id="28300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421056">
      <w:bodyDiv w:val="1"/>
      <w:marLeft w:val="0"/>
      <w:marRight w:val="0"/>
      <w:marTop w:val="0"/>
      <w:marBottom w:val="0"/>
      <w:divBdr>
        <w:top w:val="none" w:sz="0" w:space="0" w:color="auto"/>
        <w:left w:val="none" w:sz="0" w:space="0" w:color="auto"/>
        <w:bottom w:val="none" w:sz="0" w:space="0" w:color="auto"/>
        <w:right w:val="none" w:sz="0" w:space="0" w:color="auto"/>
      </w:divBdr>
    </w:div>
    <w:div w:id="1085110701">
      <w:bodyDiv w:val="1"/>
      <w:marLeft w:val="0"/>
      <w:marRight w:val="0"/>
      <w:marTop w:val="0"/>
      <w:marBottom w:val="0"/>
      <w:divBdr>
        <w:top w:val="none" w:sz="0" w:space="0" w:color="auto"/>
        <w:left w:val="none" w:sz="0" w:space="0" w:color="auto"/>
        <w:bottom w:val="none" w:sz="0" w:space="0" w:color="auto"/>
        <w:right w:val="none" w:sz="0" w:space="0" w:color="auto"/>
      </w:divBdr>
      <w:divsChild>
        <w:div w:id="957300455">
          <w:marLeft w:val="0"/>
          <w:marRight w:val="0"/>
          <w:marTop w:val="0"/>
          <w:marBottom w:val="0"/>
          <w:divBdr>
            <w:top w:val="none" w:sz="0" w:space="0" w:color="auto"/>
            <w:left w:val="none" w:sz="0" w:space="0" w:color="auto"/>
            <w:bottom w:val="none" w:sz="0" w:space="0" w:color="auto"/>
            <w:right w:val="none" w:sz="0" w:space="0" w:color="auto"/>
          </w:divBdr>
        </w:div>
      </w:divsChild>
    </w:div>
    <w:div w:id="1157502619">
      <w:bodyDiv w:val="1"/>
      <w:marLeft w:val="0"/>
      <w:marRight w:val="0"/>
      <w:marTop w:val="0"/>
      <w:marBottom w:val="0"/>
      <w:divBdr>
        <w:top w:val="none" w:sz="0" w:space="0" w:color="auto"/>
        <w:left w:val="none" w:sz="0" w:space="0" w:color="auto"/>
        <w:bottom w:val="none" w:sz="0" w:space="0" w:color="auto"/>
        <w:right w:val="none" w:sz="0" w:space="0" w:color="auto"/>
      </w:divBdr>
      <w:divsChild>
        <w:div w:id="687802627">
          <w:marLeft w:val="0"/>
          <w:marRight w:val="0"/>
          <w:marTop w:val="0"/>
          <w:marBottom w:val="0"/>
          <w:divBdr>
            <w:top w:val="none" w:sz="0" w:space="0" w:color="auto"/>
            <w:left w:val="none" w:sz="0" w:space="0" w:color="auto"/>
            <w:bottom w:val="none" w:sz="0" w:space="0" w:color="auto"/>
            <w:right w:val="none" w:sz="0" w:space="0" w:color="auto"/>
          </w:divBdr>
          <w:divsChild>
            <w:div w:id="819423409">
              <w:marLeft w:val="0"/>
              <w:marRight w:val="0"/>
              <w:marTop w:val="0"/>
              <w:marBottom w:val="0"/>
              <w:divBdr>
                <w:top w:val="none" w:sz="0" w:space="0" w:color="auto"/>
                <w:left w:val="none" w:sz="0" w:space="0" w:color="auto"/>
                <w:bottom w:val="none" w:sz="0" w:space="0" w:color="auto"/>
                <w:right w:val="none" w:sz="0" w:space="0" w:color="auto"/>
              </w:divBdr>
            </w:div>
            <w:div w:id="2005544894">
              <w:marLeft w:val="0"/>
              <w:marRight w:val="0"/>
              <w:marTop w:val="0"/>
              <w:marBottom w:val="0"/>
              <w:divBdr>
                <w:top w:val="none" w:sz="0" w:space="0" w:color="auto"/>
                <w:left w:val="none" w:sz="0" w:space="0" w:color="auto"/>
                <w:bottom w:val="none" w:sz="0" w:space="0" w:color="auto"/>
                <w:right w:val="none" w:sz="0" w:space="0" w:color="auto"/>
              </w:divBdr>
            </w:div>
            <w:div w:id="470945304">
              <w:marLeft w:val="0"/>
              <w:marRight w:val="0"/>
              <w:marTop w:val="0"/>
              <w:marBottom w:val="0"/>
              <w:divBdr>
                <w:top w:val="none" w:sz="0" w:space="0" w:color="auto"/>
                <w:left w:val="none" w:sz="0" w:space="0" w:color="auto"/>
                <w:bottom w:val="none" w:sz="0" w:space="0" w:color="auto"/>
                <w:right w:val="none" w:sz="0" w:space="0" w:color="auto"/>
              </w:divBdr>
            </w:div>
            <w:div w:id="7994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309184">
      <w:bodyDiv w:val="1"/>
      <w:marLeft w:val="0"/>
      <w:marRight w:val="0"/>
      <w:marTop w:val="0"/>
      <w:marBottom w:val="0"/>
      <w:divBdr>
        <w:top w:val="none" w:sz="0" w:space="0" w:color="auto"/>
        <w:left w:val="none" w:sz="0" w:space="0" w:color="auto"/>
        <w:bottom w:val="none" w:sz="0" w:space="0" w:color="auto"/>
        <w:right w:val="none" w:sz="0" w:space="0" w:color="auto"/>
      </w:divBdr>
      <w:divsChild>
        <w:div w:id="1731225756">
          <w:marLeft w:val="0"/>
          <w:marRight w:val="0"/>
          <w:marTop w:val="0"/>
          <w:marBottom w:val="0"/>
          <w:divBdr>
            <w:top w:val="none" w:sz="0" w:space="0" w:color="auto"/>
            <w:left w:val="none" w:sz="0" w:space="0" w:color="auto"/>
            <w:bottom w:val="none" w:sz="0" w:space="0" w:color="auto"/>
            <w:right w:val="none" w:sz="0" w:space="0" w:color="auto"/>
          </w:divBdr>
        </w:div>
      </w:divsChild>
    </w:div>
    <w:div w:id="1449860388">
      <w:bodyDiv w:val="1"/>
      <w:marLeft w:val="0"/>
      <w:marRight w:val="0"/>
      <w:marTop w:val="0"/>
      <w:marBottom w:val="0"/>
      <w:divBdr>
        <w:top w:val="none" w:sz="0" w:space="0" w:color="auto"/>
        <w:left w:val="none" w:sz="0" w:space="0" w:color="auto"/>
        <w:bottom w:val="none" w:sz="0" w:space="0" w:color="auto"/>
        <w:right w:val="none" w:sz="0" w:space="0" w:color="auto"/>
      </w:divBdr>
      <w:divsChild>
        <w:div w:id="655845842">
          <w:marLeft w:val="0"/>
          <w:marRight w:val="0"/>
          <w:marTop w:val="0"/>
          <w:marBottom w:val="0"/>
          <w:divBdr>
            <w:top w:val="none" w:sz="0" w:space="0" w:color="auto"/>
            <w:left w:val="none" w:sz="0" w:space="0" w:color="auto"/>
            <w:bottom w:val="none" w:sz="0" w:space="0" w:color="auto"/>
            <w:right w:val="none" w:sz="0" w:space="0" w:color="auto"/>
          </w:divBdr>
        </w:div>
      </w:divsChild>
    </w:div>
    <w:div w:id="1658918135">
      <w:bodyDiv w:val="1"/>
      <w:marLeft w:val="0"/>
      <w:marRight w:val="0"/>
      <w:marTop w:val="0"/>
      <w:marBottom w:val="0"/>
      <w:divBdr>
        <w:top w:val="none" w:sz="0" w:space="0" w:color="auto"/>
        <w:left w:val="none" w:sz="0" w:space="0" w:color="auto"/>
        <w:bottom w:val="none" w:sz="0" w:space="0" w:color="auto"/>
        <w:right w:val="none" w:sz="0" w:space="0" w:color="auto"/>
      </w:divBdr>
      <w:divsChild>
        <w:div w:id="1248269623">
          <w:marLeft w:val="0"/>
          <w:marRight w:val="0"/>
          <w:marTop w:val="0"/>
          <w:marBottom w:val="0"/>
          <w:divBdr>
            <w:top w:val="none" w:sz="0" w:space="0" w:color="auto"/>
            <w:left w:val="none" w:sz="0" w:space="0" w:color="auto"/>
            <w:bottom w:val="none" w:sz="0" w:space="0" w:color="auto"/>
            <w:right w:val="none" w:sz="0" w:space="0" w:color="auto"/>
          </w:divBdr>
        </w:div>
      </w:divsChild>
    </w:div>
    <w:div w:id="1759864101">
      <w:bodyDiv w:val="1"/>
      <w:marLeft w:val="0"/>
      <w:marRight w:val="0"/>
      <w:marTop w:val="0"/>
      <w:marBottom w:val="0"/>
      <w:divBdr>
        <w:top w:val="none" w:sz="0" w:space="0" w:color="auto"/>
        <w:left w:val="none" w:sz="0" w:space="0" w:color="auto"/>
        <w:bottom w:val="none" w:sz="0" w:space="0" w:color="auto"/>
        <w:right w:val="none" w:sz="0" w:space="0" w:color="auto"/>
      </w:divBdr>
      <w:divsChild>
        <w:div w:id="1434012853">
          <w:marLeft w:val="0"/>
          <w:marRight w:val="0"/>
          <w:marTop w:val="0"/>
          <w:marBottom w:val="0"/>
          <w:divBdr>
            <w:top w:val="none" w:sz="0" w:space="0" w:color="auto"/>
            <w:left w:val="none" w:sz="0" w:space="0" w:color="auto"/>
            <w:bottom w:val="none" w:sz="0" w:space="0" w:color="auto"/>
            <w:right w:val="none" w:sz="0" w:space="0" w:color="auto"/>
          </w:divBdr>
          <w:divsChild>
            <w:div w:id="1250311101">
              <w:marLeft w:val="0"/>
              <w:marRight w:val="0"/>
              <w:marTop w:val="0"/>
              <w:marBottom w:val="0"/>
              <w:divBdr>
                <w:top w:val="none" w:sz="0" w:space="0" w:color="auto"/>
                <w:left w:val="none" w:sz="0" w:space="0" w:color="auto"/>
                <w:bottom w:val="none" w:sz="0" w:space="0" w:color="auto"/>
                <w:right w:val="none" w:sz="0" w:space="0" w:color="auto"/>
              </w:divBdr>
            </w:div>
            <w:div w:id="1347099354">
              <w:marLeft w:val="0"/>
              <w:marRight w:val="0"/>
              <w:marTop w:val="0"/>
              <w:marBottom w:val="0"/>
              <w:divBdr>
                <w:top w:val="none" w:sz="0" w:space="0" w:color="auto"/>
                <w:left w:val="none" w:sz="0" w:space="0" w:color="auto"/>
                <w:bottom w:val="none" w:sz="0" w:space="0" w:color="auto"/>
                <w:right w:val="none" w:sz="0" w:space="0" w:color="auto"/>
              </w:divBdr>
            </w:div>
            <w:div w:id="559100152">
              <w:marLeft w:val="0"/>
              <w:marRight w:val="0"/>
              <w:marTop w:val="0"/>
              <w:marBottom w:val="0"/>
              <w:divBdr>
                <w:top w:val="none" w:sz="0" w:space="0" w:color="auto"/>
                <w:left w:val="none" w:sz="0" w:space="0" w:color="auto"/>
                <w:bottom w:val="none" w:sz="0" w:space="0" w:color="auto"/>
                <w:right w:val="none" w:sz="0" w:space="0" w:color="auto"/>
              </w:divBdr>
            </w:div>
            <w:div w:id="759251995">
              <w:marLeft w:val="0"/>
              <w:marRight w:val="0"/>
              <w:marTop w:val="0"/>
              <w:marBottom w:val="0"/>
              <w:divBdr>
                <w:top w:val="none" w:sz="0" w:space="0" w:color="auto"/>
                <w:left w:val="none" w:sz="0" w:space="0" w:color="auto"/>
                <w:bottom w:val="none" w:sz="0" w:space="0" w:color="auto"/>
                <w:right w:val="none" w:sz="0" w:space="0" w:color="auto"/>
              </w:divBdr>
            </w:div>
            <w:div w:id="1472016925">
              <w:marLeft w:val="0"/>
              <w:marRight w:val="0"/>
              <w:marTop w:val="0"/>
              <w:marBottom w:val="0"/>
              <w:divBdr>
                <w:top w:val="none" w:sz="0" w:space="0" w:color="auto"/>
                <w:left w:val="none" w:sz="0" w:space="0" w:color="auto"/>
                <w:bottom w:val="none" w:sz="0" w:space="0" w:color="auto"/>
                <w:right w:val="none" w:sz="0" w:space="0" w:color="auto"/>
              </w:divBdr>
            </w:div>
            <w:div w:id="622079952">
              <w:marLeft w:val="0"/>
              <w:marRight w:val="0"/>
              <w:marTop w:val="0"/>
              <w:marBottom w:val="0"/>
              <w:divBdr>
                <w:top w:val="none" w:sz="0" w:space="0" w:color="auto"/>
                <w:left w:val="none" w:sz="0" w:space="0" w:color="auto"/>
                <w:bottom w:val="none" w:sz="0" w:space="0" w:color="auto"/>
                <w:right w:val="none" w:sz="0" w:space="0" w:color="auto"/>
              </w:divBdr>
            </w:div>
            <w:div w:id="126970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823664">
      <w:bodyDiv w:val="1"/>
      <w:marLeft w:val="0"/>
      <w:marRight w:val="0"/>
      <w:marTop w:val="0"/>
      <w:marBottom w:val="0"/>
      <w:divBdr>
        <w:top w:val="none" w:sz="0" w:space="0" w:color="auto"/>
        <w:left w:val="none" w:sz="0" w:space="0" w:color="auto"/>
        <w:bottom w:val="none" w:sz="0" w:space="0" w:color="auto"/>
        <w:right w:val="none" w:sz="0" w:space="0" w:color="auto"/>
      </w:divBdr>
      <w:divsChild>
        <w:div w:id="1292133399">
          <w:marLeft w:val="0"/>
          <w:marRight w:val="0"/>
          <w:marTop w:val="0"/>
          <w:marBottom w:val="0"/>
          <w:divBdr>
            <w:top w:val="none" w:sz="0" w:space="0" w:color="auto"/>
            <w:left w:val="none" w:sz="0" w:space="0" w:color="auto"/>
            <w:bottom w:val="none" w:sz="0" w:space="0" w:color="auto"/>
            <w:right w:val="none" w:sz="0" w:space="0" w:color="auto"/>
          </w:divBdr>
          <w:divsChild>
            <w:div w:id="1695885996">
              <w:marLeft w:val="0"/>
              <w:marRight w:val="0"/>
              <w:marTop w:val="0"/>
              <w:marBottom w:val="0"/>
              <w:divBdr>
                <w:top w:val="none" w:sz="0" w:space="0" w:color="auto"/>
                <w:left w:val="none" w:sz="0" w:space="0" w:color="auto"/>
                <w:bottom w:val="none" w:sz="0" w:space="0" w:color="auto"/>
                <w:right w:val="none" w:sz="0" w:space="0" w:color="auto"/>
              </w:divBdr>
            </w:div>
            <w:div w:id="339090996">
              <w:marLeft w:val="0"/>
              <w:marRight w:val="0"/>
              <w:marTop w:val="0"/>
              <w:marBottom w:val="0"/>
              <w:divBdr>
                <w:top w:val="none" w:sz="0" w:space="0" w:color="auto"/>
                <w:left w:val="none" w:sz="0" w:space="0" w:color="auto"/>
                <w:bottom w:val="none" w:sz="0" w:space="0" w:color="auto"/>
                <w:right w:val="none" w:sz="0" w:space="0" w:color="auto"/>
              </w:divBdr>
            </w:div>
            <w:div w:id="977228318">
              <w:marLeft w:val="0"/>
              <w:marRight w:val="0"/>
              <w:marTop w:val="0"/>
              <w:marBottom w:val="0"/>
              <w:divBdr>
                <w:top w:val="none" w:sz="0" w:space="0" w:color="auto"/>
                <w:left w:val="none" w:sz="0" w:space="0" w:color="auto"/>
                <w:bottom w:val="none" w:sz="0" w:space="0" w:color="auto"/>
                <w:right w:val="none" w:sz="0" w:space="0" w:color="auto"/>
              </w:divBdr>
            </w:div>
            <w:div w:id="1933587934">
              <w:marLeft w:val="0"/>
              <w:marRight w:val="0"/>
              <w:marTop w:val="0"/>
              <w:marBottom w:val="0"/>
              <w:divBdr>
                <w:top w:val="none" w:sz="0" w:space="0" w:color="auto"/>
                <w:left w:val="none" w:sz="0" w:space="0" w:color="auto"/>
                <w:bottom w:val="none" w:sz="0" w:space="0" w:color="auto"/>
                <w:right w:val="none" w:sz="0" w:space="0" w:color="auto"/>
              </w:divBdr>
            </w:div>
            <w:div w:id="734741693">
              <w:marLeft w:val="0"/>
              <w:marRight w:val="0"/>
              <w:marTop w:val="0"/>
              <w:marBottom w:val="0"/>
              <w:divBdr>
                <w:top w:val="none" w:sz="0" w:space="0" w:color="auto"/>
                <w:left w:val="none" w:sz="0" w:space="0" w:color="auto"/>
                <w:bottom w:val="none" w:sz="0" w:space="0" w:color="auto"/>
                <w:right w:val="none" w:sz="0" w:space="0" w:color="auto"/>
              </w:divBdr>
            </w:div>
            <w:div w:id="658272053">
              <w:marLeft w:val="0"/>
              <w:marRight w:val="0"/>
              <w:marTop w:val="0"/>
              <w:marBottom w:val="0"/>
              <w:divBdr>
                <w:top w:val="none" w:sz="0" w:space="0" w:color="auto"/>
                <w:left w:val="none" w:sz="0" w:space="0" w:color="auto"/>
                <w:bottom w:val="none" w:sz="0" w:space="0" w:color="auto"/>
                <w:right w:val="none" w:sz="0" w:space="0" w:color="auto"/>
              </w:divBdr>
            </w:div>
            <w:div w:id="1988046122">
              <w:marLeft w:val="0"/>
              <w:marRight w:val="0"/>
              <w:marTop w:val="0"/>
              <w:marBottom w:val="0"/>
              <w:divBdr>
                <w:top w:val="none" w:sz="0" w:space="0" w:color="auto"/>
                <w:left w:val="none" w:sz="0" w:space="0" w:color="auto"/>
                <w:bottom w:val="none" w:sz="0" w:space="0" w:color="auto"/>
                <w:right w:val="none" w:sz="0" w:space="0" w:color="auto"/>
              </w:divBdr>
            </w:div>
            <w:div w:id="837188323">
              <w:marLeft w:val="0"/>
              <w:marRight w:val="0"/>
              <w:marTop w:val="0"/>
              <w:marBottom w:val="0"/>
              <w:divBdr>
                <w:top w:val="none" w:sz="0" w:space="0" w:color="auto"/>
                <w:left w:val="none" w:sz="0" w:space="0" w:color="auto"/>
                <w:bottom w:val="none" w:sz="0" w:space="0" w:color="auto"/>
                <w:right w:val="none" w:sz="0" w:space="0" w:color="auto"/>
              </w:divBdr>
            </w:div>
            <w:div w:id="1889874456">
              <w:marLeft w:val="0"/>
              <w:marRight w:val="0"/>
              <w:marTop w:val="0"/>
              <w:marBottom w:val="0"/>
              <w:divBdr>
                <w:top w:val="none" w:sz="0" w:space="0" w:color="auto"/>
                <w:left w:val="none" w:sz="0" w:space="0" w:color="auto"/>
                <w:bottom w:val="none" w:sz="0" w:space="0" w:color="auto"/>
                <w:right w:val="none" w:sz="0" w:space="0" w:color="auto"/>
              </w:divBdr>
            </w:div>
            <w:div w:id="1239167375">
              <w:marLeft w:val="0"/>
              <w:marRight w:val="0"/>
              <w:marTop w:val="0"/>
              <w:marBottom w:val="0"/>
              <w:divBdr>
                <w:top w:val="none" w:sz="0" w:space="0" w:color="auto"/>
                <w:left w:val="none" w:sz="0" w:space="0" w:color="auto"/>
                <w:bottom w:val="none" w:sz="0" w:space="0" w:color="auto"/>
                <w:right w:val="none" w:sz="0" w:space="0" w:color="auto"/>
              </w:divBdr>
            </w:div>
            <w:div w:id="1352609087">
              <w:marLeft w:val="0"/>
              <w:marRight w:val="0"/>
              <w:marTop w:val="0"/>
              <w:marBottom w:val="0"/>
              <w:divBdr>
                <w:top w:val="none" w:sz="0" w:space="0" w:color="auto"/>
                <w:left w:val="none" w:sz="0" w:space="0" w:color="auto"/>
                <w:bottom w:val="none" w:sz="0" w:space="0" w:color="auto"/>
                <w:right w:val="none" w:sz="0" w:space="0" w:color="auto"/>
              </w:divBdr>
            </w:div>
            <w:div w:id="1673678860">
              <w:marLeft w:val="0"/>
              <w:marRight w:val="0"/>
              <w:marTop w:val="0"/>
              <w:marBottom w:val="0"/>
              <w:divBdr>
                <w:top w:val="none" w:sz="0" w:space="0" w:color="auto"/>
                <w:left w:val="none" w:sz="0" w:space="0" w:color="auto"/>
                <w:bottom w:val="none" w:sz="0" w:space="0" w:color="auto"/>
                <w:right w:val="none" w:sz="0" w:space="0" w:color="auto"/>
              </w:divBdr>
            </w:div>
            <w:div w:id="116802100">
              <w:marLeft w:val="0"/>
              <w:marRight w:val="0"/>
              <w:marTop w:val="0"/>
              <w:marBottom w:val="0"/>
              <w:divBdr>
                <w:top w:val="none" w:sz="0" w:space="0" w:color="auto"/>
                <w:left w:val="none" w:sz="0" w:space="0" w:color="auto"/>
                <w:bottom w:val="none" w:sz="0" w:space="0" w:color="auto"/>
                <w:right w:val="none" w:sz="0" w:space="0" w:color="auto"/>
              </w:divBdr>
            </w:div>
            <w:div w:id="1883327427">
              <w:marLeft w:val="0"/>
              <w:marRight w:val="0"/>
              <w:marTop w:val="0"/>
              <w:marBottom w:val="0"/>
              <w:divBdr>
                <w:top w:val="none" w:sz="0" w:space="0" w:color="auto"/>
                <w:left w:val="none" w:sz="0" w:space="0" w:color="auto"/>
                <w:bottom w:val="none" w:sz="0" w:space="0" w:color="auto"/>
                <w:right w:val="none" w:sz="0" w:space="0" w:color="auto"/>
              </w:divBdr>
            </w:div>
            <w:div w:id="212432002">
              <w:marLeft w:val="0"/>
              <w:marRight w:val="0"/>
              <w:marTop w:val="0"/>
              <w:marBottom w:val="0"/>
              <w:divBdr>
                <w:top w:val="none" w:sz="0" w:space="0" w:color="auto"/>
                <w:left w:val="none" w:sz="0" w:space="0" w:color="auto"/>
                <w:bottom w:val="none" w:sz="0" w:space="0" w:color="auto"/>
                <w:right w:val="none" w:sz="0" w:space="0" w:color="auto"/>
              </w:divBdr>
            </w:div>
            <w:div w:id="1256355556">
              <w:marLeft w:val="0"/>
              <w:marRight w:val="0"/>
              <w:marTop w:val="0"/>
              <w:marBottom w:val="0"/>
              <w:divBdr>
                <w:top w:val="none" w:sz="0" w:space="0" w:color="auto"/>
                <w:left w:val="none" w:sz="0" w:space="0" w:color="auto"/>
                <w:bottom w:val="none" w:sz="0" w:space="0" w:color="auto"/>
                <w:right w:val="none" w:sz="0" w:space="0" w:color="auto"/>
              </w:divBdr>
            </w:div>
            <w:div w:id="1026060276">
              <w:marLeft w:val="0"/>
              <w:marRight w:val="0"/>
              <w:marTop w:val="0"/>
              <w:marBottom w:val="0"/>
              <w:divBdr>
                <w:top w:val="none" w:sz="0" w:space="0" w:color="auto"/>
                <w:left w:val="none" w:sz="0" w:space="0" w:color="auto"/>
                <w:bottom w:val="none" w:sz="0" w:space="0" w:color="auto"/>
                <w:right w:val="none" w:sz="0" w:space="0" w:color="auto"/>
              </w:divBdr>
            </w:div>
            <w:div w:id="158811714">
              <w:marLeft w:val="0"/>
              <w:marRight w:val="0"/>
              <w:marTop w:val="0"/>
              <w:marBottom w:val="0"/>
              <w:divBdr>
                <w:top w:val="none" w:sz="0" w:space="0" w:color="auto"/>
                <w:left w:val="none" w:sz="0" w:space="0" w:color="auto"/>
                <w:bottom w:val="none" w:sz="0" w:space="0" w:color="auto"/>
                <w:right w:val="none" w:sz="0" w:space="0" w:color="auto"/>
              </w:divBdr>
            </w:div>
            <w:div w:id="1783451566">
              <w:marLeft w:val="0"/>
              <w:marRight w:val="0"/>
              <w:marTop w:val="0"/>
              <w:marBottom w:val="0"/>
              <w:divBdr>
                <w:top w:val="none" w:sz="0" w:space="0" w:color="auto"/>
                <w:left w:val="none" w:sz="0" w:space="0" w:color="auto"/>
                <w:bottom w:val="none" w:sz="0" w:space="0" w:color="auto"/>
                <w:right w:val="none" w:sz="0" w:space="0" w:color="auto"/>
              </w:divBdr>
            </w:div>
            <w:div w:id="1408726967">
              <w:marLeft w:val="0"/>
              <w:marRight w:val="0"/>
              <w:marTop w:val="0"/>
              <w:marBottom w:val="0"/>
              <w:divBdr>
                <w:top w:val="none" w:sz="0" w:space="0" w:color="auto"/>
                <w:left w:val="none" w:sz="0" w:space="0" w:color="auto"/>
                <w:bottom w:val="none" w:sz="0" w:space="0" w:color="auto"/>
                <w:right w:val="none" w:sz="0" w:space="0" w:color="auto"/>
              </w:divBdr>
            </w:div>
            <w:div w:id="1456830041">
              <w:marLeft w:val="0"/>
              <w:marRight w:val="0"/>
              <w:marTop w:val="0"/>
              <w:marBottom w:val="0"/>
              <w:divBdr>
                <w:top w:val="none" w:sz="0" w:space="0" w:color="auto"/>
                <w:left w:val="none" w:sz="0" w:space="0" w:color="auto"/>
                <w:bottom w:val="none" w:sz="0" w:space="0" w:color="auto"/>
                <w:right w:val="none" w:sz="0" w:space="0" w:color="auto"/>
              </w:divBdr>
            </w:div>
            <w:div w:id="1328167682">
              <w:marLeft w:val="0"/>
              <w:marRight w:val="0"/>
              <w:marTop w:val="0"/>
              <w:marBottom w:val="0"/>
              <w:divBdr>
                <w:top w:val="none" w:sz="0" w:space="0" w:color="auto"/>
                <w:left w:val="none" w:sz="0" w:space="0" w:color="auto"/>
                <w:bottom w:val="none" w:sz="0" w:space="0" w:color="auto"/>
                <w:right w:val="none" w:sz="0" w:space="0" w:color="auto"/>
              </w:divBdr>
            </w:div>
            <w:div w:id="1537884125">
              <w:marLeft w:val="0"/>
              <w:marRight w:val="0"/>
              <w:marTop w:val="0"/>
              <w:marBottom w:val="0"/>
              <w:divBdr>
                <w:top w:val="none" w:sz="0" w:space="0" w:color="auto"/>
                <w:left w:val="none" w:sz="0" w:space="0" w:color="auto"/>
                <w:bottom w:val="none" w:sz="0" w:space="0" w:color="auto"/>
                <w:right w:val="none" w:sz="0" w:space="0" w:color="auto"/>
              </w:divBdr>
            </w:div>
            <w:div w:id="63984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958063">
      <w:bodyDiv w:val="1"/>
      <w:marLeft w:val="0"/>
      <w:marRight w:val="0"/>
      <w:marTop w:val="0"/>
      <w:marBottom w:val="0"/>
      <w:divBdr>
        <w:top w:val="none" w:sz="0" w:space="0" w:color="auto"/>
        <w:left w:val="none" w:sz="0" w:space="0" w:color="auto"/>
        <w:bottom w:val="none" w:sz="0" w:space="0" w:color="auto"/>
        <w:right w:val="none" w:sz="0" w:space="0" w:color="auto"/>
      </w:divBdr>
    </w:div>
    <w:div w:id="1875463855">
      <w:bodyDiv w:val="1"/>
      <w:marLeft w:val="0"/>
      <w:marRight w:val="0"/>
      <w:marTop w:val="0"/>
      <w:marBottom w:val="0"/>
      <w:divBdr>
        <w:top w:val="none" w:sz="0" w:space="0" w:color="auto"/>
        <w:left w:val="none" w:sz="0" w:space="0" w:color="auto"/>
        <w:bottom w:val="none" w:sz="0" w:space="0" w:color="auto"/>
        <w:right w:val="none" w:sz="0" w:space="0" w:color="auto"/>
      </w:divBdr>
    </w:div>
    <w:div w:id="1900896058">
      <w:bodyDiv w:val="1"/>
      <w:marLeft w:val="0"/>
      <w:marRight w:val="0"/>
      <w:marTop w:val="0"/>
      <w:marBottom w:val="0"/>
      <w:divBdr>
        <w:top w:val="none" w:sz="0" w:space="0" w:color="auto"/>
        <w:left w:val="none" w:sz="0" w:space="0" w:color="auto"/>
        <w:bottom w:val="none" w:sz="0" w:space="0" w:color="auto"/>
        <w:right w:val="none" w:sz="0" w:space="0" w:color="auto"/>
      </w:divBdr>
      <w:divsChild>
        <w:div w:id="947397240">
          <w:marLeft w:val="0"/>
          <w:marRight w:val="0"/>
          <w:marTop w:val="0"/>
          <w:marBottom w:val="0"/>
          <w:divBdr>
            <w:top w:val="none" w:sz="0" w:space="0" w:color="auto"/>
            <w:left w:val="none" w:sz="0" w:space="0" w:color="auto"/>
            <w:bottom w:val="none" w:sz="0" w:space="0" w:color="auto"/>
            <w:right w:val="none" w:sz="0" w:space="0" w:color="auto"/>
          </w:divBdr>
        </w:div>
      </w:divsChild>
    </w:div>
    <w:div w:id="1943027466">
      <w:bodyDiv w:val="1"/>
      <w:marLeft w:val="0"/>
      <w:marRight w:val="0"/>
      <w:marTop w:val="0"/>
      <w:marBottom w:val="0"/>
      <w:divBdr>
        <w:top w:val="none" w:sz="0" w:space="0" w:color="auto"/>
        <w:left w:val="none" w:sz="0" w:space="0" w:color="auto"/>
        <w:bottom w:val="none" w:sz="0" w:space="0" w:color="auto"/>
        <w:right w:val="none" w:sz="0" w:space="0" w:color="auto"/>
      </w:divBdr>
      <w:divsChild>
        <w:div w:id="1549106861">
          <w:marLeft w:val="0"/>
          <w:marRight w:val="0"/>
          <w:marTop w:val="0"/>
          <w:marBottom w:val="0"/>
          <w:divBdr>
            <w:top w:val="none" w:sz="0" w:space="0" w:color="auto"/>
            <w:left w:val="none" w:sz="0" w:space="0" w:color="auto"/>
            <w:bottom w:val="none" w:sz="0" w:space="0" w:color="auto"/>
            <w:right w:val="none" w:sz="0" w:space="0" w:color="auto"/>
          </w:divBdr>
        </w:div>
      </w:divsChild>
    </w:div>
    <w:div w:id="1956325919">
      <w:bodyDiv w:val="1"/>
      <w:marLeft w:val="0"/>
      <w:marRight w:val="0"/>
      <w:marTop w:val="0"/>
      <w:marBottom w:val="0"/>
      <w:divBdr>
        <w:top w:val="none" w:sz="0" w:space="0" w:color="auto"/>
        <w:left w:val="none" w:sz="0" w:space="0" w:color="auto"/>
        <w:bottom w:val="none" w:sz="0" w:space="0" w:color="auto"/>
        <w:right w:val="none" w:sz="0" w:space="0" w:color="auto"/>
      </w:divBdr>
      <w:divsChild>
        <w:div w:id="1402364337">
          <w:marLeft w:val="0"/>
          <w:marRight w:val="0"/>
          <w:marTop w:val="0"/>
          <w:marBottom w:val="0"/>
          <w:divBdr>
            <w:top w:val="none" w:sz="0" w:space="0" w:color="auto"/>
            <w:left w:val="none" w:sz="0" w:space="0" w:color="auto"/>
            <w:bottom w:val="none" w:sz="0" w:space="0" w:color="auto"/>
            <w:right w:val="none" w:sz="0" w:space="0" w:color="auto"/>
          </w:divBdr>
        </w:div>
      </w:divsChild>
    </w:div>
    <w:div w:id="1968973246">
      <w:bodyDiv w:val="1"/>
      <w:marLeft w:val="0"/>
      <w:marRight w:val="0"/>
      <w:marTop w:val="0"/>
      <w:marBottom w:val="0"/>
      <w:divBdr>
        <w:top w:val="none" w:sz="0" w:space="0" w:color="auto"/>
        <w:left w:val="none" w:sz="0" w:space="0" w:color="auto"/>
        <w:bottom w:val="none" w:sz="0" w:space="0" w:color="auto"/>
        <w:right w:val="none" w:sz="0" w:space="0" w:color="auto"/>
      </w:divBdr>
      <w:divsChild>
        <w:div w:id="107893492">
          <w:marLeft w:val="0"/>
          <w:marRight w:val="0"/>
          <w:marTop w:val="0"/>
          <w:marBottom w:val="0"/>
          <w:divBdr>
            <w:top w:val="none" w:sz="0" w:space="0" w:color="auto"/>
            <w:left w:val="none" w:sz="0" w:space="0" w:color="auto"/>
            <w:bottom w:val="none" w:sz="0" w:space="0" w:color="auto"/>
            <w:right w:val="none" w:sz="0" w:space="0" w:color="auto"/>
          </w:divBdr>
        </w:div>
      </w:divsChild>
    </w:div>
    <w:div w:id="2033409159">
      <w:bodyDiv w:val="1"/>
      <w:marLeft w:val="0"/>
      <w:marRight w:val="0"/>
      <w:marTop w:val="0"/>
      <w:marBottom w:val="0"/>
      <w:divBdr>
        <w:top w:val="none" w:sz="0" w:space="0" w:color="auto"/>
        <w:left w:val="none" w:sz="0" w:space="0" w:color="auto"/>
        <w:bottom w:val="none" w:sz="0" w:space="0" w:color="auto"/>
        <w:right w:val="none" w:sz="0" w:space="0" w:color="auto"/>
      </w:divBdr>
    </w:div>
    <w:div w:id="2126119904">
      <w:bodyDiv w:val="1"/>
      <w:marLeft w:val="0"/>
      <w:marRight w:val="0"/>
      <w:marTop w:val="0"/>
      <w:marBottom w:val="0"/>
      <w:divBdr>
        <w:top w:val="none" w:sz="0" w:space="0" w:color="auto"/>
        <w:left w:val="none" w:sz="0" w:space="0" w:color="auto"/>
        <w:bottom w:val="none" w:sz="0" w:space="0" w:color="auto"/>
        <w:right w:val="none" w:sz="0" w:space="0" w:color="auto"/>
      </w:divBdr>
      <w:divsChild>
        <w:div w:id="125121049">
          <w:marLeft w:val="0"/>
          <w:marRight w:val="0"/>
          <w:marTop w:val="0"/>
          <w:marBottom w:val="0"/>
          <w:divBdr>
            <w:top w:val="none" w:sz="0" w:space="0" w:color="auto"/>
            <w:left w:val="none" w:sz="0" w:space="0" w:color="auto"/>
            <w:bottom w:val="none" w:sz="0" w:space="0" w:color="auto"/>
            <w:right w:val="none" w:sz="0" w:space="0" w:color="auto"/>
          </w:divBdr>
          <w:divsChild>
            <w:div w:id="1936745144">
              <w:marLeft w:val="0"/>
              <w:marRight w:val="0"/>
              <w:marTop w:val="0"/>
              <w:marBottom w:val="0"/>
              <w:divBdr>
                <w:top w:val="none" w:sz="0" w:space="0" w:color="auto"/>
                <w:left w:val="none" w:sz="0" w:space="0" w:color="auto"/>
                <w:bottom w:val="none" w:sz="0" w:space="0" w:color="auto"/>
                <w:right w:val="none" w:sz="0" w:space="0" w:color="auto"/>
              </w:divBdr>
            </w:div>
            <w:div w:id="1124228904">
              <w:marLeft w:val="0"/>
              <w:marRight w:val="0"/>
              <w:marTop w:val="0"/>
              <w:marBottom w:val="0"/>
              <w:divBdr>
                <w:top w:val="none" w:sz="0" w:space="0" w:color="auto"/>
                <w:left w:val="none" w:sz="0" w:space="0" w:color="auto"/>
                <w:bottom w:val="none" w:sz="0" w:space="0" w:color="auto"/>
                <w:right w:val="none" w:sz="0" w:space="0" w:color="auto"/>
              </w:divBdr>
            </w:div>
            <w:div w:id="560754035">
              <w:marLeft w:val="0"/>
              <w:marRight w:val="0"/>
              <w:marTop w:val="0"/>
              <w:marBottom w:val="0"/>
              <w:divBdr>
                <w:top w:val="none" w:sz="0" w:space="0" w:color="auto"/>
                <w:left w:val="none" w:sz="0" w:space="0" w:color="auto"/>
                <w:bottom w:val="none" w:sz="0" w:space="0" w:color="auto"/>
                <w:right w:val="none" w:sz="0" w:space="0" w:color="auto"/>
              </w:divBdr>
            </w:div>
            <w:div w:id="1803839164">
              <w:marLeft w:val="0"/>
              <w:marRight w:val="0"/>
              <w:marTop w:val="0"/>
              <w:marBottom w:val="0"/>
              <w:divBdr>
                <w:top w:val="none" w:sz="0" w:space="0" w:color="auto"/>
                <w:left w:val="none" w:sz="0" w:space="0" w:color="auto"/>
                <w:bottom w:val="none" w:sz="0" w:space="0" w:color="auto"/>
                <w:right w:val="none" w:sz="0" w:space="0" w:color="auto"/>
              </w:divBdr>
            </w:div>
            <w:div w:id="1888374836">
              <w:marLeft w:val="0"/>
              <w:marRight w:val="0"/>
              <w:marTop w:val="0"/>
              <w:marBottom w:val="0"/>
              <w:divBdr>
                <w:top w:val="none" w:sz="0" w:space="0" w:color="auto"/>
                <w:left w:val="none" w:sz="0" w:space="0" w:color="auto"/>
                <w:bottom w:val="none" w:sz="0" w:space="0" w:color="auto"/>
                <w:right w:val="none" w:sz="0" w:space="0" w:color="auto"/>
              </w:divBdr>
            </w:div>
            <w:div w:id="17592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Word_Document1.docx"/><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package" Target="embeddings/Microsoft_Excel_Worksheet.xlsx"/><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C666C-BC2F-4FAC-8627-6AC8E367A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23835</Words>
  <Characters>135862</Characters>
  <Application>Microsoft Office Word</Application>
  <DocSecurity>0</DocSecurity>
  <Lines>1132</Lines>
  <Paragraphs>318</Paragraphs>
  <ScaleCrop>false</ScaleCrop>
  <Company/>
  <LinksUpToDate>false</LinksUpToDate>
  <CharactersWithSpaces>159379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2026-09-21T13:56:00Z</dcterms:created>
  <dcterms:modified xsi:type="dcterms:W3CDTF">2026-09-21T13:56:00Z</dcterms:modified>
</cp:coreProperties>
</file>