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88C" w:rsidRDefault="0085588C" w:rsidP="0085588C">
      <w:r>
        <w:rPr>
          <w:noProof/>
          <w:lang w:val="en-US" w:eastAsia="en-US"/>
        </w:rPr>
        <w:drawing>
          <wp:inline distT="0" distB="0" distL="0" distR="0">
            <wp:extent cx="2286000" cy="955675"/>
            <wp:effectExtent l="19050" t="0" r="0" b="0"/>
            <wp:docPr id="2" name="Picture 1" descr="C:\Users\Alina\Desktop\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wtsd-london-logo-black.png"/>
                    <pic:cNvPicPr>
                      <a:picLocks noChangeAspect="1" noChangeArrowheads="1"/>
                    </pic:cNvPicPr>
                  </pic:nvPicPr>
                  <pic:blipFill>
                    <a:blip r:embed="rId8"/>
                    <a:srcRect/>
                    <a:stretch>
                      <a:fillRect/>
                    </a:stretch>
                  </pic:blipFill>
                  <pic:spPr bwMode="auto">
                    <a:xfrm>
                      <a:off x="0" y="0"/>
                      <a:ext cx="2286000" cy="955675"/>
                    </a:xfrm>
                    <a:prstGeom prst="rect">
                      <a:avLst/>
                    </a:prstGeom>
                    <a:noFill/>
                    <a:ln w="9525">
                      <a:noFill/>
                      <a:miter lim="800000"/>
                      <a:headEnd/>
                      <a:tailEnd/>
                    </a:ln>
                  </pic:spPr>
                </pic:pic>
              </a:graphicData>
            </a:graphic>
          </wp:inline>
        </w:drawing>
      </w:r>
    </w:p>
    <w:p w:rsidR="0085588C" w:rsidRDefault="0085588C" w:rsidP="0085588C"/>
    <w:p w:rsidR="0085588C" w:rsidRPr="00AE22B7" w:rsidRDefault="0085588C" w:rsidP="0085588C"/>
    <w:p w:rsidR="0085588C" w:rsidRPr="0091604F" w:rsidRDefault="0085588C" w:rsidP="0085588C"/>
    <w:p w:rsidR="0085588C" w:rsidRPr="0091604F" w:rsidRDefault="0085588C" w:rsidP="0085588C">
      <w:pPr>
        <w:jc w:val="center"/>
        <w:rPr>
          <w:rFonts w:ascii="Times New Roman" w:hAnsi="Times New Roman" w:cs="Times New Roman"/>
          <w:b/>
          <w:sz w:val="36"/>
          <w:szCs w:val="36"/>
        </w:rPr>
      </w:pPr>
      <w:r>
        <w:rPr>
          <w:rFonts w:ascii="Times New Roman" w:hAnsi="Times New Roman" w:cs="Times New Roman"/>
          <w:b/>
          <w:sz w:val="36"/>
          <w:szCs w:val="36"/>
        </w:rPr>
        <w:t>Assessment 2</w:t>
      </w:r>
    </w:p>
    <w:p w:rsidR="0085588C" w:rsidRPr="0091604F" w:rsidRDefault="0085588C" w:rsidP="0085588C">
      <w:pPr>
        <w:jc w:val="center"/>
        <w:rPr>
          <w:rFonts w:ascii="Times New Roman" w:hAnsi="Times New Roman" w:cs="Times New Roman"/>
        </w:rPr>
      </w:pPr>
    </w:p>
    <w:p w:rsidR="0085588C" w:rsidRPr="0091604F" w:rsidRDefault="0085588C" w:rsidP="0085588C">
      <w:pPr>
        <w:rPr>
          <w:rFonts w:ascii="Times New Roman" w:hAnsi="Times New Roman" w:cs="Times New Roman"/>
        </w:rPr>
      </w:pPr>
    </w:p>
    <w:p w:rsidR="0085588C" w:rsidRPr="0091604F" w:rsidRDefault="0085588C" w:rsidP="0085588C">
      <w:pPr>
        <w:jc w:val="center"/>
        <w:rPr>
          <w:rFonts w:ascii="Times New Roman" w:hAnsi="Times New Roman" w:cs="Times New Roman"/>
          <w:b/>
          <w:sz w:val="36"/>
          <w:szCs w:val="36"/>
        </w:rPr>
      </w:pPr>
      <w:r w:rsidRPr="0091604F">
        <w:rPr>
          <w:rFonts w:ascii="Times New Roman" w:hAnsi="Times New Roman" w:cs="Times New Roman"/>
          <w:b/>
          <w:sz w:val="36"/>
          <w:szCs w:val="36"/>
        </w:rPr>
        <w:t>Community Engagement-LCBB4002</w:t>
      </w:r>
    </w:p>
    <w:p w:rsidR="0085588C" w:rsidRPr="0091604F" w:rsidRDefault="0085588C" w:rsidP="0085588C">
      <w:pPr>
        <w:jc w:val="center"/>
        <w:rPr>
          <w:rFonts w:ascii="Times New Roman" w:hAnsi="Times New Roman" w:cs="Times New Roman"/>
          <w:b/>
          <w:sz w:val="36"/>
          <w:szCs w:val="36"/>
        </w:rPr>
      </w:pPr>
      <w:r w:rsidRPr="0091604F">
        <w:rPr>
          <w:rFonts w:ascii="Times New Roman" w:hAnsi="Times New Roman" w:cs="Times New Roman"/>
          <w:b/>
          <w:sz w:val="36"/>
          <w:szCs w:val="36"/>
        </w:rPr>
        <w:t>Lecturer:</w:t>
      </w:r>
      <w:r>
        <w:rPr>
          <w:rFonts w:ascii="Times New Roman" w:hAnsi="Times New Roman" w:cs="Times New Roman"/>
          <w:b/>
          <w:sz w:val="36"/>
          <w:szCs w:val="36"/>
        </w:rPr>
        <w:t xml:space="preserve"> Dr. Faizu Edu</w:t>
      </w:r>
      <w:r>
        <w:rPr>
          <w:rFonts w:ascii="Times New Roman" w:hAnsi="Times New Roman" w:cs="Times New Roman"/>
          <w:b/>
          <w:color w:val="373A3C"/>
          <w:sz w:val="36"/>
          <w:szCs w:val="36"/>
          <w:shd w:val="clear" w:color="auto" w:fill="F9F9F9"/>
        </w:rPr>
        <w:t xml:space="preserve"> </w:t>
      </w:r>
    </w:p>
    <w:p w:rsidR="0085588C" w:rsidRPr="0091604F" w:rsidRDefault="0085588C" w:rsidP="0085588C">
      <w:pPr>
        <w:jc w:val="center"/>
        <w:rPr>
          <w:rFonts w:ascii="Times New Roman" w:hAnsi="Times New Roman" w:cs="Times New Roman"/>
          <w:b/>
          <w:sz w:val="36"/>
          <w:szCs w:val="36"/>
        </w:rPr>
      </w:pPr>
    </w:p>
    <w:p w:rsidR="0085588C" w:rsidRPr="0091604F" w:rsidRDefault="0085588C" w:rsidP="0085588C">
      <w:pPr>
        <w:ind w:firstLine="720"/>
        <w:rPr>
          <w:rFonts w:ascii="Times New Roman" w:hAnsi="Times New Roman" w:cs="Times New Roman"/>
          <w:b/>
          <w:sz w:val="32"/>
          <w:szCs w:val="32"/>
        </w:rPr>
      </w:pPr>
    </w:p>
    <w:p w:rsidR="0085588C" w:rsidRDefault="0085588C" w:rsidP="0085588C">
      <w:pPr>
        <w:ind w:firstLine="720"/>
        <w:rPr>
          <w:rFonts w:ascii="Times New Roman" w:hAnsi="Times New Roman" w:cs="Times New Roman"/>
          <w:b/>
          <w:i/>
          <w:sz w:val="32"/>
          <w:szCs w:val="32"/>
        </w:rPr>
      </w:pPr>
    </w:p>
    <w:p w:rsidR="0085588C" w:rsidRPr="009271FF" w:rsidRDefault="0085588C" w:rsidP="0085588C">
      <w:pPr>
        <w:ind w:firstLine="720"/>
        <w:rPr>
          <w:rFonts w:ascii="Times New Roman" w:hAnsi="Times New Roman" w:cs="Times New Roman"/>
          <w:b/>
          <w:i/>
          <w:sz w:val="32"/>
          <w:szCs w:val="32"/>
        </w:rPr>
      </w:pPr>
    </w:p>
    <w:p w:rsidR="0085588C" w:rsidRPr="009271FF" w:rsidRDefault="0085588C" w:rsidP="0085588C">
      <w:pPr>
        <w:ind w:firstLine="720"/>
        <w:rPr>
          <w:rFonts w:ascii="Times New Roman" w:hAnsi="Times New Roman" w:cs="Times New Roman"/>
          <w:b/>
          <w:i/>
          <w:sz w:val="32"/>
          <w:szCs w:val="32"/>
        </w:rPr>
      </w:pPr>
    </w:p>
    <w:p w:rsidR="0085588C" w:rsidRPr="009271FF" w:rsidRDefault="0085588C" w:rsidP="0085588C">
      <w:pPr>
        <w:ind w:firstLine="720"/>
        <w:rPr>
          <w:rFonts w:ascii="Times New Roman" w:hAnsi="Times New Roman" w:cs="Times New Roman"/>
          <w:b/>
          <w:sz w:val="32"/>
          <w:szCs w:val="32"/>
        </w:rPr>
      </w:pPr>
      <w:r w:rsidRPr="009271FF">
        <w:rPr>
          <w:rFonts w:ascii="Times New Roman" w:hAnsi="Times New Roman" w:cs="Times New Roman"/>
          <w:b/>
          <w:sz w:val="32"/>
          <w:szCs w:val="32"/>
        </w:rPr>
        <w:t>Student name and ID:</w:t>
      </w:r>
    </w:p>
    <w:p w:rsidR="0085588C" w:rsidRPr="00B32B05" w:rsidRDefault="0085588C" w:rsidP="0085588C">
      <w:pPr>
        <w:ind w:firstLine="720"/>
        <w:rPr>
          <w:rFonts w:ascii="Times New Roman" w:hAnsi="Times New Roman" w:cs="Times New Roman"/>
          <w:b/>
          <w:sz w:val="28"/>
          <w:szCs w:val="28"/>
        </w:rPr>
      </w:pPr>
      <w:r w:rsidRPr="00B32B05">
        <w:rPr>
          <w:rFonts w:ascii="Times New Roman" w:hAnsi="Times New Roman" w:cs="Times New Roman"/>
          <w:b/>
          <w:sz w:val="28"/>
          <w:szCs w:val="28"/>
        </w:rPr>
        <w:t xml:space="preserve"> Alina-Paula Manolache-2114609</w:t>
      </w:r>
    </w:p>
    <w:p w:rsidR="0085588C" w:rsidRPr="009271FF" w:rsidRDefault="0085588C" w:rsidP="0085588C">
      <w:pPr>
        <w:ind w:firstLine="720"/>
        <w:rPr>
          <w:rFonts w:ascii="Times New Roman" w:hAnsi="Times New Roman" w:cs="Times New Roman"/>
          <w:b/>
          <w:i/>
          <w:sz w:val="32"/>
          <w:szCs w:val="32"/>
        </w:rPr>
      </w:pPr>
    </w:p>
    <w:p w:rsidR="00071E1C" w:rsidRPr="00071E1C" w:rsidRDefault="0085588C" w:rsidP="00071E1C">
      <w:pPr>
        <w:jc w:val="center"/>
        <w:rPr>
          <w:rFonts w:ascii="Times New Roman" w:eastAsia="Times New Roman" w:hAnsi="Times New Roman" w:cs="Times New Roman"/>
          <w:color w:val="0E101A"/>
          <w:sz w:val="24"/>
          <w:szCs w:val="24"/>
          <w:highlight w:val="white"/>
        </w:rPr>
      </w:pPr>
      <w:r w:rsidRPr="009A0AF5">
        <w:rPr>
          <w:rFonts w:ascii="Times New Roman" w:eastAsia="Times New Roman" w:hAnsi="Times New Roman" w:cs="Times New Roman"/>
          <w:color w:val="0E101A"/>
          <w:sz w:val="24"/>
          <w:szCs w:val="24"/>
          <w:highlight w:val="white"/>
        </w:rPr>
        <w:br w:type="page"/>
      </w:r>
    </w:p>
    <w:p w:rsidR="00402D7A" w:rsidRPr="00402D7A" w:rsidRDefault="00402D7A" w:rsidP="00402D7A">
      <w:pPr>
        <w:spacing w:line="360" w:lineRule="auto"/>
        <w:rPr>
          <w:rFonts w:ascii="Times New Roman" w:hAnsi="Times New Roman" w:cs="Times New Roman"/>
          <w:color w:val="FF0000"/>
          <w:sz w:val="24"/>
          <w:szCs w:val="24"/>
        </w:rPr>
      </w:pPr>
    </w:p>
    <w:sdt>
      <w:sdtPr>
        <w:rPr>
          <w:rFonts w:ascii="Arial" w:eastAsia="Arial" w:hAnsi="Arial" w:cs="Arial"/>
          <w:b w:val="0"/>
          <w:bCs w:val="0"/>
          <w:color w:val="auto"/>
          <w:sz w:val="22"/>
          <w:szCs w:val="22"/>
          <w:lang w:val="en-GB" w:eastAsia="en-GB"/>
        </w:rPr>
        <w:id w:val="456268113"/>
        <w:docPartObj>
          <w:docPartGallery w:val="Table of Contents"/>
          <w:docPartUnique/>
        </w:docPartObj>
      </w:sdtPr>
      <w:sdtContent>
        <w:p w:rsidR="0079493C" w:rsidRDefault="00901C4D" w:rsidP="00071E1C">
          <w:pPr>
            <w:pStyle w:val="TOCHeading"/>
            <w:spacing w:line="360" w:lineRule="auto"/>
            <w:jc w:val="center"/>
          </w:pPr>
          <w:r w:rsidRPr="00071E1C">
            <w:rPr>
              <w:rFonts w:ascii="Times New Roman" w:hAnsi="Times New Roman" w:cs="Times New Roman"/>
              <w:color w:val="auto"/>
              <w:sz w:val="36"/>
              <w:szCs w:val="36"/>
            </w:rPr>
            <w:t>Table of Contents</w:t>
          </w:r>
        </w:p>
        <w:p w:rsidR="0079493C" w:rsidRPr="00071E1C" w:rsidRDefault="00BF419B" w:rsidP="0079493C">
          <w:pPr>
            <w:pStyle w:val="TOC1"/>
            <w:tabs>
              <w:tab w:val="right" w:leader="dot" w:pos="9019"/>
            </w:tabs>
            <w:spacing w:line="360" w:lineRule="auto"/>
            <w:jc w:val="both"/>
            <w:rPr>
              <w:rFonts w:ascii="Times New Roman" w:eastAsiaTheme="minorEastAsia" w:hAnsi="Times New Roman" w:cs="Times New Roman"/>
              <w:b/>
              <w:noProof/>
              <w:sz w:val="28"/>
              <w:szCs w:val="28"/>
            </w:rPr>
          </w:pPr>
          <w:r>
            <w:fldChar w:fldCharType="begin"/>
          </w:r>
          <w:r w:rsidR="00901C4D">
            <w:instrText xml:space="preserve"> TOC \o "1-3" \h \z \u </w:instrText>
          </w:r>
          <w:r>
            <w:fldChar w:fldCharType="separate"/>
          </w:r>
          <w:hyperlink w:anchor="_Toc102048845" w:history="1">
            <w:r w:rsidR="00901C4D" w:rsidRPr="00071E1C">
              <w:rPr>
                <w:rStyle w:val="Hyperlink"/>
                <w:rFonts w:ascii="Times New Roman" w:hAnsi="Times New Roman" w:cs="Times New Roman"/>
                <w:b/>
                <w:noProof/>
                <w:sz w:val="28"/>
                <w:szCs w:val="28"/>
              </w:rPr>
              <w:t>Introduction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_Toc102048845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3</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1"/>
            <w:tabs>
              <w:tab w:val="right" w:leader="dot" w:pos="9019"/>
            </w:tabs>
            <w:spacing w:line="360" w:lineRule="auto"/>
            <w:jc w:val="both"/>
            <w:rPr>
              <w:rFonts w:ascii="Times New Roman" w:eastAsiaTheme="minorEastAsia" w:hAnsi="Times New Roman" w:cs="Times New Roman"/>
              <w:b/>
              <w:noProof/>
              <w:sz w:val="28"/>
              <w:szCs w:val="28"/>
            </w:rPr>
          </w:pPr>
          <w:hyperlink w:anchor="_Toc102048846" w:history="1">
            <w:r w:rsidR="00901C4D" w:rsidRPr="00071E1C">
              <w:rPr>
                <w:rStyle w:val="Hyperlink"/>
                <w:rFonts w:ascii="Times New Roman" w:hAnsi="Times New Roman" w:cs="Times New Roman"/>
                <w:b/>
                <w:noProof/>
                <w:sz w:val="28"/>
                <w:szCs w:val="28"/>
              </w:rPr>
              <w:t>Discussion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_Toc102048846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3</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47" w:history="1">
            <w:r w:rsidR="00901C4D" w:rsidRPr="00071E1C">
              <w:rPr>
                <w:rStyle w:val="Hyperlink"/>
                <w:rFonts w:ascii="Times New Roman" w:hAnsi="Times New Roman" w:cs="Times New Roman"/>
                <w:b/>
                <w:noProof/>
                <w:sz w:val="28"/>
                <w:szCs w:val="28"/>
              </w:rPr>
              <w:t>Difference between two projects</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_Toc102048847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3</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48" w:history="1">
            <w:r w:rsidR="00901C4D" w:rsidRPr="00071E1C">
              <w:rPr>
                <w:rStyle w:val="Hyperlink"/>
                <w:rFonts w:ascii="Times New Roman" w:hAnsi="Times New Roman" w:cs="Times New Roman"/>
                <w:b/>
                <w:noProof/>
                <w:sz w:val="28"/>
                <w:szCs w:val="28"/>
              </w:rPr>
              <w:t>Impactful consultation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_Toc102048848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4</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49" w:history="1">
            <w:r w:rsidR="00901C4D" w:rsidRPr="00071E1C">
              <w:rPr>
                <w:rStyle w:val="Hyperlink"/>
                <w:rFonts w:ascii="Times New Roman" w:hAnsi="Times New Roman" w:cs="Times New Roman"/>
                <w:b/>
                <w:noProof/>
                <w:sz w:val="28"/>
                <w:szCs w:val="28"/>
              </w:rPr>
              <w:t>Effective communication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_Toc102048849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4</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0" w:history="1">
            <w:r w:rsidR="00901C4D" w:rsidRPr="00071E1C">
              <w:rPr>
                <w:rStyle w:val="Hyperlink"/>
                <w:rFonts w:ascii="Times New Roman" w:hAnsi="Times New Roman" w:cs="Times New Roman"/>
                <w:b/>
                <w:noProof/>
                <w:sz w:val="28"/>
                <w:szCs w:val="28"/>
              </w:rPr>
              <w:t>Involvement of stakeholders</w:t>
            </w:r>
            <w:r w:rsidR="00901C4D" w:rsidRPr="00071E1C">
              <w:rPr>
                <w:rFonts w:ascii="Times New Roman" w:hAnsi="Times New Roman" w:cs="Times New Roman"/>
                <w:b/>
                <w:noProof/>
                <w:webHidden/>
                <w:sz w:val="28"/>
                <w:szCs w:val="28"/>
              </w:rPr>
              <w:tab/>
            </w:r>
            <w:r w:rsidR="00442D1F">
              <w:rPr>
                <w:rFonts w:ascii="Times New Roman" w:hAnsi="Times New Roman" w:cs="Times New Roman"/>
                <w:b/>
                <w:noProof/>
                <w:webHidden/>
                <w:sz w:val="28"/>
                <w:szCs w:val="28"/>
              </w:rPr>
              <w:t>5</w:t>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1" w:history="1">
            <w:r w:rsidR="00901C4D" w:rsidRPr="00071E1C">
              <w:rPr>
                <w:rStyle w:val="Hyperlink"/>
                <w:rFonts w:ascii="Times New Roman" w:hAnsi="Times New Roman" w:cs="Times New Roman"/>
                <w:b/>
                <w:noProof/>
                <w:sz w:val="28"/>
                <w:szCs w:val="28"/>
              </w:rPr>
              <w:t>Incorporation of future perspective</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_Toc102048851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5</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1"/>
            <w:tabs>
              <w:tab w:val="right" w:leader="dot" w:pos="9019"/>
            </w:tabs>
            <w:spacing w:line="360" w:lineRule="auto"/>
            <w:jc w:val="both"/>
            <w:rPr>
              <w:rFonts w:ascii="Times New Roman" w:eastAsiaTheme="minorEastAsia" w:hAnsi="Times New Roman" w:cs="Times New Roman"/>
              <w:b/>
              <w:noProof/>
              <w:sz w:val="28"/>
              <w:szCs w:val="28"/>
            </w:rPr>
          </w:pPr>
          <w:hyperlink w:anchor="_Toc102048852" w:history="1">
            <w:r w:rsidR="00901C4D" w:rsidRPr="00071E1C">
              <w:rPr>
                <w:rStyle w:val="Hyperlink"/>
                <w:rFonts w:ascii="Times New Roman" w:hAnsi="Times New Roman" w:cs="Times New Roman"/>
                <w:b/>
                <w:noProof/>
                <w:sz w:val="28"/>
                <w:szCs w:val="28"/>
              </w:rPr>
              <w:t>Analysis of the project</w:t>
            </w:r>
            <w:r w:rsidR="00901C4D" w:rsidRPr="00071E1C">
              <w:rPr>
                <w:rFonts w:ascii="Times New Roman" w:hAnsi="Times New Roman" w:cs="Times New Roman"/>
                <w:b/>
                <w:noProof/>
                <w:webHidden/>
                <w:sz w:val="28"/>
                <w:szCs w:val="28"/>
              </w:rPr>
              <w:tab/>
            </w:r>
            <w:r w:rsidR="00442D1F">
              <w:rPr>
                <w:rFonts w:ascii="Times New Roman" w:hAnsi="Times New Roman" w:cs="Times New Roman"/>
                <w:b/>
                <w:noProof/>
                <w:webHidden/>
                <w:sz w:val="28"/>
                <w:szCs w:val="28"/>
              </w:rPr>
              <w:t>6</w:t>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3" w:history="1">
            <w:r w:rsidR="00901C4D" w:rsidRPr="00071E1C">
              <w:rPr>
                <w:rStyle w:val="Hyperlink"/>
                <w:rFonts w:ascii="Times New Roman" w:hAnsi="Times New Roman" w:cs="Times New Roman"/>
                <w:b/>
                <w:noProof/>
                <w:sz w:val="28"/>
                <w:szCs w:val="28"/>
              </w:rPr>
              <w:t>Community mapping</w:t>
            </w:r>
            <w:r w:rsidR="00901C4D" w:rsidRPr="00071E1C">
              <w:rPr>
                <w:rFonts w:ascii="Times New Roman" w:hAnsi="Times New Roman" w:cs="Times New Roman"/>
                <w:b/>
                <w:noProof/>
                <w:webHidden/>
                <w:sz w:val="28"/>
                <w:szCs w:val="28"/>
              </w:rPr>
              <w:tab/>
            </w:r>
            <w:r w:rsidR="00442D1F">
              <w:rPr>
                <w:rFonts w:ascii="Times New Roman" w:hAnsi="Times New Roman" w:cs="Times New Roman"/>
                <w:b/>
                <w:noProof/>
                <w:webHidden/>
                <w:sz w:val="28"/>
                <w:szCs w:val="28"/>
              </w:rPr>
              <w:t>6</w:t>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4" w:history="1">
            <w:r w:rsidR="00901C4D" w:rsidRPr="00071E1C">
              <w:rPr>
                <w:rStyle w:val="Hyperlink"/>
                <w:rFonts w:ascii="Times New Roman" w:hAnsi="Times New Roman" w:cs="Times New Roman"/>
                <w:b/>
                <w:noProof/>
                <w:sz w:val="28"/>
                <w:szCs w:val="28"/>
              </w:rPr>
              <w:t>Engagement of community</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_Toc102048854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6</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5" w:history="1">
            <w:r w:rsidR="00901C4D" w:rsidRPr="00071E1C">
              <w:rPr>
                <w:rStyle w:val="Hyperlink"/>
                <w:rFonts w:ascii="Times New Roman" w:hAnsi="Times New Roman" w:cs="Times New Roman"/>
                <w:b/>
                <w:noProof/>
                <w:sz w:val="28"/>
                <w:szCs w:val="28"/>
              </w:rPr>
              <w:t>Explication of activities</w:t>
            </w:r>
            <w:r w:rsidR="00901C4D" w:rsidRPr="00071E1C">
              <w:rPr>
                <w:rFonts w:ascii="Times New Roman" w:hAnsi="Times New Roman" w:cs="Times New Roman"/>
                <w:b/>
                <w:noProof/>
                <w:webHidden/>
                <w:sz w:val="28"/>
                <w:szCs w:val="28"/>
              </w:rPr>
              <w:tab/>
            </w:r>
            <w:r w:rsidR="00442D1F">
              <w:rPr>
                <w:rFonts w:ascii="Times New Roman" w:hAnsi="Times New Roman" w:cs="Times New Roman"/>
                <w:b/>
                <w:noProof/>
                <w:webHidden/>
                <w:sz w:val="28"/>
                <w:szCs w:val="28"/>
              </w:rPr>
              <w:t>7</w:t>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6" w:history="1">
            <w:r w:rsidR="00901C4D" w:rsidRPr="00071E1C">
              <w:rPr>
                <w:rStyle w:val="Hyperlink"/>
                <w:rFonts w:ascii="Times New Roman" w:hAnsi="Times New Roman" w:cs="Times New Roman"/>
                <w:b/>
                <w:noProof/>
                <w:sz w:val="28"/>
                <w:szCs w:val="28"/>
              </w:rPr>
              <w:t>Theoretical estimation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_Toc102048856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7</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2"/>
            <w:tabs>
              <w:tab w:val="right" w:leader="dot" w:pos="9019"/>
            </w:tabs>
            <w:spacing w:line="360" w:lineRule="auto"/>
            <w:jc w:val="both"/>
            <w:rPr>
              <w:rFonts w:ascii="Times New Roman" w:eastAsiaTheme="minorEastAsia" w:hAnsi="Times New Roman" w:cs="Times New Roman"/>
              <w:b/>
              <w:noProof/>
              <w:sz w:val="28"/>
              <w:szCs w:val="28"/>
            </w:rPr>
          </w:pPr>
          <w:hyperlink w:anchor="_Toc102048857" w:history="1">
            <w:r w:rsidR="00901C4D" w:rsidRPr="00071E1C">
              <w:rPr>
                <w:rStyle w:val="Hyperlink"/>
                <w:rFonts w:ascii="Times New Roman" w:hAnsi="Times New Roman" w:cs="Times New Roman"/>
                <w:b/>
                <w:noProof/>
                <w:sz w:val="28"/>
                <w:szCs w:val="28"/>
              </w:rPr>
              <w:t>Quality practices</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_Toc102048857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7</w:t>
            </w:r>
            <w:r w:rsidRPr="00071E1C">
              <w:rPr>
                <w:rFonts w:ascii="Times New Roman" w:hAnsi="Times New Roman" w:cs="Times New Roman"/>
                <w:b/>
                <w:noProof/>
                <w:webHidden/>
                <w:sz w:val="28"/>
                <w:szCs w:val="28"/>
              </w:rPr>
              <w:fldChar w:fldCharType="end"/>
            </w:r>
          </w:hyperlink>
        </w:p>
        <w:p w:rsidR="0079493C" w:rsidRPr="00071E1C" w:rsidRDefault="00BF419B" w:rsidP="0079493C">
          <w:pPr>
            <w:pStyle w:val="TOC1"/>
            <w:tabs>
              <w:tab w:val="right" w:leader="dot" w:pos="9019"/>
            </w:tabs>
            <w:spacing w:line="360" w:lineRule="auto"/>
            <w:jc w:val="both"/>
            <w:rPr>
              <w:rFonts w:ascii="Times New Roman" w:eastAsiaTheme="minorEastAsia" w:hAnsi="Times New Roman" w:cs="Times New Roman"/>
              <w:b/>
              <w:noProof/>
              <w:sz w:val="28"/>
              <w:szCs w:val="28"/>
            </w:rPr>
          </w:pPr>
          <w:hyperlink w:anchor="_Toc102048858" w:history="1">
            <w:r w:rsidR="00901C4D" w:rsidRPr="00071E1C">
              <w:rPr>
                <w:rStyle w:val="Hyperlink"/>
                <w:rFonts w:ascii="Times New Roman" w:hAnsi="Times New Roman" w:cs="Times New Roman"/>
                <w:b/>
                <w:noProof/>
                <w:sz w:val="28"/>
                <w:szCs w:val="28"/>
              </w:rPr>
              <w:t>Conclusion</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_Toc102048858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8</w:t>
            </w:r>
            <w:r w:rsidRPr="00071E1C">
              <w:rPr>
                <w:rFonts w:ascii="Times New Roman" w:hAnsi="Times New Roman" w:cs="Times New Roman"/>
                <w:b/>
                <w:noProof/>
                <w:webHidden/>
                <w:sz w:val="28"/>
                <w:szCs w:val="28"/>
              </w:rPr>
              <w:fldChar w:fldCharType="end"/>
            </w:r>
          </w:hyperlink>
        </w:p>
        <w:p w:rsidR="0079493C" w:rsidRDefault="00BF419B" w:rsidP="0079493C">
          <w:pPr>
            <w:pStyle w:val="TOC1"/>
            <w:tabs>
              <w:tab w:val="right" w:leader="dot" w:pos="9019"/>
            </w:tabs>
            <w:spacing w:line="360" w:lineRule="auto"/>
            <w:jc w:val="both"/>
            <w:rPr>
              <w:rFonts w:asciiTheme="minorHAnsi" w:eastAsiaTheme="minorEastAsia" w:hAnsiTheme="minorHAnsi" w:cstheme="minorBidi"/>
              <w:noProof/>
            </w:rPr>
          </w:pPr>
          <w:hyperlink w:anchor="_Toc102048859" w:history="1">
            <w:r w:rsidR="00901C4D" w:rsidRPr="00071E1C">
              <w:rPr>
                <w:rStyle w:val="Hyperlink"/>
                <w:rFonts w:ascii="Times New Roman" w:hAnsi="Times New Roman" w:cs="Times New Roman"/>
                <w:b/>
                <w:noProof/>
                <w:sz w:val="28"/>
                <w:szCs w:val="28"/>
              </w:rPr>
              <w:t>References</w:t>
            </w:r>
            <w:r w:rsidR="00901C4D" w:rsidRPr="00071E1C">
              <w:rPr>
                <w:rFonts w:ascii="Times New Roman" w:hAnsi="Times New Roman" w:cs="Times New Roman"/>
                <w:b/>
                <w:noProof/>
                <w:webHidden/>
                <w:sz w:val="28"/>
                <w:szCs w:val="28"/>
              </w:rPr>
              <w:tab/>
            </w:r>
            <w:r w:rsidRPr="00071E1C">
              <w:rPr>
                <w:rFonts w:ascii="Times New Roman" w:hAnsi="Times New Roman" w:cs="Times New Roman"/>
                <w:b/>
                <w:noProof/>
                <w:webHidden/>
                <w:sz w:val="28"/>
                <w:szCs w:val="28"/>
              </w:rPr>
              <w:fldChar w:fldCharType="begin"/>
            </w:r>
            <w:r w:rsidR="00901C4D" w:rsidRPr="00071E1C">
              <w:rPr>
                <w:rFonts w:ascii="Times New Roman" w:hAnsi="Times New Roman" w:cs="Times New Roman"/>
                <w:b/>
                <w:noProof/>
                <w:webHidden/>
                <w:sz w:val="28"/>
                <w:szCs w:val="28"/>
              </w:rPr>
              <w:instrText xml:space="preserve"> PAGEREF _Toc102048859 \h </w:instrText>
            </w:r>
            <w:r w:rsidRPr="00071E1C">
              <w:rPr>
                <w:rFonts w:ascii="Times New Roman" w:hAnsi="Times New Roman" w:cs="Times New Roman"/>
                <w:b/>
                <w:noProof/>
                <w:webHidden/>
                <w:sz w:val="28"/>
                <w:szCs w:val="28"/>
              </w:rPr>
            </w:r>
            <w:r w:rsidRPr="00071E1C">
              <w:rPr>
                <w:rFonts w:ascii="Times New Roman" w:hAnsi="Times New Roman" w:cs="Times New Roman"/>
                <w:b/>
                <w:noProof/>
                <w:webHidden/>
                <w:sz w:val="28"/>
                <w:szCs w:val="28"/>
              </w:rPr>
              <w:fldChar w:fldCharType="separate"/>
            </w:r>
            <w:r w:rsidR="00901C4D" w:rsidRPr="00071E1C">
              <w:rPr>
                <w:rFonts w:ascii="Times New Roman" w:hAnsi="Times New Roman" w:cs="Times New Roman"/>
                <w:b/>
                <w:noProof/>
                <w:webHidden/>
                <w:sz w:val="28"/>
                <w:szCs w:val="28"/>
              </w:rPr>
              <w:t>9</w:t>
            </w:r>
            <w:r w:rsidRPr="00071E1C">
              <w:rPr>
                <w:rFonts w:ascii="Times New Roman" w:hAnsi="Times New Roman" w:cs="Times New Roman"/>
                <w:b/>
                <w:noProof/>
                <w:webHidden/>
                <w:sz w:val="28"/>
                <w:szCs w:val="28"/>
              </w:rPr>
              <w:fldChar w:fldCharType="end"/>
            </w:r>
          </w:hyperlink>
        </w:p>
        <w:p w:rsidR="0079493C" w:rsidRDefault="00BF419B">
          <w:r>
            <w:fldChar w:fldCharType="end"/>
          </w:r>
        </w:p>
      </w:sdtContent>
    </w:sdt>
    <w:p w:rsidR="0079493C" w:rsidRDefault="00901C4D">
      <w:pPr>
        <w:rPr>
          <w:rFonts w:ascii="Times New Roman" w:hAnsi="Times New Roman" w:cs="Times New Roman"/>
          <w:b/>
          <w:sz w:val="28"/>
          <w:szCs w:val="28"/>
        </w:rPr>
      </w:pPr>
      <w:r>
        <w:rPr>
          <w:rFonts w:ascii="Times New Roman" w:hAnsi="Times New Roman" w:cs="Times New Roman"/>
          <w:b/>
          <w:sz w:val="28"/>
          <w:szCs w:val="28"/>
        </w:rPr>
        <w:br w:type="page"/>
      </w:r>
    </w:p>
    <w:p w:rsidR="00C655A4" w:rsidRDefault="00901C4D" w:rsidP="00442D1F">
      <w:pPr>
        <w:pStyle w:val="Heading1"/>
        <w:jc w:val="center"/>
        <w:rPr>
          <w:rFonts w:ascii="Times New Roman" w:hAnsi="Times New Roman" w:cs="Times New Roman"/>
          <w:b/>
          <w:sz w:val="28"/>
          <w:szCs w:val="28"/>
        </w:rPr>
      </w:pPr>
      <w:bookmarkStart w:id="0" w:name="_Toc102048845"/>
      <w:r w:rsidRPr="00402D7A">
        <w:rPr>
          <w:rFonts w:ascii="Times New Roman" w:hAnsi="Times New Roman" w:cs="Times New Roman"/>
          <w:b/>
          <w:sz w:val="28"/>
          <w:szCs w:val="28"/>
        </w:rPr>
        <w:lastRenderedPageBreak/>
        <w:t>Introduction</w:t>
      </w:r>
      <w:bookmarkEnd w:id="0"/>
    </w:p>
    <w:p w:rsidR="00442D1F" w:rsidRDefault="00442D1F" w:rsidP="00442D1F">
      <w:pPr>
        <w:pStyle w:val="Normal1"/>
      </w:pPr>
    </w:p>
    <w:p w:rsidR="00442D1F" w:rsidRDefault="00442D1F" w:rsidP="00442D1F">
      <w:pPr>
        <w:pStyle w:val="Normal1"/>
      </w:pPr>
    </w:p>
    <w:p w:rsidR="00442D1F" w:rsidRPr="00442D1F" w:rsidRDefault="00442D1F" w:rsidP="00442D1F">
      <w:pPr>
        <w:pStyle w:val="Normal1"/>
      </w:pPr>
    </w:p>
    <w:p w:rsidR="00C655A4"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Community engagement can be well defined as the practice which is done collaboratively to serve the community. Community management has a deep meaning in the community. It is the process of involving the stakeholders, and members of the community where the different ideas from different people merge to form a compact decision resulting in the welfare of the community. It is the process or rather can be called the practice that is needed when a whole community faces the same issue regarding health problems, social problems and many others (Abimbola, 2020). Community engagement has the objective to listen to the needs and problems of the people of the community and help them to solve the problems by taking a positive decisions. In the first assignment, the community engagement of the Local Government of the UK has been discussed where the community engagement has been started to control the covid-19 pandemic. But in this context, the </w:t>
      </w:r>
      <w:r w:rsidR="00122628" w:rsidRPr="00402D7A">
        <w:rPr>
          <w:rFonts w:ascii="Times New Roman" w:hAnsi="Times New Roman" w:cs="Times New Roman"/>
          <w:sz w:val="24"/>
          <w:szCs w:val="24"/>
        </w:rPr>
        <w:t>newborn</w:t>
      </w:r>
      <w:r w:rsidRPr="00402D7A">
        <w:rPr>
          <w:rFonts w:ascii="Times New Roman" w:hAnsi="Times New Roman" w:cs="Times New Roman"/>
          <w:sz w:val="24"/>
          <w:szCs w:val="24"/>
        </w:rPr>
        <w:t xml:space="preserve"> babies have not been included as the main age group to get affected by the SARS Covid. </w:t>
      </w:r>
      <w:r w:rsidR="00122628" w:rsidRPr="00402D7A">
        <w:rPr>
          <w:rFonts w:ascii="Times New Roman" w:hAnsi="Times New Roman" w:cs="Times New Roman"/>
          <w:sz w:val="24"/>
          <w:szCs w:val="24"/>
        </w:rPr>
        <w:t>Therefore,</w:t>
      </w:r>
      <w:r w:rsidRPr="00402D7A">
        <w:rPr>
          <w:rFonts w:ascii="Times New Roman" w:hAnsi="Times New Roman" w:cs="Times New Roman"/>
          <w:sz w:val="24"/>
          <w:szCs w:val="24"/>
        </w:rPr>
        <w:t xml:space="preserve"> a new organisation has been developed for the welfare of </w:t>
      </w:r>
      <w:r w:rsidR="00122628" w:rsidRPr="00402D7A">
        <w:rPr>
          <w:rFonts w:ascii="Times New Roman" w:hAnsi="Times New Roman" w:cs="Times New Roman"/>
          <w:sz w:val="24"/>
          <w:szCs w:val="24"/>
        </w:rPr>
        <w:t>newborn</w:t>
      </w:r>
      <w:r w:rsidRPr="00402D7A">
        <w:rPr>
          <w:rFonts w:ascii="Times New Roman" w:hAnsi="Times New Roman" w:cs="Times New Roman"/>
          <w:sz w:val="24"/>
          <w:szCs w:val="24"/>
        </w:rPr>
        <w:t xml:space="preserve"> babies and children so that community engagement can save the future of the world.  </w:t>
      </w:r>
    </w:p>
    <w:p w:rsidR="00442D1F" w:rsidRDefault="00442D1F" w:rsidP="00402D7A">
      <w:pPr>
        <w:pStyle w:val="Normal1"/>
        <w:spacing w:line="360" w:lineRule="auto"/>
        <w:jc w:val="both"/>
        <w:rPr>
          <w:rFonts w:ascii="Times New Roman" w:hAnsi="Times New Roman" w:cs="Times New Roman"/>
          <w:sz w:val="24"/>
          <w:szCs w:val="24"/>
        </w:rPr>
      </w:pPr>
    </w:p>
    <w:p w:rsidR="00442D1F" w:rsidRPr="00402D7A" w:rsidRDefault="00442D1F" w:rsidP="00402D7A">
      <w:pPr>
        <w:pStyle w:val="Normal1"/>
        <w:spacing w:line="360" w:lineRule="auto"/>
        <w:jc w:val="both"/>
        <w:rPr>
          <w:rFonts w:ascii="Times New Roman" w:hAnsi="Times New Roman" w:cs="Times New Roman"/>
          <w:sz w:val="24"/>
          <w:szCs w:val="24"/>
        </w:rPr>
      </w:pPr>
    </w:p>
    <w:p w:rsidR="00C655A4" w:rsidRPr="00402D7A" w:rsidRDefault="00901C4D" w:rsidP="00442D1F">
      <w:pPr>
        <w:pStyle w:val="Heading1"/>
        <w:jc w:val="center"/>
        <w:rPr>
          <w:rFonts w:ascii="Times New Roman" w:hAnsi="Times New Roman" w:cs="Times New Roman"/>
          <w:b/>
          <w:sz w:val="28"/>
          <w:szCs w:val="28"/>
        </w:rPr>
      </w:pPr>
      <w:bookmarkStart w:id="1" w:name="_Toc102048846"/>
      <w:r w:rsidRPr="00402D7A">
        <w:rPr>
          <w:rFonts w:ascii="Times New Roman" w:hAnsi="Times New Roman" w:cs="Times New Roman"/>
          <w:b/>
          <w:sz w:val="28"/>
          <w:szCs w:val="28"/>
        </w:rPr>
        <w:t>Discussion</w:t>
      </w:r>
      <w:bookmarkEnd w:id="1"/>
    </w:p>
    <w:p w:rsidR="00C655A4" w:rsidRPr="00402D7A" w:rsidRDefault="00901C4D" w:rsidP="00402D7A">
      <w:pPr>
        <w:pStyle w:val="Heading2"/>
        <w:jc w:val="both"/>
        <w:rPr>
          <w:rFonts w:ascii="Times New Roman" w:hAnsi="Times New Roman" w:cs="Times New Roman"/>
          <w:b/>
          <w:sz w:val="24"/>
          <w:szCs w:val="24"/>
        </w:rPr>
      </w:pPr>
      <w:bookmarkStart w:id="2" w:name="_Toc102048847"/>
      <w:r w:rsidRPr="00402D7A">
        <w:rPr>
          <w:rFonts w:ascii="Times New Roman" w:hAnsi="Times New Roman" w:cs="Times New Roman"/>
          <w:b/>
          <w:sz w:val="24"/>
          <w:szCs w:val="24"/>
        </w:rPr>
        <w:t>Difference between two projects</w:t>
      </w:r>
      <w:bookmarkEnd w:id="2"/>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The differences have been made between the two projects or assignments based on the first assignment. In the first one, it has been seen that the Local Government Association of the UK has taken all kinds of positive measures for fighting against covid-19. This organisation has put up a community engagement for all the people by serving them with all their needs on time. It also has the motive to keep the affected people mentally strong enough to fight against this covid. The first organisation has taken all the positive measures that are needed to serve a community like on-time vaccination, creating awareness among the people to wear masks and maintaining hygienic conditions. But the community engagement has not mentioned the measures that must be taken to protect newborn babies and small children. </w:t>
      </w:r>
      <w:r w:rsidR="00122628" w:rsidRPr="00402D7A">
        <w:rPr>
          <w:rFonts w:ascii="Times New Roman" w:hAnsi="Times New Roman" w:cs="Times New Roman"/>
          <w:sz w:val="24"/>
          <w:szCs w:val="24"/>
        </w:rPr>
        <w:t>Therefore,</w:t>
      </w:r>
      <w:r w:rsidRPr="00402D7A">
        <w:rPr>
          <w:rFonts w:ascii="Times New Roman" w:hAnsi="Times New Roman" w:cs="Times New Roman"/>
          <w:sz w:val="24"/>
          <w:szCs w:val="24"/>
        </w:rPr>
        <w:t xml:space="preserve"> this newly developed organisation has initiated the motivation of serving </w:t>
      </w:r>
      <w:r w:rsidR="00122628">
        <w:rPr>
          <w:rFonts w:ascii="Times New Roman" w:hAnsi="Times New Roman" w:cs="Times New Roman"/>
          <w:sz w:val="24"/>
          <w:szCs w:val="24"/>
        </w:rPr>
        <w:t>newborn</w:t>
      </w:r>
      <w:r w:rsidRPr="00402D7A">
        <w:rPr>
          <w:rFonts w:ascii="Times New Roman" w:hAnsi="Times New Roman" w:cs="Times New Roman"/>
          <w:sz w:val="24"/>
          <w:szCs w:val="24"/>
        </w:rPr>
        <w:t xml:space="preserve"> </w:t>
      </w:r>
      <w:r w:rsidRPr="00402D7A">
        <w:rPr>
          <w:rFonts w:ascii="Times New Roman" w:hAnsi="Times New Roman" w:cs="Times New Roman"/>
          <w:sz w:val="24"/>
          <w:szCs w:val="24"/>
        </w:rPr>
        <w:lastRenderedPageBreak/>
        <w:t xml:space="preserve">babies and their mothers (Khan et al., 2021). This community engagement that has been initiated by the new organisation has made a special treatment zone for the mothers and their babies to control the spread of the virus from one person to another. The vaccination for the mothers only has been made separately by maintaining more hygienic measures to prevent any kind of infections. A new set up of some members have been included in this organisation who are appointed to look after the needs of the newborn babies only. </w:t>
      </w:r>
    </w:p>
    <w:p w:rsidR="00C655A4" w:rsidRPr="00402D7A" w:rsidRDefault="00901C4D" w:rsidP="00402D7A">
      <w:pPr>
        <w:pStyle w:val="Heading2"/>
        <w:jc w:val="both"/>
        <w:rPr>
          <w:rFonts w:ascii="Times New Roman" w:hAnsi="Times New Roman" w:cs="Times New Roman"/>
          <w:b/>
          <w:sz w:val="24"/>
          <w:szCs w:val="24"/>
        </w:rPr>
      </w:pPr>
      <w:bookmarkStart w:id="3" w:name="_Toc102048848"/>
      <w:r w:rsidRPr="00402D7A">
        <w:rPr>
          <w:rFonts w:ascii="Times New Roman" w:hAnsi="Times New Roman" w:cs="Times New Roman"/>
          <w:b/>
          <w:sz w:val="24"/>
          <w:szCs w:val="24"/>
        </w:rPr>
        <w:t>Impactful consultation</w:t>
      </w:r>
      <w:bookmarkEnd w:id="3"/>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In this community engagement process, some methods are needed to be applied to the treatment of newborn babies and their mothers. The treatment must be handled with care so that no other infections can affect the babies. A survey must be arranged by this organisation so that they can keep the track of providing treatments to every child in the community (Loewenson et al., 2021). Since it has been seen that the symptoms of covid are non-detectable in the case of the children and the newborn babies, therefore, an interval covid testing must be arranged for them. The mothers also must be protected by providing healthy foods, creating awareness to use face shields and going out of the home only in case of emergencies. In case a mother is affected by covid virus then a separate unit for the children must be arranged by the community engagement to keep them under the treatment of specialised doctors.</w:t>
      </w:r>
    </w:p>
    <w:p w:rsidR="00C655A4" w:rsidRPr="00402D7A" w:rsidRDefault="00901C4D" w:rsidP="00402D7A">
      <w:pPr>
        <w:pStyle w:val="Heading2"/>
        <w:jc w:val="both"/>
        <w:rPr>
          <w:rFonts w:ascii="Times New Roman" w:hAnsi="Times New Roman" w:cs="Times New Roman"/>
          <w:b/>
          <w:sz w:val="24"/>
          <w:szCs w:val="24"/>
        </w:rPr>
      </w:pPr>
      <w:bookmarkStart w:id="4" w:name="_Toc102048849"/>
      <w:r w:rsidRPr="00402D7A">
        <w:rPr>
          <w:rFonts w:ascii="Times New Roman" w:hAnsi="Times New Roman" w:cs="Times New Roman"/>
          <w:b/>
          <w:sz w:val="24"/>
          <w:szCs w:val="24"/>
        </w:rPr>
        <w:t>Effective communication</w:t>
      </w:r>
      <w:bookmarkEnd w:id="4"/>
    </w:p>
    <w:p w:rsid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Communication is the most important as well as effective part of the community engagement where the people are made involved in the practices of the community for the welfare of the community people. The Local Government Association of the UK has involved the participation of people or the members from different cultures, languages and so on. Communication only can increase the popularity of the newly formed organisation to spread the covid awareness among people (McKinley et al., 2021). The listeners of the community engagement must include a huge number of people from different occupations so that new ideas can be shared and thus decisions can be made accordingly. Moreover, large support is very much needed to run the newly formed organisation (Ataguba and Ataguba, 2020). Communication is needed to a great extent so that the organisation can get well known to all the people and they can also feel interested to join the community engagement as the new members. </w:t>
      </w:r>
    </w:p>
    <w:p w:rsidR="00C655A4" w:rsidRPr="00402D7A" w:rsidRDefault="00901C4D" w:rsidP="00402D7A">
      <w:pPr>
        <w:pStyle w:val="Heading2"/>
        <w:jc w:val="both"/>
        <w:rPr>
          <w:rFonts w:ascii="Times New Roman" w:hAnsi="Times New Roman" w:cs="Times New Roman"/>
          <w:b/>
          <w:sz w:val="24"/>
          <w:szCs w:val="24"/>
        </w:rPr>
      </w:pPr>
      <w:bookmarkStart w:id="5" w:name="_Toc102048850"/>
      <w:r w:rsidRPr="00402D7A">
        <w:rPr>
          <w:rFonts w:ascii="Times New Roman" w:hAnsi="Times New Roman" w:cs="Times New Roman"/>
          <w:b/>
          <w:sz w:val="24"/>
          <w:szCs w:val="24"/>
        </w:rPr>
        <w:lastRenderedPageBreak/>
        <w:t>Involvement of stakeholders</w:t>
      </w:r>
      <w:bookmarkEnd w:id="5"/>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The involvement of the stakeholders is very important in any kind of organisational community engagement. Stakeholders perform the main role as the regulator of the organisation. They are the Frontline members who used take the active participation in the community engagement and create an active participation motivation among the people of the community. Community engagement needs some </w:t>
      </w:r>
      <w:r w:rsidR="00402D7A" w:rsidRPr="00402D7A">
        <w:rPr>
          <w:rFonts w:ascii="Times New Roman" w:hAnsi="Times New Roman" w:cs="Times New Roman"/>
          <w:sz w:val="24"/>
          <w:szCs w:val="24"/>
        </w:rPr>
        <w:t>sponsorship</w:t>
      </w:r>
      <w:r w:rsidRPr="00402D7A">
        <w:rPr>
          <w:rFonts w:ascii="Times New Roman" w:hAnsi="Times New Roman" w:cs="Times New Roman"/>
          <w:sz w:val="24"/>
          <w:szCs w:val="24"/>
        </w:rPr>
        <w:t xml:space="preserve"> for the spread of his popularity. This can only be achieved with the involvement of the stakeholders in community engagement. Taken display the role of partnership with the government of the UK so that I use profit can also be availed by their active participation. Since the popularity of an organisation or a community engagement is possible with a large amount of sponsorship therefore stakeholders are responsible for community engagement organisation (Shrivastava and Shrivastava, 2021). Also, community engagement is most financially as well as mentally. A huge amount is needed for the treatment of the people of the community during the covid crisis therefore the involvement of stakeholders is very important.</w:t>
      </w:r>
    </w:p>
    <w:p w:rsidR="00C655A4" w:rsidRPr="00402D7A" w:rsidRDefault="00901C4D" w:rsidP="00402D7A">
      <w:pPr>
        <w:pStyle w:val="Heading2"/>
        <w:jc w:val="both"/>
        <w:rPr>
          <w:rFonts w:ascii="Times New Roman" w:hAnsi="Times New Roman" w:cs="Times New Roman"/>
          <w:b/>
          <w:sz w:val="24"/>
          <w:szCs w:val="24"/>
        </w:rPr>
      </w:pPr>
      <w:bookmarkStart w:id="6" w:name="_Toc102048851"/>
      <w:r w:rsidRPr="00402D7A">
        <w:rPr>
          <w:rFonts w:ascii="Times New Roman" w:hAnsi="Times New Roman" w:cs="Times New Roman"/>
          <w:b/>
          <w:sz w:val="24"/>
          <w:szCs w:val="24"/>
        </w:rPr>
        <w:t>Incorporation of future perspective</w:t>
      </w:r>
      <w:bookmarkEnd w:id="6"/>
    </w:p>
    <w:p w:rsidR="00C655A4"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The local government Association of the UK is a well-known community engagement that has taken several measures to control the covid-19 pandemic. They have solved the people of the community with a plan of protecting their family members by providing the affected people with a separate place to stay. In the same way, the newly formed organisation has initiated its community engagement process by serving the newborn children and their mothers by providing them with all possible measures so that both of them cannot be affected by the covid-19 virus (Perrotta, 2021). The newly formed organisation has appointed some staff who are only responsible for taking care of the babies while the positivity of covid-19 is present within the mother. More and more awareness must be created within the people of the community so that the people can achieve the motivation to fight against covid-19. This organisation can also take the help of social media like creating Facebook groups, and WhatsApp groups to spread their popularity and well treatment process.</w:t>
      </w:r>
    </w:p>
    <w:p w:rsidR="00442D1F" w:rsidRDefault="00442D1F" w:rsidP="00402D7A">
      <w:pPr>
        <w:pStyle w:val="Normal1"/>
        <w:spacing w:line="360" w:lineRule="auto"/>
        <w:jc w:val="both"/>
        <w:rPr>
          <w:rFonts w:ascii="Times New Roman" w:hAnsi="Times New Roman" w:cs="Times New Roman"/>
          <w:sz w:val="24"/>
          <w:szCs w:val="24"/>
        </w:rPr>
      </w:pPr>
    </w:p>
    <w:p w:rsidR="00442D1F" w:rsidRDefault="00442D1F" w:rsidP="00402D7A">
      <w:pPr>
        <w:pStyle w:val="Normal1"/>
        <w:spacing w:line="360" w:lineRule="auto"/>
        <w:jc w:val="both"/>
        <w:rPr>
          <w:rFonts w:ascii="Times New Roman" w:hAnsi="Times New Roman" w:cs="Times New Roman"/>
          <w:sz w:val="24"/>
          <w:szCs w:val="24"/>
        </w:rPr>
      </w:pPr>
    </w:p>
    <w:p w:rsidR="00442D1F" w:rsidRPr="00402D7A" w:rsidRDefault="00442D1F" w:rsidP="00402D7A">
      <w:pPr>
        <w:pStyle w:val="Normal1"/>
        <w:spacing w:line="360" w:lineRule="auto"/>
        <w:jc w:val="both"/>
        <w:rPr>
          <w:rFonts w:ascii="Times New Roman" w:hAnsi="Times New Roman" w:cs="Times New Roman"/>
          <w:sz w:val="24"/>
          <w:szCs w:val="24"/>
        </w:rPr>
      </w:pPr>
    </w:p>
    <w:p w:rsidR="00C655A4" w:rsidRDefault="00901C4D" w:rsidP="00442D1F">
      <w:pPr>
        <w:pStyle w:val="Heading1"/>
        <w:jc w:val="center"/>
        <w:rPr>
          <w:rFonts w:ascii="Times New Roman" w:hAnsi="Times New Roman" w:cs="Times New Roman"/>
          <w:b/>
          <w:sz w:val="28"/>
          <w:szCs w:val="28"/>
        </w:rPr>
      </w:pPr>
      <w:bookmarkStart w:id="7" w:name="_Toc102048852"/>
      <w:r w:rsidRPr="00402D7A">
        <w:rPr>
          <w:rFonts w:ascii="Times New Roman" w:hAnsi="Times New Roman" w:cs="Times New Roman"/>
          <w:b/>
          <w:sz w:val="28"/>
          <w:szCs w:val="28"/>
        </w:rPr>
        <w:lastRenderedPageBreak/>
        <w:t>Analysis of the project</w:t>
      </w:r>
      <w:bookmarkEnd w:id="7"/>
    </w:p>
    <w:p w:rsidR="00442D1F" w:rsidRPr="00442D1F" w:rsidRDefault="00442D1F" w:rsidP="00442D1F">
      <w:pPr>
        <w:pStyle w:val="Normal1"/>
      </w:pPr>
    </w:p>
    <w:p w:rsidR="00C655A4" w:rsidRPr="00402D7A" w:rsidRDefault="00901C4D" w:rsidP="00402D7A">
      <w:pPr>
        <w:pStyle w:val="Heading2"/>
        <w:jc w:val="both"/>
        <w:rPr>
          <w:rFonts w:ascii="Times New Roman" w:hAnsi="Times New Roman" w:cs="Times New Roman"/>
          <w:b/>
          <w:sz w:val="24"/>
          <w:szCs w:val="24"/>
        </w:rPr>
      </w:pPr>
      <w:bookmarkStart w:id="8" w:name="_Toc102048853"/>
      <w:r w:rsidRPr="00402D7A">
        <w:rPr>
          <w:rFonts w:ascii="Times New Roman" w:hAnsi="Times New Roman" w:cs="Times New Roman"/>
          <w:b/>
          <w:sz w:val="24"/>
          <w:szCs w:val="24"/>
        </w:rPr>
        <w:t>Community mapping</w:t>
      </w:r>
      <w:bookmarkEnd w:id="8"/>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Community mapping refers to the process of a community where the assets, beliefs and values of the variables of the community are combined before the finalisation of a project. It highlights the people, the structure and the institutions to create an effective service. The local government in the UK has introduced the scheme of fighting against the Covid-19 creating a positive impact on the minds of the people. The community engagement for this project has enabled the people to aware of the infections spread through the deadly Covid-19. Various community engagement programmes are organised by different countries during the Covid-19 to meet the challenges and needs of the society (Magaço et al., 2021). The community engagement spoke about the people other than the newborn babies to get all types of help, maybe in the supply of medicine or household goods at times of their </w:t>
      </w:r>
      <w:r w:rsidR="00402D7A" w:rsidRPr="00402D7A">
        <w:rPr>
          <w:rFonts w:ascii="Times New Roman" w:hAnsi="Times New Roman" w:cs="Times New Roman"/>
          <w:sz w:val="24"/>
          <w:szCs w:val="24"/>
        </w:rPr>
        <w:t>need. At</w:t>
      </w:r>
      <w:r w:rsidRPr="00402D7A">
        <w:rPr>
          <w:rFonts w:ascii="Times New Roman" w:hAnsi="Times New Roman" w:cs="Times New Roman"/>
          <w:sz w:val="24"/>
          <w:szCs w:val="24"/>
        </w:rPr>
        <w:t xml:space="preserve"> the same time, the engagement has ignored the causes of infections in newborn babies from their parents and other house-helpers or during their vaccination in the clinic. The new programme has focused this particular aspect of focusing on the well-being of newborn babies. The new community engagement programme has done a thorough survey on the households having newborn babies. </w:t>
      </w:r>
    </w:p>
    <w:p w:rsidR="00C655A4" w:rsidRPr="00402D7A" w:rsidRDefault="00901C4D" w:rsidP="00402D7A">
      <w:pPr>
        <w:pStyle w:val="Heading2"/>
        <w:jc w:val="both"/>
        <w:rPr>
          <w:rFonts w:ascii="Times New Roman" w:hAnsi="Times New Roman" w:cs="Times New Roman"/>
          <w:b/>
          <w:sz w:val="24"/>
          <w:szCs w:val="24"/>
        </w:rPr>
      </w:pPr>
      <w:bookmarkStart w:id="9" w:name="_Toc102048854"/>
      <w:r w:rsidRPr="00402D7A">
        <w:rPr>
          <w:rFonts w:ascii="Times New Roman" w:hAnsi="Times New Roman" w:cs="Times New Roman"/>
          <w:b/>
          <w:sz w:val="24"/>
          <w:szCs w:val="24"/>
        </w:rPr>
        <w:t>Engagement of community</w:t>
      </w:r>
      <w:bookmarkEnd w:id="9"/>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In this new age, technology has been used for various community programmes. There are various ways in which community engagement is done. Active participation, voluntary work and the use of social media are some of the ways toward community engagement (</w:t>
      </w:r>
      <w:r w:rsidRPr="00402D7A">
        <w:rPr>
          <w:rFonts w:ascii="Times New Roman" w:hAnsi="Times New Roman" w:cs="Times New Roman"/>
          <w:sz w:val="24"/>
          <w:szCs w:val="24"/>
          <w:highlight w:val="white"/>
        </w:rPr>
        <w:t xml:space="preserve">Bhopal and Nielsen, 2021). </w:t>
      </w:r>
      <w:r w:rsidRPr="00402D7A">
        <w:rPr>
          <w:rFonts w:ascii="Times New Roman" w:hAnsi="Times New Roman" w:cs="Times New Roman"/>
          <w:sz w:val="24"/>
          <w:szCs w:val="24"/>
        </w:rPr>
        <w:t xml:space="preserve">The first project used the social media platform to create awareness for the covid-19 pandemic. Whereas the other organisation has included the newborn babies along with their parents to prevent them from the infection. The new organisation has also conducted surveys in the houses to make aware the parents and other members on how to take care of their babies from the Covid-19. For this, the adults also have to be cautious with their preventive measures as they can be the carriers for their babies and small children. Even it has used social media as a way of communicating to the parents and other clinics where they take their babies for normal immunisation and vaccination. </w:t>
      </w:r>
    </w:p>
    <w:p w:rsidR="00C655A4" w:rsidRPr="00402D7A" w:rsidRDefault="00901C4D" w:rsidP="00402D7A">
      <w:pPr>
        <w:pStyle w:val="Heading2"/>
        <w:jc w:val="both"/>
        <w:rPr>
          <w:rFonts w:ascii="Times New Roman" w:hAnsi="Times New Roman" w:cs="Times New Roman"/>
          <w:b/>
          <w:sz w:val="24"/>
          <w:szCs w:val="24"/>
        </w:rPr>
      </w:pPr>
      <w:bookmarkStart w:id="10" w:name="_Toc102048855"/>
      <w:r w:rsidRPr="00402D7A">
        <w:rPr>
          <w:rFonts w:ascii="Times New Roman" w:hAnsi="Times New Roman" w:cs="Times New Roman"/>
          <w:b/>
          <w:sz w:val="24"/>
          <w:szCs w:val="24"/>
        </w:rPr>
        <w:lastRenderedPageBreak/>
        <w:t>Explication of activities</w:t>
      </w:r>
      <w:bookmarkEnd w:id="10"/>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A critical analysis of both the performances will be justified at this stage. The local community will be responsible for the evaluation of the two organisations. The programme arranged by the Local Government of the UK has been widely accepted by the government as well as the public as a whole. They have been aware of the covid-19 pandemic with proper preventive measures to be taken to not get infected. They also understood the ways to go for check-ups and tests once they get infected. They have also made up their mind to go for vaccinations. Therefore, finally, different measures were suggested. On the other hand, the second organisation focuses on the babies and small children has also been accepted by the public in the society and family welfare dep</w:t>
      </w:r>
      <w:r w:rsidR="00402D7A">
        <w:rPr>
          <w:rFonts w:ascii="Times New Roman" w:hAnsi="Times New Roman" w:cs="Times New Roman"/>
          <w:sz w:val="24"/>
          <w:szCs w:val="24"/>
        </w:rPr>
        <w:t xml:space="preserve">artments </w:t>
      </w:r>
      <w:r w:rsidRPr="00402D7A">
        <w:rPr>
          <w:rFonts w:ascii="Times New Roman" w:hAnsi="Times New Roman" w:cs="Times New Roman"/>
          <w:sz w:val="24"/>
          <w:szCs w:val="24"/>
        </w:rPr>
        <w:t>(</w:t>
      </w:r>
      <w:r w:rsidRPr="00402D7A">
        <w:rPr>
          <w:rFonts w:ascii="Times New Roman" w:hAnsi="Times New Roman" w:cs="Times New Roman"/>
          <w:sz w:val="24"/>
          <w:szCs w:val="24"/>
          <w:highlight w:val="white"/>
        </w:rPr>
        <w:t xml:space="preserve">Tran et al., 2020). </w:t>
      </w:r>
      <w:r w:rsidRPr="00402D7A">
        <w:rPr>
          <w:rFonts w:ascii="Times New Roman" w:hAnsi="Times New Roman" w:cs="Times New Roman"/>
          <w:sz w:val="24"/>
          <w:szCs w:val="24"/>
        </w:rPr>
        <w:t xml:space="preserve">The success story of the organisation lies in its acceptance of it by the society and the people living in it as in both cases. </w:t>
      </w:r>
    </w:p>
    <w:p w:rsidR="00C655A4" w:rsidRPr="00402D7A" w:rsidRDefault="00901C4D" w:rsidP="00402D7A">
      <w:pPr>
        <w:pStyle w:val="Heading2"/>
        <w:jc w:val="both"/>
        <w:rPr>
          <w:rFonts w:ascii="Times New Roman" w:hAnsi="Times New Roman" w:cs="Times New Roman"/>
          <w:b/>
          <w:sz w:val="24"/>
          <w:szCs w:val="24"/>
        </w:rPr>
      </w:pPr>
      <w:bookmarkStart w:id="11" w:name="_Toc102048856"/>
      <w:r w:rsidRPr="00402D7A">
        <w:rPr>
          <w:rFonts w:ascii="Times New Roman" w:hAnsi="Times New Roman" w:cs="Times New Roman"/>
          <w:b/>
          <w:sz w:val="24"/>
          <w:szCs w:val="24"/>
        </w:rPr>
        <w:t>Theoretical estimation</w:t>
      </w:r>
      <w:bookmarkEnd w:id="11"/>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Theoretical estimation of the two projects helps to understand the organisations to estimate the mental condition of the people in the local community. It has been while doing the programme that sometimes the external people outside the community enter the programme to make it unsuccessful (</w:t>
      </w:r>
      <w:r w:rsidRPr="00402D7A">
        <w:rPr>
          <w:rFonts w:ascii="Times New Roman" w:hAnsi="Times New Roman" w:cs="Times New Roman"/>
          <w:sz w:val="24"/>
          <w:szCs w:val="24"/>
          <w:highlight w:val="white"/>
        </w:rPr>
        <w:t xml:space="preserve">Godman, 2021). </w:t>
      </w:r>
      <w:r w:rsidRPr="00402D7A">
        <w:rPr>
          <w:rFonts w:ascii="Times New Roman" w:hAnsi="Times New Roman" w:cs="Times New Roman"/>
          <w:sz w:val="24"/>
          <w:szCs w:val="24"/>
        </w:rPr>
        <w:t>It is for this reason that both the projects have undergone the survey method to reach directly to the people in need. The survey conducted helped to identify the infectious people in the house where there the infected person is living without proper quarantine measures. In this manner, the public can trust the organisation and go for the awareness programmes. The same rule has been followed for the second organisation. A survey to get the list of the houses where newborn babies and small children were done (</w:t>
      </w:r>
      <w:r w:rsidRPr="00402D7A">
        <w:rPr>
          <w:rFonts w:ascii="Times New Roman" w:hAnsi="Times New Roman" w:cs="Times New Roman"/>
          <w:sz w:val="24"/>
          <w:szCs w:val="24"/>
          <w:highlight w:val="white"/>
        </w:rPr>
        <w:t xml:space="preserve">Tabatabaei and Hassan, 2019). </w:t>
      </w:r>
      <w:r w:rsidRPr="00402D7A">
        <w:rPr>
          <w:rFonts w:ascii="Times New Roman" w:hAnsi="Times New Roman" w:cs="Times New Roman"/>
          <w:sz w:val="24"/>
          <w:szCs w:val="24"/>
        </w:rPr>
        <w:t xml:space="preserve">They even approach the hospitals and maternity clinics to create awareness among the mothers and the health workers. </w:t>
      </w:r>
    </w:p>
    <w:p w:rsidR="00C655A4" w:rsidRPr="00402D7A" w:rsidRDefault="00901C4D" w:rsidP="00402D7A">
      <w:pPr>
        <w:pStyle w:val="Heading2"/>
        <w:jc w:val="both"/>
        <w:rPr>
          <w:rFonts w:ascii="Times New Roman" w:hAnsi="Times New Roman" w:cs="Times New Roman"/>
          <w:b/>
          <w:sz w:val="24"/>
          <w:szCs w:val="24"/>
        </w:rPr>
      </w:pPr>
      <w:bookmarkStart w:id="12" w:name="_Toc102048857"/>
      <w:r w:rsidRPr="00402D7A">
        <w:rPr>
          <w:rFonts w:ascii="Times New Roman" w:hAnsi="Times New Roman" w:cs="Times New Roman"/>
          <w:b/>
          <w:sz w:val="24"/>
          <w:szCs w:val="24"/>
        </w:rPr>
        <w:t>Quality practices</w:t>
      </w:r>
      <w:bookmarkEnd w:id="12"/>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 xml:space="preserve">The programmes need to be proved with ethical issues and rationality. For this certain quality, practices need to be involved as such - </w:t>
      </w:r>
    </w:p>
    <w:p w:rsidR="00C655A4" w:rsidRPr="00402D7A" w:rsidRDefault="00901C4D" w:rsidP="00402D7A">
      <w:pPr>
        <w:pStyle w:val="Normal1"/>
        <w:numPr>
          <w:ilvl w:val="0"/>
          <w:numId w:val="1"/>
        </w:numPr>
        <w:spacing w:line="360" w:lineRule="auto"/>
        <w:jc w:val="both"/>
        <w:rPr>
          <w:rFonts w:ascii="Times New Roman" w:hAnsi="Times New Roman" w:cs="Times New Roman"/>
          <w:b/>
          <w:sz w:val="24"/>
          <w:szCs w:val="24"/>
        </w:rPr>
      </w:pPr>
      <w:r w:rsidRPr="00402D7A">
        <w:rPr>
          <w:rFonts w:ascii="Times New Roman" w:hAnsi="Times New Roman" w:cs="Times New Roman"/>
          <w:b/>
          <w:sz w:val="24"/>
          <w:szCs w:val="24"/>
        </w:rPr>
        <w:t xml:space="preserve">Work Culture: </w:t>
      </w:r>
      <w:r w:rsidRPr="00402D7A">
        <w:rPr>
          <w:rFonts w:ascii="Times New Roman" w:hAnsi="Times New Roman" w:cs="Times New Roman"/>
          <w:sz w:val="24"/>
          <w:szCs w:val="24"/>
        </w:rPr>
        <w:t>The social activists and the government should keep their work culture and format in a simplified manner so that the local public does not have any doubt about following that (</w:t>
      </w:r>
      <w:r w:rsidRPr="00402D7A">
        <w:rPr>
          <w:rFonts w:ascii="Times New Roman" w:hAnsi="Times New Roman" w:cs="Times New Roman"/>
          <w:sz w:val="24"/>
          <w:szCs w:val="24"/>
          <w:highlight w:val="white"/>
        </w:rPr>
        <w:t>Chung et al., 2021).</w:t>
      </w:r>
    </w:p>
    <w:p w:rsidR="00C655A4" w:rsidRPr="00402D7A" w:rsidRDefault="00901C4D" w:rsidP="00402D7A">
      <w:pPr>
        <w:pStyle w:val="Normal1"/>
        <w:numPr>
          <w:ilvl w:val="0"/>
          <w:numId w:val="1"/>
        </w:numPr>
        <w:spacing w:line="360" w:lineRule="auto"/>
        <w:jc w:val="both"/>
        <w:rPr>
          <w:rFonts w:ascii="Times New Roman" w:hAnsi="Times New Roman" w:cs="Times New Roman"/>
          <w:b/>
          <w:sz w:val="24"/>
          <w:szCs w:val="24"/>
        </w:rPr>
      </w:pPr>
      <w:r w:rsidRPr="00402D7A">
        <w:rPr>
          <w:rFonts w:ascii="Times New Roman" w:hAnsi="Times New Roman" w:cs="Times New Roman"/>
          <w:b/>
          <w:sz w:val="24"/>
          <w:szCs w:val="24"/>
        </w:rPr>
        <w:lastRenderedPageBreak/>
        <w:t xml:space="preserve">Communication: </w:t>
      </w:r>
      <w:r w:rsidRPr="00402D7A">
        <w:rPr>
          <w:rFonts w:ascii="Times New Roman" w:hAnsi="Times New Roman" w:cs="Times New Roman"/>
          <w:sz w:val="24"/>
          <w:szCs w:val="24"/>
        </w:rPr>
        <w:t xml:space="preserve"> Communication should be effective among the persons who are engaged with the community. Transparent communication can make the organisation's operations successful.</w:t>
      </w:r>
    </w:p>
    <w:p w:rsidR="00C655A4" w:rsidRPr="00442D1F" w:rsidRDefault="00901C4D" w:rsidP="00402D7A">
      <w:pPr>
        <w:pStyle w:val="Normal1"/>
        <w:numPr>
          <w:ilvl w:val="0"/>
          <w:numId w:val="1"/>
        </w:numPr>
        <w:spacing w:line="360" w:lineRule="auto"/>
        <w:jc w:val="both"/>
        <w:rPr>
          <w:rFonts w:ascii="Times New Roman" w:hAnsi="Times New Roman" w:cs="Times New Roman"/>
          <w:b/>
          <w:sz w:val="24"/>
          <w:szCs w:val="24"/>
        </w:rPr>
      </w:pPr>
      <w:r w:rsidRPr="00402D7A">
        <w:rPr>
          <w:rFonts w:ascii="Times New Roman" w:hAnsi="Times New Roman" w:cs="Times New Roman"/>
          <w:b/>
          <w:sz w:val="24"/>
          <w:szCs w:val="24"/>
        </w:rPr>
        <w:t xml:space="preserve">Image: </w:t>
      </w:r>
      <w:r w:rsidRPr="00402D7A">
        <w:rPr>
          <w:rFonts w:ascii="Times New Roman" w:hAnsi="Times New Roman" w:cs="Times New Roman"/>
          <w:sz w:val="24"/>
          <w:szCs w:val="24"/>
        </w:rPr>
        <w:t>Both organisations should create a good image of themselves in society. The mage can be made through advertisements virtually or through banners, and posters with the details of their working procedures (</w:t>
      </w:r>
      <w:r w:rsidRPr="00402D7A">
        <w:rPr>
          <w:rFonts w:ascii="Times New Roman" w:hAnsi="Times New Roman" w:cs="Times New Roman"/>
          <w:sz w:val="24"/>
          <w:szCs w:val="24"/>
          <w:highlight w:val="white"/>
        </w:rPr>
        <w:t xml:space="preserve">Nurmi and Varis, 2021). </w:t>
      </w:r>
      <w:r w:rsidRPr="00402D7A">
        <w:rPr>
          <w:rFonts w:ascii="Times New Roman" w:hAnsi="Times New Roman" w:cs="Times New Roman"/>
          <w:sz w:val="24"/>
          <w:szCs w:val="24"/>
        </w:rPr>
        <w:t>They can take help from social activists, renowned doctors and celebrity mothers who can take advise the public on the aims and purposes of the need for the organisation.</w:t>
      </w:r>
    </w:p>
    <w:p w:rsidR="00442D1F" w:rsidRPr="00402D7A" w:rsidRDefault="00442D1F" w:rsidP="00442D1F">
      <w:pPr>
        <w:pStyle w:val="Normal1"/>
        <w:spacing w:line="360" w:lineRule="auto"/>
        <w:ind w:left="720"/>
        <w:jc w:val="both"/>
        <w:rPr>
          <w:rFonts w:ascii="Times New Roman" w:hAnsi="Times New Roman" w:cs="Times New Roman"/>
          <w:b/>
          <w:sz w:val="24"/>
          <w:szCs w:val="24"/>
        </w:rPr>
      </w:pPr>
    </w:p>
    <w:p w:rsidR="00442D1F" w:rsidRDefault="00442D1F" w:rsidP="00402D7A">
      <w:pPr>
        <w:pStyle w:val="Heading1"/>
        <w:jc w:val="both"/>
        <w:rPr>
          <w:rFonts w:ascii="Times New Roman" w:hAnsi="Times New Roman" w:cs="Times New Roman"/>
          <w:b/>
          <w:sz w:val="28"/>
          <w:szCs w:val="28"/>
        </w:rPr>
      </w:pPr>
      <w:bookmarkStart w:id="13" w:name="_Toc102048858"/>
    </w:p>
    <w:p w:rsidR="00C655A4" w:rsidRDefault="00901C4D" w:rsidP="00442D1F">
      <w:pPr>
        <w:pStyle w:val="Heading1"/>
        <w:jc w:val="center"/>
        <w:rPr>
          <w:rFonts w:ascii="Times New Roman" w:hAnsi="Times New Roman" w:cs="Times New Roman"/>
          <w:b/>
          <w:sz w:val="28"/>
          <w:szCs w:val="28"/>
        </w:rPr>
      </w:pPr>
      <w:r w:rsidRPr="00402D7A">
        <w:rPr>
          <w:rFonts w:ascii="Times New Roman" w:hAnsi="Times New Roman" w:cs="Times New Roman"/>
          <w:b/>
          <w:sz w:val="28"/>
          <w:szCs w:val="28"/>
        </w:rPr>
        <w:t>Conclusion</w:t>
      </w:r>
      <w:bookmarkEnd w:id="13"/>
    </w:p>
    <w:p w:rsidR="00442D1F" w:rsidRDefault="00442D1F" w:rsidP="00442D1F">
      <w:pPr>
        <w:pStyle w:val="Normal1"/>
      </w:pPr>
    </w:p>
    <w:p w:rsidR="00442D1F" w:rsidRDefault="00442D1F" w:rsidP="00442D1F">
      <w:pPr>
        <w:pStyle w:val="Normal1"/>
      </w:pPr>
    </w:p>
    <w:p w:rsidR="00442D1F" w:rsidRDefault="00442D1F" w:rsidP="00442D1F">
      <w:pPr>
        <w:pStyle w:val="Normal1"/>
      </w:pPr>
    </w:p>
    <w:p w:rsidR="00442D1F" w:rsidRPr="00442D1F" w:rsidRDefault="00442D1F" w:rsidP="00442D1F">
      <w:pPr>
        <w:pStyle w:val="Normal1"/>
      </w:pPr>
    </w:p>
    <w:p w:rsidR="00C655A4" w:rsidRPr="00402D7A" w:rsidRDefault="00901C4D" w:rsidP="00402D7A">
      <w:pPr>
        <w:pStyle w:val="Normal1"/>
        <w:spacing w:line="360" w:lineRule="auto"/>
        <w:jc w:val="both"/>
        <w:rPr>
          <w:rFonts w:ascii="Times New Roman" w:hAnsi="Times New Roman" w:cs="Times New Roman"/>
          <w:sz w:val="24"/>
          <w:szCs w:val="24"/>
        </w:rPr>
      </w:pPr>
      <w:r w:rsidRPr="00402D7A">
        <w:rPr>
          <w:rFonts w:ascii="Times New Roman" w:hAnsi="Times New Roman" w:cs="Times New Roman"/>
          <w:sz w:val="24"/>
          <w:szCs w:val="24"/>
        </w:rPr>
        <w:t>The report can be concluded with the comparison of the two organisations both for the benefit of the community. Community engagement is an important tool and an effective strategy for the development of society. The development in the social environment with the elimination of different issues during the Covid-19 has made the community engagement an integral</w:t>
      </w:r>
      <w:r w:rsidR="003D5A1F">
        <w:rPr>
          <w:rFonts w:ascii="Times New Roman" w:hAnsi="Times New Roman" w:cs="Times New Roman"/>
          <w:sz w:val="24"/>
          <w:szCs w:val="24"/>
        </w:rPr>
        <w:t>-</w:t>
      </w:r>
      <w:r w:rsidRPr="00402D7A">
        <w:rPr>
          <w:rFonts w:ascii="Times New Roman" w:hAnsi="Times New Roman" w:cs="Times New Roman"/>
          <w:sz w:val="24"/>
          <w:szCs w:val="24"/>
        </w:rPr>
        <w:t xml:space="preserve">part of the society. The not only development in the social environment, but good development also leads to enhancing the economic environment. This report has concluded that only the </w:t>
      </w:r>
      <w:r w:rsidR="00402D7A" w:rsidRPr="00402D7A">
        <w:rPr>
          <w:rFonts w:ascii="Times New Roman" w:hAnsi="Times New Roman" w:cs="Times New Roman"/>
          <w:sz w:val="24"/>
          <w:szCs w:val="24"/>
        </w:rPr>
        <w:t>adults</w:t>
      </w:r>
      <w:r w:rsidRPr="00402D7A">
        <w:rPr>
          <w:rFonts w:ascii="Times New Roman" w:hAnsi="Times New Roman" w:cs="Times New Roman"/>
          <w:sz w:val="24"/>
          <w:szCs w:val="24"/>
        </w:rPr>
        <w:t xml:space="preserve"> need awareness for the covid-19, even they should take care of their newborn babies and small children. It focuses on their literacy rate of knowledge about how to keep their babies and children safe from the pandemic. Community engagement is the only way of getting outcomes for the communities concerning the assurance of the government and other public. Engagement helps the community to gain the trust of the general public. All the issues when addressed, there is a chance of getting positive solutions and recommendations. The community get satisfied with the two organisation's mapping structures. The strategies build to make the quality of the organisation effective will give a well-built society to live in.</w:t>
      </w:r>
    </w:p>
    <w:p w:rsidR="00C655A4" w:rsidRPr="00402D7A" w:rsidRDefault="00C655A4" w:rsidP="00402D7A">
      <w:pPr>
        <w:pStyle w:val="Normal1"/>
        <w:spacing w:line="360" w:lineRule="auto"/>
        <w:jc w:val="both"/>
        <w:rPr>
          <w:rFonts w:ascii="Times New Roman" w:hAnsi="Times New Roman" w:cs="Times New Roman"/>
          <w:sz w:val="24"/>
          <w:szCs w:val="24"/>
        </w:rPr>
      </w:pPr>
    </w:p>
    <w:p w:rsidR="00C655A4" w:rsidRPr="00402D7A" w:rsidRDefault="00C655A4" w:rsidP="00402D7A">
      <w:pPr>
        <w:pStyle w:val="Normal1"/>
        <w:spacing w:line="360" w:lineRule="auto"/>
        <w:jc w:val="both"/>
        <w:rPr>
          <w:rFonts w:ascii="Times New Roman" w:hAnsi="Times New Roman" w:cs="Times New Roman"/>
          <w:sz w:val="24"/>
          <w:szCs w:val="24"/>
        </w:rPr>
      </w:pPr>
    </w:p>
    <w:p w:rsidR="00C655A4" w:rsidRPr="00402D7A" w:rsidRDefault="00C655A4" w:rsidP="00402D7A">
      <w:pPr>
        <w:pStyle w:val="Normal1"/>
        <w:spacing w:line="360" w:lineRule="auto"/>
        <w:jc w:val="both"/>
        <w:rPr>
          <w:rFonts w:ascii="Times New Roman" w:hAnsi="Times New Roman" w:cs="Times New Roman"/>
          <w:sz w:val="24"/>
          <w:szCs w:val="24"/>
        </w:rPr>
      </w:pPr>
    </w:p>
    <w:p w:rsidR="00C655A4" w:rsidRPr="00442D1F" w:rsidRDefault="00901C4D" w:rsidP="00442D1F">
      <w:pPr>
        <w:jc w:val="center"/>
        <w:rPr>
          <w:rFonts w:ascii="Times New Roman" w:hAnsi="Times New Roman" w:cs="Times New Roman"/>
          <w:b/>
          <w:sz w:val="24"/>
          <w:szCs w:val="24"/>
        </w:rPr>
      </w:pPr>
      <w:bookmarkStart w:id="14" w:name="_Toc102048859"/>
      <w:r w:rsidRPr="00402D7A">
        <w:rPr>
          <w:rFonts w:ascii="Times New Roman" w:hAnsi="Times New Roman" w:cs="Times New Roman"/>
          <w:b/>
          <w:sz w:val="28"/>
          <w:szCs w:val="28"/>
        </w:rPr>
        <w:lastRenderedPageBreak/>
        <w:t>References</w:t>
      </w:r>
      <w:bookmarkEnd w:id="14"/>
    </w:p>
    <w:p w:rsidR="00442D1F" w:rsidRDefault="00442D1F" w:rsidP="00442D1F">
      <w:pPr>
        <w:pStyle w:val="Normal1"/>
      </w:pPr>
    </w:p>
    <w:p w:rsidR="00442D1F" w:rsidRPr="00442D1F" w:rsidRDefault="00442D1F" w:rsidP="00442D1F">
      <w:pPr>
        <w:pStyle w:val="Normal1"/>
      </w:pPr>
    </w:p>
    <w:p w:rsidR="00442D1F" w:rsidRPr="00442D1F" w:rsidRDefault="00442D1F" w:rsidP="00442D1F">
      <w:pPr>
        <w:pStyle w:val="Normal1"/>
      </w:pPr>
    </w:p>
    <w:p w:rsidR="0079493C" w:rsidRPr="00122628" w:rsidRDefault="00901C4D" w:rsidP="00402D7A">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Abimbola, S., 2020. Beyond positive a priori bias: reframing community engagement in LMICs. </w:t>
      </w:r>
      <w:r w:rsidRPr="00122628">
        <w:rPr>
          <w:rFonts w:ascii="Times New Roman" w:hAnsi="Times New Roman" w:cs="Times New Roman"/>
          <w:i/>
          <w:color w:val="000000" w:themeColor="text1"/>
          <w:sz w:val="24"/>
          <w:szCs w:val="24"/>
          <w:highlight w:val="white"/>
        </w:rPr>
        <w:t>Health Promotion International</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35</w:t>
      </w:r>
      <w:r w:rsidRPr="00122628">
        <w:rPr>
          <w:rFonts w:ascii="Times New Roman" w:hAnsi="Times New Roman" w:cs="Times New Roman"/>
          <w:color w:val="000000" w:themeColor="text1"/>
          <w:sz w:val="24"/>
          <w:szCs w:val="24"/>
          <w:highlight w:val="white"/>
        </w:rPr>
        <w:t>(3), pp.598-609. Available at:</w:t>
      </w:r>
      <w:hyperlink r:id="rId9" w:history="1">
        <w:r w:rsidRPr="00122628">
          <w:rPr>
            <w:rStyle w:val="Hyperlink"/>
            <w:rFonts w:ascii="Times New Roman" w:hAnsi="Times New Roman" w:cs="Times New Roman"/>
            <w:color w:val="000000" w:themeColor="text1"/>
            <w:sz w:val="24"/>
            <w:szCs w:val="24"/>
          </w:rPr>
          <w:t>https://www.researchgate.net/profile/Seye Abimbola/publication/332464771_Beyond_positive_a_priori_bias_reframing_community_engagement_in_LMICs/links/5ee3ebe1299bf1faac525637/Beyond-positive-a-priori-bias-reframing-community-engagement-in-LMICs.pdf</w:t>
        </w:r>
      </w:hyperlink>
      <w:r w:rsidR="003D5A1F">
        <w:t>,   Accessed on: 15</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Ataguba, O.A. and Ataguba, J.E., 2020. Social determinants of health: the role of effective communication in the COVID-19 pandemic in developing countries. </w:t>
      </w:r>
      <w:r w:rsidRPr="00122628">
        <w:rPr>
          <w:rFonts w:ascii="Times New Roman" w:hAnsi="Times New Roman" w:cs="Times New Roman"/>
          <w:i/>
          <w:color w:val="000000" w:themeColor="text1"/>
          <w:sz w:val="24"/>
          <w:szCs w:val="24"/>
          <w:highlight w:val="white"/>
        </w:rPr>
        <w:t>Global Health Action</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13</w:t>
      </w:r>
      <w:r w:rsidRPr="00122628">
        <w:rPr>
          <w:rFonts w:ascii="Times New Roman" w:hAnsi="Times New Roman" w:cs="Times New Roman"/>
          <w:color w:val="000000" w:themeColor="text1"/>
          <w:sz w:val="24"/>
          <w:szCs w:val="24"/>
          <w:highlight w:val="white"/>
        </w:rPr>
        <w:t xml:space="preserve">(1), p.1788263. Available at: </w:t>
      </w:r>
      <w:hyperlink r:id="rId10" w:history="1">
        <w:r w:rsidRPr="00122628">
          <w:rPr>
            <w:rStyle w:val="Hyperlink"/>
            <w:rFonts w:ascii="Times New Roman" w:hAnsi="Times New Roman" w:cs="Times New Roman"/>
            <w:color w:val="000000" w:themeColor="text1"/>
            <w:sz w:val="24"/>
            <w:szCs w:val="24"/>
          </w:rPr>
          <w:t>https://www.tandfonline.com/doi/pdf/10.1080/16549716.2020.1788263</w:t>
        </w:r>
      </w:hyperlink>
      <w:r w:rsidR="003D5A1F">
        <w:t>,    Accessed on: 15</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Bhopal, S. and Nielsen, M., 2021. Vaccine hesitancy in low-and middle-income countries: potential implications for the COVID-19 response. </w:t>
      </w:r>
      <w:r w:rsidRPr="00122628">
        <w:rPr>
          <w:rFonts w:ascii="Times New Roman" w:hAnsi="Times New Roman" w:cs="Times New Roman"/>
          <w:i/>
          <w:color w:val="000000" w:themeColor="text1"/>
          <w:sz w:val="24"/>
          <w:szCs w:val="24"/>
          <w:highlight w:val="white"/>
        </w:rPr>
        <w:t>Archives of Disease in Childhood</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106</w:t>
      </w:r>
      <w:r w:rsidRPr="00122628">
        <w:rPr>
          <w:rFonts w:ascii="Times New Roman" w:hAnsi="Times New Roman" w:cs="Times New Roman"/>
          <w:color w:val="000000" w:themeColor="text1"/>
          <w:sz w:val="24"/>
          <w:szCs w:val="24"/>
          <w:highlight w:val="white"/>
        </w:rPr>
        <w:t>(2), pp.113-114. Available at:</w:t>
      </w:r>
      <w:hyperlink r:id="rId11" w:history="1"/>
      <w:hyperlink r:id="rId12" w:history="1">
        <w:r w:rsidRPr="00122628">
          <w:rPr>
            <w:rFonts w:ascii="Times New Roman" w:hAnsi="Times New Roman" w:cs="Times New Roman"/>
            <w:color w:val="000000" w:themeColor="text1"/>
            <w:sz w:val="24"/>
            <w:szCs w:val="24"/>
            <w:highlight w:val="white"/>
            <w:u w:val="single"/>
          </w:rPr>
          <w:t>https://adc.bmj.com/content/archdischild/106/2/113.full.pdf</w:t>
        </w:r>
      </w:hyperlink>
      <w:r w:rsidR="003D5A1F">
        <w:t>, ,Accessed on: 15</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Chung, H., Birkett, H., Forbes, S. and Seo, H., 2021. Covid-19, flexible working, and implications for gender equality in the United Kingdom. </w:t>
      </w:r>
      <w:r w:rsidRPr="00122628">
        <w:rPr>
          <w:rFonts w:ascii="Times New Roman" w:hAnsi="Times New Roman" w:cs="Times New Roman"/>
          <w:i/>
          <w:color w:val="000000" w:themeColor="text1"/>
          <w:sz w:val="24"/>
          <w:szCs w:val="24"/>
          <w:highlight w:val="white"/>
        </w:rPr>
        <w:t>Gender &amp; Society</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35</w:t>
      </w:r>
      <w:r w:rsidRPr="00122628">
        <w:rPr>
          <w:rFonts w:ascii="Times New Roman" w:hAnsi="Times New Roman" w:cs="Times New Roman"/>
          <w:color w:val="000000" w:themeColor="text1"/>
          <w:sz w:val="24"/>
          <w:szCs w:val="24"/>
          <w:highlight w:val="white"/>
        </w:rPr>
        <w:t>(2), pp.218-232. Available at:</w:t>
      </w:r>
      <w:hyperlink r:id="rId13" w:history="1"/>
      <w:hyperlink r:id="rId14" w:history="1">
        <w:r w:rsidRPr="00122628">
          <w:rPr>
            <w:rFonts w:ascii="Times New Roman" w:hAnsi="Times New Roman" w:cs="Times New Roman"/>
            <w:color w:val="000000" w:themeColor="text1"/>
            <w:sz w:val="24"/>
            <w:szCs w:val="24"/>
            <w:highlight w:val="white"/>
            <w:u w:val="single"/>
          </w:rPr>
          <w:t>https://journals.sagepub.com/doi/pdf/10.1177/08912432211001304</w:t>
        </w:r>
      </w:hyperlink>
      <w:r w:rsidR="003D5A1F">
        <w:t>, ,   Accessed on: 16</w:t>
      </w:r>
      <w:r w:rsidR="003D5A1F" w:rsidRPr="003D5A1F">
        <w:rPr>
          <w:vertAlign w:val="superscript"/>
        </w:rPr>
        <w:t>th</w:t>
      </w:r>
      <w:r w:rsidR="003D5A1F">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Godman, B., 2021. Health authority activities to enhance the quality and efficiency of medicine use and their impact. </w:t>
      </w:r>
      <w:r w:rsidRPr="00122628">
        <w:rPr>
          <w:rFonts w:ascii="Times New Roman" w:hAnsi="Times New Roman" w:cs="Times New Roman"/>
          <w:i/>
          <w:color w:val="000000" w:themeColor="text1"/>
          <w:sz w:val="24"/>
          <w:szCs w:val="24"/>
          <w:highlight w:val="white"/>
        </w:rPr>
        <w:t>Advances in Human Biology</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11</w:t>
      </w:r>
      <w:r w:rsidRPr="00122628">
        <w:rPr>
          <w:rFonts w:ascii="Times New Roman" w:hAnsi="Times New Roman" w:cs="Times New Roman"/>
          <w:color w:val="000000" w:themeColor="text1"/>
          <w:sz w:val="24"/>
          <w:szCs w:val="24"/>
          <w:highlight w:val="white"/>
        </w:rPr>
        <w:t>(1), pp.11-16. Available at:</w:t>
      </w:r>
      <w:hyperlink r:id="rId15" w:history="1"/>
      <w:hyperlink r:id="rId16" w:history="1">
        <w:r w:rsidRPr="00122628">
          <w:rPr>
            <w:rFonts w:ascii="Times New Roman" w:hAnsi="Times New Roman" w:cs="Times New Roman"/>
            <w:color w:val="000000" w:themeColor="text1"/>
            <w:sz w:val="24"/>
            <w:szCs w:val="24"/>
            <w:highlight w:val="white"/>
            <w:u w:val="single"/>
          </w:rPr>
          <w:t>https://strathprints.strath.ac.uk/74639/7/Godman_AIHB_2021_Health_authority_activities_to_enhance_the_quality_and_efficiency_of_medicine.pdf</w:t>
        </w:r>
      </w:hyperlink>
      <w:r w:rsidR="003D5A1F">
        <w:t>,   Accessed on: 16</w:t>
      </w:r>
      <w:r w:rsidR="003D5A1F" w:rsidRPr="003D5A1F">
        <w:rPr>
          <w:vertAlign w:val="superscript"/>
        </w:rPr>
        <w:t>th</w:t>
      </w:r>
      <w:r w:rsidR="003D5A1F">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Khan, A., Alsofayan, Y., Alahmari, A., Alowais, J., Algwizani, A., Alserehi, H., Assiri, A. and Jokhdar, H., 2021. COVID-19 in Saudi Arabia: the national health response. </w:t>
      </w:r>
      <w:r w:rsidRPr="00122628">
        <w:rPr>
          <w:rFonts w:ascii="Times New Roman" w:hAnsi="Times New Roman" w:cs="Times New Roman"/>
          <w:i/>
          <w:color w:val="000000" w:themeColor="text1"/>
          <w:sz w:val="24"/>
          <w:szCs w:val="24"/>
          <w:highlight w:val="white"/>
        </w:rPr>
        <w:t>Eastern Mediterranean Health Journal</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27</w:t>
      </w:r>
      <w:r w:rsidRPr="00122628">
        <w:rPr>
          <w:rFonts w:ascii="Times New Roman" w:hAnsi="Times New Roman" w:cs="Times New Roman"/>
          <w:color w:val="000000" w:themeColor="text1"/>
          <w:sz w:val="24"/>
          <w:szCs w:val="24"/>
          <w:highlight w:val="white"/>
        </w:rPr>
        <w:t xml:space="preserve">(11), pp.1114-1124. Available at: </w:t>
      </w:r>
      <w:hyperlink r:id="rId17" w:anchor="page=88" w:history="1">
        <w:r w:rsidRPr="00122628">
          <w:rPr>
            <w:rStyle w:val="Hyperlink"/>
            <w:rFonts w:ascii="Times New Roman" w:hAnsi="Times New Roman" w:cs="Times New Roman"/>
            <w:color w:val="000000" w:themeColor="text1"/>
            <w:sz w:val="24"/>
            <w:szCs w:val="24"/>
          </w:rPr>
          <w:t>https://apps.who.int/iris/bitstream/handle/10665/351264/1020-3397-2021-2711-10311126-eng.pdf?sequence=1#page=88</w:t>
        </w:r>
      </w:hyperlink>
      <w:r w:rsidR="003D5A1F">
        <w:t>,   Accessed on: 16</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Loewenson, R., Colvin, C.J., Szabzon, F., Das, S., Khanna, R., Coelho, V.S.P., Gansane, Z., Yao, S., Asibu, W.D., Rome, N. and Nolan, E., 2021. Beyond command and control: a rapid review of meaningful community-engaged responses to COVID-19. </w:t>
      </w:r>
      <w:r w:rsidRPr="00122628">
        <w:rPr>
          <w:rFonts w:ascii="Times New Roman" w:hAnsi="Times New Roman" w:cs="Times New Roman"/>
          <w:i/>
          <w:color w:val="000000" w:themeColor="text1"/>
          <w:sz w:val="24"/>
          <w:szCs w:val="24"/>
          <w:highlight w:val="white"/>
        </w:rPr>
        <w:t>Global Public Health</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lastRenderedPageBreak/>
        <w:t>16</w:t>
      </w:r>
      <w:r w:rsidRPr="00122628">
        <w:rPr>
          <w:rFonts w:ascii="Times New Roman" w:hAnsi="Times New Roman" w:cs="Times New Roman"/>
          <w:color w:val="000000" w:themeColor="text1"/>
          <w:sz w:val="24"/>
          <w:szCs w:val="24"/>
          <w:highlight w:val="white"/>
        </w:rPr>
        <w:t xml:space="preserve">(8-9), pp.1439-1453. Available at: </w:t>
      </w:r>
      <w:hyperlink r:id="rId18" w:history="1">
        <w:r w:rsidRPr="00122628">
          <w:rPr>
            <w:rStyle w:val="Hyperlink"/>
            <w:rFonts w:ascii="Times New Roman" w:hAnsi="Times New Roman" w:cs="Times New Roman"/>
            <w:color w:val="000000" w:themeColor="text1"/>
            <w:sz w:val="24"/>
            <w:szCs w:val="24"/>
          </w:rPr>
          <w:t>https://d1wqtxts1xzle7.cloudfront.net/70496104/17441692.2021-with-cover-pagev2.pdf?Expires=1651138169&amp;Signature=N0ROUqR7r8PCql2HM2B320BL09BUfHy3yOOVPYgU3ykhhxE6F~7WWUChxJCFgIvYJk7yws~BP0t0GMGjY2wkD7jN9cMTs85N91wh033rTELc--iog1hh-~bM9u2XqoLbiTosYmGQmnZnbdqfW3sp0knNjJQzzDr5S3xG33jUELd0aTo7thBQ2KlBIYQrCd8N62ewXCZSYVe7zVozEwRG0Uxo8a2itnErDc~hApimPIE9-1UC~92kozByTlW7xIRPjuh2OMx4XkPqlxD8tHFduKgf0lhc~S2-ItAUgPb1Fe2czYJUm9duaJVd727gL0cCX-5p5wxRK-~S2Zbfg__&amp;Key-Pair-Id=APKAJLOHF5GGSLRBV4ZA</w:t>
        </w:r>
      </w:hyperlink>
      <w:r w:rsidR="003D5A1F">
        <w:t>,   Accessed on: 18</w:t>
      </w:r>
      <w:r w:rsidR="003D5A1F" w:rsidRPr="003D5A1F">
        <w:rPr>
          <w:vertAlign w:val="superscript"/>
        </w:rPr>
        <w:t>th</w:t>
      </w:r>
      <w:r w:rsidR="003D5A1F">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Magaço, A., Munguambe, K., Nhacolo, A., Ambrósio, C., Nhacolo, F., Cossa, S., Macete, E. and Mandomando, I., 2021. Challenges and needs for social behavioural research and community engagement activities during the COVID-19 pandemic in rural Mozambique. </w:t>
      </w:r>
      <w:r w:rsidRPr="00122628">
        <w:rPr>
          <w:rFonts w:ascii="Times New Roman" w:hAnsi="Times New Roman" w:cs="Times New Roman"/>
          <w:i/>
          <w:color w:val="000000" w:themeColor="text1"/>
          <w:sz w:val="24"/>
          <w:szCs w:val="24"/>
          <w:highlight w:val="white"/>
        </w:rPr>
        <w:t>Global Public Health</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16</w:t>
      </w:r>
      <w:r w:rsidRPr="00122628">
        <w:rPr>
          <w:rFonts w:ascii="Times New Roman" w:hAnsi="Times New Roman" w:cs="Times New Roman"/>
          <w:color w:val="000000" w:themeColor="text1"/>
          <w:sz w:val="24"/>
          <w:szCs w:val="24"/>
          <w:highlight w:val="white"/>
        </w:rPr>
        <w:t>(1), pp.153-157. Available at:</w:t>
      </w:r>
      <w:hyperlink r:id="rId19" w:history="1"/>
      <w:hyperlink r:id="rId20" w:history="1">
        <w:r w:rsidRPr="00122628">
          <w:rPr>
            <w:rFonts w:ascii="Times New Roman" w:hAnsi="Times New Roman" w:cs="Times New Roman"/>
            <w:color w:val="000000" w:themeColor="text1"/>
            <w:sz w:val="24"/>
            <w:szCs w:val="24"/>
            <w:highlight w:val="white"/>
            <w:u w:val="single"/>
          </w:rPr>
          <w:t>https://d1wqtxts1xzle7.cloudfront.net/68395380/17441692.2020-with-cover-page-v2.pdf?Expires=1651134280&amp;Signature=dT65lyASobZ~DnLZYPrdIvjJqxazaxH6Xswq1hH96SXcuT8F63ROce6E3NxKI-4WXfp~fGNecCohLbk8n6xh~rEhKV-2uUe7Jw0QS~KIoHUghZ1N42I0I9QDDcptepbr003mxAbN~dtlqLxMZ4xVOaruF5-aegwlIcyI5JN6nRUNaWEyx06aWynvT1h9gi548JpivYqpEwz6ALf5LCrTDIud0o4WmOS7rTT9sNXusC-HrEV1KoUAKojc8B1bkToVxLdOzMDMFBP2HiV0hKFgJpSfAdewWEAddQtL18SRell5ztoZRrJ4He4njLuxhFO-51CAD4gjZWtQIVqWYdaCRA__&amp;Key-Pair-Id=APKAJLOHF5GGSLRBV4ZA</w:t>
        </w:r>
      </w:hyperlink>
      <w:r w:rsidR="003D5A1F">
        <w:t>,  Accessed on: 18</w:t>
      </w:r>
      <w:r w:rsidR="003D5A1F" w:rsidRPr="003D5A1F">
        <w:rPr>
          <w:vertAlign w:val="superscript"/>
        </w:rPr>
        <w:t>th</w:t>
      </w:r>
      <w:r w:rsidR="003D5A1F">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McKinley, E., Crowe, P.R., Stori, F., Ballinger, R., Brew, T.C., Blacklaw-Jones, L., Cameron-Smith, A., Crowley, S., Cocco, C., O'Mahony, C. and McNally, B., 2021. ‘Going digital’-Lessons for future coastal community engagement and climate change adaptation. </w:t>
      </w:r>
      <w:r w:rsidRPr="00122628">
        <w:rPr>
          <w:rFonts w:ascii="Times New Roman" w:hAnsi="Times New Roman" w:cs="Times New Roman"/>
          <w:i/>
          <w:color w:val="000000" w:themeColor="text1"/>
          <w:sz w:val="24"/>
          <w:szCs w:val="24"/>
          <w:highlight w:val="white"/>
        </w:rPr>
        <w:t>Ocean &amp; Coastal Management</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208</w:t>
      </w:r>
      <w:r w:rsidRPr="00122628">
        <w:rPr>
          <w:rFonts w:ascii="Times New Roman" w:hAnsi="Times New Roman" w:cs="Times New Roman"/>
          <w:color w:val="000000" w:themeColor="text1"/>
          <w:sz w:val="24"/>
          <w:szCs w:val="24"/>
          <w:highlight w:val="white"/>
        </w:rPr>
        <w:t xml:space="preserve">, p.105629. Available at: </w:t>
      </w:r>
      <w:hyperlink r:id="rId21" w:history="1">
        <w:r w:rsidRPr="00122628">
          <w:rPr>
            <w:rStyle w:val="Hyperlink"/>
            <w:rFonts w:ascii="Times New Roman" w:hAnsi="Times New Roman" w:cs="Times New Roman"/>
            <w:color w:val="000000" w:themeColor="text1"/>
            <w:sz w:val="24"/>
            <w:szCs w:val="24"/>
          </w:rPr>
          <w:t>https://d1wqtxts1xzle7.cloudfront.net/76906560/Ocean_and_Coastal_Management_SI_Engaging_Coastal_Stakeholders_Published_-libre.pdf?1640021401=&amp;response-contentdisposition=inline%3B+filename%3DGoing_digital_Lessons_for_future_coastal.pd&amp;Expires=1651138229&amp;Signature=TWr1jhZRkXEtzSwfq0D7yP7hDlqjs8czVYsv7O94R6bQP5v0bnYQPq31LciVzEFqYk1Umh5oMrBMJ2bweBJ7BNs6dcy4dLXHUWCh9NMB3BMuo~GNz4THLe2BGU35sFdW6Crzo5jCqcQoMx-ZbA2HL~HUblI~-o5Ls0dt2xA9MN0qBMruGKwMcAkHQRPaPV9clMZ3WzcpaEPDXrYDeF2wfHC-</w:t>
        </w:r>
        <w:r w:rsidRPr="00122628">
          <w:rPr>
            <w:rStyle w:val="Hyperlink"/>
            <w:rFonts w:ascii="Times New Roman" w:hAnsi="Times New Roman" w:cs="Times New Roman"/>
            <w:color w:val="000000" w:themeColor="text1"/>
            <w:sz w:val="24"/>
            <w:szCs w:val="24"/>
          </w:rPr>
          <w:lastRenderedPageBreak/>
          <w:t>f7NVbudKt-DZkEoqWWfLqE48BDWl2jCwTC~Ie5I6K76Eq08~nNMqqQ3UNkGeMH7p5ohqMrsiu-85TIqmsuN82ZW63HFBgQJGyqg-EQjfakH5L0c1lYeodtkh42c8OA__&amp;Key-Pair-Id=APKAJLOHF5GGSLRBV4ZA</w:t>
        </w:r>
      </w:hyperlink>
      <w:r w:rsidR="003D5A1F">
        <w:t>,   Accessed on: 15</w:t>
      </w:r>
      <w:r w:rsidR="003D5A1F" w:rsidRPr="003D5A1F">
        <w:rPr>
          <w:vertAlign w:val="superscript"/>
        </w:rPr>
        <w:t>th</w:t>
      </w:r>
      <w:r w:rsidR="003D5A1F">
        <w:t xml:space="preserve"> April 2022</w:t>
      </w:r>
    </w:p>
    <w:p w:rsidR="003D5A1F" w:rsidRPr="00122628" w:rsidRDefault="003D5A1F" w:rsidP="003D5A1F">
      <w:pPr>
        <w:pStyle w:val="Normal1"/>
        <w:spacing w:line="360" w:lineRule="auto"/>
        <w:jc w:val="both"/>
        <w:rPr>
          <w:rFonts w:ascii="Times New Roman" w:hAnsi="Times New Roman" w:cs="Times New Roman"/>
          <w:color w:val="000000" w:themeColor="text1"/>
          <w:sz w:val="24"/>
          <w:szCs w:val="24"/>
          <w:highlight w:val="white"/>
        </w:rPr>
      </w:pPr>
      <w:r>
        <w:t xml:space="preserve"> </w:t>
      </w:r>
      <w:r w:rsidR="00901C4D" w:rsidRPr="00122628">
        <w:rPr>
          <w:rFonts w:ascii="Times New Roman" w:hAnsi="Times New Roman" w:cs="Times New Roman"/>
          <w:color w:val="000000" w:themeColor="text1"/>
          <w:sz w:val="24"/>
          <w:szCs w:val="24"/>
          <w:highlight w:val="white"/>
        </w:rPr>
        <w:t xml:space="preserve">Nurmi, K. and Varis, K., 2021. How to Improve Employee Engagement in the Hospitability Business by Developing the Employer Brand During the Covid-19 Pandemic-An Action Research Case Study From the UK. </w:t>
      </w:r>
      <w:r w:rsidR="00901C4D" w:rsidRPr="00122628">
        <w:rPr>
          <w:rFonts w:ascii="Times New Roman" w:hAnsi="Times New Roman" w:cs="Times New Roman"/>
          <w:i/>
          <w:color w:val="000000" w:themeColor="text1"/>
          <w:sz w:val="24"/>
          <w:szCs w:val="24"/>
          <w:highlight w:val="white"/>
        </w:rPr>
        <w:t>American Journal of Management</w:t>
      </w:r>
      <w:r w:rsidR="00901C4D" w:rsidRPr="00122628">
        <w:rPr>
          <w:rFonts w:ascii="Times New Roman" w:hAnsi="Times New Roman" w:cs="Times New Roman"/>
          <w:color w:val="000000" w:themeColor="text1"/>
          <w:sz w:val="24"/>
          <w:szCs w:val="24"/>
          <w:highlight w:val="white"/>
        </w:rPr>
        <w:t xml:space="preserve">, </w:t>
      </w:r>
      <w:r w:rsidR="00901C4D" w:rsidRPr="00122628">
        <w:rPr>
          <w:rFonts w:ascii="Times New Roman" w:hAnsi="Times New Roman" w:cs="Times New Roman"/>
          <w:i/>
          <w:color w:val="000000" w:themeColor="text1"/>
          <w:sz w:val="24"/>
          <w:szCs w:val="24"/>
          <w:highlight w:val="white"/>
        </w:rPr>
        <w:t>21</w:t>
      </w:r>
      <w:r w:rsidR="00901C4D" w:rsidRPr="00122628">
        <w:rPr>
          <w:rFonts w:ascii="Times New Roman" w:hAnsi="Times New Roman" w:cs="Times New Roman"/>
          <w:color w:val="000000" w:themeColor="text1"/>
          <w:sz w:val="24"/>
          <w:szCs w:val="24"/>
          <w:highlight w:val="white"/>
        </w:rPr>
        <w:t xml:space="preserve">(4), </w:t>
      </w:r>
      <w:r>
        <w:rPr>
          <w:rFonts w:ascii="Times New Roman" w:hAnsi="Times New Roman" w:cs="Times New Roman"/>
          <w:color w:val="000000" w:themeColor="text1"/>
          <w:sz w:val="24"/>
          <w:szCs w:val="24"/>
          <w:highlight w:val="white"/>
        </w:rPr>
        <w:t xml:space="preserve">pp.44-66. Available </w:t>
      </w:r>
      <w:r w:rsidR="00901C4D" w:rsidRPr="00122628">
        <w:rPr>
          <w:rFonts w:ascii="Times New Roman" w:hAnsi="Times New Roman" w:cs="Times New Roman"/>
          <w:color w:val="000000" w:themeColor="text1"/>
          <w:sz w:val="24"/>
          <w:szCs w:val="24"/>
          <w:highlight w:val="white"/>
        </w:rPr>
        <w:t>at:</w:t>
      </w:r>
      <w:hyperlink r:id="rId22" w:history="1"/>
      <w:hyperlink r:id="rId23" w:history="1">
        <w:r w:rsidR="00901C4D" w:rsidRPr="00122628">
          <w:rPr>
            <w:rFonts w:ascii="Times New Roman" w:hAnsi="Times New Roman" w:cs="Times New Roman"/>
            <w:color w:val="000000" w:themeColor="text1"/>
            <w:sz w:val="24"/>
            <w:szCs w:val="24"/>
            <w:highlight w:val="white"/>
            <w:u w:val="single"/>
          </w:rPr>
          <w:t>https://www.researchgate.net/profile/Keijo-Varis/publication/354543010_How_to_Improve_Employee_Engagement_in_the_Hospitability_Business_by_Developing_the_Employer_Brand_During_the_Covid-19_Pandemic_-_An_Action_Research_Case_Study_From_the_UK/links/613edfe411e9c168f2c9bcc9/How-to-Improve-Employee-Engagement-in-the-Hospitability-Business-by-Developing-the-Employer-Brand-During-the-Covid-19-Pandemic-An-Action-Research-Case-Study-From-the-UK.pdf</w:t>
        </w:r>
      </w:hyperlink>
      <w:r>
        <w:t>,   Accessed on: 15</w:t>
      </w:r>
      <w:r w:rsidRPr="003D5A1F">
        <w:rPr>
          <w:vertAlign w:val="superscript"/>
        </w:rPr>
        <w:t>th</w:t>
      </w:r>
      <w:r>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Perrotta, D., 2021. Universities and Covid-19 in Argentina: from community engagement to regulation. </w:t>
      </w:r>
      <w:r w:rsidRPr="00122628">
        <w:rPr>
          <w:rFonts w:ascii="Times New Roman" w:hAnsi="Times New Roman" w:cs="Times New Roman"/>
          <w:i/>
          <w:color w:val="000000" w:themeColor="text1"/>
          <w:sz w:val="24"/>
          <w:szCs w:val="24"/>
          <w:highlight w:val="white"/>
        </w:rPr>
        <w:t>Studies in Higher Education</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46</w:t>
      </w:r>
      <w:r w:rsidRPr="00122628">
        <w:rPr>
          <w:rFonts w:ascii="Times New Roman" w:hAnsi="Times New Roman" w:cs="Times New Roman"/>
          <w:color w:val="000000" w:themeColor="text1"/>
          <w:sz w:val="24"/>
          <w:szCs w:val="24"/>
          <w:highlight w:val="white"/>
        </w:rPr>
        <w:t xml:space="preserve">(1), pp.30-43. Available at: </w:t>
      </w:r>
      <w:hyperlink r:id="rId24" w:history="1">
        <w:r w:rsidRPr="00122628">
          <w:rPr>
            <w:rStyle w:val="Hyperlink"/>
            <w:rFonts w:ascii="Times New Roman" w:hAnsi="Times New Roman" w:cs="Times New Roman"/>
            <w:color w:val="000000" w:themeColor="text1"/>
            <w:sz w:val="24"/>
            <w:szCs w:val="24"/>
          </w:rPr>
          <w:t>https://ri.conicet.gov.ar/bitstream/handle/11336/121676/CONICET_Digital_Nro.5ecc12d29c7-4218-aa55-9462b39c2d3d_A.pdf?sequence=2</w:t>
        </w:r>
      </w:hyperlink>
      <w:r w:rsidR="003D5A1F">
        <w:t>,     Accessed on: 16</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Shrivastava, S.R. and Shrivastava, P.S., 2021. Recommendations for stakeholders for the effective containment of COVID-19 pandemic. </w:t>
      </w:r>
      <w:r w:rsidRPr="00122628">
        <w:rPr>
          <w:rFonts w:ascii="Times New Roman" w:hAnsi="Times New Roman" w:cs="Times New Roman"/>
          <w:i/>
          <w:color w:val="000000" w:themeColor="text1"/>
          <w:sz w:val="24"/>
          <w:szCs w:val="24"/>
          <w:highlight w:val="white"/>
        </w:rPr>
        <w:t>Medicine</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10</w:t>
      </w:r>
      <w:r w:rsidRPr="00122628">
        <w:rPr>
          <w:rFonts w:ascii="Times New Roman" w:hAnsi="Times New Roman" w:cs="Times New Roman"/>
          <w:color w:val="000000" w:themeColor="text1"/>
          <w:sz w:val="24"/>
          <w:szCs w:val="24"/>
          <w:highlight w:val="white"/>
        </w:rPr>
        <w:t>(3), pp.1057-8. Available at</w:t>
      </w:r>
      <w:hyperlink r:id="rId25" w:history="1">
        <w:r w:rsidRPr="00122628">
          <w:rPr>
            <w:rStyle w:val="Hyperlink"/>
            <w:rFonts w:ascii="Times New Roman" w:hAnsi="Times New Roman" w:cs="Times New Roman"/>
            <w:color w:val="000000" w:themeColor="text1"/>
            <w:sz w:val="24"/>
            <w:szCs w:val="24"/>
          </w:rPr>
          <w:t>http://www.medicinescience.org/wp-content/uploads/2021/12/53-1608246203.pdf</w:t>
        </w:r>
      </w:hyperlink>
      <w:r w:rsidR="003D5A1F">
        <w:t>, Accessed on: 20</w:t>
      </w:r>
      <w:r w:rsidR="003D5A1F" w:rsidRPr="003D5A1F">
        <w:rPr>
          <w:vertAlign w:val="superscript"/>
        </w:rPr>
        <w:t>th</w:t>
      </w:r>
      <w:r w:rsidR="003D5A1F">
        <w:t xml:space="preserve"> April 2022</w:t>
      </w:r>
    </w:p>
    <w:p w:rsidR="003D5A1F"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 xml:space="preserve">Tabatabaei, H. and Hassan, S., 2019. Newborn BCG Vaccinations: Scar Formation and Tuberculin Conversion Rates: A Retrospective Study. </w:t>
      </w:r>
      <w:r w:rsidRPr="00122628">
        <w:rPr>
          <w:rFonts w:ascii="Times New Roman" w:hAnsi="Times New Roman" w:cs="Times New Roman"/>
          <w:i/>
          <w:color w:val="000000" w:themeColor="text1"/>
          <w:sz w:val="24"/>
          <w:szCs w:val="24"/>
          <w:highlight w:val="white"/>
        </w:rPr>
        <w:t>American Journal of Pediatrics</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5</w:t>
      </w:r>
      <w:r w:rsidRPr="00122628">
        <w:rPr>
          <w:rFonts w:ascii="Times New Roman" w:hAnsi="Times New Roman" w:cs="Times New Roman"/>
          <w:color w:val="000000" w:themeColor="text1"/>
          <w:sz w:val="24"/>
          <w:szCs w:val="24"/>
          <w:highlight w:val="white"/>
        </w:rPr>
        <w:t>(1), pp.1-6. Available at:</w:t>
      </w:r>
      <w:hyperlink r:id="rId26" w:history="1"/>
      <w:hyperlink r:id="rId27" w:history="1">
        <w:r w:rsidRPr="00122628">
          <w:rPr>
            <w:rFonts w:ascii="Times New Roman" w:hAnsi="Times New Roman" w:cs="Times New Roman"/>
            <w:color w:val="000000" w:themeColor="text1"/>
            <w:sz w:val="24"/>
            <w:szCs w:val="24"/>
            <w:highlight w:val="white"/>
            <w:u w:val="single"/>
          </w:rPr>
          <w:t>https://www.researchgate.net/profile/Sam-Hassan-3/publication/344153762_Newborn_BCG_Vaccinations_Scar_Formation_and_Tuberculin_Conversion_Rates_A_Retrospective_Study/links/5f560c40a6fdcc9879d31674/Newborn-BCG-Vaccinations-Scar-Formation-and-Tuberculin-Conversion-Rates-A-Retrospective-Study.pdf</w:t>
        </w:r>
      </w:hyperlink>
      <w:r w:rsidR="003D5A1F">
        <w:t>,   Accessed on: 20</w:t>
      </w:r>
      <w:r w:rsidR="003D5A1F" w:rsidRPr="003D5A1F">
        <w:rPr>
          <w:vertAlign w:val="superscript"/>
        </w:rPr>
        <w:t>th</w:t>
      </w:r>
      <w:r w:rsidR="003D5A1F">
        <w:t xml:space="preserve"> April 2022</w:t>
      </w:r>
    </w:p>
    <w:p w:rsidR="003D5A1F" w:rsidRPr="00122628" w:rsidRDefault="00901C4D" w:rsidP="003D5A1F">
      <w:pPr>
        <w:pStyle w:val="Normal1"/>
        <w:spacing w:line="360" w:lineRule="auto"/>
        <w:jc w:val="both"/>
        <w:rPr>
          <w:rFonts w:ascii="Times New Roman" w:hAnsi="Times New Roman" w:cs="Times New Roman"/>
          <w:color w:val="000000" w:themeColor="text1"/>
          <w:sz w:val="24"/>
          <w:szCs w:val="24"/>
          <w:highlight w:val="white"/>
        </w:rPr>
      </w:pPr>
      <w:r w:rsidRPr="00122628">
        <w:rPr>
          <w:rFonts w:ascii="Times New Roman" w:hAnsi="Times New Roman" w:cs="Times New Roman"/>
          <w:color w:val="000000" w:themeColor="text1"/>
          <w:sz w:val="24"/>
          <w:szCs w:val="24"/>
          <w:highlight w:val="white"/>
        </w:rPr>
        <w:t>Tran, H.T., Nguyen, P.T.K., Huynh, L.T., Le, C.H.M., Giang, H.T.N., Nguyen, P.T.T. and Murray, J., 2020. Appropriate care for neonates born to mothers with COVID</w:t>
      </w:r>
      <w:r w:rsidRPr="00122628">
        <w:rPr>
          <w:rFonts w:ascii="Times New Roman" w:eastAsia="Times New Roman" w:hAnsi="Times New Roman" w:cs="Times New Roman"/>
          <w:color w:val="000000" w:themeColor="text1"/>
          <w:sz w:val="24"/>
          <w:szCs w:val="24"/>
          <w:highlight w:val="white"/>
        </w:rPr>
        <w:t>‐</w:t>
      </w:r>
      <w:r w:rsidRPr="00122628">
        <w:rPr>
          <w:rFonts w:ascii="Times New Roman" w:hAnsi="Times New Roman" w:cs="Times New Roman"/>
          <w:color w:val="000000" w:themeColor="text1"/>
          <w:sz w:val="24"/>
          <w:szCs w:val="24"/>
          <w:highlight w:val="white"/>
        </w:rPr>
        <w:t xml:space="preserve">19 disease. </w:t>
      </w:r>
      <w:r w:rsidRPr="00122628">
        <w:rPr>
          <w:rFonts w:ascii="Times New Roman" w:hAnsi="Times New Roman" w:cs="Times New Roman"/>
          <w:i/>
          <w:color w:val="000000" w:themeColor="text1"/>
          <w:sz w:val="24"/>
          <w:szCs w:val="24"/>
          <w:highlight w:val="white"/>
        </w:rPr>
        <w:t>Acta paediatrica</w:t>
      </w:r>
      <w:r w:rsidRPr="00122628">
        <w:rPr>
          <w:rFonts w:ascii="Times New Roman" w:hAnsi="Times New Roman" w:cs="Times New Roman"/>
          <w:color w:val="000000" w:themeColor="text1"/>
          <w:sz w:val="24"/>
          <w:szCs w:val="24"/>
          <w:highlight w:val="white"/>
        </w:rPr>
        <w:t xml:space="preserve">, </w:t>
      </w:r>
      <w:r w:rsidRPr="00122628">
        <w:rPr>
          <w:rFonts w:ascii="Times New Roman" w:hAnsi="Times New Roman" w:cs="Times New Roman"/>
          <w:i/>
          <w:color w:val="000000" w:themeColor="text1"/>
          <w:sz w:val="24"/>
          <w:szCs w:val="24"/>
          <w:highlight w:val="white"/>
        </w:rPr>
        <w:t>109</w:t>
      </w:r>
      <w:r w:rsidRPr="00122628">
        <w:rPr>
          <w:rFonts w:ascii="Times New Roman" w:hAnsi="Times New Roman" w:cs="Times New Roman"/>
          <w:color w:val="000000" w:themeColor="text1"/>
          <w:sz w:val="24"/>
          <w:szCs w:val="24"/>
          <w:highlight w:val="white"/>
        </w:rPr>
        <w:t>(9), pp.1713-1716. Available at:</w:t>
      </w:r>
      <w:hyperlink r:id="rId28" w:history="1"/>
      <w:hyperlink r:id="rId29" w:history="1">
        <w:r w:rsidRPr="00122628">
          <w:rPr>
            <w:rFonts w:ascii="Times New Roman" w:hAnsi="Times New Roman" w:cs="Times New Roman"/>
            <w:color w:val="000000" w:themeColor="text1"/>
            <w:sz w:val="24"/>
            <w:szCs w:val="24"/>
            <w:highlight w:val="white"/>
            <w:u w:val="single"/>
          </w:rPr>
          <w:t>https://www.researchgate.net/profile/Hoang-Tran-31/publication/342217186_Appropriate_care_for_neonates_born_to_mothers_with_COVID-</w:t>
        </w:r>
        <w:r w:rsidRPr="00122628">
          <w:rPr>
            <w:rFonts w:ascii="Times New Roman" w:hAnsi="Times New Roman" w:cs="Times New Roman"/>
            <w:color w:val="000000" w:themeColor="text1"/>
            <w:sz w:val="24"/>
            <w:szCs w:val="24"/>
            <w:highlight w:val="white"/>
            <w:u w:val="single"/>
          </w:rPr>
          <w:lastRenderedPageBreak/>
          <w:t>19_disease/links/60647bbaa6fdcca78be164d2/Appropriate-care-for-neonates-born-to-mothers-with-COVID-19-disease.pdf</w:t>
        </w:r>
      </w:hyperlink>
      <w:r w:rsidR="003D5A1F">
        <w:t>,   Accessed on: 20</w:t>
      </w:r>
      <w:r w:rsidR="003D5A1F" w:rsidRPr="003D5A1F">
        <w:rPr>
          <w:vertAlign w:val="superscript"/>
        </w:rPr>
        <w:t>th</w:t>
      </w:r>
      <w:r w:rsidR="003D5A1F">
        <w:t xml:space="preserve"> April 2022</w:t>
      </w:r>
    </w:p>
    <w:p w:rsidR="0079493C" w:rsidRPr="003D5A1F" w:rsidRDefault="0079493C" w:rsidP="003D5A1F">
      <w:pPr>
        <w:pStyle w:val="Normal1"/>
        <w:spacing w:line="360" w:lineRule="auto"/>
        <w:jc w:val="both"/>
        <w:rPr>
          <w:rFonts w:ascii="Times New Roman" w:hAnsi="Times New Roman" w:cs="Times New Roman"/>
          <w:color w:val="000000" w:themeColor="text1"/>
          <w:sz w:val="24"/>
          <w:szCs w:val="24"/>
          <w:highlight w:val="white"/>
        </w:rPr>
      </w:pPr>
    </w:p>
    <w:sectPr w:rsidR="0079493C" w:rsidRPr="003D5A1F" w:rsidSect="0079493C">
      <w:footerReference w:type="default" r:id="rId30"/>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478" w:rsidRDefault="005B1478">
      <w:pPr>
        <w:spacing w:line="240" w:lineRule="auto"/>
      </w:pPr>
      <w:r>
        <w:separator/>
      </w:r>
    </w:p>
  </w:endnote>
  <w:endnote w:type="continuationSeparator" w:id="1">
    <w:p w:rsidR="005B1478" w:rsidRDefault="005B14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268110"/>
      <w:docPartObj>
        <w:docPartGallery w:val="Page Numbers (Bottom of Page)"/>
        <w:docPartUnique/>
      </w:docPartObj>
    </w:sdtPr>
    <w:sdtContent>
      <w:sdt>
        <w:sdtPr>
          <w:id w:val="565050523"/>
          <w:docPartObj>
            <w:docPartGallery w:val="Page Numbers (Top of Page)"/>
            <w:docPartUnique/>
          </w:docPartObj>
        </w:sdtPr>
        <w:sdtContent>
          <w:p w:rsidR="0079493C" w:rsidRDefault="00901C4D">
            <w:pPr>
              <w:pStyle w:val="Footer"/>
              <w:jc w:val="right"/>
            </w:pPr>
            <w:r w:rsidRPr="0079493C">
              <w:rPr>
                <w:b/>
              </w:rPr>
              <w:t xml:space="preserve">Page </w:t>
            </w:r>
            <w:r w:rsidR="00BF419B" w:rsidRPr="0079493C">
              <w:rPr>
                <w:b/>
                <w:sz w:val="24"/>
                <w:szCs w:val="24"/>
              </w:rPr>
              <w:fldChar w:fldCharType="begin"/>
            </w:r>
            <w:r w:rsidRPr="0079493C">
              <w:rPr>
                <w:b/>
              </w:rPr>
              <w:instrText xml:space="preserve"> PAGE </w:instrText>
            </w:r>
            <w:r w:rsidR="00BF419B" w:rsidRPr="0079493C">
              <w:rPr>
                <w:b/>
                <w:sz w:val="24"/>
                <w:szCs w:val="24"/>
              </w:rPr>
              <w:fldChar w:fldCharType="separate"/>
            </w:r>
            <w:r w:rsidR="00442D1F">
              <w:rPr>
                <w:b/>
                <w:noProof/>
              </w:rPr>
              <w:t>2</w:t>
            </w:r>
            <w:r w:rsidR="00BF419B" w:rsidRPr="0079493C">
              <w:rPr>
                <w:b/>
                <w:sz w:val="24"/>
                <w:szCs w:val="24"/>
              </w:rPr>
              <w:fldChar w:fldCharType="end"/>
            </w:r>
            <w:r w:rsidRPr="0079493C">
              <w:rPr>
                <w:b/>
              </w:rPr>
              <w:t xml:space="preserve"> of </w:t>
            </w:r>
            <w:r w:rsidR="00BF419B" w:rsidRPr="0079493C">
              <w:rPr>
                <w:b/>
                <w:sz w:val="24"/>
                <w:szCs w:val="24"/>
              </w:rPr>
              <w:fldChar w:fldCharType="begin"/>
            </w:r>
            <w:r w:rsidRPr="0079493C">
              <w:rPr>
                <w:b/>
              </w:rPr>
              <w:instrText xml:space="preserve"> NUMPAGES  </w:instrText>
            </w:r>
            <w:r w:rsidR="00BF419B" w:rsidRPr="0079493C">
              <w:rPr>
                <w:b/>
                <w:sz w:val="24"/>
                <w:szCs w:val="24"/>
              </w:rPr>
              <w:fldChar w:fldCharType="separate"/>
            </w:r>
            <w:r w:rsidR="00442D1F">
              <w:rPr>
                <w:b/>
                <w:noProof/>
              </w:rPr>
              <w:t>12</w:t>
            </w:r>
            <w:r w:rsidR="00BF419B" w:rsidRPr="0079493C">
              <w:rPr>
                <w:b/>
                <w:sz w:val="24"/>
                <w:szCs w:val="24"/>
              </w:rPr>
              <w:fldChar w:fldCharType="end"/>
            </w:r>
          </w:p>
        </w:sdtContent>
      </w:sdt>
    </w:sdtContent>
  </w:sdt>
  <w:p w:rsidR="0079493C" w:rsidRDefault="007949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478" w:rsidRDefault="005B1478">
      <w:pPr>
        <w:spacing w:line="240" w:lineRule="auto"/>
      </w:pPr>
      <w:r>
        <w:separator/>
      </w:r>
    </w:p>
  </w:footnote>
  <w:footnote w:type="continuationSeparator" w:id="1">
    <w:p w:rsidR="005B1478" w:rsidRDefault="005B147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C74829"/>
    <w:multiLevelType w:val="multilevel"/>
    <w:tmpl w:val="ED7A0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removePersonalInformation/>
  <w:removeDateAndTime/>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C655A4"/>
    <w:rsid w:val="00071E1C"/>
    <w:rsid w:val="000A5D79"/>
    <w:rsid w:val="00122628"/>
    <w:rsid w:val="001723D1"/>
    <w:rsid w:val="001B643B"/>
    <w:rsid w:val="001F028B"/>
    <w:rsid w:val="003D5A1F"/>
    <w:rsid w:val="00402D7A"/>
    <w:rsid w:val="00442D1F"/>
    <w:rsid w:val="005B1478"/>
    <w:rsid w:val="0079493C"/>
    <w:rsid w:val="0085588C"/>
    <w:rsid w:val="00901C4D"/>
    <w:rsid w:val="00944C84"/>
    <w:rsid w:val="00A63AAF"/>
    <w:rsid w:val="00BF419B"/>
    <w:rsid w:val="00C26EE3"/>
    <w:rsid w:val="00C655A4"/>
    <w:rsid w:val="00D65841"/>
    <w:rsid w:val="00EB6381"/>
    <w:rsid w:val="00EC68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854"/>
  </w:style>
  <w:style w:type="paragraph" w:styleId="Heading1">
    <w:name w:val="heading 1"/>
    <w:basedOn w:val="Normal1"/>
    <w:next w:val="Normal1"/>
    <w:rsid w:val="00C655A4"/>
    <w:pPr>
      <w:keepNext/>
      <w:keepLines/>
      <w:spacing w:before="400" w:after="120"/>
      <w:outlineLvl w:val="0"/>
    </w:pPr>
    <w:rPr>
      <w:sz w:val="40"/>
      <w:szCs w:val="40"/>
    </w:rPr>
  </w:style>
  <w:style w:type="paragraph" w:styleId="Heading2">
    <w:name w:val="heading 2"/>
    <w:basedOn w:val="Normal1"/>
    <w:next w:val="Normal1"/>
    <w:rsid w:val="00C655A4"/>
    <w:pPr>
      <w:keepNext/>
      <w:keepLines/>
      <w:spacing w:before="360" w:after="120"/>
      <w:outlineLvl w:val="1"/>
    </w:pPr>
    <w:rPr>
      <w:sz w:val="32"/>
      <w:szCs w:val="32"/>
    </w:rPr>
  </w:style>
  <w:style w:type="paragraph" w:styleId="Heading3">
    <w:name w:val="heading 3"/>
    <w:basedOn w:val="Normal1"/>
    <w:next w:val="Normal1"/>
    <w:rsid w:val="00C655A4"/>
    <w:pPr>
      <w:keepNext/>
      <w:keepLines/>
      <w:spacing w:before="320" w:after="80"/>
      <w:outlineLvl w:val="2"/>
    </w:pPr>
    <w:rPr>
      <w:color w:val="434343"/>
      <w:sz w:val="28"/>
      <w:szCs w:val="28"/>
    </w:rPr>
  </w:style>
  <w:style w:type="paragraph" w:styleId="Heading4">
    <w:name w:val="heading 4"/>
    <w:basedOn w:val="Normal1"/>
    <w:next w:val="Normal1"/>
    <w:rsid w:val="00C655A4"/>
    <w:pPr>
      <w:keepNext/>
      <w:keepLines/>
      <w:spacing w:before="280" w:after="80"/>
      <w:outlineLvl w:val="3"/>
    </w:pPr>
    <w:rPr>
      <w:color w:val="666666"/>
      <w:sz w:val="24"/>
      <w:szCs w:val="24"/>
    </w:rPr>
  </w:style>
  <w:style w:type="paragraph" w:styleId="Heading5">
    <w:name w:val="heading 5"/>
    <w:basedOn w:val="Normal1"/>
    <w:next w:val="Normal1"/>
    <w:rsid w:val="00C655A4"/>
    <w:pPr>
      <w:keepNext/>
      <w:keepLines/>
      <w:spacing w:before="240" w:after="80"/>
      <w:outlineLvl w:val="4"/>
    </w:pPr>
    <w:rPr>
      <w:color w:val="666666"/>
    </w:rPr>
  </w:style>
  <w:style w:type="paragraph" w:styleId="Heading6">
    <w:name w:val="heading 6"/>
    <w:basedOn w:val="Normal1"/>
    <w:next w:val="Normal1"/>
    <w:rsid w:val="00C655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655A4"/>
  </w:style>
  <w:style w:type="paragraph" w:styleId="Title">
    <w:name w:val="Title"/>
    <w:basedOn w:val="Normal1"/>
    <w:next w:val="Normal1"/>
    <w:rsid w:val="00C655A4"/>
    <w:pPr>
      <w:keepNext/>
      <w:keepLines/>
      <w:spacing w:after="60"/>
    </w:pPr>
    <w:rPr>
      <w:sz w:val="52"/>
      <w:szCs w:val="52"/>
    </w:rPr>
  </w:style>
  <w:style w:type="paragraph" w:styleId="Subtitle">
    <w:name w:val="Subtitle"/>
    <w:basedOn w:val="Normal1"/>
    <w:next w:val="Normal1"/>
    <w:rsid w:val="00C655A4"/>
    <w:pPr>
      <w:keepNext/>
      <w:keepLines/>
      <w:spacing w:after="320"/>
    </w:pPr>
    <w:rPr>
      <w:color w:val="666666"/>
      <w:sz w:val="30"/>
      <w:szCs w:val="30"/>
    </w:rPr>
  </w:style>
  <w:style w:type="character" w:styleId="Hyperlink">
    <w:name w:val="Hyperlink"/>
    <w:basedOn w:val="DefaultParagraphFont"/>
    <w:uiPriority w:val="99"/>
    <w:unhideWhenUsed/>
    <w:rsid w:val="00402D7A"/>
    <w:rPr>
      <w:color w:val="0000FF" w:themeColor="hyperlink"/>
      <w:u w:val="single"/>
    </w:rPr>
  </w:style>
  <w:style w:type="paragraph" w:styleId="Header">
    <w:name w:val="header"/>
    <w:basedOn w:val="Normal"/>
    <w:link w:val="HeaderChar"/>
    <w:uiPriority w:val="99"/>
    <w:unhideWhenUsed/>
    <w:rsid w:val="0079493C"/>
    <w:pPr>
      <w:tabs>
        <w:tab w:val="center" w:pos="4513"/>
        <w:tab w:val="right" w:pos="9026"/>
      </w:tabs>
      <w:spacing w:line="240" w:lineRule="auto"/>
    </w:pPr>
  </w:style>
  <w:style w:type="character" w:customStyle="1" w:styleId="HeaderChar">
    <w:name w:val="Header Char"/>
    <w:basedOn w:val="DefaultParagraphFont"/>
    <w:link w:val="Header"/>
    <w:uiPriority w:val="99"/>
    <w:rsid w:val="0079493C"/>
  </w:style>
  <w:style w:type="paragraph" w:styleId="Footer">
    <w:name w:val="footer"/>
    <w:basedOn w:val="Normal"/>
    <w:link w:val="FooterChar"/>
    <w:uiPriority w:val="99"/>
    <w:unhideWhenUsed/>
    <w:rsid w:val="0079493C"/>
    <w:pPr>
      <w:tabs>
        <w:tab w:val="center" w:pos="4513"/>
        <w:tab w:val="right" w:pos="9026"/>
      </w:tabs>
      <w:spacing w:line="240" w:lineRule="auto"/>
    </w:pPr>
  </w:style>
  <w:style w:type="character" w:customStyle="1" w:styleId="FooterChar">
    <w:name w:val="Footer Char"/>
    <w:basedOn w:val="DefaultParagraphFont"/>
    <w:link w:val="Footer"/>
    <w:uiPriority w:val="99"/>
    <w:rsid w:val="0079493C"/>
  </w:style>
  <w:style w:type="paragraph" w:styleId="TOCHeading">
    <w:name w:val="TOC Heading"/>
    <w:basedOn w:val="Heading1"/>
    <w:next w:val="Normal"/>
    <w:uiPriority w:val="39"/>
    <w:semiHidden/>
    <w:unhideWhenUsed/>
    <w:qFormat/>
    <w:rsid w:val="0079493C"/>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79493C"/>
    <w:pPr>
      <w:spacing w:after="100"/>
    </w:pPr>
  </w:style>
  <w:style w:type="paragraph" w:styleId="TOC2">
    <w:name w:val="toc 2"/>
    <w:basedOn w:val="Normal"/>
    <w:next w:val="Normal"/>
    <w:autoRedefine/>
    <w:uiPriority w:val="39"/>
    <w:unhideWhenUsed/>
    <w:rsid w:val="0079493C"/>
    <w:pPr>
      <w:spacing w:after="100"/>
      <w:ind w:left="220"/>
    </w:pPr>
  </w:style>
  <w:style w:type="paragraph" w:styleId="BalloonText">
    <w:name w:val="Balloon Text"/>
    <w:basedOn w:val="Normal"/>
    <w:link w:val="BalloonTextChar"/>
    <w:uiPriority w:val="99"/>
    <w:semiHidden/>
    <w:unhideWhenUsed/>
    <w:rsid w:val="007949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9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pdf/10.1177/08912432211001304" TargetMode="External"/><Relationship Id="rId18" Type="http://schemas.openxmlformats.org/officeDocument/2006/relationships/hyperlink" Target="https://d1wqtxts1xzle7.cloudfront.net/70496104/17441692.2021-with-cover-pagev2.pdf?Expires=1651138169&amp;Signature=N0ROUqR7r8PCql2HM2B320BL09BUfHy3yOOVPYgU3ykhhxE6F~7WWUChxJCFgIvYJk7yws~BP0t0GMGjY2wkD7jN9cMTs85N91wh033rTELc--iog1hh-~bM9u2XqoLbiTosYmGQmnZnbdqfW3sp0knNjJQzzDr5S3xG33jUELd0aTo7thBQ2KlBIYQrCd8N62ewXCZSYVe7zVozEwRG0Uxo8a2itnErDc~hApimPIE9-1UC~92kozByTlW7xIRPjuh2OMx4XkPqlxD8tHFduKgf0lhc~S2-ItAUgPb1Fe2czYJUm9duaJVd727gL0cCX-5p5wxRK-~S2Zbfg__&amp;Key-Pair-Id=APKAJLOHF5GGSLRBV4ZA" TargetMode="External"/><Relationship Id="rId26" Type="http://schemas.openxmlformats.org/officeDocument/2006/relationships/hyperlink" Target="https://www.researchgate.net/profile/Sam-Hassan-3/publication/344153762_Newborn_BCG_Vaccinations_Scar_Formation_and_Tuberculin_Conversion_Rates_A_Retrospective_Study/links/5f560c40a6fdcc9879d31674/Newborn-BCG-Vaccinations-Scar-Formation-and-Tuberculin-Conversion-Rates-A-Retrospective-Study.pdf" TargetMode="External"/><Relationship Id="rId3" Type="http://schemas.openxmlformats.org/officeDocument/2006/relationships/styles" Target="styles.xml"/><Relationship Id="rId21" Type="http://schemas.openxmlformats.org/officeDocument/2006/relationships/hyperlink" Target="https://d1wqtxts1xzle7.cloudfront.net/76906560/Ocean_and_Coastal_Management_SI_Engaging_Coastal_Stakeholders_Published_-libre.pdf?1640021401=&amp;response-contentdisposition=inline%3B+filename%3DGoing_digital_Lessons_for_future_coastal.pd&amp;Expires=1651138229&amp;Signature=TWr1jhZRkXEtzSwfq0D7yP7hDlqjs8czVYsv7O94R6bQP5v0bnYQPq31LciVzEFqYk1Umh5oMrBMJ2bweBJ7BNs6dcy4dLXHUWCh9NMB3BMuo~GNz4THLe2BGU35sFdW6Crzo5jCqcQoMx-ZbA2HL~HUblI~-o5Ls0dt2xA9MN0qBMruGKwMcAkHQRPaPV9clMZ3WzcpaEPDXrYDeF2wfHC-f7NVbudKt-DZkEoqWWfLqE48BDWl2jCwTC~Ie5I6K76Eq08~nNMqqQ3UNkGeMH7p5ohqMrsiu-85TIqmsuN82ZW63HFBgQJGyqg-EQjfakH5L0c1lYeodtkh42c8OA__&amp;Key-Pair-Id=APKAJLOHF5GGSLRBV4ZA" TargetMode="External"/><Relationship Id="rId7" Type="http://schemas.openxmlformats.org/officeDocument/2006/relationships/endnotes" Target="endnotes.xml"/><Relationship Id="rId12" Type="http://schemas.openxmlformats.org/officeDocument/2006/relationships/hyperlink" Target="https://adc.bmj.com/content/archdischild/106/2/113.full.pdf" TargetMode="External"/><Relationship Id="rId17" Type="http://schemas.openxmlformats.org/officeDocument/2006/relationships/hyperlink" Target="https://apps.who.int/iris/bitstream/handle/10665/351264/1020-3397-2021-2711-10311126-eng.pdf?sequence=1" TargetMode="External"/><Relationship Id="rId25" Type="http://schemas.openxmlformats.org/officeDocument/2006/relationships/hyperlink" Target="http://www.medicinescience.org/wp-content/uploads/2021/12/53-1608246203.pdf" TargetMode="External"/><Relationship Id="rId2" Type="http://schemas.openxmlformats.org/officeDocument/2006/relationships/numbering" Target="numbering.xml"/><Relationship Id="rId16" Type="http://schemas.openxmlformats.org/officeDocument/2006/relationships/hyperlink" Target="https://strathprints.strath.ac.uk/74639/7/Godman_AIHB_2021_Health_authority_activities_to_enhance_the_quality_and_efficiency_of_medicine.pdf" TargetMode="External"/><Relationship Id="rId20" Type="http://schemas.openxmlformats.org/officeDocument/2006/relationships/hyperlink" Target="https://d1wqtxts1xzle7.cloudfront.net/68395380/17441692.2020-with-cover-page-v2.pdf?Expires=1651134280&amp;Signature=dT65lyASobZ~DnLZYPrdIvjJqxazaxH6Xswq1hH96SXcuT8F63ROce6E3NxKI-4WXfp~fGNecCohLbk8n6xh~rEhKV-2uUe7Jw0QS~KIoHUghZ1N42I0I9QDDcptepbr003mxAbN~dtlqLxMZ4xVOaruF5-aegwlIcyI5JN6nRUNaWEyx06aWynvT1h9gi548JpivYqpEwz6ALf5LCrTDIud0o4WmOS7rTT9sNXusC-HrEV1KoUAKojc8B1bkToVxLdOzMDMFBP2HiV0hKFgJpSfAdewWEAddQtL18SRell5ztoZRrJ4He4njLuxhFO-51CAD4gjZWtQIVqWYdaCRA__&amp;Key-Pair-Id=APKAJLOHF5GGSLRBV4ZA" TargetMode="External"/><Relationship Id="rId29" Type="http://schemas.openxmlformats.org/officeDocument/2006/relationships/hyperlink" Target="https://www.researchgate.net/profile/Hoang-Tran-31/publication/342217186_Appropriate_care_for_neonates_born_to_mothers_with_COVID-19_disease/links/60647bbaa6fdcca78be164d2/Appropriate-care-for-neonates-born-to-mothers-with-COVID-19-diseas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c.bmj.com/content/archdischild/106/2/113.full.pdf" TargetMode="External"/><Relationship Id="rId24" Type="http://schemas.openxmlformats.org/officeDocument/2006/relationships/hyperlink" Target="https://ri.conicet.gov.ar/bitstream/handle/11336/121676/CONICET_Digital_Nro.5ecc12d29c7-4218-aa55-9462b39c2d3d_A.pdf?sequence=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trathprints.strath.ac.uk/74639/7/Godman_AIHB_2021_Health_authority_activities_to_enhance_the_quality_and_efficiency_of_medicine.pdf" TargetMode="External"/><Relationship Id="rId23" Type="http://schemas.openxmlformats.org/officeDocument/2006/relationships/hyperlink" Target="https://www.researchgate.net/profile/Keijo-Varis/publication/354543010_How_to_Improve_Employee_Engagement_in_the_Hospitability_Business_by_Developing_the_Employer_Brand_During_the_Covid-19_Pandemic_-_An_Action_Research_Case_Study_From_the_UK/links/613edfe411e9c168f2c9bcc9/How-to-Improve-Employee-Engagement-in-the-Hospitability-Business-by-Developing-the-Employer-Brand-During-the-Covid-19-Pandemic-An-Action-Research-Case-Study-From-the-UK.pdf" TargetMode="External"/><Relationship Id="rId28" Type="http://schemas.openxmlformats.org/officeDocument/2006/relationships/hyperlink" Target="https://www.researchgate.net/profile/Hoang-Tran-31/publication/342217186_Appropriate_care_for_neonates_born_to_mothers_with_COVID-19_disease/links/60647bbaa6fdcca78be164d2/Appropriate-care-for-neonates-born-to-mothers-with-COVID-19-disease.pdf" TargetMode="External"/><Relationship Id="rId10" Type="http://schemas.openxmlformats.org/officeDocument/2006/relationships/hyperlink" Target="https://www.tandfonline.com/doi/pdf/10.1080/16549716.2020.1788263" TargetMode="External"/><Relationship Id="rId19" Type="http://schemas.openxmlformats.org/officeDocument/2006/relationships/hyperlink" Target="https://d1wqtxts1xzle7.cloudfront.net/68395380/17441692.2020-with-cover-page-v2.pdf?Expires=1651134280&amp;Signature=dT65lyASobZ~DnLZYPrdIvjJqxazaxH6Xswq1hH96SXcuT8F63ROce6E3NxKI-4WXfp~fGNecCohLbk8n6xh~rEhKV-2uUe7Jw0QS~KIoHUghZ1N42I0I9QDDcptepbr003mxAbN~dtlqLxMZ4xVOaruF5-aegwlIcyI5JN6nRUNaWEyx06aWynvT1h9gi548JpivYqpEwz6ALf5LCrTDIud0o4WmOS7rTT9sNXusC-HrEV1KoUAKojc8B1bkToVxLdOzMDMFBP2HiV0hKFgJpSfAdewWEAddQtL18SRell5ztoZRrJ4He4njLuxhFO-51CAD4gjZWtQIVqWYdaCRA__&amp;Key-Pair-Id=APKAJLOHF5GGSLRBV4Z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Seye%20Abimbola/publication/332464771_Beyond_positive_a_priori_bias_reframing_community_engagement_in_LMICs/links/5ee3ebe1299bf1faac525637/Beyond-positive-a-priori-bias-reframing-community-engagement-in-LMICs.pdf" TargetMode="External"/><Relationship Id="rId14" Type="http://schemas.openxmlformats.org/officeDocument/2006/relationships/hyperlink" Target="https://journals.sagepub.com/doi/pdf/10.1177/08912432211001304" TargetMode="External"/><Relationship Id="rId22" Type="http://schemas.openxmlformats.org/officeDocument/2006/relationships/hyperlink" Target="https://www.researchgate.net/profile/Keijo-Varis/publication/354543010_How_to_Improve_Employee_Engagement_in_the_Hospitability_Business_by_Developing_the_Employer_Brand_During_the_Covid-19_Pandemic_-_An_Action_Research_Case_Study_From_the_UK/links/613edfe411e9c168f2c9bcc9/How-to-Improve-Employee-Engagement-in-the-Hospitability-Business-by-Developing-the-Employer-Brand-During-the-Covid-19-Pandemic-An-Action-Research-Case-Study-From-the-UK.pdf" TargetMode="External"/><Relationship Id="rId27" Type="http://schemas.openxmlformats.org/officeDocument/2006/relationships/hyperlink" Target="https://www.researchgate.net/profile/Sam-Hassan-3/publication/344153762_Newborn_BCG_Vaccinations_Scar_Formation_and_Tuberculin_Conversion_Rates_A_Retrospective_Study/links/5f560c40a6fdcc9879d31674/Newborn-BCG-Vaccinations-Scar-Formation-and-Tuberculin-Conversion-Rates-A-Retrospective-Study.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F2BA2-59CC-46FF-964E-F7C70F21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4076</Words>
  <Characters>23235</Characters>
  <Application>Microsoft Office Word</Application>
  <DocSecurity>0</DocSecurity>
  <Lines>193</Lines>
  <Paragraphs>54</Paragraphs>
  <ScaleCrop>false</ScaleCrop>
  <LinksUpToDate>false</LinksUpToDate>
  <CharactersWithSpaces>27257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2022-05-06T08:23:00Z</dcterms:created>
  <dcterms:modified xsi:type="dcterms:W3CDTF">2022-05-11T14:58:00Z</dcterms:modified>
</cp:coreProperties>
</file>