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30F77919" wp14:paraId="2C078E63" wp14:textId="6E602096">
      <w:pPr>
        <w:rPr>
          <w:rFonts w:ascii="Arial" w:hAnsi="Arial" w:eastAsia="Arial" w:cs="Arial"/>
          <w:u w:val="none"/>
        </w:rPr>
      </w:pPr>
      <w:r w:rsidRPr="30F77919" w:rsidR="7D8E491D">
        <w:rPr>
          <w:rFonts w:ascii="Arial" w:hAnsi="Arial" w:eastAsia="Arial" w:cs="Arial"/>
          <w:u w:val="none"/>
        </w:rPr>
        <w:t xml:space="preserve">Part 2. </w:t>
      </w:r>
      <w:r w:rsidRPr="30F77919" w:rsidR="63746CD5">
        <w:rPr>
          <w:rFonts w:ascii="Arial" w:hAnsi="Arial" w:eastAsia="Arial" w:cs="Arial"/>
          <w:u w:val="none"/>
        </w:rPr>
        <w:t xml:space="preserve">      </w:t>
      </w:r>
      <w:r w:rsidRPr="30F77919" w:rsidR="58C2D444">
        <w:rPr>
          <w:rFonts w:ascii="Arial" w:hAnsi="Arial" w:eastAsia="Arial" w:cs="Arial"/>
          <w:u w:val="none"/>
        </w:rPr>
        <w:t>1731 words</w:t>
      </w:r>
      <w:r w:rsidRPr="30F77919" w:rsidR="63746CD5">
        <w:rPr>
          <w:rFonts w:ascii="Arial" w:hAnsi="Arial" w:eastAsia="Arial" w:cs="Arial"/>
          <w:u w:val="none"/>
        </w:rPr>
        <w:t xml:space="preserve">                                                                         Amy </w:t>
      </w:r>
      <w:r w:rsidRPr="30F77919" w:rsidR="6AF7ECBB">
        <w:rPr>
          <w:rFonts w:ascii="Arial" w:hAnsi="Arial" w:eastAsia="Arial" w:cs="Arial"/>
          <w:u w:val="none"/>
        </w:rPr>
        <w:t>Williams ECEY</w:t>
      </w:r>
      <w:r w:rsidRPr="30F77919" w:rsidR="5BD9F52A">
        <w:rPr>
          <w:rFonts w:ascii="Arial" w:hAnsi="Arial" w:eastAsia="Arial" w:cs="Arial"/>
          <w:u w:val="none"/>
        </w:rPr>
        <w:t xml:space="preserve">6011/c  </w:t>
      </w:r>
    </w:p>
    <w:p w:rsidR="4C1C4974" w:rsidP="30F77919" w:rsidRDefault="4C1C4974" w14:paraId="6B595760" w14:textId="10093F2B">
      <w:pPr>
        <w:rPr>
          <w:rFonts w:ascii="Arial" w:hAnsi="Arial" w:eastAsia="Arial" w:cs="Arial"/>
          <w:u w:val="none"/>
        </w:rPr>
      </w:pPr>
      <w:r w:rsidRPr="30F77919" w:rsidR="4C1C4974">
        <w:rPr>
          <w:rFonts w:ascii="Arial" w:hAnsi="Arial" w:eastAsia="Arial" w:cs="Arial"/>
          <w:u w:val="none"/>
        </w:rPr>
        <w:t xml:space="preserve">Quality in early years education plays </w:t>
      </w:r>
      <w:r w:rsidRPr="30F77919" w:rsidR="4C1C4974">
        <w:rPr>
          <w:rFonts w:ascii="Arial" w:hAnsi="Arial" w:eastAsia="Arial" w:cs="Arial"/>
          <w:u w:val="none"/>
        </w:rPr>
        <w:t>a</w:t>
      </w:r>
      <w:r w:rsidRPr="30F77919" w:rsidR="35D18FAE">
        <w:rPr>
          <w:rFonts w:ascii="Arial" w:hAnsi="Arial" w:eastAsia="Arial" w:cs="Arial"/>
          <w:u w:val="none"/>
        </w:rPr>
        <w:t>n important role</w:t>
      </w:r>
      <w:r w:rsidRPr="30F77919" w:rsidR="4C1C4974">
        <w:rPr>
          <w:rFonts w:ascii="Arial" w:hAnsi="Arial" w:eastAsia="Arial" w:cs="Arial"/>
          <w:u w:val="none"/>
        </w:rPr>
        <w:t xml:space="preserve"> in shaping children’s development and their future outcomes. The early years are a critical period for cognitive, social, emotional, and physical growth. According to Ofsted (2023), research consistently shows that high-quality early childhood experiences lead to better educational attainment, improved social skills, and greater well-being later in life. However, poor-quality provision can hinder progress and contribute to developmental delays Burchinal, </w:t>
      </w:r>
      <w:r w:rsidRPr="30F77919" w:rsidR="260E14F9">
        <w:rPr>
          <w:rFonts w:ascii="Arial" w:hAnsi="Arial" w:eastAsia="Arial" w:cs="Arial"/>
          <w:u w:val="none"/>
        </w:rPr>
        <w:t>(</w:t>
      </w:r>
      <w:r w:rsidRPr="30F77919" w:rsidR="4C1C4974">
        <w:rPr>
          <w:rFonts w:ascii="Arial" w:hAnsi="Arial" w:eastAsia="Arial" w:cs="Arial"/>
          <w:u w:val="none"/>
        </w:rPr>
        <w:t>2018).</w:t>
      </w:r>
    </w:p>
    <w:p w:rsidR="4C1C4974" w:rsidP="30F77919" w:rsidRDefault="4C1C4974" w14:paraId="02873D0F" w14:textId="0B64C46A">
      <w:pPr>
        <w:pStyle w:val="Normal"/>
        <w:rPr>
          <w:rFonts w:ascii="Arial" w:hAnsi="Arial" w:eastAsia="Arial" w:cs="Arial"/>
          <w:u w:val="none"/>
        </w:rPr>
      </w:pPr>
      <w:r w:rsidRPr="30F77919" w:rsidR="4C1C4974">
        <w:rPr>
          <w:rFonts w:ascii="Arial" w:hAnsi="Arial" w:eastAsia="Arial" w:cs="Arial"/>
          <w:u w:val="none"/>
        </w:rPr>
        <w:t xml:space="preserve">Quality in early years education is a broad and complex concept. It covers the physical environment, the quality of adult-child interactions, and the pedagogical practices used to support children’s learning and development. As </w:t>
      </w:r>
      <w:r w:rsidRPr="30F77919" w:rsidR="4C1C4974">
        <w:rPr>
          <w:rFonts w:ascii="Arial" w:hAnsi="Arial" w:eastAsia="Arial" w:cs="Arial"/>
          <w:u w:val="none"/>
        </w:rPr>
        <w:t>stated</w:t>
      </w:r>
      <w:r w:rsidRPr="30F77919" w:rsidR="4C1C4974">
        <w:rPr>
          <w:rFonts w:ascii="Arial" w:hAnsi="Arial" w:eastAsia="Arial" w:cs="Arial"/>
          <w:u w:val="none"/>
        </w:rPr>
        <w:t xml:space="preserve"> by the OECD (2018), high-quality early years provision has a significant impact on children’s cognitive, social, and emotional development. Moreover, research </w:t>
      </w:r>
      <w:r w:rsidRPr="30F77919" w:rsidR="4C1C4974">
        <w:rPr>
          <w:rFonts w:ascii="Arial" w:hAnsi="Arial" w:eastAsia="Arial" w:cs="Arial"/>
          <w:u w:val="none"/>
        </w:rPr>
        <w:t>indicates</w:t>
      </w:r>
      <w:r w:rsidRPr="30F77919" w:rsidR="4C1C4974">
        <w:rPr>
          <w:rFonts w:ascii="Arial" w:hAnsi="Arial" w:eastAsia="Arial" w:cs="Arial"/>
          <w:u w:val="none"/>
        </w:rPr>
        <w:t xml:space="preserve"> that children who attend high-quality early education are more likely to achieve better academic outcomes and display positive social behaviours later in life Siraj-Blatchford &amp; Hallet, </w:t>
      </w:r>
      <w:r w:rsidRPr="30F77919" w:rsidR="06F3B7F5">
        <w:rPr>
          <w:rFonts w:ascii="Arial" w:hAnsi="Arial" w:eastAsia="Arial" w:cs="Arial"/>
          <w:u w:val="none"/>
        </w:rPr>
        <w:t>(</w:t>
      </w:r>
      <w:r w:rsidRPr="30F77919" w:rsidR="4C1C4974">
        <w:rPr>
          <w:rFonts w:ascii="Arial" w:hAnsi="Arial" w:eastAsia="Arial" w:cs="Arial"/>
          <w:u w:val="none"/>
        </w:rPr>
        <w:t>2014).</w:t>
      </w:r>
    </w:p>
    <w:p w:rsidR="4C1C4974" w:rsidP="30F77919" w:rsidRDefault="4C1C4974" w14:paraId="61BB12D7" w14:textId="25B841B3">
      <w:pPr>
        <w:rPr>
          <w:rFonts w:ascii="Arial" w:hAnsi="Arial" w:eastAsia="Arial" w:cs="Arial"/>
          <w:u w:val="none"/>
        </w:rPr>
      </w:pPr>
      <w:r w:rsidRPr="30F77919" w:rsidR="4C1C4974">
        <w:rPr>
          <w:rFonts w:ascii="Arial" w:hAnsi="Arial" w:eastAsia="Arial" w:cs="Arial"/>
          <w:u w:val="none"/>
        </w:rPr>
        <w:t>High-quality early years education has long-term benefits that extend well beyond a child’s time in preschool. The Effective Pre-school, Primary and Secondary Education (EPPSE) project, a large-scale longitudinal study by Sylva et al. (2020), demonstrated that children who experienced high-quality early education performed better academically throughout primary and secondary school. Moreover, they showed better social skills, fewer behavioural problems, and higher overall well-being.</w:t>
      </w:r>
    </w:p>
    <w:p w:rsidR="4C1C4974" w:rsidP="30F77919" w:rsidRDefault="4C1C4974" w14:paraId="672932C4" w14:textId="46514D46">
      <w:pPr>
        <w:pStyle w:val="Normal"/>
        <w:rPr>
          <w:rFonts w:ascii="Arial" w:hAnsi="Arial" w:eastAsia="Arial" w:cs="Arial"/>
          <w:u w:val="none"/>
        </w:rPr>
      </w:pPr>
      <w:r w:rsidRPr="30F77919" w:rsidR="4C1C4974">
        <w:rPr>
          <w:rFonts w:ascii="Arial" w:hAnsi="Arial" w:eastAsia="Arial" w:cs="Arial"/>
          <w:u w:val="none"/>
        </w:rPr>
        <w:t>Similarly, Heckman</w:t>
      </w:r>
      <w:r w:rsidRPr="30F77919" w:rsidR="142A9057">
        <w:rPr>
          <w:rFonts w:ascii="Arial" w:hAnsi="Arial" w:eastAsia="Arial" w:cs="Arial"/>
          <w:u w:val="none"/>
        </w:rPr>
        <w:t>, as cited by the Heckman equation</w:t>
      </w:r>
      <w:r w:rsidRPr="30F77919" w:rsidR="4C1C4974">
        <w:rPr>
          <w:rFonts w:ascii="Arial" w:hAnsi="Arial" w:eastAsia="Arial" w:cs="Arial"/>
          <w:u w:val="none"/>
        </w:rPr>
        <w:t xml:space="preserve"> (201</w:t>
      </w:r>
      <w:r w:rsidRPr="30F77919" w:rsidR="4FF63E80">
        <w:rPr>
          <w:rFonts w:ascii="Arial" w:hAnsi="Arial" w:eastAsia="Arial" w:cs="Arial"/>
          <w:u w:val="none"/>
        </w:rPr>
        <w:t>5</w:t>
      </w:r>
      <w:r w:rsidRPr="30F77919" w:rsidR="4C1C4974">
        <w:rPr>
          <w:rFonts w:ascii="Arial" w:hAnsi="Arial" w:eastAsia="Arial" w:cs="Arial"/>
          <w:u w:val="none"/>
        </w:rPr>
        <w:t xml:space="preserve">) highlights that children who attend high-quality early years settings are more likely to experience higher lifetime earnings, better health, and lower rates of criminal involvement. This </w:t>
      </w:r>
      <w:r w:rsidRPr="30F77919" w:rsidR="76725234">
        <w:rPr>
          <w:rFonts w:ascii="Arial" w:hAnsi="Arial" w:eastAsia="Arial" w:cs="Arial"/>
          <w:u w:val="none"/>
        </w:rPr>
        <w:t>highlights</w:t>
      </w:r>
      <w:r w:rsidRPr="30F77919" w:rsidR="4C1C4974">
        <w:rPr>
          <w:rFonts w:ascii="Arial" w:hAnsi="Arial" w:eastAsia="Arial" w:cs="Arial"/>
          <w:u w:val="none"/>
        </w:rPr>
        <w:t xml:space="preserve"> the vital role of quality provision not only in children’s immediate development but also in their long-term life chances.</w:t>
      </w:r>
    </w:p>
    <w:p w:rsidR="4C1C4974" w:rsidP="30F77919" w:rsidRDefault="4C1C4974" w14:paraId="2E02DC3E" w14:textId="06EDB1B9">
      <w:pPr>
        <w:rPr>
          <w:rFonts w:ascii="Arial" w:hAnsi="Arial" w:eastAsia="Arial" w:cs="Arial"/>
          <w:u w:val="none"/>
        </w:rPr>
      </w:pPr>
      <w:r w:rsidRPr="30F77919" w:rsidR="4C1C4974">
        <w:rPr>
          <w:rFonts w:ascii="Arial" w:hAnsi="Arial" w:eastAsia="Arial" w:cs="Arial"/>
          <w:u w:val="none"/>
        </w:rPr>
        <w:t>Ensuring quality in early years settings is particularly important for disadvantaged children. Research by Pascal, Bertram, and Rouse (20</w:t>
      </w:r>
      <w:r w:rsidRPr="30F77919" w:rsidR="32DAE9AE">
        <w:rPr>
          <w:rFonts w:ascii="Arial" w:hAnsi="Arial" w:eastAsia="Arial" w:cs="Arial"/>
          <w:u w:val="none"/>
        </w:rPr>
        <w:t>19</w:t>
      </w:r>
      <w:r w:rsidRPr="30F77919" w:rsidR="4C1C4974">
        <w:rPr>
          <w:rFonts w:ascii="Arial" w:hAnsi="Arial" w:eastAsia="Arial" w:cs="Arial"/>
          <w:u w:val="none"/>
        </w:rPr>
        <w:t>) shows that children from low-income families benefit the most from attending high-quality early years settings. Quality provision helps close the achievement gap, providing these children with the social and cognitive skills they need to succeed in school and beyond.</w:t>
      </w:r>
    </w:p>
    <w:p w:rsidR="4C1C4974" w:rsidP="30F77919" w:rsidRDefault="4C1C4974" w14:paraId="3E81B1CC" w14:textId="2732F0BB">
      <w:pPr>
        <w:pStyle w:val="Normal"/>
        <w:rPr>
          <w:rFonts w:ascii="Arial" w:hAnsi="Arial" w:eastAsia="Arial" w:cs="Arial"/>
          <w:u w:val="none"/>
        </w:rPr>
      </w:pPr>
      <w:r w:rsidRPr="30F77919" w:rsidR="4C1C4974">
        <w:rPr>
          <w:rFonts w:ascii="Arial" w:hAnsi="Arial" w:eastAsia="Arial" w:cs="Arial"/>
          <w:u w:val="none"/>
        </w:rPr>
        <w:t xml:space="preserve">However, equity issues persist. Moss (2016) argues that access to quality provision is often unequal, with children from disadvantaged backgrounds less likely to access high-quality settings. This highlights the need for policies that promote equal access to quality early education, ensuring that all children, regardless of their socio-economic background, </w:t>
      </w:r>
      <w:r w:rsidRPr="30F77919" w:rsidR="4C1C4974">
        <w:rPr>
          <w:rFonts w:ascii="Arial" w:hAnsi="Arial" w:eastAsia="Arial" w:cs="Arial"/>
          <w:u w:val="none"/>
        </w:rPr>
        <w:t>benefit</w:t>
      </w:r>
      <w:r w:rsidRPr="30F77919" w:rsidR="4C1C4974">
        <w:rPr>
          <w:rFonts w:ascii="Arial" w:hAnsi="Arial" w:eastAsia="Arial" w:cs="Arial"/>
          <w:u w:val="none"/>
        </w:rPr>
        <w:t xml:space="preserve"> from early years provision.</w:t>
      </w:r>
    </w:p>
    <w:p w:rsidR="4C1C4974" w:rsidP="30F77919" w:rsidRDefault="4C1C4974" w14:paraId="5D8566D8" w14:textId="15E210A8">
      <w:pPr>
        <w:rPr>
          <w:rFonts w:ascii="Arial" w:hAnsi="Arial" w:eastAsia="Arial" w:cs="Arial"/>
          <w:u w:val="none"/>
        </w:rPr>
      </w:pPr>
      <w:r w:rsidRPr="30F77919" w:rsidR="4C1C4974">
        <w:rPr>
          <w:rFonts w:ascii="Arial" w:hAnsi="Arial" w:eastAsia="Arial" w:cs="Arial"/>
          <w:u w:val="none"/>
        </w:rPr>
        <w:t>Vygotsky’s (1978)</w:t>
      </w:r>
      <w:r w:rsidRPr="30F77919" w:rsidR="62445EE1">
        <w:rPr>
          <w:rFonts w:ascii="Arial" w:hAnsi="Arial" w:eastAsia="Arial" w:cs="Arial"/>
          <w:u w:val="none"/>
        </w:rPr>
        <w:t xml:space="preserve"> as cited by Palm (2024)</w:t>
      </w:r>
      <w:r w:rsidRPr="30F77919" w:rsidR="4C1C4974">
        <w:rPr>
          <w:rFonts w:ascii="Arial" w:hAnsi="Arial" w:eastAsia="Arial" w:cs="Arial"/>
          <w:u w:val="none"/>
        </w:rPr>
        <w:t xml:space="preserve"> socio-cultural theory emphasises the importance of social interaction in children’s learning. He argued that children develop higher-order thinking skills </w:t>
      </w:r>
      <w:r w:rsidRPr="30F77919" w:rsidR="4C1C4974">
        <w:rPr>
          <w:rFonts w:ascii="Arial" w:hAnsi="Arial" w:eastAsia="Arial" w:cs="Arial"/>
          <w:u w:val="none"/>
        </w:rPr>
        <w:t xml:space="preserve">through meaningful interactions with more knowledgeable others. This aligns with the concept of sustained shared thinking (SST), where adults and children engage in extended conversations that promote critical thinking and problem-solving Siraj </w:t>
      </w:r>
      <w:r w:rsidRPr="30F77919" w:rsidR="0D2BDFBC">
        <w:rPr>
          <w:rFonts w:ascii="Arial" w:hAnsi="Arial" w:eastAsia="Arial" w:cs="Arial"/>
          <w:u w:val="none"/>
        </w:rPr>
        <w:t xml:space="preserve">et al., </w:t>
      </w:r>
      <w:r w:rsidRPr="30F77919" w:rsidR="0D2BDFBC">
        <w:rPr>
          <w:rFonts w:ascii="Arial" w:hAnsi="Arial" w:eastAsia="Arial" w:cs="Arial"/>
          <w:u w:val="none"/>
        </w:rPr>
        <w:t>(2015</w:t>
      </w:r>
      <w:r w:rsidRPr="30F77919" w:rsidR="4C1C4974">
        <w:rPr>
          <w:rFonts w:ascii="Arial" w:hAnsi="Arial" w:eastAsia="Arial" w:cs="Arial"/>
          <w:u w:val="none"/>
        </w:rPr>
        <w:t>).</w:t>
      </w:r>
    </w:p>
    <w:p w:rsidR="4C1C4974" w:rsidP="30F77919" w:rsidRDefault="4C1C4974" w14:paraId="72F7CC28" w14:textId="571F8AF8">
      <w:pPr>
        <w:rPr>
          <w:rFonts w:ascii="Arial" w:hAnsi="Arial" w:eastAsia="Arial" w:cs="Arial"/>
          <w:u w:val="none"/>
        </w:rPr>
      </w:pPr>
      <w:r w:rsidRPr="30F77919" w:rsidR="4C1C4974">
        <w:rPr>
          <w:rFonts w:ascii="Arial" w:hAnsi="Arial" w:eastAsia="Arial" w:cs="Arial"/>
          <w:u w:val="none"/>
        </w:rPr>
        <w:t>Bronfenbrenner’s (1979) ecological systems theory highlights how a child’s development is influenced by multiple layers of their environment, including family, community, and society. High-quality early years settings create positive microsystems, providing children with nurturing relationships and stimulating experiences that enhance their development.</w:t>
      </w:r>
    </w:p>
    <w:p w:rsidR="4C1C4974" w:rsidP="30F77919" w:rsidRDefault="4C1C4974" w14:paraId="2A6C2389" w14:textId="274A3AF3">
      <w:pPr>
        <w:rPr>
          <w:rFonts w:ascii="Arial" w:hAnsi="Arial" w:eastAsia="Arial" w:cs="Arial"/>
          <w:u w:val="none"/>
        </w:rPr>
      </w:pPr>
      <w:r w:rsidRPr="30F77919" w:rsidR="4C1C4974">
        <w:rPr>
          <w:rFonts w:ascii="Arial" w:hAnsi="Arial" w:eastAsia="Arial" w:cs="Arial"/>
          <w:u w:val="none"/>
        </w:rPr>
        <w:t xml:space="preserve">Defining and measuring quality is challenging. According to Moss (2016), quality in early years settings involves both structural and process </w:t>
      </w:r>
      <w:r w:rsidRPr="30F77919" w:rsidR="4F83F7B1">
        <w:rPr>
          <w:rFonts w:ascii="Arial" w:hAnsi="Arial" w:eastAsia="Arial" w:cs="Arial"/>
          <w:u w:val="none"/>
        </w:rPr>
        <w:t>quality. Structural</w:t>
      </w:r>
      <w:r w:rsidRPr="30F77919" w:rsidR="4C1C4974">
        <w:rPr>
          <w:rFonts w:ascii="Arial" w:hAnsi="Arial" w:eastAsia="Arial" w:cs="Arial"/>
          <w:u w:val="none"/>
        </w:rPr>
        <w:t xml:space="preserve"> quality refers to measurable factors such as staff qualifications, child-to-adult ratios, and the physical</w:t>
      </w:r>
      <w:r w:rsidRPr="30F77919" w:rsidR="4C1C4974">
        <w:rPr>
          <w:rFonts w:ascii="Arial" w:hAnsi="Arial" w:eastAsia="Arial" w:cs="Arial"/>
          <w:u w:val="none"/>
        </w:rPr>
        <w:t xml:space="preserve"> </w:t>
      </w:r>
      <w:r w:rsidRPr="30F77919" w:rsidR="5DBC8989">
        <w:rPr>
          <w:rFonts w:ascii="Arial" w:hAnsi="Arial" w:eastAsia="Arial" w:cs="Arial"/>
          <w:u w:val="none"/>
        </w:rPr>
        <w:t>environment. Process</w:t>
      </w:r>
      <w:r w:rsidRPr="30F77919" w:rsidR="4C1C4974">
        <w:rPr>
          <w:rFonts w:ascii="Arial" w:hAnsi="Arial" w:eastAsia="Arial" w:cs="Arial"/>
          <w:u w:val="none"/>
        </w:rPr>
        <w:t xml:space="preserve"> quality, on the other hand, focuses on the nature of interactions between children and practitioners, the responsiveness of staff, and the quality of play and learning experiences Melhuish et al., </w:t>
      </w:r>
      <w:r w:rsidRPr="30F77919" w:rsidR="445E7399">
        <w:rPr>
          <w:rFonts w:ascii="Arial" w:hAnsi="Arial" w:eastAsia="Arial" w:cs="Arial"/>
          <w:u w:val="none"/>
        </w:rPr>
        <w:t>(</w:t>
      </w:r>
      <w:r w:rsidRPr="30F77919" w:rsidR="4C1C4974">
        <w:rPr>
          <w:rFonts w:ascii="Arial" w:hAnsi="Arial" w:eastAsia="Arial" w:cs="Arial"/>
          <w:u w:val="none"/>
        </w:rPr>
        <w:t>2015).</w:t>
      </w:r>
    </w:p>
    <w:p w:rsidR="4C1C4974" w:rsidP="30F77919" w:rsidRDefault="4C1C4974" w14:paraId="7FB80601" w14:textId="2D7E81DA">
      <w:pPr>
        <w:pStyle w:val="Normal"/>
        <w:rPr>
          <w:rFonts w:ascii="Arial" w:hAnsi="Arial" w:eastAsia="Arial" w:cs="Arial"/>
          <w:u w:val="none"/>
        </w:rPr>
      </w:pPr>
      <w:r w:rsidRPr="30F77919" w:rsidR="4C1C4974">
        <w:rPr>
          <w:rFonts w:ascii="Arial" w:hAnsi="Arial" w:eastAsia="Arial" w:cs="Arial"/>
          <w:u w:val="none"/>
        </w:rPr>
        <w:t xml:space="preserve">Both dimensions are essential for creating a high-quality learning environment, where positive interactions, combined with a well-resourced environment, foster children’s </w:t>
      </w:r>
      <w:r w:rsidRPr="30F77919" w:rsidR="4C1C4974">
        <w:rPr>
          <w:rFonts w:ascii="Arial" w:hAnsi="Arial" w:eastAsia="Arial" w:cs="Arial"/>
          <w:u w:val="none"/>
        </w:rPr>
        <w:t>learning</w:t>
      </w:r>
      <w:r w:rsidRPr="30F77919" w:rsidR="4C1C4974">
        <w:rPr>
          <w:rFonts w:ascii="Arial" w:hAnsi="Arial" w:eastAsia="Arial" w:cs="Arial"/>
          <w:u w:val="none"/>
        </w:rPr>
        <w:t xml:space="preserve"> and well-being.</w:t>
      </w:r>
    </w:p>
    <w:p w:rsidR="4C1C4974" w:rsidP="30F77919" w:rsidRDefault="4C1C4974" w14:paraId="0DB6DE0B" w14:textId="712F3875">
      <w:pPr>
        <w:rPr>
          <w:rFonts w:ascii="Arial" w:hAnsi="Arial" w:eastAsia="Arial" w:cs="Arial"/>
          <w:u w:val="none"/>
        </w:rPr>
      </w:pPr>
      <w:r w:rsidRPr="30F77919" w:rsidR="4C1C4974">
        <w:rPr>
          <w:rFonts w:ascii="Arial" w:hAnsi="Arial" w:eastAsia="Arial" w:cs="Arial"/>
          <w:u w:val="none"/>
        </w:rPr>
        <w:t xml:space="preserve">A stimulating and safe environment is a key indicator of quality. Jeong et al. (2022) highlight that high-quality early </w:t>
      </w:r>
      <w:r w:rsidRPr="30F77919" w:rsidR="6FD9157A">
        <w:rPr>
          <w:rFonts w:ascii="Arial" w:hAnsi="Arial" w:eastAsia="Arial" w:cs="Arial"/>
          <w:u w:val="none"/>
        </w:rPr>
        <w:t>year's</w:t>
      </w:r>
      <w:r w:rsidRPr="30F77919" w:rsidR="4C1C4974">
        <w:rPr>
          <w:rFonts w:ascii="Arial" w:hAnsi="Arial" w:eastAsia="Arial" w:cs="Arial"/>
          <w:u w:val="none"/>
        </w:rPr>
        <w:t xml:space="preserve"> settings provide age-appropriate resources, stimulating activities, and well-maintained spaces that encourage children’s exploration and creativity. A rich physical environment supports both child-initiated and adult-led learning, creating a balanced and engaging experience.</w:t>
      </w:r>
      <w:r w:rsidRPr="30F77919" w:rsidR="451CE2E4">
        <w:rPr>
          <w:rFonts w:ascii="Arial" w:hAnsi="Arial" w:eastAsia="Arial" w:cs="Arial"/>
          <w:u w:val="none"/>
        </w:rPr>
        <w:t xml:space="preserve"> </w:t>
      </w:r>
      <w:r w:rsidRPr="30F77919" w:rsidR="4C1C4974">
        <w:rPr>
          <w:rFonts w:ascii="Arial" w:hAnsi="Arial" w:eastAsia="Arial" w:cs="Arial"/>
          <w:u w:val="none"/>
        </w:rPr>
        <w:t xml:space="preserve">Moreover, </w:t>
      </w:r>
      <w:r w:rsidRPr="30F77919" w:rsidR="3D0CFEDD">
        <w:rPr>
          <w:rFonts w:ascii="Arial" w:hAnsi="Arial" w:eastAsia="Arial" w:cs="Arial"/>
          <w:u w:val="none"/>
        </w:rPr>
        <w:t>Taggart et al.</w:t>
      </w:r>
      <w:r w:rsidRPr="30F77919" w:rsidR="4C1C4974">
        <w:rPr>
          <w:rFonts w:ascii="Arial" w:hAnsi="Arial" w:eastAsia="Arial" w:cs="Arial"/>
          <w:u w:val="none"/>
        </w:rPr>
        <w:t xml:space="preserve"> (201</w:t>
      </w:r>
      <w:r w:rsidRPr="30F77919" w:rsidR="2FDAE525">
        <w:rPr>
          <w:rFonts w:ascii="Arial" w:hAnsi="Arial" w:eastAsia="Arial" w:cs="Arial"/>
          <w:u w:val="none"/>
        </w:rPr>
        <w:t>5</w:t>
      </w:r>
      <w:r w:rsidRPr="30F77919" w:rsidR="4C1C4974">
        <w:rPr>
          <w:rFonts w:ascii="Arial" w:hAnsi="Arial" w:eastAsia="Arial" w:cs="Arial"/>
          <w:u w:val="none"/>
        </w:rPr>
        <w:t>) argue that environments with open-ended materials, outdoor play areas, and diverse learning resources foster creativity and problem-solving skills. Ensuring a safe, well-resourced, and stimulating physical environment is therefore essential in promoting quality provision.</w:t>
      </w:r>
    </w:p>
    <w:p w:rsidR="502BDFE6" w:rsidP="30F77919" w:rsidRDefault="502BDFE6" w14:paraId="4CC07C76" w14:textId="1955B154">
      <w:pPr>
        <w:rPr>
          <w:rFonts w:ascii="Arial" w:hAnsi="Arial" w:eastAsia="Arial" w:cs="Arial"/>
          <w:u w:val="none"/>
        </w:rPr>
      </w:pPr>
      <w:r w:rsidRPr="30F77919" w:rsidR="502BDFE6">
        <w:rPr>
          <w:rFonts w:ascii="Arial" w:hAnsi="Arial" w:eastAsia="Arial" w:cs="Arial"/>
          <w:u w:val="none"/>
        </w:rPr>
        <w:t xml:space="preserve">In addition to assessing the physical environment and the quality of interactions, effective early years provision also relies heavily on reflective practice and continuous professional development (CPD). According to Tankersley et al. (2016), high-quality early years settings actively promote staff training and reflective practice, which enhances educators’ ability to engage in meaningful interactions with children. Reflective practice encourages practitioners to critically evaluate their pedagogical approaches, ensuring they meet the diverse needs of children. This continuous self-assessment and improvement process plays a key role in </w:t>
      </w:r>
      <w:r w:rsidRPr="30F77919" w:rsidR="502BDFE6">
        <w:rPr>
          <w:rFonts w:ascii="Arial" w:hAnsi="Arial" w:eastAsia="Arial" w:cs="Arial"/>
          <w:u w:val="none"/>
        </w:rPr>
        <w:t>maintaining</w:t>
      </w:r>
      <w:r w:rsidRPr="30F77919" w:rsidR="502BDFE6">
        <w:rPr>
          <w:rFonts w:ascii="Arial" w:hAnsi="Arial" w:eastAsia="Arial" w:cs="Arial"/>
          <w:u w:val="none"/>
        </w:rPr>
        <w:t xml:space="preserve"> and enhancing quality provision.</w:t>
      </w:r>
    </w:p>
    <w:p w:rsidR="4D1BD85B" w:rsidP="30F77919" w:rsidRDefault="4D1BD85B" w14:paraId="5A85BE81" w14:textId="664D78D3">
      <w:pPr>
        <w:rPr>
          <w:rFonts w:ascii="Arial" w:hAnsi="Arial" w:eastAsia="Arial" w:cs="Arial"/>
          <w:u w:val="none"/>
        </w:rPr>
      </w:pPr>
      <w:r w:rsidRPr="30F77919" w:rsidR="4D1BD85B">
        <w:rPr>
          <w:rFonts w:ascii="Arial" w:hAnsi="Arial" w:eastAsia="Arial" w:cs="Arial"/>
          <w:u w:val="none"/>
        </w:rPr>
        <w:t xml:space="preserve">Furthermore, partnerships with families are an essential aspect of high-quality early years provision. The Early Years Foundation Stage (EYFS) framework </w:t>
      </w:r>
      <w:r w:rsidRPr="30F77919" w:rsidR="7E63922A">
        <w:rPr>
          <w:rFonts w:ascii="Arial" w:hAnsi="Arial" w:eastAsia="Arial" w:cs="Arial"/>
          <w:u w:val="none"/>
        </w:rPr>
        <w:t>Department</w:t>
      </w:r>
      <w:r w:rsidRPr="30F77919" w:rsidR="537507C6">
        <w:rPr>
          <w:rFonts w:ascii="Arial" w:hAnsi="Arial" w:eastAsia="Arial" w:cs="Arial"/>
          <w:u w:val="none"/>
        </w:rPr>
        <w:t xml:space="preserve"> </w:t>
      </w:r>
      <w:r w:rsidRPr="30F77919" w:rsidR="4D1BD85B">
        <w:rPr>
          <w:rFonts w:ascii="Arial" w:hAnsi="Arial" w:eastAsia="Arial" w:cs="Arial"/>
          <w:u w:val="none"/>
        </w:rPr>
        <w:t>f</w:t>
      </w:r>
      <w:r w:rsidRPr="30F77919" w:rsidR="07BB8791">
        <w:rPr>
          <w:rFonts w:ascii="Arial" w:hAnsi="Arial" w:eastAsia="Arial" w:cs="Arial"/>
          <w:u w:val="none"/>
        </w:rPr>
        <w:t xml:space="preserve">or </w:t>
      </w:r>
      <w:r w:rsidRPr="30F77919" w:rsidR="67F24DB6">
        <w:rPr>
          <w:rFonts w:ascii="Arial" w:hAnsi="Arial" w:eastAsia="Arial" w:cs="Arial"/>
          <w:u w:val="none"/>
        </w:rPr>
        <w:t>Education</w:t>
      </w:r>
      <w:r w:rsidRPr="30F77919" w:rsidR="4D1BD85B">
        <w:rPr>
          <w:rFonts w:ascii="Arial" w:hAnsi="Arial" w:eastAsia="Arial" w:cs="Arial"/>
          <w:u w:val="none"/>
        </w:rPr>
        <w:t xml:space="preserve">, </w:t>
      </w:r>
      <w:r w:rsidRPr="30F77919" w:rsidR="3CC16565">
        <w:rPr>
          <w:rFonts w:ascii="Arial" w:hAnsi="Arial" w:eastAsia="Arial" w:cs="Arial"/>
          <w:u w:val="none"/>
        </w:rPr>
        <w:t>(</w:t>
      </w:r>
      <w:r w:rsidRPr="30F77919" w:rsidR="4D1BD85B">
        <w:rPr>
          <w:rFonts w:ascii="Arial" w:hAnsi="Arial" w:eastAsia="Arial" w:cs="Arial"/>
          <w:u w:val="none"/>
        </w:rPr>
        <w:t xml:space="preserve">2021) highlights the importance of parental involvement in children’s learning. When practitioners and parents collaborate effectively, it creates consistency between home and school environments, which supports children’s overall development. Research by </w:t>
      </w:r>
      <w:r w:rsidRPr="30F77919" w:rsidR="756F8DEA">
        <w:rPr>
          <w:rFonts w:ascii="Arial" w:hAnsi="Arial" w:eastAsia="Arial" w:cs="Arial"/>
          <w:u w:val="none"/>
        </w:rPr>
        <w:t>C</w:t>
      </w:r>
      <w:r w:rsidRPr="30F77919" w:rsidR="63B5F8AC">
        <w:rPr>
          <w:rFonts w:ascii="Arial" w:hAnsi="Arial" w:eastAsia="Arial" w:cs="Arial"/>
          <w:u w:val="none"/>
        </w:rPr>
        <w:t xml:space="preserve">ohen and </w:t>
      </w:r>
      <w:r w:rsidRPr="30F77919" w:rsidR="437248AE">
        <w:rPr>
          <w:rFonts w:ascii="Arial" w:hAnsi="Arial" w:eastAsia="Arial" w:cs="Arial"/>
          <w:u w:val="none"/>
        </w:rPr>
        <w:t>A</w:t>
      </w:r>
      <w:r w:rsidRPr="30F77919" w:rsidR="63B5F8AC">
        <w:rPr>
          <w:rFonts w:ascii="Arial" w:hAnsi="Arial" w:eastAsia="Arial" w:cs="Arial"/>
          <w:u w:val="none"/>
        </w:rPr>
        <w:t xml:space="preserve">nders </w:t>
      </w:r>
      <w:r w:rsidRPr="30F77919" w:rsidR="4D1BD85B">
        <w:rPr>
          <w:rFonts w:ascii="Arial" w:hAnsi="Arial" w:eastAsia="Arial" w:cs="Arial"/>
          <w:u w:val="none"/>
        </w:rPr>
        <w:t>(20</w:t>
      </w:r>
      <w:r w:rsidRPr="30F77919" w:rsidR="5716A02E">
        <w:rPr>
          <w:rFonts w:ascii="Arial" w:hAnsi="Arial" w:eastAsia="Arial" w:cs="Arial"/>
          <w:u w:val="none"/>
        </w:rPr>
        <w:t>19</w:t>
      </w:r>
      <w:r w:rsidRPr="30F77919" w:rsidR="4D1BD85B">
        <w:rPr>
          <w:rFonts w:ascii="Arial" w:hAnsi="Arial" w:eastAsia="Arial" w:cs="Arial"/>
          <w:u w:val="none"/>
        </w:rPr>
        <w:t xml:space="preserve">) found that parental engagement is one of the most significant factors influencing children’s educational outcomes, further </w:t>
      </w:r>
      <w:r w:rsidRPr="30F77919" w:rsidR="4D1BD85B">
        <w:rPr>
          <w:rFonts w:ascii="Arial" w:hAnsi="Arial" w:eastAsia="Arial" w:cs="Arial"/>
          <w:u w:val="none"/>
        </w:rPr>
        <w:t>demonstrating</w:t>
      </w:r>
      <w:r w:rsidRPr="30F77919" w:rsidR="4D1BD85B">
        <w:rPr>
          <w:rFonts w:ascii="Arial" w:hAnsi="Arial" w:eastAsia="Arial" w:cs="Arial"/>
          <w:u w:val="none"/>
        </w:rPr>
        <w:t xml:space="preserve"> the value of strong home-school partnerships.</w:t>
      </w:r>
    </w:p>
    <w:p w:rsidR="4C1C4974" w:rsidP="30F77919" w:rsidRDefault="4C1C4974" w14:paraId="5DEF0168" w14:textId="1C9F46AE">
      <w:pPr>
        <w:rPr>
          <w:rFonts w:ascii="Arial" w:hAnsi="Arial" w:eastAsia="Arial" w:cs="Arial"/>
          <w:u w:val="none"/>
        </w:rPr>
      </w:pPr>
      <w:r w:rsidRPr="30F77919" w:rsidR="4C1C4974">
        <w:rPr>
          <w:rFonts w:ascii="Arial" w:hAnsi="Arial" w:eastAsia="Arial" w:cs="Arial"/>
          <w:u w:val="none"/>
        </w:rPr>
        <w:t xml:space="preserve">However, as Abbott and Langston (2005), citing the Birth to Three Matters framework, argue, achieving quality is not solely about the environment—it also depends on having skilled and responsive practitioners. These professionals engage children in meaningful interactions, support their emotional well-being, foster secure attachments, and promote learning Abbott &amp; Langston, </w:t>
      </w:r>
      <w:r w:rsidRPr="30F77919" w:rsidR="5BBD5868">
        <w:rPr>
          <w:rFonts w:ascii="Arial" w:hAnsi="Arial" w:eastAsia="Arial" w:cs="Arial"/>
          <w:u w:val="none"/>
        </w:rPr>
        <w:t>(</w:t>
      </w:r>
      <w:r w:rsidRPr="30F77919" w:rsidR="4C1C4974">
        <w:rPr>
          <w:rFonts w:ascii="Arial" w:hAnsi="Arial" w:eastAsia="Arial" w:cs="Arial"/>
          <w:u w:val="none"/>
        </w:rPr>
        <w:t>2004).</w:t>
      </w:r>
    </w:p>
    <w:p w:rsidR="4C1C4974" w:rsidP="30F77919" w:rsidRDefault="4C1C4974" w14:paraId="65AB5BBC" w14:textId="557CDC1D">
      <w:pPr>
        <w:pStyle w:val="Normal"/>
        <w:rPr>
          <w:rFonts w:ascii="Arial" w:hAnsi="Arial" w:eastAsia="Arial" w:cs="Arial"/>
          <w:u w:val="none"/>
        </w:rPr>
      </w:pPr>
      <w:r w:rsidRPr="30F77919" w:rsidR="4C1C4974">
        <w:rPr>
          <w:rFonts w:ascii="Arial" w:hAnsi="Arial" w:eastAsia="Arial" w:cs="Arial"/>
          <w:u w:val="none"/>
        </w:rPr>
        <w:t>The REPEY study by Sylva et al. (2007) reinforces this, showing that the most effective settings have highly trained staff who engage children in purposeful interactions and scaffold their learning through questioning, problem-solving, and joint exploration.</w:t>
      </w:r>
    </w:p>
    <w:p w:rsidR="4C1C4974" w:rsidP="30F77919" w:rsidRDefault="4C1C4974" w14:paraId="4C602AD8" w14:textId="5C4FC932">
      <w:pPr>
        <w:rPr>
          <w:rFonts w:ascii="Arial" w:hAnsi="Arial" w:eastAsia="Arial" w:cs="Arial"/>
          <w:u w:val="none"/>
        </w:rPr>
      </w:pPr>
      <w:r w:rsidRPr="30F77919" w:rsidR="4C1C4974">
        <w:rPr>
          <w:rFonts w:ascii="Arial" w:hAnsi="Arial" w:eastAsia="Arial" w:cs="Arial"/>
          <w:u w:val="none"/>
        </w:rPr>
        <w:t xml:space="preserve">Emotional security is another essential aspect of quality. Bowlby’s (1969) attachment theory, as cited by the NSPCC (2021), highlights the importance of secure relationships in promoting children’s emotional well-being. When children feel safe and emotionally supported, they are more likely to engage confidently in learning activities and develop positive social </w:t>
      </w:r>
      <w:r w:rsidRPr="30F77919" w:rsidR="1723C602">
        <w:rPr>
          <w:rFonts w:ascii="Arial" w:hAnsi="Arial" w:eastAsia="Arial" w:cs="Arial"/>
          <w:u w:val="none"/>
        </w:rPr>
        <w:t>skills et al.</w:t>
      </w:r>
      <w:r w:rsidRPr="30F77919" w:rsidR="4C1C4974">
        <w:rPr>
          <w:rFonts w:ascii="Arial" w:hAnsi="Arial" w:eastAsia="Arial" w:cs="Arial"/>
          <w:u w:val="none"/>
        </w:rPr>
        <w:t xml:space="preserve">, </w:t>
      </w:r>
      <w:r w:rsidRPr="30F77919" w:rsidR="1DFAD6D0">
        <w:rPr>
          <w:rFonts w:ascii="Arial" w:hAnsi="Arial" w:eastAsia="Arial" w:cs="Arial"/>
          <w:u w:val="none"/>
        </w:rPr>
        <w:t>(</w:t>
      </w:r>
      <w:r w:rsidRPr="30F77919" w:rsidR="4C1C4974">
        <w:rPr>
          <w:rFonts w:ascii="Arial" w:hAnsi="Arial" w:eastAsia="Arial" w:cs="Arial"/>
          <w:u w:val="none"/>
        </w:rPr>
        <w:t>201).</w:t>
      </w:r>
      <w:r w:rsidRPr="30F77919" w:rsidR="49889841">
        <w:rPr>
          <w:rFonts w:ascii="Arial" w:hAnsi="Arial" w:eastAsia="Arial" w:cs="Arial"/>
          <w:u w:val="none"/>
        </w:rPr>
        <w:t xml:space="preserve"> </w:t>
      </w:r>
      <w:r w:rsidRPr="30F77919" w:rsidR="4C1C4974">
        <w:rPr>
          <w:rFonts w:ascii="Arial" w:hAnsi="Arial" w:eastAsia="Arial" w:cs="Arial"/>
          <w:u w:val="none"/>
        </w:rPr>
        <w:t xml:space="preserve">Secure attachments with key practitioners in early years settings help children develop emotional regulation, resilience, and self-confidence. This </w:t>
      </w:r>
      <w:r w:rsidRPr="30F77919" w:rsidR="4C1C4974">
        <w:rPr>
          <w:rFonts w:ascii="Arial" w:hAnsi="Arial" w:eastAsia="Arial" w:cs="Arial"/>
          <w:u w:val="none"/>
        </w:rPr>
        <w:t>demonstrates</w:t>
      </w:r>
      <w:r w:rsidRPr="30F77919" w:rsidR="4C1C4974">
        <w:rPr>
          <w:rFonts w:ascii="Arial" w:hAnsi="Arial" w:eastAsia="Arial" w:cs="Arial"/>
          <w:u w:val="none"/>
        </w:rPr>
        <w:t xml:space="preserve"> how emotional security is a fundamental </w:t>
      </w:r>
      <w:r w:rsidRPr="30F77919" w:rsidR="4C1C4974">
        <w:rPr>
          <w:rFonts w:ascii="Arial" w:hAnsi="Arial" w:eastAsia="Arial" w:cs="Arial"/>
          <w:u w:val="none"/>
        </w:rPr>
        <w:t>component</w:t>
      </w:r>
      <w:r w:rsidRPr="30F77919" w:rsidR="4C1C4974">
        <w:rPr>
          <w:rFonts w:ascii="Arial" w:hAnsi="Arial" w:eastAsia="Arial" w:cs="Arial"/>
          <w:u w:val="none"/>
        </w:rPr>
        <w:t xml:space="preserve"> of quality early years provision.</w:t>
      </w:r>
    </w:p>
    <w:p w:rsidR="4C1C4974" w:rsidP="30F77919" w:rsidRDefault="4C1C4974" w14:paraId="43A768DC" w14:textId="1EAD58EE">
      <w:pPr>
        <w:pStyle w:val="Normal"/>
        <w:rPr>
          <w:rFonts w:ascii="Arial" w:hAnsi="Arial" w:eastAsia="Arial" w:cs="Arial"/>
          <w:u w:val="none"/>
        </w:rPr>
      </w:pPr>
      <w:r w:rsidRPr="30F77919" w:rsidR="4C1C4974">
        <w:rPr>
          <w:rFonts w:ascii="Arial" w:hAnsi="Arial" w:eastAsia="Arial" w:cs="Arial"/>
          <w:u w:val="none"/>
        </w:rPr>
        <w:t>The ECERS framework focuses on assessing the overall environment, including physical space, materials, routines, and interactions. In contrast, the SSTEW scale, developed by Siraj, Kingston, and Melhuish (2015), offers a more targeted analysis of pedagogical practices. It specifically examines sustained shared thinking and the promotion of children’s emotional well-being, providing a more in-depth evaluation of adult-child interactions.</w:t>
      </w:r>
    </w:p>
    <w:p w:rsidR="4C1C4974" w:rsidP="30F77919" w:rsidRDefault="4C1C4974" w14:paraId="272E774B" w14:textId="71D3EFCB">
      <w:pPr>
        <w:pStyle w:val="Normal"/>
        <w:rPr>
          <w:rFonts w:ascii="Arial" w:hAnsi="Arial" w:eastAsia="Arial" w:cs="Arial"/>
          <w:u w:val="none"/>
        </w:rPr>
      </w:pPr>
      <w:r w:rsidRPr="30F77919" w:rsidR="4C1C4974">
        <w:rPr>
          <w:rFonts w:ascii="Arial" w:hAnsi="Arial" w:eastAsia="Arial" w:cs="Arial"/>
          <w:u w:val="none"/>
        </w:rPr>
        <w:t xml:space="preserve">The Early Childhood Environment Rating Scale (ECERS) is a widely recognised tool for evaluating the quality of physical environments and care practices in early years settings. Originally developed by Harms, Clifford, and Cryer in the US, ECERS was later adapted for use in the UK, with ECERS-3 (2015) being the most recent version UNC.edu, </w:t>
      </w:r>
      <w:r w:rsidRPr="30F77919" w:rsidR="0551D16B">
        <w:rPr>
          <w:rFonts w:ascii="Arial" w:hAnsi="Arial" w:eastAsia="Arial" w:cs="Arial"/>
          <w:u w:val="none"/>
        </w:rPr>
        <w:t>(</w:t>
      </w:r>
      <w:r w:rsidRPr="30F77919" w:rsidR="4C1C4974">
        <w:rPr>
          <w:rFonts w:ascii="Arial" w:hAnsi="Arial" w:eastAsia="Arial" w:cs="Arial"/>
          <w:u w:val="none"/>
        </w:rPr>
        <w:t>2025).</w:t>
      </w:r>
    </w:p>
    <w:p w:rsidR="4C1C4974" w:rsidP="30F77919" w:rsidRDefault="4C1C4974" w14:paraId="35978C65" w14:textId="7E95BD15">
      <w:pPr>
        <w:pStyle w:val="Normal"/>
        <w:rPr>
          <w:rFonts w:ascii="Arial" w:hAnsi="Arial" w:eastAsia="Arial" w:cs="Arial"/>
          <w:u w:val="none"/>
        </w:rPr>
      </w:pPr>
      <w:r w:rsidRPr="30F77919" w:rsidR="4C1C4974">
        <w:rPr>
          <w:rFonts w:ascii="Arial" w:hAnsi="Arial" w:eastAsia="Arial" w:cs="Arial"/>
          <w:u w:val="none"/>
        </w:rPr>
        <w:t xml:space="preserve">In contrast, the SSTEW scale offers a more detailed assessment of interaction quality, which is </w:t>
      </w:r>
      <w:r w:rsidRPr="30F77919" w:rsidR="7E19088A">
        <w:rPr>
          <w:rFonts w:ascii="Arial" w:hAnsi="Arial" w:eastAsia="Arial" w:cs="Arial"/>
          <w:u w:val="none"/>
        </w:rPr>
        <w:t>important</w:t>
      </w:r>
      <w:r w:rsidRPr="30F77919" w:rsidR="4C1C4974">
        <w:rPr>
          <w:rFonts w:ascii="Arial" w:hAnsi="Arial" w:eastAsia="Arial" w:cs="Arial"/>
          <w:u w:val="none"/>
        </w:rPr>
        <w:t xml:space="preserve"> for promoting children’s emotional well-being and cognitive development. Siraj et al. (2015) argue that the SSTEW scale </w:t>
      </w:r>
      <w:r w:rsidRPr="30F77919" w:rsidR="4C1C4974">
        <w:rPr>
          <w:rFonts w:ascii="Arial" w:hAnsi="Arial" w:eastAsia="Arial" w:cs="Arial"/>
          <w:u w:val="none"/>
        </w:rPr>
        <w:t>provides</w:t>
      </w:r>
      <w:r w:rsidRPr="30F77919" w:rsidR="4C1C4974">
        <w:rPr>
          <w:rFonts w:ascii="Arial" w:hAnsi="Arial" w:eastAsia="Arial" w:cs="Arial"/>
          <w:u w:val="none"/>
        </w:rPr>
        <w:t xml:space="preserve"> deeper insights into how practitioners engage children in meaningful, extended conversations that foster critical thinking skills.</w:t>
      </w:r>
      <w:r>
        <w:br/>
      </w:r>
      <w:r w:rsidRPr="30F77919" w:rsidR="4C1C4974">
        <w:rPr>
          <w:rFonts w:ascii="Arial" w:hAnsi="Arial" w:eastAsia="Arial" w:cs="Arial"/>
          <w:u w:val="none"/>
        </w:rPr>
        <w:t xml:space="preserve"> One of the key strengths of the Early Childhood Environment Rating Scale (ECERS) is its comprehensive approach to evaluating early years settings. It provides a holistic assessment that looks at both structural and process quality. This dual focus allows it to capture a wide range of factors, from physical environments to staff-child interactions. The standardized rating system used in ECERS is another strength. It provides a clear framework for practitioners to interpret and compare settings, making it easier for both educators and policymakers to understand the quality of a setting. Additionally, ECERS is a widely validated tool with </w:t>
      </w:r>
      <w:r w:rsidRPr="30F77919" w:rsidR="4C1C4974">
        <w:rPr>
          <w:rFonts w:ascii="Arial" w:hAnsi="Arial" w:eastAsia="Arial" w:cs="Arial"/>
          <w:u w:val="none"/>
        </w:rPr>
        <w:t>a strong evidence</w:t>
      </w:r>
      <w:r w:rsidRPr="30F77919" w:rsidR="4C1C4974">
        <w:rPr>
          <w:rFonts w:ascii="Arial" w:hAnsi="Arial" w:eastAsia="Arial" w:cs="Arial"/>
          <w:u w:val="none"/>
        </w:rPr>
        <w:t xml:space="preserve"> base, ensuring its credibility and reliability when applied across various settings </w:t>
      </w:r>
      <w:r w:rsidRPr="30F77919" w:rsidR="6A1ECC98">
        <w:rPr>
          <w:rFonts w:ascii="Arial" w:hAnsi="Arial" w:eastAsia="Arial" w:cs="Arial"/>
          <w:u w:val="none"/>
        </w:rPr>
        <w:t>Tagart</w:t>
      </w:r>
      <w:r w:rsidRPr="30F77919" w:rsidR="4C1C4974">
        <w:rPr>
          <w:rFonts w:ascii="Arial" w:hAnsi="Arial" w:eastAsia="Arial" w:cs="Arial"/>
          <w:u w:val="none"/>
        </w:rPr>
        <w:t xml:space="preserve"> et al., </w:t>
      </w:r>
      <w:r w:rsidRPr="30F77919" w:rsidR="30A9A9DA">
        <w:rPr>
          <w:rFonts w:ascii="Arial" w:hAnsi="Arial" w:eastAsia="Arial" w:cs="Arial"/>
          <w:u w:val="none"/>
        </w:rPr>
        <w:t>(</w:t>
      </w:r>
      <w:r w:rsidRPr="30F77919" w:rsidR="4C1C4974">
        <w:rPr>
          <w:rFonts w:ascii="Arial" w:hAnsi="Arial" w:eastAsia="Arial" w:cs="Arial"/>
          <w:u w:val="none"/>
        </w:rPr>
        <w:t>201</w:t>
      </w:r>
      <w:r w:rsidRPr="30F77919" w:rsidR="3BC4EF41">
        <w:rPr>
          <w:rFonts w:ascii="Arial" w:hAnsi="Arial" w:eastAsia="Arial" w:cs="Arial"/>
          <w:u w:val="none"/>
        </w:rPr>
        <w:t>5</w:t>
      </w:r>
      <w:r w:rsidRPr="30F77919" w:rsidR="4C1C4974">
        <w:rPr>
          <w:rFonts w:ascii="Arial" w:hAnsi="Arial" w:eastAsia="Arial" w:cs="Arial"/>
          <w:u w:val="none"/>
        </w:rPr>
        <w:t>).</w:t>
      </w:r>
      <w:r>
        <w:br/>
      </w:r>
      <w:r w:rsidRPr="30F77919" w:rsidR="4C1C4974">
        <w:rPr>
          <w:rFonts w:ascii="Arial" w:hAnsi="Arial" w:eastAsia="Arial" w:cs="Arial"/>
          <w:u w:val="none"/>
        </w:rPr>
        <w:t xml:space="preserve"> Despite its strengths, there are some limitations to the ECERS framework. While it provides a solid evaluation of the physical environment, it places less emphasis on the quality of interactions between children and staff. This can lead to an incomplete assessment, as interactions play a crucial role in a child’s development and learning. Furthermore, ECERS may overlook important aspects of emotional well-being and pedagogical practices that contribute to high-quality provision. As a result, it may not provide a full picture of the emotional support and pedagogical strategies that are essential for fostering children's growth and development.</w:t>
      </w:r>
      <w:r>
        <w:br/>
      </w:r>
      <w:r w:rsidRPr="30F77919" w:rsidR="4C1C4974">
        <w:rPr>
          <w:rFonts w:ascii="Arial" w:hAnsi="Arial" w:eastAsia="Arial" w:cs="Arial"/>
          <w:u w:val="none"/>
        </w:rPr>
        <w:t xml:space="preserve"> On the other hand, the Sustained Shared Thinking and Emotional Well-being Scale (SSTEW) offers a deeper evaluation of adult-child interactions. It focuses specifically on how practitioners engage children in meaningful, extended conversations that promote critical thinking and problem-solving skills. This tool places a significant emphasis on the emotional well-being of children, which is essential for their development. By evaluating the quality of relationships and emotional support within early years settings, SSTEW highlights an often-overlooked aspect of quality provision, showing how important secure emotional connections are for children’s learning Siraj </w:t>
      </w:r>
      <w:r w:rsidRPr="30F77919" w:rsidR="1F800CB1">
        <w:rPr>
          <w:rFonts w:ascii="Arial" w:hAnsi="Arial" w:eastAsia="Arial" w:cs="Arial"/>
          <w:u w:val="none"/>
        </w:rPr>
        <w:t xml:space="preserve">et al., </w:t>
      </w:r>
      <w:r w:rsidRPr="30F77919" w:rsidR="6F863F7B">
        <w:rPr>
          <w:rFonts w:ascii="Arial" w:hAnsi="Arial" w:eastAsia="Arial" w:cs="Arial"/>
          <w:u w:val="none"/>
        </w:rPr>
        <w:t>(2015</w:t>
      </w:r>
      <w:r w:rsidRPr="30F77919" w:rsidR="55CBAD47">
        <w:rPr>
          <w:rFonts w:ascii="Arial" w:hAnsi="Arial" w:eastAsia="Arial" w:cs="Arial"/>
          <w:u w:val="none"/>
        </w:rPr>
        <w:t>)</w:t>
      </w:r>
      <w:r w:rsidRPr="30F77919" w:rsidR="4C1C4974">
        <w:rPr>
          <w:rFonts w:ascii="Arial" w:hAnsi="Arial" w:eastAsia="Arial" w:cs="Arial"/>
          <w:u w:val="none"/>
        </w:rPr>
        <w:t>.</w:t>
      </w:r>
      <w:r>
        <w:br/>
      </w:r>
      <w:r w:rsidRPr="30F77919" w:rsidR="4C1C4974">
        <w:rPr>
          <w:rFonts w:ascii="Arial" w:hAnsi="Arial" w:eastAsia="Arial" w:cs="Arial"/>
          <w:u w:val="none"/>
        </w:rPr>
        <w:t xml:space="preserve"> However, SSTEW is not without its limitations. One notable drawback is that it is less standardized compared to ECERS. This lack of a uniform framework may make it more difficult to compare settings directly. As SSTEW focuses primarily on interactions and emotional well-being, it provides less information about the physical environment and the availability of resources. Therefore, while it offers valuable insights into the quality of interactions, it may not give a comprehensive picture of the overall environment, which is also crucial for creating a high-quality learning setting.</w:t>
      </w:r>
    </w:p>
    <w:p w:rsidR="4096E291" w:rsidP="30F77919" w:rsidRDefault="4096E291" w14:paraId="31C199B6" w14:textId="5F5C2657">
      <w:pPr>
        <w:pStyle w:val="Normal"/>
        <w:rPr>
          <w:rFonts w:ascii="Arial" w:hAnsi="Arial" w:eastAsia="Arial" w:cs="Arial"/>
          <w:u w:val="none"/>
        </w:rPr>
      </w:pPr>
      <w:r w:rsidRPr="30F77919" w:rsidR="4096E291">
        <w:rPr>
          <w:rFonts w:ascii="Arial" w:hAnsi="Arial" w:eastAsia="Arial" w:cs="Arial"/>
          <w:u w:val="none"/>
        </w:rPr>
        <w:t>In</w:t>
      </w:r>
      <w:r w:rsidRPr="30F77919" w:rsidR="4096E291">
        <w:rPr>
          <w:rFonts w:ascii="Arial" w:hAnsi="Arial" w:eastAsia="Arial" w:cs="Arial"/>
          <w:u w:val="none"/>
        </w:rPr>
        <w:t xml:space="preserve"> conclusion, both ECERS and SSTEW are valuable tools for assessing the quality of early years education, each with its strengths and limitations. While ECERS provides a comprehensive assessment of the physical environment and care practices, it places less emphasis on the quality of interactions between children and practitioners, which are vital for fostering a child’s emotional well-being and cognitive development. SSTEW, on the other hand, offers a more in-depth evaluation of adult-child interactions, with a focus on sustained shared thinking and emotional support. However, it lacks a standardized framework and does not provide as much information about the physical environment. </w:t>
      </w:r>
      <w:r w:rsidRPr="30F77919" w:rsidR="4096E291">
        <w:rPr>
          <w:rFonts w:ascii="Arial" w:hAnsi="Arial" w:eastAsia="Arial" w:cs="Arial"/>
          <w:u w:val="none"/>
        </w:rPr>
        <w:t>Ultimately, both</w:t>
      </w:r>
      <w:r w:rsidRPr="30F77919" w:rsidR="4096E291">
        <w:rPr>
          <w:rFonts w:ascii="Arial" w:hAnsi="Arial" w:eastAsia="Arial" w:cs="Arial"/>
          <w:u w:val="none"/>
        </w:rPr>
        <w:t xml:space="preserve"> tools contribute to the broader goal of ensuring high-quality early education, but they must be used complementarily to </w:t>
      </w:r>
      <w:r w:rsidRPr="30F77919" w:rsidR="4096E291">
        <w:rPr>
          <w:rFonts w:ascii="Arial" w:hAnsi="Arial" w:eastAsia="Arial" w:cs="Arial"/>
          <w:u w:val="none"/>
        </w:rPr>
        <w:t>provide</w:t>
      </w:r>
      <w:r w:rsidRPr="30F77919" w:rsidR="4096E291">
        <w:rPr>
          <w:rFonts w:ascii="Arial" w:hAnsi="Arial" w:eastAsia="Arial" w:cs="Arial"/>
          <w:u w:val="none"/>
        </w:rPr>
        <w:t xml:space="preserve"> a holistic view of what constitutes quality provision. By recognizing the strengths and weaknesses of each tool, educators and policymakers can make informed decisions to support the development of high-quality early years settings that promote the best outcomes for all children.</w:t>
      </w:r>
    </w:p>
    <w:p w:rsidR="30F77919" w:rsidP="30F77919" w:rsidRDefault="30F77919" w14:paraId="4060A7F5" w14:textId="709A48DF">
      <w:pPr>
        <w:pStyle w:val="Normal"/>
        <w:rPr>
          <w:rFonts w:ascii="Arial" w:hAnsi="Arial" w:eastAsia="Arial" w:cs="Arial"/>
          <w:u w:val="none"/>
        </w:rPr>
      </w:pPr>
    </w:p>
    <w:p w:rsidR="30F77919" w:rsidP="30F77919" w:rsidRDefault="30F77919" w14:paraId="7E9E35C5" w14:textId="4FEB4923">
      <w:pPr>
        <w:pStyle w:val="Normal"/>
        <w:rPr>
          <w:rFonts w:ascii="Arial" w:hAnsi="Arial" w:eastAsia="Arial" w:cs="Arial"/>
          <w:u w:val="none"/>
        </w:rPr>
      </w:pPr>
    </w:p>
    <w:p w:rsidR="30F77919" w:rsidP="30F77919" w:rsidRDefault="30F77919" w14:paraId="5D87869C" w14:textId="25281CEC">
      <w:pPr>
        <w:pStyle w:val="Normal"/>
        <w:rPr>
          <w:rFonts w:ascii="Arial" w:hAnsi="Arial" w:eastAsia="Arial" w:cs="Arial"/>
          <w:u w:val="none"/>
        </w:rPr>
      </w:pPr>
    </w:p>
    <w:p w:rsidR="30F77919" w:rsidP="30F77919" w:rsidRDefault="30F77919" w14:paraId="07626AB2" w14:textId="612EAFE4">
      <w:pPr>
        <w:pStyle w:val="Normal"/>
        <w:rPr>
          <w:rFonts w:ascii="Arial" w:hAnsi="Arial" w:eastAsia="Arial" w:cs="Arial"/>
          <w:u w:val="none"/>
        </w:rPr>
      </w:pPr>
    </w:p>
    <w:p w:rsidR="30F77919" w:rsidP="30F77919" w:rsidRDefault="30F77919" w14:paraId="6B6C2028" w14:textId="46C48A07">
      <w:pPr>
        <w:pStyle w:val="Normal"/>
        <w:rPr>
          <w:rFonts w:ascii="Arial" w:hAnsi="Arial" w:eastAsia="Arial" w:cs="Arial"/>
          <w:u w:val="none"/>
        </w:rPr>
      </w:pPr>
    </w:p>
    <w:p w:rsidR="30F77919" w:rsidP="30F77919" w:rsidRDefault="30F77919" w14:paraId="65268A64" w14:textId="2BCF559A">
      <w:pPr>
        <w:pStyle w:val="Normal"/>
        <w:rPr>
          <w:rFonts w:ascii="Arial" w:hAnsi="Arial" w:eastAsia="Arial" w:cs="Arial"/>
          <w:u w:val="none"/>
        </w:rPr>
      </w:pPr>
    </w:p>
    <w:p w:rsidR="30F77919" w:rsidP="30F77919" w:rsidRDefault="30F77919" w14:paraId="63AE5D87" w14:textId="2E587641">
      <w:pPr>
        <w:pStyle w:val="Normal"/>
        <w:rPr>
          <w:rFonts w:ascii="Arial" w:hAnsi="Arial" w:eastAsia="Arial" w:cs="Arial"/>
          <w:u w:val="none"/>
        </w:rPr>
      </w:pPr>
    </w:p>
    <w:p w:rsidR="30F77919" w:rsidP="30F77919" w:rsidRDefault="30F77919" w14:paraId="2CAE2997" w14:textId="2782837C">
      <w:pPr>
        <w:pStyle w:val="Normal"/>
        <w:rPr>
          <w:rFonts w:ascii="Arial" w:hAnsi="Arial" w:eastAsia="Arial" w:cs="Arial"/>
          <w:u w:val="none"/>
        </w:rPr>
      </w:pPr>
    </w:p>
    <w:p w:rsidR="30F77919" w:rsidP="30F77919" w:rsidRDefault="30F77919" w14:paraId="6DABEC0A" w14:textId="058BA995">
      <w:pPr>
        <w:pStyle w:val="Normal"/>
        <w:rPr>
          <w:rFonts w:ascii="Arial" w:hAnsi="Arial" w:eastAsia="Arial" w:cs="Arial"/>
          <w:u w:val="none"/>
        </w:rPr>
      </w:pPr>
    </w:p>
    <w:p w:rsidR="30F77919" w:rsidP="30F77919" w:rsidRDefault="30F77919" w14:paraId="4BAF8C61" w14:textId="578BD335">
      <w:pPr>
        <w:pStyle w:val="Normal"/>
        <w:rPr>
          <w:rFonts w:ascii="Arial" w:hAnsi="Arial" w:eastAsia="Arial" w:cs="Arial"/>
          <w:u w:val="none"/>
        </w:rPr>
      </w:pPr>
    </w:p>
    <w:p w:rsidR="30F77919" w:rsidP="30F77919" w:rsidRDefault="30F77919" w14:paraId="7669EF52" w14:textId="745E72F4">
      <w:pPr>
        <w:pStyle w:val="Normal"/>
        <w:rPr>
          <w:rFonts w:ascii="Arial" w:hAnsi="Arial" w:eastAsia="Arial" w:cs="Arial"/>
          <w:u w:val="none"/>
        </w:rPr>
      </w:pPr>
    </w:p>
    <w:p w:rsidR="30F77919" w:rsidP="30F77919" w:rsidRDefault="30F77919" w14:paraId="3161761B" w14:textId="2C5A52D4">
      <w:pPr>
        <w:pStyle w:val="Normal"/>
        <w:rPr>
          <w:rFonts w:ascii="Arial" w:hAnsi="Arial" w:eastAsia="Arial" w:cs="Arial"/>
          <w:u w:val="none"/>
        </w:rPr>
      </w:pPr>
    </w:p>
    <w:p w:rsidR="30F77919" w:rsidP="30F77919" w:rsidRDefault="30F77919" w14:paraId="6D66934D" w14:textId="30C337A1">
      <w:pPr>
        <w:pStyle w:val="Normal"/>
        <w:rPr>
          <w:rFonts w:ascii="Arial" w:hAnsi="Arial" w:eastAsia="Arial" w:cs="Arial"/>
          <w:u w:val="none"/>
        </w:rPr>
      </w:pPr>
    </w:p>
    <w:p w:rsidR="30F77919" w:rsidP="30F77919" w:rsidRDefault="30F77919" w14:paraId="440BC5A4" w14:textId="3B27FB02">
      <w:pPr>
        <w:pStyle w:val="Normal"/>
        <w:rPr>
          <w:rFonts w:ascii="Arial" w:hAnsi="Arial" w:eastAsia="Arial" w:cs="Arial"/>
          <w:u w:val="none"/>
        </w:rPr>
      </w:pPr>
    </w:p>
    <w:p w:rsidR="30F77919" w:rsidP="30F77919" w:rsidRDefault="30F77919" w14:paraId="3A65996A" w14:textId="277B971D">
      <w:pPr>
        <w:pStyle w:val="Normal"/>
        <w:rPr>
          <w:rFonts w:ascii="Arial" w:hAnsi="Arial" w:eastAsia="Arial" w:cs="Arial"/>
          <w:u w:val="none"/>
        </w:rPr>
      </w:pPr>
    </w:p>
    <w:p w:rsidR="30F77919" w:rsidP="30F77919" w:rsidRDefault="30F77919" w14:paraId="06260A78" w14:textId="4946D5AF">
      <w:pPr>
        <w:pStyle w:val="Normal"/>
        <w:rPr>
          <w:rFonts w:ascii="Arial" w:hAnsi="Arial" w:eastAsia="Arial" w:cs="Arial"/>
          <w:u w:val="none"/>
        </w:rPr>
      </w:pPr>
    </w:p>
    <w:p w:rsidR="30F77919" w:rsidP="30F77919" w:rsidRDefault="30F77919" w14:paraId="57FAFF36" w14:textId="7822DCD6">
      <w:pPr>
        <w:pStyle w:val="Normal"/>
        <w:rPr>
          <w:rFonts w:ascii="Arial" w:hAnsi="Arial" w:eastAsia="Arial" w:cs="Arial"/>
          <w:u w:val="none"/>
        </w:rPr>
      </w:pPr>
    </w:p>
    <w:p w:rsidR="30F77919" w:rsidP="30F77919" w:rsidRDefault="30F77919" w14:paraId="44BB04AA" w14:textId="0D7F7041">
      <w:pPr>
        <w:pStyle w:val="Normal"/>
        <w:rPr>
          <w:rFonts w:ascii="Arial" w:hAnsi="Arial" w:eastAsia="Arial" w:cs="Arial"/>
          <w:u w:val="none"/>
        </w:rPr>
      </w:pPr>
    </w:p>
    <w:p w:rsidR="30F77919" w:rsidP="30F77919" w:rsidRDefault="30F77919" w14:paraId="521C16E6" w14:textId="0591708F">
      <w:pPr>
        <w:pStyle w:val="Normal"/>
        <w:rPr>
          <w:rFonts w:ascii="Arial" w:hAnsi="Arial" w:eastAsia="Arial" w:cs="Arial"/>
          <w:u w:val="none"/>
        </w:rPr>
      </w:pPr>
    </w:p>
    <w:p w:rsidR="30F77919" w:rsidP="30F77919" w:rsidRDefault="30F77919" w14:paraId="661F1AF9" w14:textId="48DE172E">
      <w:pPr>
        <w:pStyle w:val="Normal"/>
        <w:rPr>
          <w:rFonts w:ascii="Arial" w:hAnsi="Arial" w:eastAsia="Arial" w:cs="Arial"/>
          <w:u w:val="none"/>
        </w:rPr>
      </w:pPr>
    </w:p>
    <w:p w:rsidR="30F77919" w:rsidP="30F77919" w:rsidRDefault="30F77919" w14:paraId="7D5321CD" w14:textId="28C424D5">
      <w:pPr>
        <w:pStyle w:val="Normal"/>
        <w:rPr>
          <w:rFonts w:ascii="Arial" w:hAnsi="Arial" w:eastAsia="Arial" w:cs="Arial"/>
          <w:u w:val="none"/>
        </w:rPr>
      </w:pPr>
    </w:p>
    <w:p w:rsidR="7FC39037" w:rsidP="30F77919" w:rsidRDefault="7FC39037" w14:paraId="07E2363D" w14:textId="6B233AAD">
      <w:pPr>
        <w:pStyle w:val="Normal"/>
        <w:rPr>
          <w:rFonts w:ascii="Arial" w:hAnsi="Arial" w:eastAsia="Arial" w:cs="Arial"/>
          <w:u w:val="single"/>
        </w:rPr>
      </w:pPr>
      <w:r w:rsidRPr="30F77919" w:rsidR="7FC39037">
        <w:rPr>
          <w:rFonts w:ascii="Arial" w:hAnsi="Arial" w:eastAsia="Arial" w:cs="Arial"/>
          <w:u w:val="single"/>
        </w:rPr>
        <w:t>Ref</w:t>
      </w:r>
      <w:r w:rsidRPr="30F77919" w:rsidR="7FC39037">
        <w:rPr>
          <w:rFonts w:ascii="Arial" w:hAnsi="Arial" w:eastAsia="Arial" w:cs="Arial"/>
          <w:u w:val="single"/>
        </w:rPr>
        <w:t>erence</w:t>
      </w:r>
      <w:r w:rsidRPr="30F77919" w:rsidR="7FC39037">
        <w:rPr>
          <w:rFonts w:ascii="Arial" w:hAnsi="Arial" w:eastAsia="Arial" w:cs="Arial"/>
          <w:u w:val="single"/>
        </w:rPr>
        <w:t xml:space="preserve"> li</w:t>
      </w:r>
      <w:r w:rsidRPr="30F77919" w:rsidR="7FC39037">
        <w:rPr>
          <w:rFonts w:ascii="Arial" w:hAnsi="Arial" w:eastAsia="Arial" w:cs="Arial"/>
          <w:u w:val="single"/>
        </w:rPr>
        <w:t>st.</w:t>
      </w:r>
    </w:p>
    <w:p w:rsidR="734022A6" w:rsidP="30F77919" w:rsidRDefault="734022A6" w14:paraId="13F74ACB" w14:textId="6C50E321">
      <w:pPr>
        <w:pStyle w:val="Normal"/>
        <w:rPr>
          <w:rFonts w:ascii="Arial" w:hAnsi="Arial" w:eastAsia="Arial" w:cs="Arial"/>
          <w:u w:val="none"/>
        </w:rPr>
      </w:pPr>
      <w:r w:rsidRPr="30F77919" w:rsidR="734022A6">
        <w:rPr>
          <w:rFonts w:ascii="Arial" w:hAnsi="Arial" w:eastAsia="Arial" w:cs="Arial"/>
          <w:u w:val="none"/>
        </w:rPr>
        <w:t>Abbott, L. and Langston, A. (2004). Birth to Three Matters. McGraw-Hill Education (UK).</w:t>
      </w:r>
    </w:p>
    <w:p w:rsidR="734022A6" w:rsidP="30F77919" w:rsidRDefault="734022A6" w14:paraId="60FE65F3" w14:textId="2ECEFE00">
      <w:pPr>
        <w:pStyle w:val="Normal"/>
      </w:pPr>
      <w:r w:rsidRPr="30F77919" w:rsidR="734022A6">
        <w:rPr>
          <w:rFonts w:ascii="Arial" w:hAnsi="Arial" w:eastAsia="Arial" w:cs="Arial"/>
          <w:u w:val="none"/>
        </w:rPr>
        <w:t>Abbott, L. and Langston, A. (2005). Supporting the framework of effective practice. Open University Press.</w:t>
      </w:r>
    </w:p>
    <w:p w:rsidR="734022A6" w:rsidP="30F77919" w:rsidRDefault="734022A6" w14:paraId="13D10D81" w14:textId="3909A235">
      <w:pPr>
        <w:pStyle w:val="Normal"/>
      </w:pPr>
      <w:r w:rsidRPr="30F77919" w:rsidR="734022A6">
        <w:rPr>
          <w:rFonts w:ascii="Arial" w:hAnsi="Arial" w:eastAsia="Arial" w:cs="Arial"/>
          <w:u w:val="none"/>
        </w:rPr>
        <w:t xml:space="preserve">Burchinal, M. (2018). Measuring Early Care and Education Quality. Child Development Perspectives, 12(1), pp.3–9. </w:t>
      </w:r>
      <w:r w:rsidRPr="30F77919" w:rsidR="1A727120">
        <w:rPr>
          <w:rFonts w:ascii="Arial" w:hAnsi="Arial" w:eastAsia="Arial" w:cs="Arial"/>
          <w:u w:val="none"/>
        </w:rPr>
        <w:t xml:space="preserve">Doi: </w:t>
      </w:r>
      <w:hyperlink r:id="R0aa3321627bd42dd">
        <w:r w:rsidRPr="30F77919" w:rsidR="1A727120">
          <w:rPr>
            <w:rStyle w:val="Hyperlink"/>
            <w:rFonts w:ascii="Arial" w:hAnsi="Arial" w:eastAsia="Arial" w:cs="Arial"/>
          </w:rPr>
          <w:t>HTTPs</w:t>
        </w:r>
        <w:r w:rsidRPr="30F77919" w:rsidR="734022A6">
          <w:rPr>
            <w:rStyle w:val="Hyperlink"/>
            <w:rFonts w:ascii="Arial" w:hAnsi="Arial" w:eastAsia="Arial" w:cs="Arial"/>
          </w:rPr>
          <w:t>://doi.org/10.1111/cdep.12260</w:t>
        </w:r>
      </w:hyperlink>
      <w:r w:rsidRPr="30F77919" w:rsidR="1D42651B">
        <w:rPr>
          <w:rFonts w:ascii="Arial" w:hAnsi="Arial" w:eastAsia="Arial" w:cs="Arial"/>
          <w:u w:val="none"/>
        </w:rPr>
        <w:t xml:space="preserve"> </w:t>
      </w:r>
      <w:r w:rsidRPr="30F77919" w:rsidR="734022A6">
        <w:rPr>
          <w:rFonts w:ascii="Arial" w:hAnsi="Arial" w:eastAsia="Arial" w:cs="Arial"/>
          <w:u w:val="none"/>
        </w:rPr>
        <w:t>.</w:t>
      </w:r>
    </w:p>
    <w:p w:rsidR="734022A6" w:rsidP="30F77919" w:rsidRDefault="734022A6" w14:paraId="134E2366" w14:textId="2C71A46C">
      <w:pPr>
        <w:pStyle w:val="Normal"/>
      </w:pPr>
      <w:r w:rsidRPr="30F77919" w:rsidR="734022A6">
        <w:rPr>
          <w:rFonts w:ascii="Arial" w:hAnsi="Arial" w:eastAsia="Arial" w:cs="Arial"/>
          <w:u w:val="none"/>
        </w:rPr>
        <w:t xml:space="preserve">Cohen, F. and Anders, Y. (2019). Family involvement in early childhood education and care and its effects on the social-emotional and language skills of 3-year-old children. School Effectiveness and School Improvement, 31(1), pp.1–18. </w:t>
      </w:r>
      <w:r w:rsidRPr="30F77919" w:rsidR="0E1A9990">
        <w:rPr>
          <w:rFonts w:ascii="Arial" w:hAnsi="Arial" w:eastAsia="Arial" w:cs="Arial"/>
          <w:u w:val="none"/>
        </w:rPr>
        <w:t xml:space="preserve">Doi: </w:t>
      </w:r>
      <w:hyperlink r:id="Rc7a82e41000f4ea2">
        <w:r w:rsidRPr="30F77919" w:rsidR="0E1A9990">
          <w:rPr>
            <w:rStyle w:val="Hyperlink"/>
            <w:rFonts w:ascii="Arial" w:hAnsi="Arial" w:eastAsia="Arial" w:cs="Arial"/>
          </w:rPr>
          <w:t>HTTPs</w:t>
        </w:r>
        <w:r w:rsidRPr="30F77919" w:rsidR="734022A6">
          <w:rPr>
            <w:rStyle w:val="Hyperlink"/>
            <w:rFonts w:ascii="Arial" w:hAnsi="Arial" w:eastAsia="Arial" w:cs="Arial"/>
          </w:rPr>
          <w:t>://doi.org/10.1080/09243453.2019.1646293</w:t>
        </w:r>
      </w:hyperlink>
      <w:r w:rsidRPr="30F77919" w:rsidR="1739FA82">
        <w:rPr>
          <w:rFonts w:ascii="Arial" w:hAnsi="Arial" w:eastAsia="Arial" w:cs="Arial"/>
          <w:u w:val="none"/>
        </w:rPr>
        <w:t xml:space="preserve"> </w:t>
      </w:r>
      <w:r w:rsidRPr="30F77919" w:rsidR="734022A6">
        <w:rPr>
          <w:rFonts w:ascii="Arial" w:hAnsi="Arial" w:eastAsia="Arial" w:cs="Arial"/>
          <w:u w:val="none"/>
        </w:rPr>
        <w:t>.</w:t>
      </w:r>
    </w:p>
    <w:p w:rsidR="734022A6" w:rsidP="30F77919" w:rsidRDefault="734022A6" w14:paraId="34E4D87F" w14:textId="22812B91">
      <w:pPr>
        <w:pStyle w:val="Normal"/>
      </w:pPr>
      <w:r w:rsidRPr="30F77919" w:rsidR="734022A6">
        <w:rPr>
          <w:rFonts w:ascii="Arial" w:hAnsi="Arial" w:eastAsia="Arial" w:cs="Arial"/>
          <w:u w:val="none"/>
        </w:rPr>
        <w:t xml:space="preserve">Department for Education (2014). Early Years Foundation Stage Statutory Framework (EYFS). [online] GOV.UK. Available at: </w:t>
      </w:r>
      <w:hyperlink r:id="R09a5c4ddcf8d4eed">
        <w:r w:rsidRPr="30F77919" w:rsidR="734022A6">
          <w:rPr>
            <w:rStyle w:val="Hyperlink"/>
            <w:rFonts w:ascii="Arial" w:hAnsi="Arial" w:eastAsia="Arial" w:cs="Arial"/>
          </w:rPr>
          <w:t>https://www.gov.uk/government/publications/early-years-foundation-stage-framework--2</w:t>
        </w:r>
      </w:hyperlink>
      <w:r w:rsidRPr="30F77919" w:rsidR="734022A6">
        <w:rPr>
          <w:rFonts w:ascii="Arial" w:hAnsi="Arial" w:eastAsia="Arial" w:cs="Arial"/>
          <w:u w:val="none"/>
        </w:rPr>
        <w:t xml:space="preserve"> </w:t>
      </w:r>
      <w:r w:rsidRPr="30F77919" w:rsidR="1B895812">
        <w:rPr>
          <w:rFonts w:ascii="Arial" w:hAnsi="Arial" w:eastAsia="Arial" w:cs="Arial"/>
          <w:u w:val="none"/>
        </w:rPr>
        <w:t xml:space="preserve"> </w:t>
      </w:r>
      <w:r w:rsidRPr="30F77919" w:rsidR="3AF6DFB2">
        <w:rPr>
          <w:rFonts w:ascii="Arial" w:hAnsi="Arial" w:eastAsia="Arial" w:cs="Arial"/>
          <w:u w:val="none"/>
        </w:rPr>
        <w:t>(</w:t>
      </w:r>
      <w:r w:rsidRPr="30F77919" w:rsidR="734022A6">
        <w:rPr>
          <w:rFonts w:ascii="Arial" w:hAnsi="Arial" w:eastAsia="Arial" w:cs="Arial"/>
          <w:u w:val="none"/>
        </w:rPr>
        <w:t>Accessed 24 Mar. 2025</w:t>
      </w:r>
      <w:r w:rsidRPr="30F77919" w:rsidR="30BDA336">
        <w:rPr>
          <w:rFonts w:ascii="Arial" w:hAnsi="Arial" w:eastAsia="Arial" w:cs="Arial"/>
          <w:u w:val="none"/>
        </w:rPr>
        <w:t>)</w:t>
      </w:r>
      <w:r w:rsidRPr="30F77919" w:rsidR="734022A6">
        <w:rPr>
          <w:rFonts w:ascii="Arial" w:hAnsi="Arial" w:eastAsia="Arial" w:cs="Arial"/>
          <w:u w:val="none"/>
        </w:rPr>
        <w:t>.</w:t>
      </w:r>
    </w:p>
    <w:p w:rsidR="734022A6" w:rsidP="30F77919" w:rsidRDefault="734022A6" w14:paraId="23C25BD9" w14:textId="25174EB4">
      <w:pPr>
        <w:pStyle w:val="Normal"/>
      </w:pPr>
      <w:r w:rsidRPr="30F77919" w:rsidR="734022A6">
        <w:rPr>
          <w:rFonts w:ascii="Arial" w:hAnsi="Arial" w:eastAsia="Arial" w:cs="Arial"/>
          <w:u w:val="none"/>
        </w:rPr>
        <w:t xml:space="preserve">Elfer, P., Goldschmied, E. and Selleck, D.Y. (2012). Key persons in the early </w:t>
      </w:r>
      <w:r w:rsidRPr="30F77919" w:rsidR="324BD066">
        <w:rPr>
          <w:rFonts w:ascii="Arial" w:hAnsi="Arial" w:eastAsia="Arial" w:cs="Arial"/>
          <w:u w:val="none"/>
        </w:rPr>
        <w:t>years:</w:t>
      </w:r>
      <w:r w:rsidRPr="30F77919" w:rsidR="734022A6">
        <w:rPr>
          <w:rFonts w:ascii="Arial" w:hAnsi="Arial" w:eastAsia="Arial" w:cs="Arial"/>
          <w:u w:val="none"/>
        </w:rPr>
        <w:t xml:space="preserve"> building relationships for quality provision in early years settings and primary schools. Abingdon, Oxon: Routledge.</w:t>
      </w:r>
    </w:p>
    <w:p w:rsidR="734022A6" w:rsidP="30F77919" w:rsidRDefault="734022A6" w14:paraId="53C26E4E" w14:textId="73CDDC5E">
      <w:pPr>
        <w:pStyle w:val="Normal"/>
      </w:pPr>
      <w:r w:rsidRPr="30F77919" w:rsidR="734022A6">
        <w:rPr>
          <w:rFonts w:ascii="Arial" w:hAnsi="Arial" w:eastAsia="Arial" w:cs="Arial"/>
          <w:u w:val="none"/>
        </w:rPr>
        <w:t xml:space="preserve">Hestenes, L.L., Rucker, L., Wang, Y.C., Mims, S.U., Hestenes, S.E. and Cassidy, D.J. (2019). A Comparison of the ECERS-R and ECERS-3: Different Aspects of Quality? Early Education and Development, 30(4), pp.496–510. </w:t>
      </w:r>
      <w:r w:rsidRPr="30F77919" w:rsidR="7F26A529">
        <w:rPr>
          <w:rFonts w:ascii="Arial" w:hAnsi="Arial" w:eastAsia="Arial" w:cs="Arial"/>
          <w:u w:val="none"/>
        </w:rPr>
        <w:t xml:space="preserve">Doi: </w:t>
      </w:r>
      <w:hyperlink r:id="R184616ec31654b68">
        <w:r w:rsidRPr="30F77919" w:rsidR="7F26A529">
          <w:rPr>
            <w:rStyle w:val="Hyperlink"/>
            <w:rFonts w:ascii="Arial" w:hAnsi="Arial" w:eastAsia="Arial" w:cs="Arial"/>
          </w:rPr>
          <w:t>HTTPs</w:t>
        </w:r>
        <w:r w:rsidRPr="30F77919" w:rsidR="734022A6">
          <w:rPr>
            <w:rStyle w:val="Hyperlink"/>
            <w:rFonts w:ascii="Arial" w:hAnsi="Arial" w:eastAsia="Arial" w:cs="Arial"/>
          </w:rPr>
          <w:t>://doi.org/10.1080/10409289.2018.1559681</w:t>
        </w:r>
      </w:hyperlink>
      <w:r w:rsidRPr="30F77919" w:rsidR="266D0687">
        <w:rPr>
          <w:rFonts w:ascii="Arial" w:hAnsi="Arial" w:eastAsia="Arial" w:cs="Arial"/>
          <w:u w:val="none"/>
        </w:rPr>
        <w:t xml:space="preserve"> </w:t>
      </w:r>
      <w:r w:rsidRPr="30F77919" w:rsidR="734022A6">
        <w:rPr>
          <w:rFonts w:ascii="Arial" w:hAnsi="Arial" w:eastAsia="Arial" w:cs="Arial"/>
          <w:u w:val="none"/>
        </w:rPr>
        <w:t>.</w:t>
      </w:r>
    </w:p>
    <w:p w:rsidR="734022A6" w:rsidP="30F77919" w:rsidRDefault="734022A6" w14:paraId="53D6FE1F" w14:textId="372A041D">
      <w:pPr>
        <w:pStyle w:val="Normal"/>
      </w:pPr>
      <w:r w:rsidRPr="30F77919" w:rsidR="734022A6">
        <w:rPr>
          <w:rFonts w:ascii="Arial" w:hAnsi="Arial" w:eastAsia="Arial" w:cs="Arial"/>
          <w:u w:val="none"/>
        </w:rPr>
        <w:t xml:space="preserve">Hoare, P. (n.d.). Sustained Shared Thinking and Emotional Well-being Scales Lead Officer Early Years. [online] Available at: </w:t>
      </w:r>
      <w:hyperlink r:id="R3775c7713a9a48ea">
        <w:r w:rsidRPr="30F77919" w:rsidR="734022A6">
          <w:rPr>
            <w:rStyle w:val="Hyperlink"/>
            <w:rFonts w:ascii="Arial" w:hAnsi="Arial" w:eastAsia="Arial" w:cs="Arial"/>
          </w:rPr>
          <w:t>https://www.towerhamlets.gov.uk/Documents/Children-and-families-services/Early-Years/Sustained_Shared_Thinking_and_Emotional_Well_being_scales_Presentation.pdf</w:t>
        </w:r>
      </w:hyperlink>
      <w:r w:rsidRPr="30F77919" w:rsidR="1A219FA8">
        <w:rPr>
          <w:rFonts w:ascii="Arial" w:hAnsi="Arial" w:eastAsia="Arial" w:cs="Arial"/>
          <w:u w:val="none"/>
        </w:rPr>
        <w:t xml:space="preserve"> </w:t>
      </w:r>
      <w:r w:rsidRPr="30F77919" w:rsidR="734022A6">
        <w:rPr>
          <w:rFonts w:ascii="Arial" w:hAnsi="Arial" w:eastAsia="Arial" w:cs="Arial"/>
          <w:u w:val="none"/>
        </w:rPr>
        <w:t>.</w:t>
      </w:r>
    </w:p>
    <w:p w:rsidR="734022A6" w:rsidP="30F77919" w:rsidRDefault="734022A6" w14:paraId="7B58D4F5" w14:textId="6D9A91B9">
      <w:pPr>
        <w:pStyle w:val="Normal"/>
      </w:pPr>
      <w:r w:rsidRPr="30F77919" w:rsidR="734022A6">
        <w:rPr>
          <w:rFonts w:ascii="Arial" w:hAnsi="Arial" w:eastAsia="Arial" w:cs="Arial"/>
          <w:u w:val="none"/>
        </w:rPr>
        <w:t xml:space="preserve">Iram Siraj, Kingston, </w:t>
      </w:r>
      <w:r w:rsidRPr="30F77919" w:rsidR="734022A6">
        <w:rPr>
          <w:rFonts w:ascii="Arial" w:hAnsi="Arial" w:eastAsia="Arial" w:cs="Arial"/>
          <w:u w:val="none"/>
        </w:rPr>
        <w:t>D.</w:t>
      </w:r>
      <w:r w:rsidRPr="30F77919" w:rsidR="734022A6">
        <w:rPr>
          <w:rFonts w:ascii="Arial" w:hAnsi="Arial" w:eastAsia="Arial" w:cs="Arial"/>
          <w:u w:val="none"/>
        </w:rPr>
        <w:t xml:space="preserve"> and Melhuish, E.C. (2015). Assessing quality in early childhood education and </w:t>
      </w:r>
      <w:r w:rsidRPr="30F77919" w:rsidR="0F4DD9AC">
        <w:rPr>
          <w:rFonts w:ascii="Arial" w:hAnsi="Arial" w:eastAsia="Arial" w:cs="Arial"/>
          <w:u w:val="none"/>
        </w:rPr>
        <w:t>care:</w:t>
      </w:r>
      <w:r w:rsidRPr="30F77919" w:rsidR="734022A6">
        <w:rPr>
          <w:rFonts w:ascii="Arial" w:hAnsi="Arial" w:eastAsia="Arial" w:cs="Arial"/>
          <w:u w:val="none"/>
        </w:rPr>
        <w:t xml:space="preserve"> Sustained Shared Thinking and Emotional Well-being (SSTEW) Scale for </w:t>
      </w:r>
      <w:r w:rsidRPr="30F77919" w:rsidR="4A859B2B">
        <w:rPr>
          <w:rFonts w:ascii="Arial" w:hAnsi="Arial" w:eastAsia="Arial" w:cs="Arial"/>
          <w:u w:val="none"/>
        </w:rPr>
        <w:t>2–5-Year-olds</w:t>
      </w:r>
      <w:r w:rsidRPr="30F77919" w:rsidR="734022A6">
        <w:rPr>
          <w:rFonts w:ascii="Arial" w:hAnsi="Arial" w:eastAsia="Arial" w:cs="Arial"/>
          <w:u w:val="none"/>
        </w:rPr>
        <w:t xml:space="preserve"> provision. London: </w:t>
      </w:r>
      <w:r w:rsidRPr="30F77919" w:rsidR="734022A6">
        <w:rPr>
          <w:rFonts w:ascii="Arial" w:hAnsi="Arial" w:eastAsia="Arial" w:cs="Arial"/>
          <w:u w:val="none"/>
        </w:rPr>
        <w:t>Ioe</w:t>
      </w:r>
      <w:r w:rsidRPr="30F77919" w:rsidR="734022A6">
        <w:rPr>
          <w:rFonts w:ascii="Arial" w:hAnsi="Arial" w:eastAsia="Arial" w:cs="Arial"/>
          <w:u w:val="none"/>
        </w:rPr>
        <w:t xml:space="preserve"> </w:t>
      </w:r>
      <w:r w:rsidRPr="30F77919" w:rsidR="087E0722">
        <w:rPr>
          <w:rFonts w:ascii="Arial" w:hAnsi="Arial" w:eastAsia="Arial" w:cs="Arial"/>
          <w:u w:val="none"/>
        </w:rPr>
        <w:t>Press;</w:t>
      </w:r>
      <w:r w:rsidRPr="30F77919" w:rsidR="734022A6">
        <w:rPr>
          <w:rFonts w:ascii="Arial" w:hAnsi="Arial" w:eastAsia="Arial" w:cs="Arial"/>
          <w:u w:val="none"/>
        </w:rPr>
        <w:t xml:space="preserve"> Stoke </w:t>
      </w:r>
      <w:r w:rsidRPr="30F77919" w:rsidR="5BCC650F">
        <w:rPr>
          <w:rFonts w:ascii="Arial" w:hAnsi="Arial" w:eastAsia="Arial" w:cs="Arial"/>
          <w:u w:val="none"/>
        </w:rPr>
        <w:t>on</w:t>
      </w:r>
      <w:r w:rsidRPr="30F77919" w:rsidR="734022A6">
        <w:rPr>
          <w:rFonts w:ascii="Arial" w:hAnsi="Arial" w:eastAsia="Arial" w:cs="Arial"/>
          <w:u w:val="none"/>
        </w:rPr>
        <w:t xml:space="preserve"> Trent.</w:t>
      </w:r>
    </w:p>
    <w:p w:rsidR="734022A6" w:rsidP="30F77919" w:rsidRDefault="734022A6" w14:paraId="61CC426D" w14:textId="541D4308">
      <w:pPr>
        <w:pStyle w:val="Normal"/>
      </w:pPr>
      <w:r w:rsidRPr="30F77919" w:rsidR="734022A6">
        <w:rPr>
          <w:rFonts w:ascii="Arial" w:hAnsi="Arial" w:eastAsia="Arial" w:cs="Arial"/>
          <w:u w:val="none"/>
        </w:rPr>
        <w:t xml:space="preserve">Jeong, J., </w:t>
      </w:r>
      <w:r w:rsidRPr="30F77919" w:rsidR="734022A6">
        <w:rPr>
          <w:rFonts w:ascii="Arial" w:hAnsi="Arial" w:eastAsia="Arial" w:cs="Arial"/>
          <w:u w:val="none"/>
        </w:rPr>
        <w:t>Bliznashka</w:t>
      </w:r>
      <w:r w:rsidRPr="30F77919" w:rsidR="734022A6">
        <w:rPr>
          <w:rFonts w:ascii="Arial" w:hAnsi="Arial" w:eastAsia="Arial" w:cs="Arial"/>
          <w:u w:val="none"/>
        </w:rPr>
        <w:t xml:space="preserve">, L., Sullivan, E., Hentschel, E., Jeon, Y., Strong, K.L. and Daelmans, B. (2022). Measurement tools and indicators for assessing nurturing care for early childhood development: A scoping review. PLOS Global Public Health, 2(4), p.e0000373. </w:t>
      </w:r>
      <w:r w:rsidRPr="30F77919" w:rsidR="7C85366B">
        <w:rPr>
          <w:rFonts w:ascii="Arial" w:hAnsi="Arial" w:eastAsia="Arial" w:cs="Arial"/>
          <w:u w:val="none"/>
        </w:rPr>
        <w:t xml:space="preserve">Doi: </w:t>
      </w:r>
      <w:hyperlink r:id="Rbd0df16f6aac4d2e">
        <w:r w:rsidRPr="30F77919" w:rsidR="7C85366B">
          <w:rPr>
            <w:rStyle w:val="Hyperlink"/>
            <w:rFonts w:ascii="Arial" w:hAnsi="Arial" w:eastAsia="Arial" w:cs="Arial"/>
          </w:rPr>
          <w:t>HTTPs</w:t>
        </w:r>
        <w:r w:rsidRPr="30F77919" w:rsidR="734022A6">
          <w:rPr>
            <w:rStyle w:val="Hyperlink"/>
            <w:rFonts w:ascii="Arial" w:hAnsi="Arial" w:eastAsia="Arial" w:cs="Arial"/>
          </w:rPr>
          <w:t>://doi.org/10.1371/journal.pgph.0000373</w:t>
        </w:r>
      </w:hyperlink>
      <w:r w:rsidRPr="30F77919" w:rsidR="0B2AF6C8">
        <w:rPr>
          <w:rFonts w:ascii="Arial" w:hAnsi="Arial" w:eastAsia="Arial" w:cs="Arial"/>
          <w:u w:val="none"/>
        </w:rPr>
        <w:t xml:space="preserve"> </w:t>
      </w:r>
      <w:r w:rsidRPr="30F77919" w:rsidR="734022A6">
        <w:rPr>
          <w:rFonts w:ascii="Arial" w:hAnsi="Arial" w:eastAsia="Arial" w:cs="Arial"/>
          <w:u w:val="none"/>
        </w:rPr>
        <w:t>.</w:t>
      </w:r>
    </w:p>
    <w:p w:rsidR="734022A6" w:rsidP="30F77919" w:rsidRDefault="734022A6" w14:paraId="3508AE76" w14:textId="1541960B">
      <w:pPr>
        <w:pStyle w:val="Normal"/>
      </w:pPr>
      <w:r w:rsidRPr="30F77919" w:rsidR="734022A6">
        <w:rPr>
          <w:rFonts w:ascii="Arial" w:hAnsi="Arial" w:eastAsia="Arial" w:cs="Arial"/>
          <w:u w:val="none"/>
        </w:rPr>
        <w:t xml:space="preserve">NSPCC (2021). Attachment and Child Development. [online] NSPCC Learning. Available at: </w:t>
      </w:r>
      <w:hyperlink r:id="R7f48cf2811694fd8">
        <w:r w:rsidRPr="30F77919" w:rsidR="734022A6">
          <w:rPr>
            <w:rStyle w:val="Hyperlink"/>
            <w:rFonts w:ascii="Arial" w:hAnsi="Arial" w:eastAsia="Arial" w:cs="Arial"/>
          </w:rPr>
          <w:t>https://learning.nspcc.org.uk/child-health-development/attachment-early-years</w:t>
        </w:r>
      </w:hyperlink>
      <w:r w:rsidRPr="30F77919" w:rsidR="734022A6">
        <w:rPr>
          <w:rFonts w:ascii="Arial" w:hAnsi="Arial" w:eastAsia="Arial" w:cs="Arial"/>
          <w:u w:val="none"/>
        </w:rPr>
        <w:t xml:space="preserve"> </w:t>
      </w:r>
      <w:r w:rsidRPr="30F77919" w:rsidR="765F8183">
        <w:rPr>
          <w:rFonts w:ascii="Arial" w:hAnsi="Arial" w:eastAsia="Arial" w:cs="Arial"/>
          <w:u w:val="none"/>
        </w:rPr>
        <w:t xml:space="preserve"> </w:t>
      </w:r>
      <w:r w:rsidRPr="30F77919" w:rsidR="734022A6">
        <w:rPr>
          <w:rFonts w:ascii="Arial" w:hAnsi="Arial" w:eastAsia="Arial" w:cs="Arial"/>
          <w:u w:val="none"/>
        </w:rPr>
        <w:t>(Accessed 23 Mar. 2025</w:t>
      </w:r>
      <w:r w:rsidRPr="30F77919" w:rsidR="38AEFF17">
        <w:rPr>
          <w:rFonts w:ascii="Arial" w:hAnsi="Arial" w:eastAsia="Arial" w:cs="Arial"/>
          <w:u w:val="none"/>
        </w:rPr>
        <w:t>)</w:t>
      </w:r>
      <w:r w:rsidRPr="30F77919" w:rsidR="734022A6">
        <w:rPr>
          <w:rFonts w:ascii="Arial" w:hAnsi="Arial" w:eastAsia="Arial" w:cs="Arial"/>
          <w:u w:val="none"/>
        </w:rPr>
        <w:t>.</w:t>
      </w:r>
    </w:p>
    <w:p w:rsidR="734022A6" w:rsidP="30F77919" w:rsidRDefault="734022A6" w14:paraId="05601083" w14:textId="70F4E6D6">
      <w:pPr>
        <w:pStyle w:val="Normal"/>
      </w:pPr>
      <w:r w:rsidRPr="30F77919" w:rsidR="734022A6">
        <w:rPr>
          <w:rFonts w:ascii="Arial" w:hAnsi="Arial" w:eastAsia="Arial" w:cs="Arial"/>
          <w:u w:val="none"/>
        </w:rPr>
        <w:t xml:space="preserve">OECD. (2024). Structural characteristics and process quality in early childhood education and care. [online] Available at: </w:t>
      </w:r>
      <w:hyperlink r:id="R89f45936fd404b0b">
        <w:r w:rsidRPr="30F77919" w:rsidR="734022A6">
          <w:rPr>
            <w:rStyle w:val="Hyperlink"/>
            <w:rFonts w:ascii="Arial" w:hAnsi="Arial" w:eastAsia="Arial" w:cs="Arial"/>
          </w:rPr>
          <w:t>https://www.oecd.org/en/publications/structural-characteristics-and-process-quality-in-early-childhood-education-and-care_edaf3793-en.html</w:t>
        </w:r>
      </w:hyperlink>
      <w:r w:rsidRPr="30F77919" w:rsidR="734022A6">
        <w:rPr>
          <w:rFonts w:ascii="Arial" w:hAnsi="Arial" w:eastAsia="Arial" w:cs="Arial"/>
          <w:u w:val="none"/>
        </w:rPr>
        <w:t xml:space="preserve"> </w:t>
      </w:r>
      <w:r w:rsidRPr="30F77919" w:rsidR="422D281D">
        <w:rPr>
          <w:rFonts w:ascii="Arial" w:hAnsi="Arial" w:eastAsia="Arial" w:cs="Arial"/>
          <w:u w:val="none"/>
        </w:rPr>
        <w:t xml:space="preserve"> </w:t>
      </w:r>
      <w:r w:rsidRPr="30F77919" w:rsidR="2F2FA48A">
        <w:rPr>
          <w:rFonts w:ascii="Arial" w:hAnsi="Arial" w:eastAsia="Arial" w:cs="Arial"/>
          <w:u w:val="none"/>
        </w:rPr>
        <w:t>(</w:t>
      </w:r>
      <w:r w:rsidRPr="30F77919" w:rsidR="734022A6">
        <w:rPr>
          <w:rFonts w:ascii="Arial" w:hAnsi="Arial" w:eastAsia="Arial" w:cs="Arial"/>
          <w:u w:val="none"/>
        </w:rPr>
        <w:t>Accessed 21 Mar. 2025</w:t>
      </w:r>
      <w:r w:rsidRPr="30F77919" w:rsidR="2D9642E2">
        <w:rPr>
          <w:rFonts w:ascii="Arial" w:hAnsi="Arial" w:eastAsia="Arial" w:cs="Arial"/>
          <w:u w:val="none"/>
        </w:rPr>
        <w:t>)</w:t>
      </w:r>
      <w:r w:rsidRPr="30F77919" w:rsidR="734022A6">
        <w:rPr>
          <w:rFonts w:ascii="Arial" w:hAnsi="Arial" w:eastAsia="Arial" w:cs="Arial"/>
          <w:u w:val="none"/>
        </w:rPr>
        <w:t>.</w:t>
      </w:r>
    </w:p>
    <w:p w:rsidR="734022A6" w:rsidP="30F77919" w:rsidRDefault="734022A6" w14:paraId="3E87BA8C" w14:textId="06779F1F">
      <w:pPr>
        <w:pStyle w:val="Normal"/>
      </w:pPr>
      <w:r w:rsidRPr="30F77919" w:rsidR="734022A6">
        <w:rPr>
          <w:rFonts w:ascii="Arial" w:hAnsi="Arial" w:eastAsia="Arial" w:cs="Arial"/>
          <w:u w:val="none"/>
        </w:rPr>
        <w:t xml:space="preserve">Ofsted (2023). </w:t>
      </w:r>
      <w:r w:rsidRPr="30F77919" w:rsidR="734022A6">
        <w:rPr>
          <w:rFonts w:ascii="Arial" w:hAnsi="Arial" w:eastAsia="Arial" w:cs="Arial"/>
          <w:u w:val="none"/>
        </w:rPr>
        <w:t>A strong foundation</w:t>
      </w:r>
      <w:r w:rsidRPr="30F77919" w:rsidR="734022A6">
        <w:rPr>
          <w:rFonts w:ascii="Arial" w:hAnsi="Arial" w:eastAsia="Arial" w:cs="Arial"/>
          <w:u w:val="none"/>
        </w:rPr>
        <w:t xml:space="preserve"> in the early years is crucial to children’s success. [online] GOV.UK. Available at: </w:t>
      </w:r>
      <w:hyperlink r:id="R32b06f8c739a476e">
        <w:r w:rsidRPr="30F77919" w:rsidR="734022A6">
          <w:rPr>
            <w:rStyle w:val="Hyperlink"/>
            <w:rFonts w:ascii="Arial" w:hAnsi="Arial" w:eastAsia="Arial" w:cs="Arial"/>
          </w:rPr>
          <w:t>https://www.gov.uk/government/news/a-strong-foundation-in-the-early-years-is-crucial-to-childrens-success</w:t>
        </w:r>
      </w:hyperlink>
      <w:r w:rsidRPr="30F77919" w:rsidR="734022A6">
        <w:rPr>
          <w:rFonts w:ascii="Arial" w:hAnsi="Arial" w:eastAsia="Arial" w:cs="Arial"/>
          <w:u w:val="none"/>
        </w:rPr>
        <w:t xml:space="preserve"> </w:t>
      </w:r>
      <w:r w:rsidRPr="30F77919" w:rsidR="6E2461D4">
        <w:rPr>
          <w:rFonts w:ascii="Arial" w:hAnsi="Arial" w:eastAsia="Arial" w:cs="Arial"/>
          <w:u w:val="none"/>
        </w:rPr>
        <w:t xml:space="preserve"> (</w:t>
      </w:r>
      <w:r w:rsidRPr="30F77919" w:rsidR="734022A6">
        <w:rPr>
          <w:rFonts w:ascii="Arial" w:hAnsi="Arial" w:eastAsia="Arial" w:cs="Arial"/>
          <w:u w:val="none"/>
        </w:rPr>
        <w:t>Accessed 23 Mar. 2025</w:t>
      </w:r>
      <w:r w:rsidRPr="30F77919" w:rsidR="679EAF48">
        <w:rPr>
          <w:rFonts w:ascii="Arial" w:hAnsi="Arial" w:eastAsia="Arial" w:cs="Arial"/>
          <w:u w:val="none"/>
        </w:rPr>
        <w:t>)</w:t>
      </w:r>
      <w:r w:rsidRPr="30F77919" w:rsidR="734022A6">
        <w:rPr>
          <w:rFonts w:ascii="Arial" w:hAnsi="Arial" w:eastAsia="Arial" w:cs="Arial"/>
          <w:u w:val="none"/>
        </w:rPr>
        <w:t>.</w:t>
      </w:r>
    </w:p>
    <w:p w:rsidR="734022A6" w:rsidP="30F77919" w:rsidRDefault="734022A6" w14:paraId="25524579" w14:textId="063EB86D">
      <w:pPr>
        <w:pStyle w:val="Normal"/>
      </w:pPr>
      <w:r w:rsidRPr="30F77919" w:rsidR="734022A6">
        <w:rPr>
          <w:rFonts w:ascii="Arial" w:hAnsi="Arial" w:eastAsia="Arial" w:cs="Arial"/>
          <w:u w:val="none"/>
        </w:rPr>
        <w:t xml:space="preserve">Owston, L., Jones, A. and Stanley, Y. (2024). Maintaining quality early years provision in the face of workforce challenges – Ofsted: early years. [online] earlyyears.blog.gov.uk. Available at: </w:t>
      </w:r>
      <w:hyperlink r:id="Rd8c028a6078f48cf">
        <w:r w:rsidRPr="30F77919" w:rsidR="734022A6">
          <w:rPr>
            <w:rStyle w:val="Hyperlink"/>
            <w:rFonts w:ascii="Arial" w:hAnsi="Arial" w:eastAsia="Arial" w:cs="Arial"/>
          </w:rPr>
          <w:t>https://earlyyears.blog.gov.uk/2024/05/13/maintaining-quality-early-years-provision-in-the-face-of-workforce-challenges/</w:t>
        </w:r>
      </w:hyperlink>
      <w:r w:rsidRPr="30F77919" w:rsidR="79B2FF61">
        <w:rPr>
          <w:rFonts w:ascii="Arial" w:hAnsi="Arial" w:eastAsia="Arial" w:cs="Arial"/>
          <w:u w:val="none"/>
        </w:rPr>
        <w:t xml:space="preserve"> </w:t>
      </w:r>
      <w:r w:rsidRPr="30F77919" w:rsidR="734022A6">
        <w:rPr>
          <w:rFonts w:ascii="Arial" w:hAnsi="Arial" w:eastAsia="Arial" w:cs="Arial"/>
          <w:u w:val="none"/>
        </w:rPr>
        <w:t>.</w:t>
      </w:r>
    </w:p>
    <w:p w:rsidR="734022A6" w:rsidP="30F77919" w:rsidRDefault="734022A6" w14:paraId="38265664" w14:textId="4ECF647E">
      <w:pPr>
        <w:pStyle w:val="Normal"/>
      </w:pPr>
      <w:r w:rsidRPr="30F77919" w:rsidR="734022A6">
        <w:rPr>
          <w:rFonts w:ascii="Arial" w:hAnsi="Arial" w:eastAsia="Arial" w:cs="Arial"/>
          <w:u w:val="none"/>
        </w:rPr>
        <w:t xml:space="preserve">Palm, M. (2024). 10.3 Vygotsky’s Sociocultural Theory. openbooks.library.baylor.edu. [online] Available at: </w:t>
      </w:r>
      <w:hyperlink r:id="Re36007658e9d4b29">
        <w:r w:rsidRPr="30F77919" w:rsidR="734022A6">
          <w:rPr>
            <w:rStyle w:val="Hyperlink"/>
            <w:rFonts w:ascii="Arial" w:hAnsi="Arial" w:eastAsia="Arial" w:cs="Arial"/>
          </w:rPr>
          <w:t>https://openbooks.library.baylor.edu/lifespanhumandevelopment/chapter/chapter-9-3-vygotskys-sociocultural-theory/</w:t>
        </w:r>
      </w:hyperlink>
      <w:r w:rsidRPr="30F77919" w:rsidR="31B46183">
        <w:rPr>
          <w:rFonts w:ascii="Arial" w:hAnsi="Arial" w:eastAsia="Arial" w:cs="Arial"/>
          <w:u w:val="none"/>
        </w:rPr>
        <w:t xml:space="preserve"> </w:t>
      </w:r>
      <w:r w:rsidRPr="30F77919" w:rsidR="734022A6">
        <w:rPr>
          <w:rFonts w:ascii="Arial" w:hAnsi="Arial" w:eastAsia="Arial" w:cs="Arial"/>
          <w:u w:val="none"/>
        </w:rPr>
        <w:t>.</w:t>
      </w:r>
    </w:p>
    <w:p w:rsidR="734022A6" w:rsidP="30F77919" w:rsidRDefault="734022A6" w14:paraId="1B7CABA4" w14:textId="608FE150">
      <w:pPr>
        <w:pStyle w:val="Normal"/>
      </w:pPr>
      <w:r w:rsidRPr="30F77919" w:rsidR="734022A6">
        <w:rPr>
          <w:rFonts w:ascii="Arial" w:hAnsi="Arial" w:eastAsia="Arial" w:cs="Arial"/>
          <w:u w:val="none"/>
        </w:rPr>
        <w:t xml:space="preserve">Pascal, C., Bertram, T. and Rouse, L. (2019). Getting It Right in the Early Years Foundation Stage: a Review of the Evidence. [online] Available at: </w:t>
      </w:r>
      <w:hyperlink r:id="R6266e77ceda24098">
        <w:r w:rsidRPr="30F77919" w:rsidR="734022A6">
          <w:rPr>
            <w:rStyle w:val="Hyperlink"/>
            <w:rFonts w:ascii="Arial" w:hAnsi="Arial" w:eastAsia="Arial" w:cs="Arial"/>
          </w:rPr>
          <w:t>https://early-education.org.uk/wp-content/uploads/2021/12/Getting-it-right-in-the-EYFS-Literature-Review.pdf</w:t>
        </w:r>
      </w:hyperlink>
      <w:r w:rsidRPr="30F77919" w:rsidR="52CD51B7">
        <w:rPr>
          <w:rFonts w:ascii="Arial" w:hAnsi="Arial" w:eastAsia="Arial" w:cs="Arial"/>
          <w:u w:val="none"/>
        </w:rPr>
        <w:t xml:space="preserve"> </w:t>
      </w:r>
      <w:r w:rsidRPr="30F77919" w:rsidR="734022A6">
        <w:rPr>
          <w:rFonts w:ascii="Arial" w:hAnsi="Arial" w:eastAsia="Arial" w:cs="Arial"/>
          <w:u w:val="none"/>
        </w:rPr>
        <w:t>.</w:t>
      </w:r>
    </w:p>
    <w:p w:rsidR="734022A6" w:rsidP="30F77919" w:rsidRDefault="734022A6" w14:paraId="0E6EF675" w14:textId="70DEA1E2">
      <w:pPr>
        <w:pStyle w:val="Normal"/>
      </w:pPr>
      <w:r w:rsidRPr="30F77919" w:rsidR="734022A6">
        <w:rPr>
          <w:rFonts w:ascii="Arial" w:hAnsi="Arial" w:eastAsia="Arial" w:cs="Arial"/>
          <w:u w:val="none"/>
        </w:rPr>
        <w:t xml:space="preserve">Pianta, R., Downer, J. and Hamre, B. (2016). Quality in Early Education Classrooms: Definitions, Gaps, and Systems. The Future of Children, [online] 26(2), pp.119–137. Available at: </w:t>
      </w:r>
      <w:hyperlink r:id="R6adc475c21cd4870">
        <w:r w:rsidRPr="30F77919" w:rsidR="734022A6">
          <w:rPr>
            <w:rStyle w:val="Hyperlink"/>
            <w:rFonts w:ascii="Arial" w:hAnsi="Arial" w:eastAsia="Arial" w:cs="Arial"/>
          </w:rPr>
          <w:t>https://www.jstor.org/stable/43940584</w:t>
        </w:r>
      </w:hyperlink>
      <w:r w:rsidRPr="30F77919" w:rsidR="6A9B2C7B">
        <w:rPr>
          <w:rFonts w:ascii="Arial" w:hAnsi="Arial" w:eastAsia="Arial" w:cs="Arial"/>
          <w:u w:val="none"/>
        </w:rPr>
        <w:t xml:space="preserve"> </w:t>
      </w:r>
      <w:r w:rsidRPr="30F77919" w:rsidR="734022A6">
        <w:rPr>
          <w:rFonts w:ascii="Arial" w:hAnsi="Arial" w:eastAsia="Arial" w:cs="Arial"/>
          <w:u w:val="none"/>
        </w:rPr>
        <w:t>.</w:t>
      </w:r>
    </w:p>
    <w:p w:rsidR="734022A6" w:rsidP="30F77919" w:rsidRDefault="734022A6" w14:paraId="743A2338" w14:textId="7F077663">
      <w:pPr>
        <w:pStyle w:val="Normal"/>
      </w:pPr>
      <w:r w:rsidRPr="30F77919" w:rsidR="734022A6">
        <w:rPr>
          <w:rFonts w:ascii="Arial" w:hAnsi="Arial" w:eastAsia="Arial" w:cs="Arial"/>
          <w:u w:val="none"/>
        </w:rPr>
        <w:t xml:space="preserve">Siraj-Blatchford, I. and Hallet, E. (2014). Effective and Caring Leadership in the Early Years. </w:t>
      </w:r>
      <w:r w:rsidRPr="30F77919" w:rsidR="734022A6">
        <w:rPr>
          <w:rFonts w:ascii="Arial" w:hAnsi="Arial" w:eastAsia="Arial" w:cs="Arial"/>
          <w:u w:val="none"/>
        </w:rPr>
        <w:t xml:space="preserve">Doi: </w:t>
      </w:r>
      <w:hyperlink r:id="R0d1c47d072a44578">
        <w:r w:rsidRPr="30F77919" w:rsidR="734022A6">
          <w:rPr>
            <w:rStyle w:val="Hyperlink"/>
            <w:rFonts w:ascii="Arial" w:hAnsi="Arial" w:eastAsia="Arial" w:cs="Arial"/>
          </w:rPr>
          <w:t>HTTPs</w:t>
        </w:r>
        <w:r w:rsidRPr="30F77919" w:rsidR="734022A6">
          <w:rPr>
            <w:rStyle w:val="Hyperlink"/>
            <w:rFonts w:ascii="Arial" w:hAnsi="Arial" w:eastAsia="Arial" w:cs="Arial"/>
          </w:rPr>
          <w:t>://doi.org/10.4135/9781473957848</w:t>
        </w:r>
      </w:hyperlink>
      <w:r w:rsidRPr="30F77919" w:rsidR="49128B91">
        <w:rPr>
          <w:rFonts w:ascii="Arial" w:hAnsi="Arial" w:eastAsia="Arial" w:cs="Arial"/>
          <w:u w:val="none"/>
        </w:rPr>
        <w:t xml:space="preserve"> </w:t>
      </w:r>
      <w:r w:rsidRPr="30F77919" w:rsidR="734022A6">
        <w:rPr>
          <w:rFonts w:ascii="Arial" w:hAnsi="Arial" w:eastAsia="Arial" w:cs="Arial"/>
          <w:u w:val="none"/>
        </w:rPr>
        <w:t>.</w:t>
      </w:r>
    </w:p>
    <w:p w:rsidR="734022A6" w:rsidP="30F77919" w:rsidRDefault="734022A6" w14:paraId="6CC0026E" w14:textId="6FD7CFF4">
      <w:pPr>
        <w:pStyle w:val="Normal"/>
      </w:pPr>
      <w:r w:rsidRPr="30F77919" w:rsidR="734022A6">
        <w:rPr>
          <w:rFonts w:ascii="Arial" w:hAnsi="Arial" w:eastAsia="Arial" w:cs="Arial"/>
          <w:u w:val="none"/>
        </w:rPr>
        <w:t xml:space="preserve">Sylva, K., Taggart, B., Siraj‐Blatchford, I., </w:t>
      </w:r>
      <w:r w:rsidRPr="30F77919" w:rsidR="734022A6">
        <w:rPr>
          <w:rFonts w:ascii="Arial" w:hAnsi="Arial" w:eastAsia="Arial" w:cs="Arial"/>
          <w:u w:val="none"/>
        </w:rPr>
        <w:t>Totsika</w:t>
      </w:r>
      <w:r w:rsidRPr="30F77919" w:rsidR="734022A6">
        <w:rPr>
          <w:rFonts w:ascii="Arial" w:hAnsi="Arial" w:eastAsia="Arial" w:cs="Arial"/>
          <w:u w:val="none"/>
        </w:rPr>
        <w:t xml:space="preserve">, V., </w:t>
      </w:r>
      <w:r w:rsidRPr="30F77919" w:rsidR="734022A6">
        <w:rPr>
          <w:rFonts w:ascii="Arial" w:hAnsi="Arial" w:eastAsia="Arial" w:cs="Arial"/>
          <w:u w:val="none"/>
        </w:rPr>
        <w:t>Ereky</w:t>
      </w:r>
      <w:r w:rsidRPr="30F77919" w:rsidR="734022A6">
        <w:rPr>
          <w:rFonts w:ascii="Arial" w:hAnsi="Arial" w:eastAsia="Arial" w:cs="Arial"/>
          <w:u w:val="none"/>
        </w:rPr>
        <w:t xml:space="preserve">‐Stevens, K., Gilden, R. and Bell, D. (2007). Curricular quality and day‐to‐day learning activities in pre‐school. International Journal of Early Years Education, 15(1), pp.49–65. </w:t>
      </w:r>
      <w:r w:rsidRPr="30F77919" w:rsidR="734022A6">
        <w:rPr>
          <w:rFonts w:ascii="Arial" w:hAnsi="Arial" w:eastAsia="Arial" w:cs="Arial"/>
          <w:u w:val="none"/>
        </w:rPr>
        <w:t xml:space="preserve">Doi: </w:t>
      </w:r>
      <w:hyperlink r:id="Rd480ab25e0654542">
        <w:r w:rsidRPr="30F77919" w:rsidR="734022A6">
          <w:rPr>
            <w:rStyle w:val="Hyperlink"/>
            <w:rFonts w:ascii="Arial" w:hAnsi="Arial" w:eastAsia="Arial" w:cs="Arial"/>
          </w:rPr>
          <w:t>HTTPs</w:t>
        </w:r>
        <w:r w:rsidRPr="30F77919" w:rsidR="734022A6">
          <w:rPr>
            <w:rStyle w:val="Hyperlink"/>
            <w:rFonts w:ascii="Arial" w:hAnsi="Arial" w:eastAsia="Arial" w:cs="Arial"/>
          </w:rPr>
          <w:t>://doi.org/10.1080/09669760601106968</w:t>
        </w:r>
      </w:hyperlink>
      <w:r w:rsidRPr="30F77919" w:rsidR="3B295E5E">
        <w:rPr>
          <w:rFonts w:ascii="Arial" w:hAnsi="Arial" w:eastAsia="Arial" w:cs="Arial"/>
          <w:u w:val="none"/>
        </w:rPr>
        <w:t xml:space="preserve"> </w:t>
      </w:r>
      <w:r w:rsidRPr="30F77919" w:rsidR="734022A6">
        <w:rPr>
          <w:rFonts w:ascii="Arial" w:hAnsi="Arial" w:eastAsia="Arial" w:cs="Arial"/>
          <w:u w:val="none"/>
        </w:rPr>
        <w:t>.</w:t>
      </w:r>
    </w:p>
    <w:p w:rsidR="734022A6" w:rsidP="30F77919" w:rsidRDefault="734022A6" w14:paraId="1C90A4BC" w14:textId="3B56C370">
      <w:pPr>
        <w:pStyle w:val="Normal"/>
      </w:pPr>
      <w:r w:rsidRPr="30F77919" w:rsidR="734022A6">
        <w:rPr>
          <w:rFonts w:ascii="Arial" w:hAnsi="Arial" w:eastAsia="Arial" w:cs="Arial"/>
          <w:u w:val="none"/>
        </w:rPr>
        <w:t xml:space="preserve">Taggart, B., Sylva, K., Melhuish, E., Sammons, P. and Siraj, I. (2015). Effective pre-school, primary and secondary education project (EPPSE 3-16+). [online] Available at: </w:t>
      </w:r>
      <w:hyperlink r:id="R602c5a7384ae4efb">
        <w:r w:rsidRPr="30F77919" w:rsidR="734022A6">
          <w:rPr>
            <w:rStyle w:val="Hyperlink"/>
            <w:rFonts w:ascii="Arial" w:hAnsi="Arial" w:eastAsia="Arial" w:cs="Arial"/>
          </w:rPr>
          <w:t>https://assets.publishing.service.gov.uk/media/5a803cb240f0b62305b89fbf/RB455_Effective_pre-school_primary_and_secondary_education_project.pdf.pdf</w:t>
        </w:r>
      </w:hyperlink>
      <w:r w:rsidRPr="30F77919" w:rsidR="7E607606">
        <w:rPr>
          <w:rFonts w:ascii="Arial" w:hAnsi="Arial" w:eastAsia="Arial" w:cs="Arial"/>
          <w:u w:val="none"/>
        </w:rPr>
        <w:t xml:space="preserve"> </w:t>
      </w:r>
      <w:r w:rsidRPr="30F77919" w:rsidR="734022A6">
        <w:rPr>
          <w:rFonts w:ascii="Arial" w:hAnsi="Arial" w:eastAsia="Arial" w:cs="Arial"/>
          <w:u w:val="none"/>
        </w:rPr>
        <w:t>.</w:t>
      </w:r>
    </w:p>
    <w:p w:rsidR="734022A6" w:rsidP="30F77919" w:rsidRDefault="734022A6" w14:paraId="68482F08" w14:textId="5D8DD5E5">
      <w:pPr>
        <w:pStyle w:val="Normal"/>
        <w:rPr>
          <w:rFonts w:ascii="Arial" w:hAnsi="Arial" w:eastAsia="Arial" w:cs="Arial"/>
          <w:u w:val="none"/>
        </w:rPr>
      </w:pPr>
      <w:r w:rsidRPr="30F77919" w:rsidR="734022A6">
        <w:rPr>
          <w:rFonts w:ascii="Arial" w:hAnsi="Arial" w:eastAsia="Arial" w:cs="Arial"/>
          <w:u w:val="none"/>
        </w:rPr>
        <w:t>Tankerlsey</w:t>
      </w:r>
      <w:r w:rsidRPr="30F77919" w:rsidR="734022A6">
        <w:rPr>
          <w:rFonts w:ascii="Arial" w:hAnsi="Arial" w:eastAsia="Arial" w:cs="Arial"/>
          <w:u w:val="none"/>
        </w:rPr>
        <w:t xml:space="preserve">, D., Jeroen </w:t>
      </w:r>
      <w:r w:rsidRPr="30F77919" w:rsidR="734022A6">
        <w:rPr>
          <w:rFonts w:ascii="Arial" w:hAnsi="Arial" w:eastAsia="Arial" w:cs="Arial"/>
          <w:u w:val="none"/>
        </w:rPr>
        <w:t>Aarssen</w:t>
      </w:r>
      <w:r w:rsidRPr="30F77919" w:rsidR="734022A6">
        <w:rPr>
          <w:rFonts w:ascii="Arial" w:hAnsi="Arial" w:eastAsia="Arial" w:cs="Arial"/>
          <w:u w:val="none"/>
        </w:rPr>
        <w:t xml:space="preserve">, Balduzzi, L., Baron, E.V., Dede, B., Fort, P., Ashkhen </w:t>
      </w:r>
      <w:r w:rsidRPr="30F77919" w:rsidR="734022A6">
        <w:rPr>
          <w:rFonts w:ascii="Arial" w:hAnsi="Arial" w:eastAsia="Arial" w:cs="Arial"/>
          <w:u w:val="none"/>
        </w:rPr>
        <w:t>Gyurjyan</w:t>
      </w:r>
      <w:r w:rsidRPr="30F77919" w:rsidR="734022A6">
        <w:rPr>
          <w:rFonts w:ascii="Arial" w:hAnsi="Arial" w:eastAsia="Arial" w:cs="Arial"/>
          <w:u w:val="none"/>
        </w:rPr>
        <w:t xml:space="preserve">, Hix-Small, H., Anke van Keulen, Landers, C., Lazzari, A., </w:t>
      </w:r>
      <w:r w:rsidRPr="30F77919" w:rsidR="734022A6">
        <w:rPr>
          <w:rFonts w:ascii="Arial" w:hAnsi="Arial" w:eastAsia="Arial" w:cs="Arial"/>
          <w:u w:val="none"/>
        </w:rPr>
        <w:t>LoCasale</w:t>
      </w:r>
      <w:r w:rsidRPr="30F77919" w:rsidR="734022A6">
        <w:rPr>
          <w:rFonts w:ascii="Arial" w:hAnsi="Arial" w:eastAsia="Arial" w:cs="Arial"/>
          <w:u w:val="none"/>
        </w:rPr>
        <w:t xml:space="preserve">-Crouch, J., </w:t>
      </w:r>
      <w:r w:rsidRPr="30F77919" w:rsidR="734022A6">
        <w:rPr>
          <w:rFonts w:ascii="Arial" w:hAnsi="Arial" w:eastAsia="Arial" w:cs="Arial"/>
          <w:u w:val="none"/>
        </w:rPr>
        <w:t>Sabaliauskiene</w:t>
      </w:r>
      <w:r w:rsidRPr="30F77919" w:rsidR="734022A6">
        <w:rPr>
          <w:rFonts w:ascii="Arial" w:hAnsi="Arial" w:eastAsia="Arial" w:cs="Arial"/>
          <w:u w:val="none"/>
        </w:rPr>
        <w:t xml:space="preserve">, R., Lumsden, E., Portugal, A., Zorica </w:t>
      </w:r>
      <w:r w:rsidRPr="30F77919" w:rsidR="734022A6">
        <w:rPr>
          <w:rFonts w:ascii="Arial" w:hAnsi="Arial" w:eastAsia="Arial" w:cs="Arial"/>
          <w:u w:val="none"/>
        </w:rPr>
        <w:t>Trikic</w:t>
      </w:r>
      <w:r w:rsidRPr="30F77919" w:rsidR="734022A6">
        <w:rPr>
          <w:rFonts w:ascii="Arial" w:hAnsi="Arial" w:eastAsia="Arial" w:cs="Arial"/>
          <w:u w:val="none"/>
        </w:rPr>
        <w:t xml:space="preserve">, Vanderbroek, M., Tatjana </w:t>
      </w:r>
      <w:r w:rsidRPr="30F77919" w:rsidR="734022A6">
        <w:rPr>
          <w:rFonts w:ascii="Arial" w:hAnsi="Arial" w:eastAsia="Arial" w:cs="Arial"/>
          <w:u w:val="none"/>
        </w:rPr>
        <w:t>Vonta</w:t>
      </w:r>
      <w:r w:rsidRPr="30F77919" w:rsidR="734022A6">
        <w:rPr>
          <w:rFonts w:ascii="Arial" w:hAnsi="Arial" w:eastAsia="Arial" w:cs="Arial"/>
          <w:u w:val="none"/>
        </w:rPr>
        <w:t xml:space="preserve">, White, J. and Ionescu, M. (2016). A quality framework for early years practice for services for children under three years of age. [online] University of Northampton’s Research Explorer. Available at: </w:t>
      </w:r>
      <w:hyperlink r:id="Re0d8a58a334442df">
        <w:r w:rsidRPr="30F77919" w:rsidR="734022A6">
          <w:rPr>
            <w:rStyle w:val="Hyperlink"/>
            <w:rFonts w:ascii="Arial" w:hAnsi="Arial" w:eastAsia="Arial" w:cs="Arial"/>
          </w:rPr>
          <w:t>https://pure.northampton.ac.uk/en/publications/a-quality-framework-for-early-years-practice-for-services-for-chi</w:t>
        </w:r>
      </w:hyperlink>
      <w:r w:rsidRPr="30F77919" w:rsidR="734022A6">
        <w:rPr>
          <w:rFonts w:ascii="Arial" w:hAnsi="Arial" w:eastAsia="Arial" w:cs="Arial"/>
          <w:u w:val="none"/>
        </w:rPr>
        <w:t xml:space="preserve"> </w:t>
      </w:r>
      <w:r w:rsidRPr="30F77919" w:rsidR="066C4C42">
        <w:rPr>
          <w:rFonts w:ascii="Arial" w:hAnsi="Arial" w:eastAsia="Arial" w:cs="Arial"/>
          <w:u w:val="none"/>
        </w:rPr>
        <w:t xml:space="preserve"> </w:t>
      </w:r>
      <w:r w:rsidRPr="30F77919" w:rsidR="734022A6">
        <w:rPr>
          <w:rFonts w:ascii="Arial" w:hAnsi="Arial" w:eastAsia="Arial" w:cs="Arial"/>
          <w:u w:val="none"/>
        </w:rPr>
        <w:t>(Accessed 24 Mar. 2025).</w:t>
      </w:r>
    </w:p>
    <w:p w:rsidR="734022A6" w:rsidP="30F77919" w:rsidRDefault="734022A6" w14:paraId="6FCD2479" w14:textId="4DBAB334">
      <w:pPr>
        <w:pStyle w:val="Normal"/>
      </w:pPr>
      <w:r w:rsidRPr="30F77919" w:rsidR="734022A6">
        <w:rPr>
          <w:rFonts w:ascii="Arial" w:hAnsi="Arial" w:eastAsia="Arial" w:cs="Arial"/>
          <w:u w:val="none"/>
        </w:rPr>
        <w:t xml:space="preserve">The Heckman Equation. (2016). Early Childhood Education. [online] Available at: </w:t>
      </w:r>
      <w:hyperlink r:id="R54192e9d606c4eff">
        <w:r w:rsidRPr="30F77919" w:rsidR="734022A6">
          <w:rPr>
            <w:rStyle w:val="Hyperlink"/>
            <w:rFonts w:ascii="Arial" w:hAnsi="Arial" w:eastAsia="Arial" w:cs="Arial"/>
          </w:rPr>
          <w:t>https://heckmanequation.org/resource/early-childhood-education/</w:t>
        </w:r>
      </w:hyperlink>
      <w:r w:rsidRPr="30F77919" w:rsidR="2C190AA0">
        <w:rPr>
          <w:rFonts w:ascii="Arial" w:hAnsi="Arial" w:eastAsia="Arial" w:cs="Arial"/>
          <w:u w:val="none"/>
        </w:rPr>
        <w:t xml:space="preserve"> </w:t>
      </w:r>
      <w:r w:rsidRPr="30F77919" w:rsidR="734022A6">
        <w:rPr>
          <w:rFonts w:ascii="Arial" w:hAnsi="Arial" w:eastAsia="Arial" w:cs="Arial"/>
          <w:u w:val="none"/>
        </w:rPr>
        <w:t>.</w:t>
      </w:r>
    </w:p>
    <w:p w:rsidR="734022A6" w:rsidP="30F77919" w:rsidRDefault="734022A6" w14:paraId="0326BC3F" w14:textId="1298009A">
      <w:pPr>
        <w:pStyle w:val="Normal"/>
      </w:pPr>
      <w:r w:rsidRPr="30F77919" w:rsidR="734022A6">
        <w:rPr>
          <w:rFonts w:ascii="Arial" w:hAnsi="Arial" w:eastAsia="Arial" w:cs="Arial"/>
          <w:u w:val="none"/>
        </w:rPr>
        <w:t xml:space="preserve">Unc.edu. (2025). Development of the ECERS-3TM | Environment Rating Scales®. [online] Available at: </w:t>
      </w:r>
      <w:hyperlink r:id="R09d93715ce59490d">
        <w:r w:rsidRPr="30F77919" w:rsidR="734022A6">
          <w:rPr>
            <w:rStyle w:val="Hyperlink"/>
            <w:rFonts w:ascii="Arial" w:hAnsi="Arial" w:eastAsia="Arial" w:cs="Arial"/>
          </w:rPr>
          <w:t>https://ers.fpg.unc.edu/development-ecers-3.html</w:t>
        </w:r>
      </w:hyperlink>
      <w:r w:rsidRPr="30F77919" w:rsidR="734022A6">
        <w:rPr>
          <w:rFonts w:ascii="Arial" w:hAnsi="Arial" w:eastAsia="Arial" w:cs="Arial"/>
          <w:u w:val="none"/>
        </w:rPr>
        <w:t xml:space="preserve"> </w:t>
      </w:r>
      <w:r w:rsidRPr="30F77919" w:rsidR="6523D26C">
        <w:rPr>
          <w:rFonts w:ascii="Arial" w:hAnsi="Arial" w:eastAsia="Arial" w:cs="Arial"/>
          <w:u w:val="none"/>
        </w:rPr>
        <w:t xml:space="preserve"> </w:t>
      </w:r>
      <w:r w:rsidRPr="30F77919" w:rsidR="734022A6">
        <w:rPr>
          <w:rFonts w:ascii="Arial" w:hAnsi="Arial" w:eastAsia="Arial" w:cs="Arial"/>
          <w:u w:val="none"/>
        </w:rPr>
        <w:t>(Accessed 23 Mar. 2025).</w:t>
      </w:r>
    </w:p>
    <w:p w:rsidR="30F77919" w:rsidP="30F77919" w:rsidRDefault="30F77919" w14:paraId="3F5E5971" w14:textId="4F375A93">
      <w:pPr>
        <w:pStyle w:val="Normal"/>
        <w:rPr>
          <w:rFonts w:ascii="Arial" w:hAnsi="Arial" w:eastAsia="Arial" w:cs="Arial"/>
          <w:u w:val="none"/>
        </w:rPr>
      </w:pPr>
    </w:p>
    <w:p w:rsidR="30F77919" w:rsidP="30F77919" w:rsidRDefault="30F77919" w14:paraId="1CC32B69" w14:textId="4738368F">
      <w:pPr>
        <w:pStyle w:val="Normal"/>
        <w:rPr>
          <w:u w:val="none"/>
        </w:rPr>
      </w:pPr>
    </w:p>
    <w:p w:rsidR="30F77919" w:rsidRDefault="30F77919" w14:paraId="56296714" w14:textId="066C907B">
      <w:pPr>
        <w:rPr>
          <w:u w:val="none"/>
        </w:rPr>
      </w:pPr>
    </w:p>
    <w:sectPr>
      <w:pgSz w:w="12240" w:h="15840" w:orient="portrait"/>
      <w:pgMar w:top="1440" w:right="1440" w:bottom="1440" w:left="1440" w:header="720" w:footer="720" w:gutter="0"/>
      <w:cols w:space="720"/>
      <w:docGrid w:linePitch="360"/>
      <w:headerReference w:type="default" r:id="R2dfba967cdca4987"/>
      <w:footerReference w:type="default" r:id="R692ae02b6ad2417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0F77919" w:rsidTr="30F77919" w14:paraId="6F75EE90">
      <w:trPr>
        <w:trHeight w:val="300"/>
      </w:trPr>
      <w:tc>
        <w:tcPr>
          <w:tcW w:w="3120" w:type="dxa"/>
          <w:tcMar/>
        </w:tcPr>
        <w:p w:rsidR="30F77919" w:rsidP="30F77919" w:rsidRDefault="30F77919" w14:paraId="3A468430" w14:textId="754EAE41">
          <w:pPr>
            <w:pStyle w:val="Header"/>
            <w:bidi w:val="0"/>
            <w:ind w:left="-115"/>
            <w:jc w:val="left"/>
          </w:pPr>
        </w:p>
      </w:tc>
      <w:tc>
        <w:tcPr>
          <w:tcW w:w="3120" w:type="dxa"/>
          <w:tcMar/>
        </w:tcPr>
        <w:p w:rsidR="30F77919" w:rsidP="30F77919" w:rsidRDefault="30F77919" w14:paraId="04CBFB04" w14:textId="771BC207">
          <w:pPr>
            <w:pStyle w:val="Header"/>
            <w:bidi w:val="0"/>
            <w:jc w:val="center"/>
          </w:pPr>
        </w:p>
      </w:tc>
      <w:tc>
        <w:tcPr>
          <w:tcW w:w="3120" w:type="dxa"/>
          <w:tcMar/>
        </w:tcPr>
        <w:p w:rsidR="30F77919" w:rsidP="30F77919" w:rsidRDefault="30F77919" w14:paraId="1A01DD50" w14:textId="0446A7AA">
          <w:pPr>
            <w:pStyle w:val="Header"/>
            <w:bidi w:val="0"/>
            <w:ind w:right="-115"/>
            <w:jc w:val="right"/>
          </w:pPr>
        </w:p>
      </w:tc>
    </w:tr>
  </w:tbl>
  <w:p w:rsidR="30F77919" w:rsidP="30F77919" w:rsidRDefault="30F77919" w14:paraId="54D2FC9F" w14:textId="26009CDC">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0F77919" w:rsidTr="30F77919" w14:paraId="091F3C44">
      <w:trPr>
        <w:trHeight w:val="300"/>
      </w:trPr>
      <w:tc>
        <w:tcPr>
          <w:tcW w:w="3120" w:type="dxa"/>
          <w:tcMar/>
        </w:tcPr>
        <w:p w:rsidR="30F77919" w:rsidP="30F77919" w:rsidRDefault="30F77919" w14:paraId="0792BED8" w14:textId="31B06F7F">
          <w:pPr>
            <w:pStyle w:val="Header"/>
            <w:bidi w:val="0"/>
            <w:ind w:left="-115"/>
            <w:jc w:val="left"/>
          </w:pPr>
        </w:p>
      </w:tc>
      <w:tc>
        <w:tcPr>
          <w:tcW w:w="3120" w:type="dxa"/>
          <w:tcMar/>
        </w:tcPr>
        <w:p w:rsidR="30F77919" w:rsidP="30F77919" w:rsidRDefault="30F77919" w14:paraId="132C5F87" w14:textId="32810C80">
          <w:pPr>
            <w:pStyle w:val="Header"/>
            <w:bidi w:val="0"/>
            <w:jc w:val="center"/>
          </w:pPr>
        </w:p>
      </w:tc>
      <w:tc>
        <w:tcPr>
          <w:tcW w:w="3120" w:type="dxa"/>
          <w:tcMar/>
        </w:tcPr>
        <w:p w:rsidR="30F77919" w:rsidP="30F77919" w:rsidRDefault="30F77919" w14:paraId="71DE4F3D" w14:textId="0E5A5F45">
          <w:pPr>
            <w:pStyle w:val="Header"/>
            <w:bidi w:val="0"/>
            <w:ind w:right="-115"/>
            <w:jc w:val="right"/>
          </w:pPr>
        </w:p>
      </w:tc>
    </w:tr>
  </w:tbl>
  <w:p w:rsidR="30F77919" w:rsidP="30F77919" w:rsidRDefault="30F77919" w14:paraId="45702B55" w14:textId="65A9B583">
    <w:pPr>
      <w:pStyle w:val="Header"/>
      <w:bidi w:val="0"/>
    </w:pPr>
  </w:p>
</w:hdr>
</file>

<file path=word/intelligence2.xml><?xml version="1.0" encoding="utf-8"?>
<int2:intelligence xmlns:int2="http://schemas.microsoft.com/office/intelligence/2020/intelligence">
  <int2:observations>
    <int2:textHash int2:hashCode="10MXypizIfphCO" int2:id="BgSjgbdJ">
      <int2:state int2:type="AugLoop_Text_Critique" int2:value="Rejected"/>
    </int2:textHash>
    <int2:textHash int2:hashCode="FuYTT7tMl86aAD" int2:id="gBMoFczM">
      <int2:state int2:type="AugLoop_Text_Critique"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C1CD226"/>
    <w:rsid w:val="0458DA05"/>
    <w:rsid w:val="0551D16B"/>
    <w:rsid w:val="066C4C42"/>
    <w:rsid w:val="06F3B7F5"/>
    <w:rsid w:val="071FF412"/>
    <w:rsid w:val="07BB8791"/>
    <w:rsid w:val="087E0722"/>
    <w:rsid w:val="08BCE020"/>
    <w:rsid w:val="094CBBB8"/>
    <w:rsid w:val="095EAAB6"/>
    <w:rsid w:val="0A6BA047"/>
    <w:rsid w:val="0AB90D76"/>
    <w:rsid w:val="0AD5B268"/>
    <w:rsid w:val="0B2AF6C8"/>
    <w:rsid w:val="0BFF3019"/>
    <w:rsid w:val="0C3E4522"/>
    <w:rsid w:val="0D2BDFBC"/>
    <w:rsid w:val="0E152E23"/>
    <w:rsid w:val="0E1A9990"/>
    <w:rsid w:val="0F4DD9AC"/>
    <w:rsid w:val="100EB5FC"/>
    <w:rsid w:val="109A90DE"/>
    <w:rsid w:val="11C4B388"/>
    <w:rsid w:val="12445710"/>
    <w:rsid w:val="142A9057"/>
    <w:rsid w:val="155FC685"/>
    <w:rsid w:val="160292EB"/>
    <w:rsid w:val="1692AB51"/>
    <w:rsid w:val="16D95430"/>
    <w:rsid w:val="16EDEEA3"/>
    <w:rsid w:val="1723C602"/>
    <w:rsid w:val="1739FA82"/>
    <w:rsid w:val="192538A6"/>
    <w:rsid w:val="19553367"/>
    <w:rsid w:val="1A219FA8"/>
    <w:rsid w:val="1A727120"/>
    <w:rsid w:val="1B614BA9"/>
    <w:rsid w:val="1B895812"/>
    <w:rsid w:val="1C1CD226"/>
    <w:rsid w:val="1D42651B"/>
    <w:rsid w:val="1DB0BF80"/>
    <w:rsid w:val="1DFAD6D0"/>
    <w:rsid w:val="1F800CB1"/>
    <w:rsid w:val="1F956667"/>
    <w:rsid w:val="207B4A40"/>
    <w:rsid w:val="21472DC9"/>
    <w:rsid w:val="214BD696"/>
    <w:rsid w:val="24B31AF3"/>
    <w:rsid w:val="260E14F9"/>
    <w:rsid w:val="266D0687"/>
    <w:rsid w:val="26C9B785"/>
    <w:rsid w:val="278C9874"/>
    <w:rsid w:val="27A60C91"/>
    <w:rsid w:val="27EC3D4C"/>
    <w:rsid w:val="2868DB73"/>
    <w:rsid w:val="28A84477"/>
    <w:rsid w:val="2AAB0346"/>
    <w:rsid w:val="2C190AA0"/>
    <w:rsid w:val="2D9642E2"/>
    <w:rsid w:val="2DC71A42"/>
    <w:rsid w:val="2E87560A"/>
    <w:rsid w:val="2F2FA48A"/>
    <w:rsid w:val="2FDAE525"/>
    <w:rsid w:val="30A9A9DA"/>
    <w:rsid w:val="30B654CF"/>
    <w:rsid w:val="30BDA336"/>
    <w:rsid w:val="30F77919"/>
    <w:rsid w:val="31B46183"/>
    <w:rsid w:val="31B87528"/>
    <w:rsid w:val="31D4D593"/>
    <w:rsid w:val="31EE9690"/>
    <w:rsid w:val="321C52FD"/>
    <w:rsid w:val="324BD066"/>
    <w:rsid w:val="324F41F3"/>
    <w:rsid w:val="326F9263"/>
    <w:rsid w:val="32DAE9AE"/>
    <w:rsid w:val="336BA154"/>
    <w:rsid w:val="339ACF98"/>
    <w:rsid w:val="35D18FAE"/>
    <w:rsid w:val="37277C06"/>
    <w:rsid w:val="37522B13"/>
    <w:rsid w:val="38845B66"/>
    <w:rsid w:val="38AEFF17"/>
    <w:rsid w:val="38B0761C"/>
    <w:rsid w:val="3AF6DFB2"/>
    <w:rsid w:val="3B295E5E"/>
    <w:rsid w:val="3BC4EF41"/>
    <w:rsid w:val="3CC16565"/>
    <w:rsid w:val="3D0CFEDD"/>
    <w:rsid w:val="3D45921E"/>
    <w:rsid w:val="3D9C370E"/>
    <w:rsid w:val="3E450A5A"/>
    <w:rsid w:val="40776CAB"/>
    <w:rsid w:val="4096E291"/>
    <w:rsid w:val="4139A731"/>
    <w:rsid w:val="421BA3AF"/>
    <w:rsid w:val="422D281D"/>
    <w:rsid w:val="42FF9BE8"/>
    <w:rsid w:val="430930B0"/>
    <w:rsid w:val="437248AE"/>
    <w:rsid w:val="445E7399"/>
    <w:rsid w:val="44815E20"/>
    <w:rsid w:val="451CE2E4"/>
    <w:rsid w:val="46AFE0F8"/>
    <w:rsid w:val="4751C69E"/>
    <w:rsid w:val="47802CF7"/>
    <w:rsid w:val="49128B91"/>
    <w:rsid w:val="4942A11B"/>
    <w:rsid w:val="49889841"/>
    <w:rsid w:val="4A859B2B"/>
    <w:rsid w:val="4AA8F6BF"/>
    <w:rsid w:val="4B6E7D8C"/>
    <w:rsid w:val="4B9A752C"/>
    <w:rsid w:val="4BE6B9C1"/>
    <w:rsid w:val="4C1C4974"/>
    <w:rsid w:val="4CD5AB34"/>
    <w:rsid w:val="4D1BD85B"/>
    <w:rsid w:val="4D7F34A9"/>
    <w:rsid w:val="4E299A48"/>
    <w:rsid w:val="4F83F7B1"/>
    <w:rsid w:val="4FF63E80"/>
    <w:rsid w:val="502BDFE6"/>
    <w:rsid w:val="503E608A"/>
    <w:rsid w:val="50D7633E"/>
    <w:rsid w:val="519552F9"/>
    <w:rsid w:val="51AA3DBE"/>
    <w:rsid w:val="52CD51B7"/>
    <w:rsid w:val="536D7070"/>
    <w:rsid w:val="537507C6"/>
    <w:rsid w:val="53BEBD67"/>
    <w:rsid w:val="55088D4B"/>
    <w:rsid w:val="55CBAD47"/>
    <w:rsid w:val="5716A02E"/>
    <w:rsid w:val="57A723AB"/>
    <w:rsid w:val="5822237F"/>
    <w:rsid w:val="58C2D444"/>
    <w:rsid w:val="5A1B0FAC"/>
    <w:rsid w:val="5B0B9A08"/>
    <w:rsid w:val="5BBD5868"/>
    <w:rsid w:val="5BCC650F"/>
    <w:rsid w:val="5BD9F52A"/>
    <w:rsid w:val="5DBC8989"/>
    <w:rsid w:val="5DBFA5D7"/>
    <w:rsid w:val="5E2031F5"/>
    <w:rsid w:val="5E31E202"/>
    <w:rsid w:val="5F74CC44"/>
    <w:rsid w:val="5F7B765B"/>
    <w:rsid w:val="5F7EF966"/>
    <w:rsid w:val="5FD4461D"/>
    <w:rsid w:val="61C67D33"/>
    <w:rsid w:val="62445EE1"/>
    <w:rsid w:val="62A5906B"/>
    <w:rsid w:val="63746CD5"/>
    <w:rsid w:val="63B5F8AC"/>
    <w:rsid w:val="6523D26C"/>
    <w:rsid w:val="65708C40"/>
    <w:rsid w:val="658630AD"/>
    <w:rsid w:val="679EAF48"/>
    <w:rsid w:val="67DD42FB"/>
    <w:rsid w:val="67F24DB6"/>
    <w:rsid w:val="6898FA9A"/>
    <w:rsid w:val="699B5A60"/>
    <w:rsid w:val="69BB555C"/>
    <w:rsid w:val="6A1ECC98"/>
    <w:rsid w:val="6A9B2C7B"/>
    <w:rsid w:val="6AF7ECBB"/>
    <w:rsid w:val="6B65B094"/>
    <w:rsid w:val="6BE6ACAA"/>
    <w:rsid w:val="6E2461D4"/>
    <w:rsid w:val="6F863F7B"/>
    <w:rsid w:val="6FD9157A"/>
    <w:rsid w:val="6FF16F65"/>
    <w:rsid w:val="723F74D4"/>
    <w:rsid w:val="72492B55"/>
    <w:rsid w:val="7293C983"/>
    <w:rsid w:val="72A8E0BE"/>
    <w:rsid w:val="734022A6"/>
    <w:rsid w:val="74102097"/>
    <w:rsid w:val="756F8DEA"/>
    <w:rsid w:val="765F8183"/>
    <w:rsid w:val="76725234"/>
    <w:rsid w:val="772399C6"/>
    <w:rsid w:val="79B2FF61"/>
    <w:rsid w:val="79E127AA"/>
    <w:rsid w:val="7C85366B"/>
    <w:rsid w:val="7D8E491D"/>
    <w:rsid w:val="7DDF35DD"/>
    <w:rsid w:val="7E19088A"/>
    <w:rsid w:val="7E607606"/>
    <w:rsid w:val="7E63922A"/>
    <w:rsid w:val="7EB2844B"/>
    <w:rsid w:val="7F26A529"/>
    <w:rsid w:val="7F67C2EE"/>
    <w:rsid w:val="7FC3903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0A24DE"/>
  <w15:chartTrackingRefBased/>
  <w15:docId w15:val="{D6EE0E81-FDF9-4128-8DA2-75F2B09A10D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30F77919"/>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30F77919"/>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30F77919"/>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30F77919"/>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30F77919"/>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30F77919"/>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30F77919"/>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30F77919"/>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30F77919"/>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30F77919"/>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30F77919"/>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30F77919"/>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30F77919"/>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30F77919"/>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uiPriority w:val="99"/>
    <w:name w:val="header"/>
    <w:basedOn w:val="Normal"/>
    <w:unhideWhenUsed/>
    <w:rsid w:val="30F77919"/>
    <w:pPr>
      <w:tabs>
        <w:tab w:val="center" w:leader="none" w:pos="4680"/>
        <w:tab w:val="right" w:leader="none" w:pos="9360"/>
      </w:tabs>
      <w:spacing w:after="0" w:line="240" w:lineRule="auto"/>
    </w:pPr>
  </w:style>
  <w:style w:type="paragraph" w:styleId="Footer">
    <w:uiPriority w:val="99"/>
    <w:name w:val="footer"/>
    <w:basedOn w:val="Normal"/>
    <w:unhideWhenUsed/>
    <w:rsid w:val="30F77919"/>
    <w:pPr>
      <w:tabs>
        <w:tab w:val="center" w:leader="none" w:pos="4680"/>
        <w:tab w:val="right" w:leader="none" w:pos="9360"/>
      </w:tabs>
      <w:spacing w:after="0" w:line="240" w:lineRule="auto"/>
    </w:pPr>
  </w:style>
  <w:style w:type="character" w:styleId="Hyperlink">
    <w:uiPriority w:val="99"/>
    <w:name w:val="Hyperlink"/>
    <w:basedOn w:val="DefaultParagraphFont"/>
    <w:unhideWhenUsed/>
    <w:rsid w:val="30F77919"/>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doi.org/10.1111/cdep.12260" TargetMode="External" Id="R0aa3321627bd42dd" /><Relationship Type="http://schemas.openxmlformats.org/officeDocument/2006/relationships/hyperlink" Target="HTTPs://doi.org/10.1080/09243453.2019.1646293" TargetMode="External" Id="Rc7a82e41000f4ea2" /><Relationship Type="http://schemas.openxmlformats.org/officeDocument/2006/relationships/hyperlink" Target="https://www.gov.uk/government/publications/early-years-foundation-stage-framework--2" TargetMode="External" Id="R09a5c4ddcf8d4eed" /><Relationship Type="http://schemas.openxmlformats.org/officeDocument/2006/relationships/hyperlink" Target="HTTPs://doi.org/10.1080/10409289.2018.1559681" TargetMode="External" Id="R184616ec31654b68" /><Relationship Type="http://schemas.openxmlformats.org/officeDocument/2006/relationships/hyperlink" Target="https://www.towerhamlets.gov.uk/Documents/Children-and-families-services/Early-Years/Sustained_Shared_Thinking_and_Emotional_Well_being_scales_Presentation.pdf" TargetMode="External" Id="R3775c7713a9a48ea" /><Relationship Type="http://schemas.openxmlformats.org/officeDocument/2006/relationships/hyperlink" Target="HTTPs://doi.org/10.1371/journal.pgph.0000373" TargetMode="External" Id="Rbd0df16f6aac4d2e" /><Relationship Type="http://schemas.openxmlformats.org/officeDocument/2006/relationships/hyperlink" Target="https://learning.nspcc.org.uk/child-health-development/attachment-early-years" TargetMode="External" Id="R7f48cf2811694fd8" /><Relationship Type="http://schemas.openxmlformats.org/officeDocument/2006/relationships/hyperlink" Target="https://www.oecd.org/en/publications/structural-characteristics-and-process-quality-in-early-childhood-education-and-care_edaf3793-en.html" TargetMode="External" Id="R89f45936fd404b0b" /><Relationship Type="http://schemas.openxmlformats.org/officeDocument/2006/relationships/hyperlink" Target="https://www.gov.uk/government/news/a-strong-foundation-in-the-early-years-is-crucial-to-childrens-success" TargetMode="External" Id="R32b06f8c739a476e" /><Relationship Type="http://schemas.openxmlformats.org/officeDocument/2006/relationships/hyperlink" Target="https://earlyyears.blog.gov.uk/2024/05/13/maintaining-quality-early-years-provision-in-the-face-of-workforce-challenges/" TargetMode="External" Id="Rd8c028a6078f48cf" /><Relationship Type="http://schemas.openxmlformats.org/officeDocument/2006/relationships/hyperlink" Target="https://openbooks.library.baylor.edu/lifespanhumandevelopment/chapter/chapter-9-3-vygotskys-sociocultural-theory/" TargetMode="External" Id="Re36007658e9d4b29" /><Relationship Type="http://schemas.openxmlformats.org/officeDocument/2006/relationships/hyperlink" Target="https://early-education.org.uk/wp-content/uploads/2021/12/Getting-it-right-in-the-EYFS-Literature-Review.pdf" TargetMode="External" Id="R6266e77ceda24098" /><Relationship Type="http://schemas.openxmlformats.org/officeDocument/2006/relationships/hyperlink" Target="https://www.jstor.org/stable/43940584" TargetMode="External" Id="R6adc475c21cd4870" /><Relationship Type="http://schemas.openxmlformats.org/officeDocument/2006/relationships/hyperlink" Target="HTTPs://doi.org/10.4135/9781473957848" TargetMode="External" Id="R0d1c47d072a44578" /><Relationship Type="http://schemas.openxmlformats.org/officeDocument/2006/relationships/hyperlink" Target="HTTPs://doi.org/10.1080/09669760601106968" TargetMode="External" Id="Rd480ab25e0654542" /><Relationship Type="http://schemas.openxmlformats.org/officeDocument/2006/relationships/hyperlink" Target="https://assets.publishing.service.gov.uk/media/5a803cb240f0b62305b89fbf/RB455_Effective_pre-school_primary_and_secondary_education_project.pdf.pdf" TargetMode="External" Id="R602c5a7384ae4efb" /><Relationship Type="http://schemas.openxmlformats.org/officeDocument/2006/relationships/hyperlink" Target="https://pure.northampton.ac.uk/en/publications/a-quality-framework-for-early-years-practice-for-services-for-chi" TargetMode="External" Id="Re0d8a58a334442df" /><Relationship Type="http://schemas.openxmlformats.org/officeDocument/2006/relationships/hyperlink" Target="https://heckmanequation.org/resource/early-childhood-education/" TargetMode="External" Id="R54192e9d606c4eff" /><Relationship Type="http://schemas.openxmlformats.org/officeDocument/2006/relationships/hyperlink" Target="https://ers.fpg.unc.edu/development-ecers-3.html" TargetMode="External" Id="R09d93715ce59490d" /><Relationship Type="http://schemas.openxmlformats.org/officeDocument/2006/relationships/header" Target="header.xml" Id="R2dfba967cdca4987" /><Relationship Type="http://schemas.openxmlformats.org/officeDocument/2006/relationships/footer" Target="footer.xml" Id="R692ae02b6ad24172" /><Relationship Type="http://schemas.microsoft.com/office/2020/10/relationships/intelligence" Target="intelligence2.xml" Id="Rbfc2610e47cf4a0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2025-03-21T17:00:04.9694104Z</dcterms:created>
  <dcterms:modified xsi:type="dcterms:W3CDTF">2025-03-24T18:39:20.5710199Z</dcterms:modified>
  <dc:creator>Amy Williams (2307162)</dc:creator>
  <lastModifiedBy>Amy Williams (2307162)</lastModifiedBy>
</coreProperties>
</file>