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1F42EF" w:rsidRDefault="00ED5964" w:rsidP="006430DF">
      <w:pPr>
        <w:spacing w:line="360" w:lineRule="auto"/>
        <w:jc w:val="both"/>
        <w:rPr>
          <w:rFonts w:ascii="Arial" w:hAnsi="Arial" w:cs="Arial"/>
          <w:sz w:val="22"/>
        </w:rPr>
      </w:pPr>
      <w:r w:rsidRPr="001F42EF">
        <w:rPr>
          <w:rFonts w:ascii="Arial" w:hAnsi="Arial" w:cs="Arial"/>
          <w:noProof/>
          <w:sz w:val="22"/>
          <w:lang w:val="en-US" w:eastAsia="en-US"/>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1F42EF" w:rsidRDefault="00ED5964" w:rsidP="006430DF">
      <w:pPr>
        <w:spacing w:line="360" w:lineRule="auto"/>
        <w:jc w:val="both"/>
        <w:rPr>
          <w:rFonts w:ascii="Arial" w:hAnsi="Arial" w:cs="Arial"/>
          <w:sz w:val="22"/>
        </w:rPr>
      </w:pPr>
    </w:p>
    <w:p w14:paraId="478C11A1" w14:textId="77777777" w:rsidR="00ED5964" w:rsidRPr="001F42EF" w:rsidRDefault="00ED5964" w:rsidP="006430DF">
      <w:pPr>
        <w:spacing w:line="360" w:lineRule="auto"/>
        <w:jc w:val="both"/>
        <w:rPr>
          <w:rFonts w:ascii="Arial" w:hAnsi="Arial" w:cs="Arial"/>
          <w:sz w:val="22"/>
        </w:rPr>
      </w:pPr>
    </w:p>
    <w:p w14:paraId="6B8ADB81" w14:textId="77777777" w:rsidR="006A5CFC" w:rsidRPr="001F42EF" w:rsidRDefault="006A5CFC" w:rsidP="006430DF">
      <w:pPr>
        <w:spacing w:line="360" w:lineRule="auto"/>
        <w:jc w:val="both"/>
        <w:rPr>
          <w:rFonts w:ascii="Arial" w:hAnsi="Arial" w:cs="Arial"/>
          <w:sz w:val="22"/>
        </w:rPr>
      </w:pPr>
    </w:p>
    <w:p w14:paraId="168F467C" w14:textId="77777777" w:rsidR="006A5CFC" w:rsidRPr="001F42EF" w:rsidRDefault="006A5CFC" w:rsidP="006430DF">
      <w:pPr>
        <w:spacing w:line="360" w:lineRule="auto"/>
        <w:jc w:val="both"/>
        <w:rPr>
          <w:rFonts w:ascii="Arial" w:hAnsi="Arial" w:cs="Arial"/>
          <w:sz w:val="22"/>
        </w:rPr>
      </w:pPr>
    </w:p>
    <w:p w14:paraId="3BEDB360" w14:textId="77777777" w:rsidR="00ED5964" w:rsidRPr="001F42EF" w:rsidRDefault="00ED5964" w:rsidP="006430DF">
      <w:pPr>
        <w:spacing w:line="360" w:lineRule="auto"/>
        <w:jc w:val="both"/>
        <w:rPr>
          <w:rFonts w:ascii="Arial" w:hAnsi="Arial" w:cs="Arial"/>
          <w:sz w:val="22"/>
        </w:rPr>
      </w:pPr>
    </w:p>
    <w:p w14:paraId="2EF804A0" w14:textId="38F6FE43" w:rsidR="00ED5964" w:rsidRPr="001F42EF" w:rsidRDefault="00ED5964" w:rsidP="006430DF">
      <w:pPr>
        <w:spacing w:line="360" w:lineRule="auto"/>
        <w:jc w:val="both"/>
        <w:rPr>
          <w:rFonts w:ascii="Arial" w:hAnsi="Arial" w:cs="Arial"/>
          <w:sz w:val="22"/>
        </w:rPr>
      </w:pPr>
      <w:r w:rsidRPr="001F42EF">
        <w:rPr>
          <w:rFonts w:ascii="Arial" w:hAnsi="Arial" w:cs="Arial"/>
          <w:sz w:val="22"/>
        </w:rPr>
        <w:t>Name:</w:t>
      </w:r>
      <w:r w:rsidR="003005C6">
        <w:rPr>
          <w:rFonts w:ascii="Arial" w:hAnsi="Arial" w:cs="Arial"/>
          <w:sz w:val="22"/>
        </w:rPr>
        <w:t xml:space="preserve"> Faiza Tahir</w:t>
      </w:r>
      <w:r w:rsidRPr="001F42EF">
        <w:rPr>
          <w:rFonts w:ascii="Arial" w:hAnsi="Arial" w:cs="Arial"/>
          <w:sz w:val="22"/>
        </w:rPr>
        <w:t xml:space="preserve"> </w:t>
      </w:r>
    </w:p>
    <w:p w14:paraId="485B6F49" w14:textId="32E8B4E0" w:rsidR="00ED5964" w:rsidRPr="001F42EF" w:rsidRDefault="00ED5964" w:rsidP="006430DF">
      <w:pPr>
        <w:spacing w:line="360" w:lineRule="auto"/>
        <w:jc w:val="both"/>
        <w:rPr>
          <w:rFonts w:ascii="Arial" w:hAnsi="Arial" w:cs="Arial"/>
          <w:sz w:val="22"/>
        </w:rPr>
      </w:pPr>
      <w:r w:rsidRPr="001F42EF">
        <w:rPr>
          <w:rFonts w:ascii="Arial" w:hAnsi="Arial" w:cs="Arial"/>
          <w:sz w:val="22"/>
        </w:rPr>
        <w:t xml:space="preserve">Student ID: </w:t>
      </w:r>
      <w:r w:rsidR="003005C6">
        <w:rPr>
          <w:rFonts w:ascii="Arial" w:hAnsi="Arial" w:cs="Arial"/>
          <w:sz w:val="22"/>
        </w:rPr>
        <w:t>2333852</w:t>
      </w:r>
    </w:p>
    <w:p w14:paraId="3C1E7A20" w14:textId="7AC501F2" w:rsidR="00ED5964" w:rsidRPr="001F42EF" w:rsidRDefault="00ED5964" w:rsidP="006430DF">
      <w:pPr>
        <w:spacing w:line="360" w:lineRule="auto"/>
        <w:jc w:val="both"/>
        <w:rPr>
          <w:rFonts w:ascii="Arial" w:hAnsi="Arial" w:cs="Arial"/>
          <w:sz w:val="22"/>
        </w:rPr>
      </w:pPr>
      <w:r w:rsidRPr="001F42EF">
        <w:rPr>
          <w:rFonts w:ascii="Arial" w:hAnsi="Arial" w:cs="Arial"/>
          <w:sz w:val="22"/>
        </w:rPr>
        <w:t xml:space="preserve">Module Code: </w:t>
      </w:r>
      <w:r w:rsidR="007E0583">
        <w:rPr>
          <w:rFonts w:ascii="Arial" w:hAnsi="Arial" w:cs="Arial"/>
          <w:sz w:val="22"/>
        </w:rPr>
        <w:t>LCHS4001</w:t>
      </w:r>
    </w:p>
    <w:p w14:paraId="4EEB2DA3" w14:textId="2EFBFD07" w:rsidR="00ED5964" w:rsidRPr="001F42EF" w:rsidRDefault="00ED5964" w:rsidP="006430DF">
      <w:pPr>
        <w:spacing w:line="360" w:lineRule="auto"/>
        <w:jc w:val="both"/>
        <w:rPr>
          <w:rFonts w:ascii="Arial" w:hAnsi="Arial" w:cs="Arial"/>
          <w:sz w:val="22"/>
        </w:rPr>
      </w:pPr>
      <w:r w:rsidRPr="001F42EF">
        <w:rPr>
          <w:rFonts w:ascii="Arial" w:hAnsi="Arial" w:cs="Arial"/>
          <w:sz w:val="22"/>
        </w:rPr>
        <w:t xml:space="preserve">Module: </w:t>
      </w:r>
      <w:r w:rsidR="000D2E1A">
        <w:rPr>
          <w:rFonts w:ascii="Arial" w:hAnsi="Arial" w:cs="Arial"/>
          <w:sz w:val="22"/>
        </w:rPr>
        <w:t>Academic and Em</w:t>
      </w:r>
      <w:r w:rsidR="00DF31E5">
        <w:rPr>
          <w:rFonts w:ascii="Arial" w:hAnsi="Arial" w:cs="Arial"/>
          <w:sz w:val="22"/>
        </w:rPr>
        <w:t>ployability Skills</w:t>
      </w:r>
    </w:p>
    <w:p w14:paraId="112342CB" w14:textId="375CF79E" w:rsidR="00ED5964" w:rsidRPr="001F42EF" w:rsidRDefault="00ED5964" w:rsidP="006430DF">
      <w:pPr>
        <w:spacing w:line="360" w:lineRule="auto"/>
        <w:jc w:val="both"/>
        <w:rPr>
          <w:rFonts w:ascii="Arial" w:hAnsi="Arial" w:cs="Arial"/>
          <w:sz w:val="22"/>
        </w:rPr>
      </w:pPr>
      <w:r w:rsidRPr="001F42EF">
        <w:rPr>
          <w:rFonts w:ascii="Arial" w:hAnsi="Arial" w:cs="Arial"/>
          <w:sz w:val="22"/>
        </w:rPr>
        <w:t xml:space="preserve">Lecturer: </w:t>
      </w:r>
      <w:r w:rsidR="00DF31E5">
        <w:rPr>
          <w:rFonts w:ascii="Arial" w:hAnsi="Arial" w:cs="Arial"/>
          <w:sz w:val="22"/>
        </w:rPr>
        <w:t xml:space="preserve">Reza </w:t>
      </w:r>
      <w:proofErr w:type="spellStart"/>
      <w:r w:rsidR="00C73D11">
        <w:rPr>
          <w:rFonts w:ascii="Arial" w:hAnsi="Arial" w:cs="Arial"/>
          <w:sz w:val="22"/>
        </w:rPr>
        <w:t>Taghizadeh</w:t>
      </w:r>
      <w:proofErr w:type="spellEnd"/>
    </w:p>
    <w:p w14:paraId="78C0B80E" w14:textId="77777777" w:rsidR="00ED5964" w:rsidRPr="001F42EF" w:rsidRDefault="00ED5964" w:rsidP="006430DF">
      <w:pPr>
        <w:spacing w:line="360" w:lineRule="auto"/>
        <w:jc w:val="both"/>
        <w:rPr>
          <w:rFonts w:ascii="Arial" w:hAnsi="Arial" w:cs="Arial"/>
          <w:sz w:val="22"/>
        </w:rPr>
      </w:pPr>
    </w:p>
    <w:p w14:paraId="0C6F95D6" w14:textId="77777777" w:rsidR="00ED5964" w:rsidRPr="001F42EF" w:rsidRDefault="00ED5964" w:rsidP="006430DF">
      <w:pPr>
        <w:spacing w:line="360" w:lineRule="auto"/>
        <w:jc w:val="both"/>
        <w:rPr>
          <w:rFonts w:ascii="Arial" w:hAnsi="Arial" w:cs="Arial"/>
          <w:sz w:val="22"/>
        </w:rPr>
      </w:pPr>
    </w:p>
    <w:p w14:paraId="71D7459F" w14:textId="77777777" w:rsidR="00ED5964" w:rsidRPr="001F42EF" w:rsidRDefault="00ED5964" w:rsidP="006430DF">
      <w:pPr>
        <w:spacing w:line="360" w:lineRule="auto"/>
        <w:jc w:val="both"/>
        <w:rPr>
          <w:rFonts w:ascii="Arial" w:hAnsi="Arial" w:cs="Arial"/>
          <w:sz w:val="22"/>
        </w:rPr>
      </w:pPr>
    </w:p>
    <w:p w14:paraId="38621A58" w14:textId="77777777" w:rsidR="00ED5964" w:rsidRPr="001F42EF" w:rsidRDefault="00ED5964" w:rsidP="006430DF">
      <w:pPr>
        <w:spacing w:line="360" w:lineRule="auto"/>
        <w:jc w:val="both"/>
        <w:rPr>
          <w:rFonts w:ascii="Arial" w:hAnsi="Arial" w:cs="Arial"/>
          <w:sz w:val="22"/>
        </w:rPr>
      </w:pPr>
    </w:p>
    <w:p w14:paraId="6988A1DC" w14:textId="77777777" w:rsidR="00ED5964" w:rsidRPr="001F42EF" w:rsidRDefault="00ED5964" w:rsidP="006430DF">
      <w:pPr>
        <w:spacing w:line="360" w:lineRule="auto"/>
        <w:jc w:val="both"/>
        <w:rPr>
          <w:rFonts w:ascii="Arial" w:hAnsi="Arial" w:cs="Arial"/>
          <w:sz w:val="22"/>
        </w:rPr>
      </w:pPr>
    </w:p>
    <w:p w14:paraId="25C114EE" w14:textId="77777777" w:rsidR="00ED5964" w:rsidRPr="001F42EF" w:rsidRDefault="00ED5964" w:rsidP="006430DF">
      <w:pPr>
        <w:spacing w:line="360" w:lineRule="auto"/>
        <w:jc w:val="both"/>
        <w:rPr>
          <w:rFonts w:ascii="Arial" w:hAnsi="Arial" w:cs="Arial"/>
          <w:sz w:val="22"/>
        </w:rPr>
      </w:pPr>
    </w:p>
    <w:p w14:paraId="4A73B1BE" w14:textId="77777777" w:rsidR="00ED5964" w:rsidRPr="001F42EF" w:rsidRDefault="00ED5964" w:rsidP="006430DF">
      <w:pPr>
        <w:spacing w:line="360" w:lineRule="auto"/>
        <w:jc w:val="both"/>
        <w:rPr>
          <w:rFonts w:ascii="Arial" w:hAnsi="Arial" w:cs="Arial"/>
          <w:sz w:val="22"/>
        </w:rPr>
      </w:pPr>
    </w:p>
    <w:p w14:paraId="072506E1" w14:textId="0CC2CD11" w:rsidR="00ED5964" w:rsidRPr="001F42EF" w:rsidRDefault="00ED5964" w:rsidP="006430DF">
      <w:pPr>
        <w:spacing w:line="360" w:lineRule="auto"/>
        <w:jc w:val="both"/>
        <w:rPr>
          <w:rFonts w:ascii="Arial" w:hAnsi="Arial" w:cs="Arial"/>
          <w:sz w:val="22"/>
        </w:rPr>
      </w:pPr>
      <w:r w:rsidRPr="001F42EF">
        <w:rPr>
          <w:rFonts w:ascii="Arial" w:hAnsi="Arial" w:cs="Arial"/>
          <w:sz w:val="22"/>
        </w:rPr>
        <w:tab/>
      </w:r>
      <w:r w:rsidRPr="001F42EF">
        <w:rPr>
          <w:rFonts w:ascii="Arial" w:hAnsi="Arial" w:cs="Arial"/>
          <w:sz w:val="22"/>
        </w:rPr>
        <w:tab/>
      </w:r>
      <w:r w:rsidRPr="001F42EF">
        <w:rPr>
          <w:rFonts w:ascii="Arial" w:hAnsi="Arial" w:cs="Arial"/>
          <w:sz w:val="22"/>
        </w:rPr>
        <w:tab/>
      </w:r>
      <w:r w:rsidR="006A5CFC" w:rsidRPr="001F42EF">
        <w:rPr>
          <w:rFonts w:ascii="Arial" w:hAnsi="Arial" w:cs="Arial"/>
          <w:sz w:val="22"/>
        </w:rPr>
        <w:tab/>
      </w:r>
    </w:p>
    <w:p w14:paraId="3C6FB008" w14:textId="77777777" w:rsidR="00ED5964" w:rsidRPr="001F42EF" w:rsidRDefault="00ED5964" w:rsidP="006430DF">
      <w:pPr>
        <w:spacing w:line="360" w:lineRule="auto"/>
        <w:jc w:val="both"/>
        <w:rPr>
          <w:rFonts w:ascii="Arial" w:hAnsi="Arial" w:cs="Arial"/>
          <w:sz w:val="22"/>
        </w:rPr>
      </w:pPr>
    </w:p>
    <w:p w14:paraId="3EA711CF" w14:textId="77777777" w:rsidR="00ED5964" w:rsidRPr="001F42EF" w:rsidRDefault="00ED5964" w:rsidP="006430DF">
      <w:pPr>
        <w:spacing w:line="360" w:lineRule="auto"/>
        <w:jc w:val="both"/>
        <w:rPr>
          <w:rFonts w:ascii="Arial" w:hAnsi="Arial" w:cs="Arial"/>
          <w:sz w:val="22"/>
        </w:rPr>
      </w:pPr>
    </w:p>
    <w:p w14:paraId="32C3A4F9" w14:textId="77777777" w:rsidR="00ED5964" w:rsidRPr="001F42EF" w:rsidRDefault="00ED5964" w:rsidP="006430DF">
      <w:pPr>
        <w:spacing w:line="360" w:lineRule="auto"/>
        <w:jc w:val="both"/>
        <w:rPr>
          <w:rFonts w:ascii="Arial" w:hAnsi="Arial" w:cs="Arial"/>
          <w:sz w:val="22"/>
        </w:rPr>
      </w:pPr>
    </w:p>
    <w:p w14:paraId="1434F2B1" w14:textId="77777777" w:rsidR="00ED5964" w:rsidRPr="001F42EF" w:rsidRDefault="00ED5964" w:rsidP="006430DF">
      <w:pPr>
        <w:spacing w:line="360" w:lineRule="auto"/>
        <w:jc w:val="both"/>
        <w:rPr>
          <w:rFonts w:ascii="Arial" w:hAnsi="Arial" w:cs="Arial"/>
          <w:sz w:val="22"/>
        </w:rPr>
      </w:pPr>
    </w:p>
    <w:p w14:paraId="4F979E62" w14:textId="77777777" w:rsidR="00ED5964" w:rsidRPr="001F42EF" w:rsidRDefault="00ED5964" w:rsidP="006430DF">
      <w:pPr>
        <w:spacing w:line="360" w:lineRule="auto"/>
        <w:jc w:val="both"/>
        <w:rPr>
          <w:rFonts w:ascii="Arial" w:hAnsi="Arial" w:cs="Arial"/>
          <w:sz w:val="22"/>
        </w:rPr>
      </w:pPr>
    </w:p>
    <w:p w14:paraId="4180CDBC" w14:textId="77777777" w:rsidR="00ED5964" w:rsidRPr="001F42EF" w:rsidRDefault="00ED5964" w:rsidP="006430DF">
      <w:pPr>
        <w:spacing w:line="360" w:lineRule="auto"/>
        <w:jc w:val="both"/>
        <w:rPr>
          <w:rFonts w:ascii="Arial" w:hAnsi="Arial" w:cs="Arial"/>
          <w:sz w:val="22"/>
        </w:rPr>
      </w:pPr>
    </w:p>
    <w:sdt>
      <w:sdtPr>
        <w:rPr>
          <w:rFonts w:ascii="Arial" w:eastAsiaTheme="minorEastAsia" w:hAnsi="Arial" w:cs="Arial"/>
          <w:bCs w:val="0"/>
          <w:color w:val="auto"/>
          <w:kern w:val="2"/>
          <w:sz w:val="22"/>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1F42EF" w:rsidRDefault="00184A9A" w:rsidP="006430DF">
          <w:pPr>
            <w:pStyle w:val="TOCHeading"/>
            <w:spacing w:line="360" w:lineRule="auto"/>
            <w:jc w:val="both"/>
            <w:rPr>
              <w:rFonts w:ascii="Arial" w:hAnsi="Arial" w:cs="Arial"/>
              <w:color w:val="4472C4" w:themeColor="accent1"/>
              <w:sz w:val="22"/>
              <w:szCs w:val="22"/>
            </w:rPr>
          </w:pPr>
          <w:r w:rsidRPr="001F42EF">
            <w:rPr>
              <w:rFonts w:ascii="Arial" w:hAnsi="Arial" w:cs="Arial"/>
              <w:color w:val="4472C4" w:themeColor="accent1"/>
              <w:sz w:val="22"/>
              <w:szCs w:val="22"/>
            </w:rPr>
            <w:t>Table of Contents</w:t>
          </w:r>
        </w:p>
        <w:p w14:paraId="54A96723" w14:textId="1ACD71E9" w:rsidR="00363933" w:rsidRDefault="00184A9A">
          <w:pPr>
            <w:pStyle w:val="TOC1"/>
            <w:tabs>
              <w:tab w:val="right" w:leader="dot" w:pos="9016"/>
            </w:tabs>
            <w:rPr>
              <w:rFonts w:asciiTheme="minorHAnsi" w:hAnsiTheme="minorHAnsi" w:cstheme="minorBidi"/>
              <w:b w:val="0"/>
              <w:bCs w:val="0"/>
              <w:i w:val="0"/>
              <w:iCs w:val="0"/>
              <w:noProof/>
              <w:lang w:val="en-US" w:eastAsia="en-US"/>
            </w:rPr>
          </w:pPr>
          <w:r w:rsidRPr="001F42EF">
            <w:rPr>
              <w:rFonts w:ascii="Arial" w:hAnsi="Arial" w:cs="Arial"/>
              <w:b w:val="0"/>
              <w:bCs w:val="0"/>
              <w:sz w:val="22"/>
              <w:szCs w:val="22"/>
            </w:rPr>
            <w:fldChar w:fldCharType="begin"/>
          </w:r>
          <w:r w:rsidRPr="001F42EF">
            <w:rPr>
              <w:rFonts w:ascii="Arial" w:hAnsi="Arial" w:cs="Arial"/>
              <w:sz w:val="22"/>
              <w:szCs w:val="22"/>
            </w:rPr>
            <w:instrText xml:space="preserve"> TOC \o "1-3" \h \z \u </w:instrText>
          </w:r>
          <w:r w:rsidRPr="001F42EF">
            <w:rPr>
              <w:rFonts w:ascii="Arial" w:hAnsi="Arial" w:cs="Arial"/>
              <w:b w:val="0"/>
              <w:bCs w:val="0"/>
              <w:sz w:val="22"/>
              <w:szCs w:val="22"/>
            </w:rPr>
            <w:fldChar w:fldCharType="separate"/>
          </w:r>
          <w:hyperlink w:anchor="_Toc221556290" w:history="1">
            <w:r w:rsidR="00363933" w:rsidRPr="00CC63ED">
              <w:rPr>
                <w:rStyle w:val="Hyperlink"/>
                <w:rFonts w:ascii="Arial" w:hAnsi="Arial" w:cs="Arial"/>
                <w:noProof/>
              </w:rPr>
              <w:t>1: Written Report</w:t>
            </w:r>
            <w:r w:rsidR="00363933">
              <w:rPr>
                <w:noProof/>
                <w:webHidden/>
              </w:rPr>
              <w:tab/>
            </w:r>
            <w:r w:rsidR="00363933">
              <w:rPr>
                <w:noProof/>
                <w:webHidden/>
              </w:rPr>
              <w:fldChar w:fldCharType="begin"/>
            </w:r>
            <w:r w:rsidR="00363933">
              <w:rPr>
                <w:noProof/>
                <w:webHidden/>
              </w:rPr>
              <w:instrText xml:space="preserve"> PAGEREF _Toc221556290 \h </w:instrText>
            </w:r>
            <w:r w:rsidR="00363933">
              <w:rPr>
                <w:noProof/>
                <w:webHidden/>
              </w:rPr>
            </w:r>
            <w:r w:rsidR="00363933">
              <w:rPr>
                <w:noProof/>
                <w:webHidden/>
              </w:rPr>
              <w:fldChar w:fldCharType="separate"/>
            </w:r>
            <w:r w:rsidR="00363933">
              <w:rPr>
                <w:noProof/>
                <w:webHidden/>
              </w:rPr>
              <w:t>3</w:t>
            </w:r>
            <w:r w:rsidR="00363933">
              <w:rPr>
                <w:noProof/>
                <w:webHidden/>
              </w:rPr>
              <w:fldChar w:fldCharType="end"/>
            </w:r>
          </w:hyperlink>
        </w:p>
        <w:p w14:paraId="01E69FA8" w14:textId="12C35EFD" w:rsidR="00363933" w:rsidRDefault="00363933">
          <w:pPr>
            <w:pStyle w:val="TOC1"/>
            <w:tabs>
              <w:tab w:val="right" w:leader="dot" w:pos="9016"/>
            </w:tabs>
            <w:rPr>
              <w:rFonts w:asciiTheme="minorHAnsi" w:hAnsiTheme="minorHAnsi" w:cstheme="minorBidi"/>
              <w:b w:val="0"/>
              <w:bCs w:val="0"/>
              <w:i w:val="0"/>
              <w:iCs w:val="0"/>
              <w:noProof/>
              <w:lang w:val="en-US" w:eastAsia="en-US"/>
            </w:rPr>
          </w:pPr>
          <w:hyperlink w:anchor="_Toc221556291" w:history="1">
            <w:r w:rsidRPr="00CC63ED">
              <w:rPr>
                <w:rStyle w:val="Hyperlink"/>
                <w:rFonts w:ascii="Arial" w:hAnsi="Arial" w:cs="Arial"/>
                <w:noProof/>
              </w:rPr>
              <w:t>1.1 Introduction</w:t>
            </w:r>
            <w:r>
              <w:rPr>
                <w:noProof/>
                <w:webHidden/>
              </w:rPr>
              <w:tab/>
            </w:r>
            <w:r>
              <w:rPr>
                <w:noProof/>
                <w:webHidden/>
              </w:rPr>
              <w:fldChar w:fldCharType="begin"/>
            </w:r>
            <w:r>
              <w:rPr>
                <w:noProof/>
                <w:webHidden/>
              </w:rPr>
              <w:instrText xml:space="preserve"> PAGEREF _Toc221556291 \h </w:instrText>
            </w:r>
            <w:r>
              <w:rPr>
                <w:noProof/>
                <w:webHidden/>
              </w:rPr>
            </w:r>
            <w:r>
              <w:rPr>
                <w:noProof/>
                <w:webHidden/>
              </w:rPr>
              <w:fldChar w:fldCharType="separate"/>
            </w:r>
            <w:r>
              <w:rPr>
                <w:noProof/>
                <w:webHidden/>
              </w:rPr>
              <w:t>3</w:t>
            </w:r>
            <w:r>
              <w:rPr>
                <w:noProof/>
                <w:webHidden/>
              </w:rPr>
              <w:fldChar w:fldCharType="end"/>
            </w:r>
          </w:hyperlink>
        </w:p>
        <w:p w14:paraId="07879FC4" w14:textId="1C82DD04" w:rsidR="00363933" w:rsidRDefault="00363933">
          <w:pPr>
            <w:pStyle w:val="TOC1"/>
            <w:tabs>
              <w:tab w:val="right" w:leader="dot" w:pos="9016"/>
            </w:tabs>
            <w:rPr>
              <w:rFonts w:asciiTheme="minorHAnsi" w:hAnsiTheme="minorHAnsi" w:cstheme="minorBidi"/>
              <w:b w:val="0"/>
              <w:bCs w:val="0"/>
              <w:i w:val="0"/>
              <w:iCs w:val="0"/>
              <w:noProof/>
              <w:lang w:val="en-US" w:eastAsia="en-US"/>
            </w:rPr>
          </w:pPr>
          <w:hyperlink w:anchor="_Toc221556292" w:history="1">
            <w:r w:rsidRPr="00CC63ED">
              <w:rPr>
                <w:rStyle w:val="Hyperlink"/>
                <w:rFonts w:ascii="Arial" w:hAnsi="Arial" w:cs="Arial"/>
                <w:noProof/>
              </w:rPr>
              <w:t>1.2 Description of, and background to, the role of a Nurse</w:t>
            </w:r>
            <w:r>
              <w:rPr>
                <w:noProof/>
                <w:webHidden/>
              </w:rPr>
              <w:tab/>
            </w:r>
            <w:r>
              <w:rPr>
                <w:noProof/>
                <w:webHidden/>
              </w:rPr>
              <w:fldChar w:fldCharType="begin"/>
            </w:r>
            <w:r>
              <w:rPr>
                <w:noProof/>
                <w:webHidden/>
              </w:rPr>
              <w:instrText xml:space="preserve"> PAGEREF _Toc221556292 \h </w:instrText>
            </w:r>
            <w:r>
              <w:rPr>
                <w:noProof/>
                <w:webHidden/>
              </w:rPr>
            </w:r>
            <w:r>
              <w:rPr>
                <w:noProof/>
                <w:webHidden/>
              </w:rPr>
              <w:fldChar w:fldCharType="separate"/>
            </w:r>
            <w:r>
              <w:rPr>
                <w:noProof/>
                <w:webHidden/>
              </w:rPr>
              <w:t>3</w:t>
            </w:r>
            <w:r>
              <w:rPr>
                <w:noProof/>
                <w:webHidden/>
              </w:rPr>
              <w:fldChar w:fldCharType="end"/>
            </w:r>
          </w:hyperlink>
        </w:p>
        <w:p w14:paraId="7908CA5D" w14:textId="4B9198FE" w:rsidR="00363933" w:rsidRDefault="00363933">
          <w:pPr>
            <w:pStyle w:val="TOC1"/>
            <w:tabs>
              <w:tab w:val="right" w:leader="dot" w:pos="9016"/>
            </w:tabs>
            <w:rPr>
              <w:rFonts w:asciiTheme="minorHAnsi" w:hAnsiTheme="minorHAnsi" w:cstheme="minorBidi"/>
              <w:b w:val="0"/>
              <w:bCs w:val="0"/>
              <w:i w:val="0"/>
              <w:iCs w:val="0"/>
              <w:noProof/>
              <w:lang w:val="en-US" w:eastAsia="en-US"/>
            </w:rPr>
          </w:pPr>
          <w:hyperlink w:anchor="_Toc221556293" w:history="1">
            <w:r w:rsidRPr="00CC63ED">
              <w:rPr>
                <w:rStyle w:val="Hyperlink"/>
                <w:rFonts w:ascii="Arial" w:hAnsi="Arial" w:cs="Arial"/>
                <w:noProof/>
              </w:rPr>
              <w:t>1.3 Evaluation of the skills needed for a Nurse</w:t>
            </w:r>
            <w:r>
              <w:rPr>
                <w:noProof/>
                <w:webHidden/>
              </w:rPr>
              <w:tab/>
            </w:r>
            <w:r>
              <w:rPr>
                <w:noProof/>
                <w:webHidden/>
              </w:rPr>
              <w:fldChar w:fldCharType="begin"/>
            </w:r>
            <w:r>
              <w:rPr>
                <w:noProof/>
                <w:webHidden/>
              </w:rPr>
              <w:instrText xml:space="preserve"> PAGEREF _Toc221556293 \h </w:instrText>
            </w:r>
            <w:r>
              <w:rPr>
                <w:noProof/>
                <w:webHidden/>
              </w:rPr>
            </w:r>
            <w:r>
              <w:rPr>
                <w:noProof/>
                <w:webHidden/>
              </w:rPr>
              <w:fldChar w:fldCharType="separate"/>
            </w:r>
            <w:r>
              <w:rPr>
                <w:noProof/>
                <w:webHidden/>
              </w:rPr>
              <w:t>3</w:t>
            </w:r>
            <w:r>
              <w:rPr>
                <w:noProof/>
                <w:webHidden/>
              </w:rPr>
              <w:fldChar w:fldCharType="end"/>
            </w:r>
          </w:hyperlink>
        </w:p>
        <w:p w14:paraId="61485067" w14:textId="48FF1FBD" w:rsidR="00363933" w:rsidRDefault="00363933">
          <w:pPr>
            <w:pStyle w:val="TOC1"/>
            <w:tabs>
              <w:tab w:val="right" w:leader="dot" w:pos="9016"/>
            </w:tabs>
            <w:rPr>
              <w:rFonts w:asciiTheme="minorHAnsi" w:hAnsiTheme="minorHAnsi" w:cstheme="minorBidi"/>
              <w:b w:val="0"/>
              <w:bCs w:val="0"/>
              <w:i w:val="0"/>
              <w:iCs w:val="0"/>
              <w:noProof/>
              <w:lang w:val="en-US" w:eastAsia="en-US"/>
            </w:rPr>
          </w:pPr>
          <w:hyperlink w:anchor="_Toc221556294" w:history="1">
            <w:r w:rsidRPr="00CC63ED">
              <w:rPr>
                <w:rStyle w:val="Hyperlink"/>
                <w:rFonts w:ascii="Arial" w:hAnsi="Arial" w:cs="Arial"/>
                <w:noProof/>
              </w:rPr>
              <w:t>1.4 Strategies to improve the skills of  a Registered Nurse</w:t>
            </w:r>
            <w:r>
              <w:rPr>
                <w:noProof/>
                <w:webHidden/>
              </w:rPr>
              <w:tab/>
            </w:r>
            <w:r>
              <w:rPr>
                <w:noProof/>
                <w:webHidden/>
              </w:rPr>
              <w:fldChar w:fldCharType="begin"/>
            </w:r>
            <w:r>
              <w:rPr>
                <w:noProof/>
                <w:webHidden/>
              </w:rPr>
              <w:instrText xml:space="preserve"> PAGEREF _Toc221556294 \h </w:instrText>
            </w:r>
            <w:r>
              <w:rPr>
                <w:noProof/>
                <w:webHidden/>
              </w:rPr>
            </w:r>
            <w:r>
              <w:rPr>
                <w:noProof/>
                <w:webHidden/>
              </w:rPr>
              <w:fldChar w:fldCharType="separate"/>
            </w:r>
            <w:r>
              <w:rPr>
                <w:noProof/>
                <w:webHidden/>
              </w:rPr>
              <w:t>4</w:t>
            </w:r>
            <w:r>
              <w:rPr>
                <w:noProof/>
                <w:webHidden/>
              </w:rPr>
              <w:fldChar w:fldCharType="end"/>
            </w:r>
          </w:hyperlink>
        </w:p>
        <w:p w14:paraId="2E416F70" w14:textId="5F0EE758" w:rsidR="00363933" w:rsidRDefault="00363933">
          <w:pPr>
            <w:pStyle w:val="TOC1"/>
            <w:tabs>
              <w:tab w:val="right" w:leader="dot" w:pos="9016"/>
            </w:tabs>
            <w:rPr>
              <w:rFonts w:asciiTheme="minorHAnsi" w:hAnsiTheme="minorHAnsi" w:cstheme="minorBidi"/>
              <w:b w:val="0"/>
              <w:bCs w:val="0"/>
              <w:i w:val="0"/>
              <w:iCs w:val="0"/>
              <w:noProof/>
              <w:lang w:val="en-US" w:eastAsia="en-US"/>
            </w:rPr>
          </w:pPr>
          <w:hyperlink w:anchor="_Toc221556295" w:history="1">
            <w:r w:rsidRPr="00CC63ED">
              <w:rPr>
                <w:rStyle w:val="Hyperlink"/>
                <w:rFonts w:ascii="Arial" w:hAnsi="Arial" w:cs="Arial"/>
                <w:noProof/>
              </w:rPr>
              <w:t>1.5 Conclusion</w:t>
            </w:r>
            <w:r>
              <w:rPr>
                <w:noProof/>
                <w:webHidden/>
              </w:rPr>
              <w:tab/>
            </w:r>
            <w:r>
              <w:rPr>
                <w:noProof/>
                <w:webHidden/>
              </w:rPr>
              <w:fldChar w:fldCharType="begin"/>
            </w:r>
            <w:r>
              <w:rPr>
                <w:noProof/>
                <w:webHidden/>
              </w:rPr>
              <w:instrText xml:space="preserve"> PAGEREF _Toc221556295 \h </w:instrText>
            </w:r>
            <w:r>
              <w:rPr>
                <w:noProof/>
                <w:webHidden/>
              </w:rPr>
            </w:r>
            <w:r>
              <w:rPr>
                <w:noProof/>
                <w:webHidden/>
              </w:rPr>
              <w:fldChar w:fldCharType="separate"/>
            </w:r>
            <w:r>
              <w:rPr>
                <w:noProof/>
                <w:webHidden/>
              </w:rPr>
              <w:t>6</w:t>
            </w:r>
            <w:r>
              <w:rPr>
                <w:noProof/>
                <w:webHidden/>
              </w:rPr>
              <w:fldChar w:fldCharType="end"/>
            </w:r>
          </w:hyperlink>
        </w:p>
        <w:p w14:paraId="1F5CE45F" w14:textId="51854936" w:rsidR="00363933" w:rsidRDefault="00363933">
          <w:pPr>
            <w:pStyle w:val="TOC1"/>
            <w:tabs>
              <w:tab w:val="right" w:leader="dot" w:pos="9016"/>
            </w:tabs>
            <w:rPr>
              <w:rFonts w:asciiTheme="minorHAnsi" w:hAnsiTheme="minorHAnsi" w:cstheme="minorBidi"/>
              <w:b w:val="0"/>
              <w:bCs w:val="0"/>
              <w:i w:val="0"/>
              <w:iCs w:val="0"/>
              <w:noProof/>
              <w:lang w:val="en-US" w:eastAsia="en-US"/>
            </w:rPr>
          </w:pPr>
          <w:hyperlink w:anchor="_Toc221556296" w:history="1">
            <w:r w:rsidRPr="00CC63ED">
              <w:rPr>
                <w:rStyle w:val="Hyperlink"/>
                <w:rFonts w:ascii="Arial" w:hAnsi="Arial" w:cs="Arial"/>
                <w:noProof/>
              </w:rPr>
              <w:t>1.6 References list</w:t>
            </w:r>
            <w:r>
              <w:rPr>
                <w:noProof/>
                <w:webHidden/>
              </w:rPr>
              <w:tab/>
            </w:r>
            <w:r>
              <w:rPr>
                <w:noProof/>
                <w:webHidden/>
              </w:rPr>
              <w:fldChar w:fldCharType="begin"/>
            </w:r>
            <w:r>
              <w:rPr>
                <w:noProof/>
                <w:webHidden/>
              </w:rPr>
              <w:instrText xml:space="preserve"> PAGEREF _Toc221556296 \h </w:instrText>
            </w:r>
            <w:r>
              <w:rPr>
                <w:noProof/>
                <w:webHidden/>
              </w:rPr>
            </w:r>
            <w:r>
              <w:rPr>
                <w:noProof/>
                <w:webHidden/>
              </w:rPr>
              <w:fldChar w:fldCharType="separate"/>
            </w:r>
            <w:r>
              <w:rPr>
                <w:noProof/>
                <w:webHidden/>
              </w:rPr>
              <w:t>7</w:t>
            </w:r>
            <w:r>
              <w:rPr>
                <w:noProof/>
                <w:webHidden/>
              </w:rPr>
              <w:fldChar w:fldCharType="end"/>
            </w:r>
          </w:hyperlink>
        </w:p>
        <w:p w14:paraId="6138A55F" w14:textId="49B1CB55" w:rsidR="00184A9A" w:rsidRPr="001F42EF" w:rsidRDefault="00184A9A" w:rsidP="006430DF">
          <w:pPr>
            <w:spacing w:line="360" w:lineRule="auto"/>
            <w:jc w:val="both"/>
            <w:rPr>
              <w:rFonts w:ascii="Arial" w:hAnsi="Arial" w:cs="Arial"/>
              <w:sz w:val="22"/>
            </w:rPr>
          </w:pPr>
          <w:r w:rsidRPr="001F42EF">
            <w:rPr>
              <w:rFonts w:ascii="Arial" w:hAnsi="Arial" w:cs="Arial"/>
              <w:b/>
              <w:bCs/>
              <w:noProof/>
              <w:sz w:val="22"/>
            </w:rPr>
            <w:fldChar w:fldCharType="end"/>
          </w:r>
        </w:p>
      </w:sdtContent>
    </w:sdt>
    <w:p w14:paraId="4A159F97" w14:textId="77777777" w:rsidR="00ED5964" w:rsidRPr="001F42EF" w:rsidRDefault="00ED5964" w:rsidP="006430DF">
      <w:pPr>
        <w:spacing w:line="360" w:lineRule="auto"/>
        <w:jc w:val="both"/>
        <w:rPr>
          <w:rFonts w:ascii="Arial" w:hAnsi="Arial" w:cs="Arial"/>
          <w:b/>
          <w:bCs/>
          <w:sz w:val="22"/>
        </w:rPr>
      </w:pPr>
    </w:p>
    <w:p w14:paraId="09E24E55" w14:textId="77777777" w:rsidR="00ED5964" w:rsidRPr="001F42EF" w:rsidRDefault="00ED5964" w:rsidP="006430DF">
      <w:pPr>
        <w:spacing w:line="360" w:lineRule="auto"/>
        <w:jc w:val="both"/>
        <w:rPr>
          <w:rFonts w:ascii="Arial" w:hAnsi="Arial" w:cs="Arial"/>
          <w:b/>
          <w:bCs/>
          <w:sz w:val="22"/>
        </w:rPr>
      </w:pPr>
    </w:p>
    <w:p w14:paraId="40BC340F" w14:textId="77777777" w:rsidR="00ED5964" w:rsidRPr="001F42EF" w:rsidRDefault="00ED5964" w:rsidP="006430DF">
      <w:pPr>
        <w:spacing w:line="360" w:lineRule="auto"/>
        <w:jc w:val="both"/>
        <w:rPr>
          <w:rFonts w:ascii="Arial" w:hAnsi="Arial" w:cs="Arial"/>
          <w:b/>
          <w:bCs/>
          <w:sz w:val="22"/>
        </w:rPr>
      </w:pPr>
    </w:p>
    <w:p w14:paraId="41A63835" w14:textId="77777777" w:rsidR="00ED5964" w:rsidRPr="001F42EF" w:rsidRDefault="00ED5964" w:rsidP="006430DF">
      <w:pPr>
        <w:spacing w:line="360" w:lineRule="auto"/>
        <w:jc w:val="both"/>
        <w:rPr>
          <w:rFonts w:ascii="Arial" w:hAnsi="Arial" w:cs="Arial"/>
          <w:b/>
          <w:bCs/>
          <w:sz w:val="22"/>
        </w:rPr>
      </w:pPr>
    </w:p>
    <w:p w14:paraId="123865CA" w14:textId="77777777" w:rsidR="00ED5964" w:rsidRPr="001F42EF" w:rsidRDefault="00ED5964" w:rsidP="006430DF">
      <w:pPr>
        <w:spacing w:line="360" w:lineRule="auto"/>
        <w:jc w:val="both"/>
        <w:rPr>
          <w:rFonts w:ascii="Arial" w:hAnsi="Arial" w:cs="Arial"/>
          <w:b/>
          <w:bCs/>
          <w:sz w:val="22"/>
        </w:rPr>
      </w:pPr>
    </w:p>
    <w:p w14:paraId="2A21042D" w14:textId="77777777" w:rsidR="00ED5964" w:rsidRPr="001F42EF" w:rsidRDefault="00ED5964" w:rsidP="006430DF">
      <w:pPr>
        <w:spacing w:line="360" w:lineRule="auto"/>
        <w:jc w:val="both"/>
        <w:rPr>
          <w:rFonts w:ascii="Arial" w:hAnsi="Arial" w:cs="Arial"/>
          <w:b/>
          <w:bCs/>
          <w:sz w:val="22"/>
        </w:rPr>
      </w:pPr>
    </w:p>
    <w:p w14:paraId="48382F67" w14:textId="77777777" w:rsidR="00ED5964" w:rsidRPr="001F42EF" w:rsidRDefault="00ED5964" w:rsidP="006430DF">
      <w:pPr>
        <w:spacing w:line="360" w:lineRule="auto"/>
        <w:jc w:val="both"/>
        <w:rPr>
          <w:rFonts w:ascii="Arial" w:hAnsi="Arial" w:cs="Arial"/>
          <w:b/>
          <w:bCs/>
          <w:sz w:val="22"/>
        </w:rPr>
      </w:pPr>
    </w:p>
    <w:p w14:paraId="6A057EFD" w14:textId="77777777" w:rsidR="00ED5964" w:rsidRPr="001F42EF" w:rsidRDefault="00ED5964" w:rsidP="006430DF">
      <w:pPr>
        <w:spacing w:line="360" w:lineRule="auto"/>
        <w:jc w:val="both"/>
        <w:rPr>
          <w:rFonts w:ascii="Arial" w:hAnsi="Arial" w:cs="Arial"/>
          <w:b/>
          <w:bCs/>
          <w:sz w:val="22"/>
        </w:rPr>
      </w:pPr>
    </w:p>
    <w:p w14:paraId="55078F3B" w14:textId="77777777" w:rsidR="00ED5964" w:rsidRPr="001F42EF" w:rsidRDefault="00ED5964" w:rsidP="006430DF">
      <w:pPr>
        <w:spacing w:line="360" w:lineRule="auto"/>
        <w:jc w:val="both"/>
        <w:rPr>
          <w:rFonts w:ascii="Arial" w:hAnsi="Arial" w:cs="Arial"/>
          <w:b/>
          <w:bCs/>
          <w:sz w:val="22"/>
        </w:rPr>
      </w:pPr>
    </w:p>
    <w:p w14:paraId="4CEF6B46" w14:textId="77777777" w:rsidR="005709B1" w:rsidRPr="001F42EF" w:rsidRDefault="005709B1" w:rsidP="006430DF">
      <w:pPr>
        <w:spacing w:line="360" w:lineRule="auto"/>
        <w:jc w:val="both"/>
        <w:rPr>
          <w:rFonts w:ascii="Arial" w:hAnsi="Arial" w:cs="Arial"/>
          <w:sz w:val="22"/>
        </w:rPr>
      </w:pPr>
    </w:p>
    <w:p w14:paraId="3E34A5EF" w14:textId="77777777" w:rsidR="002E71BA" w:rsidRPr="001F42EF" w:rsidRDefault="002E71BA" w:rsidP="006430DF">
      <w:pPr>
        <w:spacing w:line="360" w:lineRule="auto"/>
        <w:jc w:val="both"/>
        <w:rPr>
          <w:rFonts w:ascii="Arial" w:hAnsi="Arial" w:cs="Arial"/>
          <w:b/>
          <w:bCs/>
          <w:sz w:val="22"/>
        </w:rPr>
      </w:pPr>
      <w:r w:rsidRPr="001F42EF">
        <w:rPr>
          <w:rFonts w:ascii="Arial" w:hAnsi="Arial" w:cs="Arial"/>
          <w:b/>
          <w:bCs/>
          <w:sz w:val="22"/>
        </w:rPr>
        <w:br w:type="page"/>
      </w:r>
    </w:p>
    <w:p w14:paraId="300DDCEA" w14:textId="07FA767D" w:rsidR="00FE00AD" w:rsidRPr="001F42EF" w:rsidRDefault="00FE00AD" w:rsidP="006430DF">
      <w:pPr>
        <w:pStyle w:val="Heading1"/>
        <w:spacing w:line="360" w:lineRule="auto"/>
        <w:jc w:val="both"/>
        <w:rPr>
          <w:rFonts w:ascii="Arial" w:hAnsi="Arial" w:cs="Arial"/>
          <w:sz w:val="22"/>
          <w:szCs w:val="22"/>
        </w:rPr>
      </w:pPr>
      <w:bookmarkStart w:id="0" w:name="_Toc221556290"/>
      <w:r w:rsidRPr="001F42EF">
        <w:rPr>
          <w:rFonts w:ascii="Arial" w:hAnsi="Arial" w:cs="Arial"/>
          <w:sz w:val="22"/>
          <w:szCs w:val="22"/>
        </w:rPr>
        <w:t>1: Written Report</w:t>
      </w:r>
      <w:bookmarkEnd w:id="0"/>
      <w:r w:rsidRPr="001F42EF">
        <w:rPr>
          <w:rFonts w:ascii="Arial" w:hAnsi="Arial" w:cs="Arial"/>
          <w:sz w:val="22"/>
          <w:szCs w:val="22"/>
        </w:rPr>
        <w:t xml:space="preserve"> </w:t>
      </w:r>
    </w:p>
    <w:p w14:paraId="49946B35" w14:textId="68DAE19B" w:rsidR="00FE00AD" w:rsidRPr="001F42EF" w:rsidRDefault="00FE00AD" w:rsidP="006430DF">
      <w:pPr>
        <w:pStyle w:val="Heading1"/>
        <w:spacing w:line="360" w:lineRule="auto"/>
        <w:jc w:val="both"/>
        <w:rPr>
          <w:rFonts w:ascii="Arial" w:hAnsi="Arial" w:cs="Arial"/>
          <w:sz w:val="22"/>
          <w:szCs w:val="22"/>
        </w:rPr>
      </w:pPr>
      <w:bookmarkStart w:id="1" w:name="_Toc221556291"/>
      <w:r w:rsidRPr="001F42EF">
        <w:rPr>
          <w:rFonts w:ascii="Arial" w:hAnsi="Arial" w:cs="Arial"/>
          <w:sz w:val="22"/>
          <w:szCs w:val="22"/>
        </w:rPr>
        <w:t>1.1 Introduction</w:t>
      </w:r>
      <w:bookmarkEnd w:id="1"/>
      <w:r w:rsidRPr="001F42EF">
        <w:rPr>
          <w:rFonts w:ascii="Arial" w:hAnsi="Arial" w:cs="Arial"/>
          <w:sz w:val="22"/>
          <w:szCs w:val="22"/>
        </w:rPr>
        <w:t xml:space="preserve"> </w:t>
      </w:r>
    </w:p>
    <w:p w14:paraId="5DE1A645" w14:textId="35180BBE" w:rsidR="00FE00AD" w:rsidRPr="001F42EF" w:rsidRDefault="00363933" w:rsidP="006430DF">
      <w:pPr>
        <w:spacing w:line="360" w:lineRule="auto"/>
        <w:jc w:val="both"/>
        <w:rPr>
          <w:rFonts w:ascii="Arial" w:hAnsi="Arial" w:cs="Arial"/>
          <w:sz w:val="22"/>
        </w:rPr>
      </w:pPr>
      <w:r>
        <w:rPr>
          <w:rFonts w:ascii="Arial" w:hAnsi="Arial" w:cs="Arial"/>
          <w:sz w:val="22"/>
        </w:rPr>
        <w:t xml:space="preserve">Nursing </w:t>
      </w:r>
      <w:r w:rsidR="00FE00AD" w:rsidRPr="001F42EF">
        <w:rPr>
          <w:rFonts w:ascii="Arial" w:hAnsi="Arial" w:cs="Arial"/>
          <w:sz w:val="22"/>
        </w:rPr>
        <w:t>play</w:t>
      </w:r>
      <w:r>
        <w:rPr>
          <w:rFonts w:ascii="Arial" w:hAnsi="Arial" w:cs="Arial"/>
          <w:sz w:val="22"/>
        </w:rPr>
        <w:t>s</w:t>
      </w:r>
      <w:r w:rsidR="00FE00AD" w:rsidRPr="001F42EF">
        <w:rPr>
          <w:rFonts w:ascii="Arial" w:hAnsi="Arial" w:cs="Arial"/>
          <w:sz w:val="22"/>
        </w:rPr>
        <w:t xml:space="preserve"> </w:t>
      </w:r>
      <w:r w:rsidR="001F42EF" w:rsidRPr="001F42EF">
        <w:rPr>
          <w:rFonts w:ascii="Arial" w:hAnsi="Arial" w:cs="Arial"/>
          <w:sz w:val="22"/>
        </w:rPr>
        <w:t>a</w:t>
      </w:r>
      <w:r w:rsidR="00FE00AD" w:rsidRPr="001F42EF">
        <w:rPr>
          <w:rFonts w:ascii="Arial" w:hAnsi="Arial" w:cs="Arial"/>
          <w:sz w:val="22"/>
        </w:rPr>
        <w:t xml:space="preserve"> fundamental role in ensuring safe, effective, </w:t>
      </w:r>
      <w:r w:rsidR="001F42EF" w:rsidRPr="001F42EF">
        <w:rPr>
          <w:rFonts w:ascii="Arial" w:hAnsi="Arial" w:cs="Arial"/>
          <w:sz w:val="22"/>
        </w:rPr>
        <w:t>and</w:t>
      </w:r>
      <w:r w:rsidR="00FE00AD" w:rsidRPr="001F42EF">
        <w:rPr>
          <w:rFonts w:ascii="Arial" w:hAnsi="Arial" w:cs="Arial"/>
          <w:sz w:val="22"/>
        </w:rPr>
        <w:t xml:space="preserve"> person-centred services in modern health and social care systems. The position is of particular importance in the light of </w:t>
      </w:r>
      <w:r w:rsidR="001F42EF" w:rsidRPr="001F42EF">
        <w:rPr>
          <w:rFonts w:ascii="Arial" w:hAnsi="Arial" w:cs="Arial"/>
          <w:sz w:val="22"/>
        </w:rPr>
        <w:t xml:space="preserve">the </w:t>
      </w:r>
      <w:r w:rsidR="00FE00AD" w:rsidRPr="001F42EF">
        <w:rPr>
          <w:rFonts w:ascii="Arial" w:hAnsi="Arial" w:cs="Arial"/>
          <w:sz w:val="22"/>
        </w:rPr>
        <w:t xml:space="preserve">growing complexity of the services, regulatory pressure, and the focus </w:t>
      </w:r>
      <w:r w:rsidR="001F42EF" w:rsidRPr="001F42EF">
        <w:rPr>
          <w:rFonts w:ascii="Arial" w:hAnsi="Arial" w:cs="Arial"/>
          <w:sz w:val="22"/>
        </w:rPr>
        <w:t>on</w:t>
      </w:r>
      <w:r w:rsidR="00FE00AD" w:rsidRPr="001F42EF">
        <w:rPr>
          <w:rFonts w:ascii="Arial" w:hAnsi="Arial" w:cs="Arial"/>
          <w:sz w:val="22"/>
        </w:rPr>
        <w:t xml:space="preserve"> quality improvement and user engagement. The workers in the field of</w:t>
      </w:r>
      <w:r>
        <w:rPr>
          <w:rFonts w:ascii="Arial" w:hAnsi="Arial" w:cs="Arial"/>
          <w:sz w:val="22"/>
        </w:rPr>
        <w:t xml:space="preserve"> nursing </w:t>
      </w:r>
      <w:r w:rsidR="00FE00AD" w:rsidRPr="001F42EF">
        <w:rPr>
          <w:rFonts w:ascii="Arial" w:hAnsi="Arial" w:cs="Arial"/>
          <w:sz w:val="22"/>
        </w:rPr>
        <w:t xml:space="preserve">directly participate in daily care, identification of risks, and intercourse between service users and broader care structures. This report discusses the role of </w:t>
      </w:r>
      <w:r>
        <w:rPr>
          <w:rFonts w:ascii="Arial" w:hAnsi="Arial" w:cs="Arial"/>
          <w:sz w:val="22"/>
        </w:rPr>
        <w:t xml:space="preserve"> nurse and </w:t>
      </w:r>
      <w:r w:rsidR="00FE00AD" w:rsidRPr="001F42EF">
        <w:rPr>
          <w:rFonts w:ascii="Arial" w:hAnsi="Arial" w:cs="Arial"/>
          <w:sz w:val="22"/>
        </w:rPr>
        <w:t xml:space="preserve">gives a description of the duties and responsibilities, critically analyses the three critical skills needed, and </w:t>
      </w:r>
      <w:r w:rsidR="001F42EF" w:rsidRPr="001F42EF">
        <w:rPr>
          <w:rFonts w:ascii="Arial" w:hAnsi="Arial" w:cs="Arial"/>
          <w:sz w:val="22"/>
        </w:rPr>
        <w:t>analyses</w:t>
      </w:r>
      <w:r w:rsidR="00FE00AD" w:rsidRPr="001F42EF">
        <w:rPr>
          <w:rFonts w:ascii="Arial" w:hAnsi="Arial" w:cs="Arial"/>
          <w:sz w:val="22"/>
        </w:rPr>
        <w:t xml:space="preserve"> three strategies that help to develop the skills. The discussion also draws attention to the fact that professional competence supports the quality of care, safety, and effectiveness of regulations.</w:t>
      </w:r>
    </w:p>
    <w:p w14:paraId="34B492FD" w14:textId="2E784D2D" w:rsidR="00FE00AD" w:rsidRPr="001F42EF" w:rsidRDefault="00FE00AD" w:rsidP="006430DF">
      <w:pPr>
        <w:pStyle w:val="Heading1"/>
        <w:spacing w:line="360" w:lineRule="auto"/>
        <w:jc w:val="both"/>
        <w:rPr>
          <w:rFonts w:ascii="Arial" w:hAnsi="Arial" w:cs="Arial"/>
          <w:sz w:val="22"/>
          <w:szCs w:val="22"/>
        </w:rPr>
      </w:pPr>
      <w:bookmarkStart w:id="2" w:name="_Toc221556292"/>
      <w:r w:rsidRPr="001F42EF">
        <w:rPr>
          <w:rFonts w:ascii="Arial" w:hAnsi="Arial" w:cs="Arial"/>
          <w:sz w:val="22"/>
          <w:szCs w:val="22"/>
        </w:rPr>
        <w:t xml:space="preserve">1.2 Description of, and background to, the role of a </w:t>
      </w:r>
      <w:r w:rsidR="003F73A3">
        <w:rPr>
          <w:rFonts w:ascii="Arial" w:hAnsi="Arial" w:cs="Arial"/>
          <w:sz w:val="22"/>
          <w:szCs w:val="22"/>
        </w:rPr>
        <w:t>Nurse</w:t>
      </w:r>
      <w:bookmarkEnd w:id="2"/>
    </w:p>
    <w:p w14:paraId="73AD366C" w14:textId="7B8C169F" w:rsidR="0002692A" w:rsidRPr="0002692A" w:rsidRDefault="0002692A" w:rsidP="006430DF">
      <w:pPr>
        <w:spacing w:line="360" w:lineRule="auto"/>
        <w:jc w:val="both"/>
        <w:rPr>
          <w:lang w:val="en-US" w:eastAsia="en-US"/>
        </w:rPr>
      </w:pPr>
      <w:r w:rsidRPr="0002692A">
        <w:rPr>
          <w:lang w:val="en-US" w:eastAsia="en-US"/>
        </w:rPr>
        <w:t xml:space="preserve">The </w:t>
      </w:r>
      <w:r w:rsidR="003F73A3">
        <w:rPr>
          <w:lang w:val="en-US" w:eastAsia="en-US"/>
        </w:rPr>
        <w:t xml:space="preserve">role of nurse </w:t>
      </w:r>
      <w:r w:rsidRPr="0002692A">
        <w:rPr>
          <w:lang w:val="en-US" w:eastAsia="en-US"/>
        </w:rPr>
        <w:t>is a core aspect of health and social care services</w:t>
      </w:r>
      <w:r w:rsidR="006430DF">
        <w:rPr>
          <w:lang w:val="en-US" w:eastAsia="en-US"/>
        </w:rPr>
        <w:t>,</w:t>
      </w:r>
      <w:r w:rsidRPr="0002692A">
        <w:rPr>
          <w:lang w:val="en-US" w:eastAsia="en-US"/>
        </w:rPr>
        <w:t xml:space="preserve"> offering direct assistance to people with advanced physical, psychological, and social requirements. These employees work in a variety of environments, such as </w:t>
      </w:r>
      <w:r w:rsidRPr="0002692A">
        <w:rPr>
          <w:bCs/>
          <w:lang w:val="en-US" w:eastAsia="en-US"/>
        </w:rPr>
        <w:t>residential care homes</w:t>
      </w:r>
      <w:r w:rsidRPr="0002692A">
        <w:rPr>
          <w:lang w:val="en-US" w:eastAsia="en-US"/>
        </w:rPr>
        <w:t xml:space="preserve">, </w:t>
      </w:r>
      <w:r w:rsidRPr="0002692A">
        <w:rPr>
          <w:bCs/>
          <w:lang w:val="en-US" w:eastAsia="en-US"/>
        </w:rPr>
        <w:t>helping elderly residents with daily personal care, such as bathing and dressing</w:t>
      </w:r>
      <w:r w:rsidRPr="0002692A">
        <w:rPr>
          <w:lang w:val="en-US" w:eastAsia="en-US"/>
        </w:rPr>
        <w:t xml:space="preserve">, </w:t>
      </w:r>
      <w:r w:rsidRPr="0002692A">
        <w:rPr>
          <w:bCs/>
          <w:lang w:val="en-US" w:eastAsia="en-US"/>
        </w:rPr>
        <w:t>domiciliary care</w:t>
      </w:r>
      <w:r w:rsidRPr="0002692A">
        <w:rPr>
          <w:lang w:val="en-US" w:eastAsia="en-US"/>
        </w:rPr>
        <w:t>, and community services, to help individuals live safely and with dignity. This role has become more important with the growing regulatory inspection and pressure on ensuring quality, accountability, and efficiency of services (Fenney et al., 2025).</w:t>
      </w:r>
    </w:p>
    <w:p w14:paraId="570DD12F" w14:textId="312B505F" w:rsidR="0002692A" w:rsidRPr="0002692A" w:rsidRDefault="0002692A" w:rsidP="006430DF">
      <w:pPr>
        <w:spacing w:line="360" w:lineRule="auto"/>
        <w:jc w:val="both"/>
        <w:rPr>
          <w:lang w:val="en-US" w:eastAsia="en-US"/>
        </w:rPr>
      </w:pPr>
      <w:r w:rsidRPr="0002692A">
        <w:rPr>
          <w:lang w:val="en-US" w:eastAsia="en-US"/>
        </w:rPr>
        <w:t xml:space="preserve">The variety of tasks performed by </w:t>
      </w:r>
      <w:r w:rsidR="00363933">
        <w:rPr>
          <w:lang w:val="en-US" w:eastAsia="en-US"/>
        </w:rPr>
        <w:t>nurses</w:t>
      </w:r>
      <w:r w:rsidRPr="0002692A">
        <w:rPr>
          <w:lang w:val="en-US" w:eastAsia="en-US"/>
        </w:rPr>
        <w:t xml:space="preserve"> includes carrying out personal care, </w:t>
      </w:r>
      <w:r w:rsidRPr="0002692A">
        <w:rPr>
          <w:bCs/>
          <w:lang w:val="en-US" w:eastAsia="en-US"/>
        </w:rPr>
        <w:t>such as assisting with feeding or supporting mobility for patients with limited movement</w:t>
      </w:r>
      <w:r w:rsidRPr="0002692A">
        <w:rPr>
          <w:lang w:val="en-US" w:eastAsia="en-US"/>
        </w:rPr>
        <w:t xml:space="preserve">, facilitating mobility, observing wellbeing, maintaining care records, and communicating with multidisciplinary teams. They are also instrumental in the execution of care plans, </w:t>
      </w:r>
      <w:r w:rsidRPr="0002692A">
        <w:rPr>
          <w:bCs/>
          <w:lang w:val="en-US" w:eastAsia="en-US"/>
        </w:rPr>
        <w:t>for example, helping implement a daily routine for residents with complex needs</w:t>
      </w:r>
      <w:r w:rsidRPr="0002692A">
        <w:rPr>
          <w:lang w:val="en-US" w:eastAsia="en-US"/>
        </w:rPr>
        <w:t xml:space="preserve">, shared decision-making, and the response to emerging risks. The most important of these roles is awareness and reactivity to the changes in the condition or circumstances of a service user. The timely, stronger, and better protection of assets through early detection of </w:t>
      </w:r>
      <w:r w:rsidRPr="0002692A">
        <w:rPr>
          <w:bCs/>
          <w:lang w:val="en-US" w:eastAsia="en-US"/>
        </w:rPr>
        <w:t>physical decline, mental health concerns, or safeguarding issues</w:t>
      </w:r>
      <w:r w:rsidRPr="0002692A">
        <w:rPr>
          <w:lang w:val="en-US" w:eastAsia="en-US"/>
        </w:rPr>
        <w:t xml:space="preserve"> can reduce preventable damages.</w:t>
      </w:r>
    </w:p>
    <w:p w14:paraId="481ECCF8" w14:textId="6D3D4C81" w:rsidR="0002692A" w:rsidRPr="0002692A" w:rsidRDefault="0002692A" w:rsidP="006430DF">
      <w:pPr>
        <w:spacing w:line="360" w:lineRule="auto"/>
        <w:jc w:val="both"/>
        <w:rPr>
          <w:lang w:val="en-US" w:eastAsia="en-US"/>
        </w:rPr>
      </w:pPr>
      <w:r w:rsidRPr="0002692A">
        <w:rPr>
          <w:lang w:val="en-US" w:eastAsia="en-US"/>
        </w:rPr>
        <w:t xml:space="preserve">In order to </w:t>
      </w:r>
      <w:r w:rsidR="00363933">
        <w:rPr>
          <w:lang w:val="en-US" w:eastAsia="en-US"/>
        </w:rPr>
        <w:t>work</w:t>
      </w:r>
      <w:r w:rsidRPr="0002692A">
        <w:rPr>
          <w:lang w:val="en-US" w:eastAsia="en-US"/>
        </w:rPr>
        <w:t xml:space="preserve"> effectively, </w:t>
      </w:r>
      <w:r w:rsidR="00363933">
        <w:rPr>
          <w:lang w:val="en-US" w:eastAsia="en-US"/>
        </w:rPr>
        <w:t xml:space="preserve">nurse </w:t>
      </w:r>
      <w:r w:rsidRPr="0002692A">
        <w:rPr>
          <w:lang w:val="en-US" w:eastAsia="en-US"/>
        </w:rPr>
        <w:t xml:space="preserve">needs effective communication skills, </w:t>
      </w:r>
      <w:r w:rsidRPr="0002692A">
        <w:rPr>
          <w:bCs/>
          <w:lang w:val="en-US" w:eastAsia="en-US"/>
        </w:rPr>
        <w:t>for instance, speaking clearly and empathetically with service users or their families</w:t>
      </w:r>
      <w:r w:rsidRPr="0002692A">
        <w:rPr>
          <w:lang w:val="en-US" w:eastAsia="en-US"/>
        </w:rPr>
        <w:t xml:space="preserve"> while protecting awareness and working within systems that place safety, quality, and coordinated care on priority.</w:t>
      </w:r>
    </w:p>
    <w:p w14:paraId="4820B8FF" w14:textId="455855B5" w:rsidR="00FE00AD" w:rsidRPr="001F42EF" w:rsidRDefault="00FE00AD" w:rsidP="006430DF">
      <w:pPr>
        <w:pStyle w:val="Heading1"/>
        <w:spacing w:line="360" w:lineRule="auto"/>
        <w:jc w:val="both"/>
        <w:rPr>
          <w:rFonts w:ascii="Arial" w:hAnsi="Arial" w:cs="Arial"/>
          <w:sz w:val="22"/>
          <w:szCs w:val="22"/>
        </w:rPr>
      </w:pPr>
      <w:bookmarkStart w:id="3" w:name="_Toc221556293"/>
      <w:r w:rsidRPr="001F42EF">
        <w:rPr>
          <w:rFonts w:ascii="Arial" w:hAnsi="Arial" w:cs="Arial"/>
          <w:sz w:val="22"/>
          <w:szCs w:val="22"/>
        </w:rPr>
        <w:t xml:space="preserve">1.3 Evaluation of the skills needed for a </w:t>
      </w:r>
      <w:r w:rsidR="003F73A3">
        <w:rPr>
          <w:rFonts w:ascii="Arial" w:hAnsi="Arial" w:cs="Arial"/>
          <w:sz w:val="22"/>
          <w:szCs w:val="22"/>
        </w:rPr>
        <w:t>Nurse</w:t>
      </w:r>
      <w:bookmarkEnd w:id="3"/>
    </w:p>
    <w:p w14:paraId="66EC923D" w14:textId="77777777" w:rsidR="0002692A" w:rsidRPr="0002692A" w:rsidRDefault="0002692A" w:rsidP="006430DF">
      <w:pPr>
        <w:spacing w:line="360" w:lineRule="auto"/>
        <w:jc w:val="both"/>
        <w:rPr>
          <w:b/>
        </w:rPr>
      </w:pPr>
      <w:r w:rsidRPr="0002692A">
        <w:rPr>
          <w:b/>
        </w:rPr>
        <w:t>1. Communication – Essential for Person-Centred Practice and Shared Decision-Making</w:t>
      </w:r>
    </w:p>
    <w:p w14:paraId="200982D7" w14:textId="69A848E1" w:rsidR="0002692A" w:rsidRPr="0002692A" w:rsidRDefault="0002692A" w:rsidP="006430DF">
      <w:pPr>
        <w:spacing w:line="360" w:lineRule="auto"/>
        <w:jc w:val="both"/>
      </w:pPr>
      <w:r w:rsidRPr="0002692A">
        <w:t xml:space="preserve">Person-centred practice and shared decision-making are based on effective communication as a fundamental skill of </w:t>
      </w:r>
      <w:r w:rsidR="00363933">
        <w:t>a nurse</w:t>
      </w:r>
      <w:r w:rsidRPr="0002692A">
        <w:t>. Through communication, workers get to know the preferences of service users, explain the care interventions, and facilitate informed participation in care planning. For example, when assisting an elderly resident with dementia, clear and simple language is used to explain care plans, ensuring the individual understands and feels involved. This is especially essential when serving individuals with long-term conditions or cognitive impairments, where collaborative care planning enhances engagement and improves outcomes. Studies show that making service users part of decision-making must be based on effective communication that is simple to understand and professional awareness of human needs (Stewart and Livanou, 2025). In the absence of good communication, care would be task-oriented, as opposed to person-centred, resulting in dissatisfaction, less tru</w:t>
      </w:r>
      <w:r>
        <w:t>st, and lower care experiences.</w:t>
      </w:r>
    </w:p>
    <w:p w14:paraId="27ED3684" w14:textId="77777777" w:rsidR="0002692A" w:rsidRPr="0002692A" w:rsidRDefault="0002692A" w:rsidP="006430DF">
      <w:pPr>
        <w:spacing w:line="360" w:lineRule="auto"/>
        <w:jc w:val="both"/>
        <w:rPr>
          <w:b/>
        </w:rPr>
      </w:pPr>
      <w:r w:rsidRPr="0002692A">
        <w:rPr>
          <w:b/>
        </w:rPr>
        <w:t>2. Safeguarding and Risk Awareness – Protecting Service Users</w:t>
      </w:r>
    </w:p>
    <w:p w14:paraId="111A8B28" w14:textId="7800C736" w:rsidR="0002692A" w:rsidRPr="0002692A" w:rsidRDefault="0002692A" w:rsidP="006430DF">
      <w:pPr>
        <w:spacing w:line="360" w:lineRule="auto"/>
        <w:jc w:val="both"/>
      </w:pPr>
      <w:r w:rsidRPr="0002692A">
        <w:t>A second skill that is imperative is safeguarding and awareness of risk. For instance, when noticing bruises on a resident that were not previously present, the care worker promptly reports it to the supervisor, ensuring an immediate safeguarding investigation. Safety-oriented skills help staff identify risks, report concerns, and contribute to incident learning. The systems-based approaches to safety accentuate the fact that frontline staff are instrumental in uncovering how care processes may contribute to harm (Vincent et al., 2025). The absence of protection competence may lead to unrecognised issues, recurrence, and institutional failure, impacting both service user safety and</w:t>
      </w:r>
      <w:r>
        <w:t xml:space="preserve"> organisational accountability.</w:t>
      </w:r>
    </w:p>
    <w:p w14:paraId="42592D56" w14:textId="77777777" w:rsidR="0002692A" w:rsidRPr="0002692A" w:rsidRDefault="0002692A" w:rsidP="006430DF">
      <w:pPr>
        <w:spacing w:line="360" w:lineRule="auto"/>
        <w:jc w:val="both"/>
        <w:rPr>
          <w:b/>
        </w:rPr>
      </w:pPr>
      <w:r w:rsidRPr="0002692A">
        <w:rPr>
          <w:b/>
        </w:rPr>
        <w:t>3. Accurate Documentation and Team Collaboration – Ensuring Continuity of Care</w:t>
      </w:r>
    </w:p>
    <w:p w14:paraId="1CB55358" w14:textId="628DBFCB" w:rsidR="0002692A" w:rsidRDefault="0002692A" w:rsidP="006430DF">
      <w:pPr>
        <w:spacing w:line="360" w:lineRule="auto"/>
        <w:jc w:val="both"/>
        <w:rPr>
          <w:b/>
        </w:rPr>
      </w:pPr>
      <w:r w:rsidRPr="0002692A">
        <w:t xml:space="preserve">The third key competency is accurate documentation and collaboration within care systems. To achieve continuity of care, </w:t>
      </w:r>
      <w:r w:rsidR="00363933">
        <w:t>nurses</w:t>
      </w:r>
      <w:r w:rsidRPr="0002692A">
        <w:t xml:space="preserve"> must take clear, detailed notes and exchange information to support coordinated care. For example, when observing a change in a service user’s eating habits, the worker documents the reduction in food intake, allowing the nutritionist to adjust the dietary plan accordingly. Documentation allows care teams to learn about service users' needs, trace changes, and respond effectively across services. Evidence indicates that the quality of care and safety </w:t>
      </w:r>
      <w:r w:rsidR="006430DF">
        <w:t>rely</w:t>
      </w:r>
      <w:r w:rsidRPr="0002692A">
        <w:t xml:space="preserve"> on structured systems that facilitate communication and learning (Fenney et al., 2025). Poor system engagement or inadequate documentation might result in fragmented care, missed risks, and compromised service quality.</w:t>
      </w:r>
    </w:p>
    <w:p w14:paraId="168AE627" w14:textId="7CA44CC6" w:rsidR="00FE00AD" w:rsidRPr="001F42EF" w:rsidRDefault="00FE00AD" w:rsidP="006430DF">
      <w:pPr>
        <w:pStyle w:val="Heading1"/>
        <w:spacing w:line="360" w:lineRule="auto"/>
        <w:jc w:val="both"/>
        <w:rPr>
          <w:rFonts w:ascii="Arial" w:hAnsi="Arial" w:cs="Arial"/>
          <w:sz w:val="22"/>
          <w:szCs w:val="22"/>
        </w:rPr>
      </w:pPr>
      <w:bookmarkStart w:id="4" w:name="_Toc221556294"/>
      <w:r w:rsidRPr="001F42EF">
        <w:rPr>
          <w:rFonts w:ascii="Arial" w:hAnsi="Arial" w:cs="Arial"/>
          <w:sz w:val="22"/>
          <w:szCs w:val="22"/>
        </w:rPr>
        <w:t xml:space="preserve">1.4 Strategies to improve the skills </w:t>
      </w:r>
      <w:r w:rsidR="001F42EF" w:rsidRPr="001F42EF">
        <w:rPr>
          <w:rFonts w:ascii="Arial" w:hAnsi="Arial" w:cs="Arial"/>
          <w:sz w:val="22"/>
          <w:szCs w:val="22"/>
        </w:rPr>
        <w:t>of</w:t>
      </w:r>
      <w:r w:rsidRPr="001F42EF">
        <w:rPr>
          <w:rFonts w:ascii="Arial" w:hAnsi="Arial" w:cs="Arial"/>
          <w:sz w:val="22"/>
          <w:szCs w:val="22"/>
        </w:rPr>
        <w:t xml:space="preserve"> </w:t>
      </w:r>
      <w:r w:rsidR="003F73A3">
        <w:rPr>
          <w:rFonts w:ascii="Arial" w:hAnsi="Arial" w:cs="Arial"/>
          <w:sz w:val="22"/>
          <w:szCs w:val="22"/>
        </w:rPr>
        <w:t xml:space="preserve"> a Registered Nurse</w:t>
      </w:r>
      <w:bookmarkEnd w:id="4"/>
      <w:r w:rsidR="003F73A3">
        <w:rPr>
          <w:rFonts w:ascii="Arial" w:hAnsi="Arial" w:cs="Arial"/>
          <w:sz w:val="22"/>
          <w:szCs w:val="22"/>
        </w:rPr>
        <w:t xml:space="preserve"> </w:t>
      </w:r>
    </w:p>
    <w:p w14:paraId="16D99A5C" w14:textId="3F440247" w:rsidR="0002692A" w:rsidRPr="0002692A" w:rsidRDefault="0002692A" w:rsidP="006430DF">
      <w:pPr>
        <w:spacing w:line="360" w:lineRule="auto"/>
        <w:jc w:val="both"/>
        <w:rPr>
          <w:b/>
        </w:rPr>
      </w:pPr>
      <w:r w:rsidRPr="0002692A">
        <w:rPr>
          <w:b/>
        </w:rPr>
        <w:t>1. Communication – Essential for Person-Centred Practice and Shared Decision-Making</w:t>
      </w:r>
    </w:p>
    <w:p w14:paraId="5F10073E" w14:textId="567EF5DD" w:rsidR="0002692A" w:rsidRPr="0002692A" w:rsidRDefault="0002692A" w:rsidP="006430DF">
      <w:pPr>
        <w:spacing w:line="360" w:lineRule="auto"/>
        <w:jc w:val="both"/>
      </w:pPr>
      <w:r w:rsidRPr="0002692A">
        <w:t>Among the mechanisms to improve communication skills, one can mention the interaction with organised learning programmes that are oriented to shared decision-making and interaction. Learning packages conducted online and at the workplace offer realistic information on the principles of engaging service users in a discussion about care and personalising the communication approaches. Review of shared decision-making learning tools has shown that this type of learning programme hastens confidence and capability among professionals regarding the ability to communicate in actual care situations (Jacklin et al., 2025). The reason why this strategy has been chosen is that it has been shown to assist in both technical skills in communication and interpersonal aspects of care to make person-</w:t>
      </w:r>
      <w:r>
        <w:t>centred practice more powerful.</w:t>
      </w:r>
    </w:p>
    <w:p w14:paraId="70F8A985" w14:textId="607F493C" w:rsidR="0002692A" w:rsidRPr="0002692A" w:rsidRDefault="0002692A" w:rsidP="006430DF">
      <w:pPr>
        <w:spacing w:line="360" w:lineRule="auto"/>
        <w:jc w:val="both"/>
      </w:pPr>
      <w:r w:rsidRPr="0002692A">
        <w:t xml:space="preserve">A second strategy is the use of simulation-based training. Simulation training allows </w:t>
      </w:r>
      <w:r w:rsidR="00363933">
        <w:t>nurse</w:t>
      </w:r>
      <w:r w:rsidRPr="0002692A">
        <w:t xml:space="preserve"> to practice communication in a controlled, yet realistic environment. By role-playing difficult conversations or crisis situations, workers can hone their verbal and non-verbal communication skills without real-world consequences, improving their confidence and compe</w:t>
      </w:r>
      <w:r>
        <w:t>tence.</w:t>
      </w:r>
    </w:p>
    <w:p w14:paraId="348A53D0" w14:textId="58D40CFE" w:rsidR="0002692A" w:rsidRPr="0002692A" w:rsidRDefault="0002692A" w:rsidP="006430DF">
      <w:pPr>
        <w:spacing w:line="360" w:lineRule="auto"/>
        <w:jc w:val="both"/>
      </w:pPr>
      <w:r w:rsidRPr="0002692A">
        <w:t>A third strategy involves integrating communication workshops with feedback sessions. Offering regular workshops that focus on listening skills, empathy, and non-verbal communication, followed by feedback from peers or supervisors, helps workers improve by reflecting on their strengths and areas for growth. This strategy strengthens not just communication techniques but also emotio</w:t>
      </w:r>
      <w:r>
        <w:t>nal intelligence in caregiving.</w:t>
      </w:r>
    </w:p>
    <w:p w14:paraId="4BEBC8EE" w14:textId="78FE3062" w:rsidR="0002692A" w:rsidRPr="0002692A" w:rsidRDefault="0002692A" w:rsidP="006430DF">
      <w:pPr>
        <w:spacing w:line="360" w:lineRule="auto"/>
        <w:jc w:val="both"/>
        <w:rPr>
          <w:b/>
        </w:rPr>
      </w:pPr>
      <w:r w:rsidRPr="0002692A">
        <w:rPr>
          <w:b/>
        </w:rPr>
        <w:t>2. Safeguarding and Safety Awareness – Protecting Service Users</w:t>
      </w:r>
    </w:p>
    <w:p w14:paraId="186B5CE0" w14:textId="418ED0C4" w:rsidR="0002692A" w:rsidRPr="0002692A" w:rsidRDefault="0002692A" w:rsidP="006430DF">
      <w:pPr>
        <w:spacing w:line="360" w:lineRule="auto"/>
        <w:jc w:val="both"/>
      </w:pPr>
      <w:r w:rsidRPr="0002692A">
        <w:t>The skills of safeguarding and safety can be enhanced through learning via a system and contemplation of the accidents. Real case and organised safety framework training methods assist workers in learning about the way risks arise in the care structures and the role that individual attributes can play in risk prevention. Systems analysis is used to assist staff members in identifying patterns instead of singular issues and enabling them to act proactively towards risk management (Vincent et al., 2025). The strategy will help to promote professional judgement and a culture of safety and continuous imp</w:t>
      </w:r>
      <w:r>
        <w:t>rovement in care organisations.</w:t>
      </w:r>
    </w:p>
    <w:p w14:paraId="709E1B13" w14:textId="4BC35FC7" w:rsidR="0002692A" w:rsidRPr="0002692A" w:rsidRDefault="0002692A" w:rsidP="006430DF">
      <w:pPr>
        <w:spacing w:line="360" w:lineRule="auto"/>
        <w:jc w:val="both"/>
      </w:pPr>
      <w:r w:rsidRPr="0002692A">
        <w:t>A second strategy for safeguarding improvement involves regular safeguarding audits. Conducting routine audits that assess risk detection, reporting practices, and response times ensures workers are adhering to safeguarding policies and enables managers to identify training gaps. Regular audits also encourage staff to prioritise safeguarding in their daily practi</w:t>
      </w:r>
      <w:r>
        <w:t>ce, reinforcing its importance.</w:t>
      </w:r>
    </w:p>
    <w:p w14:paraId="12FB9E13" w14:textId="3E0C67A9" w:rsidR="0002692A" w:rsidRPr="0002692A" w:rsidRDefault="0002692A" w:rsidP="006430DF">
      <w:pPr>
        <w:spacing w:line="360" w:lineRule="auto"/>
        <w:jc w:val="both"/>
      </w:pPr>
      <w:r w:rsidRPr="0002692A">
        <w:t>A third strategy is reflective supervision sessions. By providing workers with regular reflective supervision, where they can discuss cases they have encountered and reflect on their decision-making processes, this strategy promotes continuous professional development in safeguarding. It allows for the identification of emotional or moral challenges workers may face while safeguarding, offering guidance and moral s</w:t>
      </w:r>
      <w:r>
        <w:t>upport in difficult situations.</w:t>
      </w:r>
    </w:p>
    <w:p w14:paraId="4F841975" w14:textId="02834EF6" w:rsidR="0002692A" w:rsidRPr="0002692A" w:rsidRDefault="0002692A" w:rsidP="006430DF">
      <w:pPr>
        <w:spacing w:line="360" w:lineRule="auto"/>
        <w:jc w:val="both"/>
        <w:rPr>
          <w:b/>
        </w:rPr>
      </w:pPr>
      <w:r w:rsidRPr="0002692A">
        <w:rPr>
          <w:b/>
        </w:rPr>
        <w:t>3. Accurate Documentation and Team Collaboration – Ensuring Continuity of Care</w:t>
      </w:r>
    </w:p>
    <w:p w14:paraId="134103A1" w14:textId="6D23CBA7" w:rsidR="0002692A" w:rsidRPr="0002692A" w:rsidRDefault="0002692A" w:rsidP="006430DF">
      <w:pPr>
        <w:spacing w:line="360" w:lineRule="auto"/>
        <w:jc w:val="both"/>
      </w:pPr>
      <w:r w:rsidRPr="0002692A">
        <w:t>Another measure that would enhance documentation and work based on systems is the specific support of home and community-based care employees. It is also shown that homecare workers regularly have difficulties with information exchange, job stress, and emotional demands, especially when dealing with people with complex needs (Forward et al., 2024). Structured guidance, supervision, and organisational support may help workers to ensure proper records and effectively liaise with broader care teams. The choice of this strategy was due to the possibility of tackling real obstacles to effective documentation and making care delivery s</w:t>
      </w:r>
      <w:r>
        <w:t>ustainable and of high quality.</w:t>
      </w:r>
    </w:p>
    <w:p w14:paraId="47F0655F" w14:textId="342DE831" w:rsidR="0002692A" w:rsidRPr="0002692A" w:rsidRDefault="0002692A" w:rsidP="006430DF">
      <w:pPr>
        <w:spacing w:line="360" w:lineRule="auto"/>
        <w:jc w:val="both"/>
      </w:pPr>
      <w:r w:rsidRPr="0002692A">
        <w:t>A second strategy is implementing standardised documentation tools across teams. The use of templates and checklists for daily notes, handovers, and risk assessments ensures consistency and completeness in documentation. This strategy reduces the risk of errors due to missed information and ensures that all team members are on the sa</w:t>
      </w:r>
      <w:r>
        <w:t>me page when delivering care.</w:t>
      </w:r>
    </w:p>
    <w:p w14:paraId="1F7AE4D8" w14:textId="77777777" w:rsidR="0002692A" w:rsidRDefault="0002692A" w:rsidP="006430DF">
      <w:pPr>
        <w:spacing w:line="360" w:lineRule="auto"/>
        <w:jc w:val="both"/>
        <w:rPr>
          <w:b/>
        </w:rPr>
      </w:pPr>
      <w:r w:rsidRPr="0002692A">
        <w:t>A third strategy is to provide training on digital record-keeping. Many homecare workers face challenges when using digital tools to document care. Providing comprehensive training on electronic health records (EHR) systems allows workers to become more efficient and accurate in their documentation. Familiarity with digital tools also enhances collaboration across teams and ensures that information is shared promptly.</w:t>
      </w:r>
    </w:p>
    <w:p w14:paraId="056CD87E" w14:textId="4430CED0" w:rsidR="00FE00AD" w:rsidRPr="001F42EF" w:rsidRDefault="00FE00AD" w:rsidP="006430DF">
      <w:pPr>
        <w:pStyle w:val="Heading1"/>
        <w:spacing w:line="360" w:lineRule="auto"/>
        <w:jc w:val="both"/>
        <w:rPr>
          <w:rFonts w:ascii="Arial" w:hAnsi="Arial" w:cs="Arial"/>
          <w:sz w:val="22"/>
          <w:szCs w:val="22"/>
        </w:rPr>
      </w:pPr>
      <w:bookmarkStart w:id="5" w:name="_Toc221556295"/>
      <w:r w:rsidRPr="001F42EF">
        <w:rPr>
          <w:rFonts w:ascii="Arial" w:hAnsi="Arial" w:cs="Arial"/>
          <w:sz w:val="22"/>
          <w:szCs w:val="22"/>
        </w:rPr>
        <w:t>1.5 Conclusion</w:t>
      </w:r>
      <w:bookmarkEnd w:id="5"/>
    </w:p>
    <w:p w14:paraId="3BB9FAE4" w14:textId="0E2967BB" w:rsidR="00FE00AD" w:rsidRPr="001F42EF" w:rsidRDefault="00FE00AD" w:rsidP="006430DF">
      <w:pPr>
        <w:spacing w:line="360" w:lineRule="auto"/>
        <w:jc w:val="both"/>
        <w:rPr>
          <w:rFonts w:ascii="Arial" w:hAnsi="Arial" w:cs="Arial"/>
          <w:sz w:val="22"/>
        </w:rPr>
      </w:pPr>
      <w:r w:rsidRPr="001F42EF">
        <w:rPr>
          <w:rFonts w:ascii="Arial" w:hAnsi="Arial" w:cs="Arial"/>
          <w:sz w:val="22"/>
        </w:rPr>
        <w:t>The health and social care workers are important in providing quality, safe, and person-centred care in complex service systems. The report has described the value of the position, assessed the capabilities required</w:t>
      </w:r>
      <w:r w:rsidR="001F42EF" w:rsidRPr="001F42EF">
        <w:rPr>
          <w:rFonts w:ascii="Arial" w:hAnsi="Arial" w:cs="Arial"/>
          <w:sz w:val="22"/>
        </w:rPr>
        <w:t>,</w:t>
      </w:r>
      <w:r w:rsidRPr="001F42EF">
        <w:rPr>
          <w:rFonts w:ascii="Arial" w:hAnsi="Arial" w:cs="Arial"/>
          <w:sz w:val="22"/>
        </w:rPr>
        <w:t xml:space="preserve"> such as communication skills, protection of awareness and working in the system and strategies that </w:t>
      </w:r>
      <w:r w:rsidR="001F42EF" w:rsidRPr="001F42EF">
        <w:rPr>
          <w:rFonts w:ascii="Arial" w:hAnsi="Arial" w:cs="Arial"/>
          <w:sz w:val="22"/>
        </w:rPr>
        <w:t>facilitate</w:t>
      </w:r>
      <w:r w:rsidRPr="001F42EF">
        <w:rPr>
          <w:rFonts w:ascii="Arial" w:hAnsi="Arial" w:cs="Arial"/>
          <w:sz w:val="22"/>
        </w:rPr>
        <w:t xml:space="preserve"> the use of the skills. The shared decision-making training, systems-oriented learning of safety, and specific workforce assistance are evidence-based strategies to enhance professional competency and quality of care. </w:t>
      </w:r>
    </w:p>
    <w:p w14:paraId="4C0BF67F" w14:textId="77777777" w:rsidR="002868CA" w:rsidRPr="001F42EF" w:rsidRDefault="002868CA" w:rsidP="006430DF">
      <w:pPr>
        <w:spacing w:line="360" w:lineRule="auto"/>
        <w:jc w:val="both"/>
        <w:rPr>
          <w:rFonts w:ascii="Arial" w:eastAsiaTheme="majorEastAsia" w:hAnsi="Arial" w:cs="Arial"/>
          <w:b/>
          <w:color w:val="2F5496" w:themeColor="accent1" w:themeShade="BF"/>
          <w:sz w:val="22"/>
        </w:rPr>
      </w:pPr>
      <w:r w:rsidRPr="001F42EF">
        <w:rPr>
          <w:rFonts w:ascii="Arial" w:hAnsi="Arial" w:cs="Arial"/>
          <w:sz w:val="22"/>
        </w:rPr>
        <w:br w:type="page"/>
      </w:r>
    </w:p>
    <w:p w14:paraId="3F890AE8" w14:textId="01FC45AD" w:rsidR="004552CE" w:rsidRPr="001F42EF" w:rsidRDefault="002868CA" w:rsidP="006430DF">
      <w:pPr>
        <w:pStyle w:val="Heading1"/>
        <w:spacing w:line="360" w:lineRule="auto"/>
        <w:jc w:val="both"/>
        <w:rPr>
          <w:rFonts w:ascii="Arial" w:hAnsi="Arial" w:cs="Arial"/>
          <w:sz w:val="22"/>
          <w:szCs w:val="22"/>
        </w:rPr>
      </w:pPr>
      <w:bookmarkStart w:id="6" w:name="_Toc221556296"/>
      <w:r w:rsidRPr="001F42EF">
        <w:rPr>
          <w:rFonts w:ascii="Arial" w:hAnsi="Arial" w:cs="Arial"/>
          <w:sz w:val="22"/>
          <w:szCs w:val="22"/>
        </w:rPr>
        <w:t>1.6 References list</w:t>
      </w:r>
      <w:bookmarkEnd w:id="6"/>
      <w:r w:rsidRPr="001F42EF">
        <w:rPr>
          <w:rFonts w:ascii="Arial" w:hAnsi="Arial" w:cs="Arial"/>
          <w:sz w:val="22"/>
          <w:szCs w:val="22"/>
        </w:rPr>
        <w:t xml:space="preserve"> </w:t>
      </w:r>
    </w:p>
    <w:p w14:paraId="1B47F72E" w14:textId="6EBE7853" w:rsidR="002868CA" w:rsidRPr="001F42EF" w:rsidRDefault="002868CA" w:rsidP="006430DF">
      <w:pPr>
        <w:spacing w:before="100" w:beforeAutospacing="1" w:after="100" w:afterAutospacing="1" w:line="360" w:lineRule="auto"/>
        <w:ind w:left="720" w:hanging="720"/>
        <w:jc w:val="both"/>
        <w:rPr>
          <w:rFonts w:ascii="Arial" w:eastAsia="Times New Roman" w:hAnsi="Arial" w:cs="Arial"/>
          <w:kern w:val="0"/>
          <w:sz w:val="22"/>
          <w:lang w:val="en-US" w:eastAsia="en-US"/>
          <w14:ligatures w14:val="none"/>
        </w:rPr>
      </w:pPr>
      <w:r w:rsidRPr="001F42EF">
        <w:rPr>
          <w:rFonts w:ascii="Arial" w:eastAsia="Times New Roman" w:hAnsi="Arial" w:cs="Arial"/>
          <w:kern w:val="0"/>
          <w:sz w:val="22"/>
          <w:lang w:val="en-US" w:eastAsia="en-US"/>
          <w14:ligatures w14:val="none"/>
        </w:rPr>
        <w:t>Fenney, D., Baylis, A., Robertson, R. and Walshe, K. (2025)</w:t>
      </w:r>
      <w:r w:rsidR="001F42EF" w:rsidRPr="001F42EF">
        <w:rPr>
          <w:rFonts w:ascii="Arial" w:eastAsia="Times New Roman" w:hAnsi="Arial" w:cs="Arial"/>
          <w:kern w:val="0"/>
          <w:sz w:val="22"/>
          <w:lang w:val="en-US" w:eastAsia="en-US"/>
          <w14:ligatures w14:val="none"/>
        </w:rPr>
        <w:t>.</w:t>
      </w:r>
      <w:r w:rsidRPr="001F42EF">
        <w:rPr>
          <w:rFonts w:ascii="Arial" w:eastAsia="Times New Roman" w:hAnsi="Arial" w:cs="Arial"/>
          <w:kern w:val="0"/>
          <w:sz w:val="22"/>
          <w:lang w:val="en-US" w:eastAsia="en-US"/>
          <w14:ligatures w14:val="none"/>
        </w:rPr>
        <w:t xml:space="preserve"> </w:t>
      </w:r>
      <w:r w:rsidRPr="001F42EF">
        <w:rPr>
          <w:rFonts w:ascii="Arial" w:eastAsia="Times New Roman" w:hAnsi="Arial" w:cs="Arial"/>
          <w:i/>
          <w:iCs/>
          <w:kern w:val="0"/>
          <w:sz w:val="22"/>
          <w:lang w:val="en-US" w:eastAsia="en-US"/>
          <w14:ligatures w14:val="none"/>
        </w:rPr>
        <w:t>Evidence on what works in regulating health and social care</w:t>
      </w:r>
      <w:r w:rsidRPr="001F42EF">
        <w:rPr>
          <w:rFonts w:ascii="Arial" w:eastAsia="Times New Roman" w:hAnsi="Arial" w:cs="Arial"/>
          <w:kern w:val="0"/>
          <w:sz w:val="22"/>
          <w:lang w:val="en-US" w:eastAsia="en-US"/>
          <w14:ligatures w14:val="none"/>
        </w:rPr>
        <w:t>.</w:t>
      </w:r>
    </w:p>
    <w:p w14:paraId="32E2731B" w14:textId="77777777" w:rsidR="002868CA" w:rsidRPr="001F42EF" w:rsidRDefault="002868CA" w:rsidP="006430DF">
      <w:pPr>
        <w:spacing w:before="100" w:beforeAutospacing="1" w:after="100" w:afterAutospacing="1" w:line="360" w:lineRule="auto"/>
        <w:ind w:left="720" w:hanging="720"/>
        <w:jc w:val="both"/>
        <w:rPr>
          <w:rFonts w:ascii="Arial" w:eastAsia="Times New Roman" w:hAnsi="Arial" w:cs="Arial"/>
          <w:kern w:val="0"/>
          <w:sz w:val="22"/>
          <w:lang w:val="en-US" w:eastAsia="en-US"/>
          <w14:ligatures w14:val="none"/>
        </w:rPr>
      </w:pPr>
      <w:r w:rsidRPr="001F42EF">
        <w:rPr>
          <w:rFonts w:ascii="Arial" w:eastAsia="Times New Roman" w:hAnsi="Arial" w:cs="Arial"/>
          <w:kern w:val="0"/>
          <w:sz w:val="22"/>
          <w:lang w:val="en-US" w:eastAsia="en-US"/>
          <w14:ligatures w14:val="none"/>
        </w:rPr>
        <w:t xml:space="preserve">Forward, C., Bayley, Z., Walker, L., Krygier, J., White, C., Mwaba, K., Elliott-Button, H., Taylor, P. and Johnson, M.J. (2024) ‘Needs and experiences of homecare workers when supporting people to live at home at the end of life: a rapid review’, </w:t>
      </w:r>
      <w:r w:rsidRPr="001F42EF">
        <w:rPr>
          <w:rFonts w:ascii="Arial" w:eastAsia="Times New Roman" w:hAnsi="Arial" w:cs="Arial"/>
          <w:i/>
          <w:iCs/>
          <w:kern w:val="0"/>
          <w:sz w:val="22"/>
          <w:lang w:val="en-US" w:eastAsia="en-US"/>
          <w14:ligatures w14:val="none"/>
        </w:rPr>
        <w:t>BMJ Supportive &amp; Palliative Care</w:t>
      </w:r>
      <w:r w:rsidRPr="001F42EF">
        <w:rPr>
          <w:rFonts w:ascii="Arial" w:eastAsia="Times New Roman" w:hAnsi="Arial" w:cs="Arial"/>
          <w:kern w:val="0"/>
          <w:sz w:val="22"/>
          <w:lang w:val="en-US" w:eastAsia="en-US"/>
          <w14:ligatures w14:val="none"/>
        </w:rPr>
        <w:t>.</w:t>
      </w:r>
    </w:p>
    <w:p w14:paraId="3466B304" w14:textId="1A1E530E" w:rsidR="002868CA" w:rsidRPr="001F42EF" w:rsidRDefault="002868CA" w:rsidP="006430DF">
      <w:pPr>
        <w:spacing w:before="100" w:beforeAutospacing="1" w:after="100" w:afterAutospacing="1" w:line="360" w:lineRule="auto"/>
        <w:ind w:left="720" w:hanging="720"/>
        <w:jc w:val="both"/>
        <w:rPr>
          <w:rFonts w:ascii="Arial" w:eastAsia="Times New Roman" w:hAnsi="Arial" w:cs="Arial"/>
          <w:kern w:val="0"/>
          <w:sz w:val="22"/>
          <w:lang w:val="en-US" w:eastAsia="en-US"/>
          <w14:ligatures w14:val="none"/>
        </w:rPr>
      </w:pPr>
      <w:r w:rsidRPr="001F42EF">
        <w:rPr>
          <w:rFonts w:ascii="Arial" w:eastAsia="Times New Roman" w:hAnsi="Arial" w:cs="Arial"/>
          <w:kern w:val="0"/>
          <w:sz w:val="22"/>
          <w:lang w:val="en-US" w:eastAsia="en-US"/>
          <w14:ligatures w14:val="none"/>
        </w:rPr>
        <w:t xml:space="preserve">Jacklin, S., Thompson, J., Hutchinson, A., Maddock, K., Maskrey, N., </w:t>
      </w:r>
      <w:proofErr w:type="spellStart"/>
      <w:r w:rsidRPr="001F42EF">
        <w:rPr>
          <w:rFonts w:ascii="Arial" w:eastAsia="Times New Roman" w:hAnsi="Arial" w:cs="Arial"/>
          <w:kern w:val="0"/>
          <w:sz w:val="22"/>
          <w:lang w:val="en-US" w:eastAsia="en-US"/>
          <w14:ligatures w14:val="none"/>
        </w:rPr>
        <w:t>Norburn</w:t>
      </w:r>
      <w:proofErr w:type="spellEnd"/>
      <w:r w:rsidRPr="001F42EF">
        <w:rPr>
          <w:rFonts w:ascii="Arial" w:eastAsia="Times New Roman" w:hAnsi="Arial" w:cs="Arial"/>
          <w:kern w:val="0"/>
          <w:sz w:val="22"/>
          <w:lang w:val="en-US" w:eastAsia="en-US"/>
          <w14:ligatures w14:val="none"/>
        </w:rPr>
        <w:t xml:space="preserve">, L. and Underhill, J. (2025) ‘Exploring user experiences of the National Institute </w:t>
      </w:r>
      <w:r w:rsidR="0019132E">
        <w:rPr>
          <w:rFonts w:ascii="Arial" w:eastAsia="Times New Roman" w:hAnsi="Arial" w:cs="Arial"/>
          <w:kern w:val="0"/>
          <w:sz w:val="22"/>
          <w:lang w:val="en-US" w:eastAsia="en-US"/>
          <w14:ligatures w14:val="none"/>
        </w:rPr>
        <w:t>for</w:t>
      </w:r>
      <w:r w:rsidRPr="001F42EF">
        <w:rPr>
          <w:rFonts w:ascii="Arial" w:eastAsia="Times New Roman" w:hAnsi="Arial" w:cs="Arial"/>
          <w:kern w:val="0"/>
          <w:sz w:val="22"/>
          <w:lang w:val="en-US" w:eastAsia="en-US"/>
          <w14:ligatures w14:val="none"/>
        </w:rPr>
        <w:t xml:space="preserve"> Health and Care Excellence’s shared decision-making learning package: an online qualitative study’, </w:t>
      </w:r>
      <w:r w:rsidRPr="001F42EF">
        <w:rPr>
          <w:rFonts w:ascii="Arial" w:eastAsia="Times New Roman" w:hAnsi="Arial" w:cs="Arial"/>
          <w:i/>
          <w:iCs/>
          <w:kern w:val="0"/>
          <w:sz w:val="22"/>
          <w:lang w:val="en-US" w:eastAsia="en-US"/>
          <w14:ligatures w14:val="none"/>
        </w:rPr>
        <w:t>BMJ Open</w:t>
      </w:r>
      <w:r w:rsidRPr="001F42EF">
        <w:rPr>
          <w:rFonts w:ascii="Arial" w:eastAsia="Times New Roman" w:hAnsi="Arial" w:cs="Arial"/>
          <w:kern w:val="0"/>
          <w:sz w:val="22"/>
          <w:lang w:val="en-US" w:eastAsia="en-US"/>
          <w14:ligatures w14:val="none"/>
        </w:rPr>
        <w:t>, 15(5), e088856.</w:t>
      </w:r>
    </w:p>
    <w:p w14:paraId="62EE82FB" w14:textId="77777777" w:rsidR="002868CA" w:rsidRPr="001F42EF" w:rsidRDefault="002868CA" w:rsidP="006430DF">
      <w:pPr>
        <w:spacing w:before="100" w:beforeAutospacing="1" w:after="100" w:afterAutospacing="1" w:line="360" w:lineRule="auto"/>
        <w:ind w:left="720" w:hanging="720"/>
        <w:jc w:val="both"/>
        <w:rPr>
          <w:rFonts w:ascii="Arial" w:eastAsia="Times New Roman" w:hAnsi="Arial" w:cs="Arial"/>
          <w:kern w:val="0"/>
          <w:sz w:val="22"/>
          <w:lang w:val="en-US" w:eastAsia="en-US"/>
          <w14:ligatures w14:val="none"/>
        </w:rPr>
      </w:pPr>
      <w:r w:rsidRPr="001F42EF">
        <w:rPr>
          <w:rFonts w:ascii="Arial" w:eastAsia="Times New Roman" w:hAnsi="Arial" w:cs="Arial"/>
          <w:kern w:val="0"/>
          <w:sz w:val="22"/>
          <w:lang w:val="en-US" w:eastAsia="en-US"/>
          <w14:ligatures w14:val="none"/>
        </w:rPr>
        <w:t xml:space="preserve">Stewart, I. and </w:t>
      </w:r>
      <w:proofErr w:type="spellStart"/>
      <w:r w:rsidRPr="001F42EF">
        <w:rPr>
          <w:rFonts w:ascii="Arial" w:eastAsia="Times New Roman" w:hAnsi="Arial" w:cs="Arial"/>
          <w:kern w:val="0"/>
          <w:sz w:val="22"/>
          <w:lang w:val="en-US" w:eastAsia="en-US"/>
          <w14:ligatures w14:val="none"/>
        </w:rPr>
        <w:t>Livanou</w:t>
      </w:r>
      <w:proofErr w:type="spellEnd"/>
      <w:r w:rsidRPr="001F42EF">
        <w:rPr>
          <w:rFonts w:ascii="Arial" w:eastAsia="Times New Roman" w:hAnsi="Arial" w:cs="Arial"/>
          <w:kern w:val="0"/>
          <w:sz w:val="22"/>
          <w:lang w:val="en-US" w:eastAsia="en-US"/>
          <w14:ligatures w14:val="none"/>
        </w:rPr>
        <w:t xml:space="preserve">, M. (2025) ‘Care-planning co-production legislation, policy and guidance implications for people affected by dementia in England: a scoping review’, </w:t>
      </w:r>
      <w:r w:rsidRPr="001F42EF">
        <w:rPr>
          <w:rFonts w:ascii="Arial" w:eastAsia="Times New Roman" w:hAnsi="Arial" w:cs="Arial"/>
          <w:i/>
          <w:iCs/>
          <w:kern w:val="0"/>
          <w:sz w:val="22"/>
          <w:lang w:val="en-US" w:eastAsia="en-US"/>
          <w14:ligatures w14:val="none"/>
        </w:rPr>
        <w:t>Social Policy and Society</w:t>
      </w:r>
      <w:r w:rsidRPr="001F42EF">
        <w:rPr>
          <w:rFonts w:ascii="Arial" w:eastAsia="Times New Roman" w:hAnsi="Arial" w:cs="Arial"/>
          <w:kern w:val="0"/>
          <w:sz w:val="22"/>
          <w:lang w:val="en-US" w:eastAsia="en-US"/>
          <w14:ligatures w14:val="none"/>
        </w:rPr>
        <w:t>, pp. 1–30.</w:t>
      </w:r>
    </w:p>
    <w:p w14:paraId="7323D1EA" w14:textId="77777777" w:rsidR="002868CA" w:rsidRPr="001F42EF" w:rsidRDefault="002868CA" w:rsidP="006430DF">
      <w:pPr>
        <w:spacing w:before="100" w:beforeAutospacing="1" w:after="100" w:afterAutospacing="1" w:line="360" w:lineRule="auto"/>
        <w:ind w:left="720" w:hanging="720"/>
        <w:jc w:val="both"/>
        <w:rPr>
          <w:rFonts w:ascii="Arial" w:eastAsia="Times New Roman" w:hAnsi="Arial" w:cs="Arial"/>
          <w:kern w:val="0"/>
          <w:sz w:val="22"/>
          <w:lang w:val="en-US" w:eastAsia="en-US"/>
          <w14:ligatures w14:val="none"/>
        </w:rPr>
      </w:pPr>
      <w:r w:rsidRPr="001F42EF">
        <w:rPr>
          <w:rFonts w:ascii="Arial" w:eastAsia="Times New Roman" w:hAnsi="Arial" w:cs="Arial"/>
          <w:kern w:val="0"/>
          <w:sz w:val="22"/>
          <w:lang w:val="en-US" w:eastAsia="en-US"/>
          <w14:ligatures w14:val="none"/>
        </w:rPr>
        <w:t xml:space="preserve">Vincent, C., Irving, D., Bellandi, T., Higham, H., Michel, P., Staines, A., Adams, S., Brown, J., Hibbert, P.D., Hemmelgarn, C. and Joseph, L. (2025) ‘Systems analysis of clinical incidents: development of a new edition of the London Protocol’, </w:t>
      </w:r>
      <w:r w:rsidRPr="001F42EF">
        <w:rPr>
          <w:rFonts w:ascii="Arial" w:eastAsia="Times New Roman" w:hAnsi="Arial" w:cs="Arial"/>
          <w:i/>
          <w:iCs/>
          <w:kern w:val="0"/>
          <w:sz w:val="22"/>
          <w:lang w:val="en-US" w:eastAsia="en-US"/>
          <w14:ligatures w14:val="none"/>
        </w:rPr>
        <w:t>BMJ Quality &amp; Safety</w:t>
      </w:r>
      <w:r w:rsidRPr="001F42EF">
        <w:rPr>
          <w:rFonts w:ascii="Arial" w:eastAsia="Times New Roman" w:hAnsi="Arial" w:cs="Arial"/>
          <w:kern w:val="0"/>
          <w:sz w:val="22"/>
          <w:lang w:val="en-US" w:eastAsia="en-US"/>
          <w14:ligatures w14:val="none"/>
        </w:rPr>
        <w:t>, 34(6), pp. 413–420.</w:t>
      </w:r>
    </w:p>
    <w:p w14:paraId="4609A1AA" w14:textId="77777777" w:rsidR="002868CA" w:rsidRPr="001F42EF" w:rsidRDefault="002868CA" w:rsidP="006430DF">
      <w:pPr>
        <w:spacing w:line="360" w:lineRule="auto"/>
        <w:jc w:val="both"/>
        <w:rPr>
          <w:rFonts w:ascii="Arial" w:hAnsi="Arial" w:cs="Arial"/>
          <w:sz w:val="22"/>
        </w:rPr>
      </w:pPr>
    </w:p>
    <w:sectPr w:rsidR="002868CA" w:rsidRPr="001F42E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0179B5" w14:textId="77777777" w:rsidR="00397A35" w:rsidRDefault="00397A35" w:rsidP="003C7C97">
      <w:pPr>
        <w:spacing w:after="0" w:line="240" w:lineRule="auto"/>
      </w:pPr>
      <w:r>
        <w:separator/>
      </w:r>
    </w:p>
  </w:endnote>
  <w:endnote w:type="continuationSeparator" w:id="0">
    <w:p w14:paraId="7140EAAD" w14:textId="77777777" w:rsidR="00397A35" w:rsidRDefault="00397A3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1984713"/>
      <w:docPartObj>
        <w:docPartGallery w:val="Page Numbers (Bottom of Page)"/>
        <w:docPartUnique/>
      </w:docPartObj>
    </w:sdtPr>
    <w:sdtEndPr>
      <w:rPr>
        <w:color w:val="7F7F7F" w:themeColor="background1" w:themeShade="7F"/>
        <w:spacing w:val="60"/>
      </w:rPr>
    </w:sdtEndPr>
    <w:sdtContent>
      <w:p w14:paraId="1569E61F" w14:textId="547714A1" w:rsidR="002C0CF2" w:rsidRDefault="002C0CF2">
        <w:pPr>
          <w:pStyle w:val="Footer"/>
          <w:pBdr>
            <w:top w:val="single" w:sz="4" w:space="1" w:color="D9D9D9" w:themeColor="background1" w:themeShade="D9"/>
          </w:pBdr>
          <w:jc w:val="right"/>
        </w:pPr>
        <w:r>
          <w:fldChar w:fldCharType="begin"/>
        </w:r>
        <w:r>
          <w:instrText xml:space="preserve"> PAGE   \* MERGEFORMAT </w:instrText>
        </w:r>
        <w:r>
          <w:fldChar w:fldCharType="separate"/>
        </w:r>
        <w:r w:rsidR="0002692A">
          <w:rPr>
            <w:noProof/>
          </w:rPr>
          <w:t>4</w:t>
        </w:r>
        <w:r>
          <w:rPr>
            <w:noProof/>
          </w:rPr>
          <w:fldChar w:fldCharType="end"/>
        </w:r>
        <w:r>
          <w:t xml:space="preserve"> | </w:t>
        </w:r>
        <w:r>
          <w:rPr>
            <w:color w:val="7F7F7F" w:themeColor="background1" w:themeShade="7F"/>
            <w:spacing w:val="60"/>
          </w:rPr>
          <w:t>Page</w:t>
        </w:r>
      </w:p>
    </w:sdtContent>
  </w:sdt>
  <w:p w14:paraId="0F90B267" w14:textId="77777777" w:rsidR="002C0CF2" w:rsidRDefault="002C0C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32609F" w14:textId="77777777" w:rsidR="00397A35" w:rsidRDefault="00397A35" w:rsidP="003C7C97">
      <w:pPr>
        <w:spacing w:after="0" w:line="240" w:lineRule="auto"/>
      </w:pPr>
      <w:r>
        <w:separator/>
      </w:r>
    </w:p>
  </w:footnote>
  <w:footnote w:type="continuationSeparator" w:id="0">
    <w:p w14:paraId="135BAC96" w14:textId="77777777" w:rsidR="00397A35" w:rsidRDefault="00397A35"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F62407"/>
    <w:multiLevelType w:val="multilevel"/>
    <w:tmpl w:val="B9D0DE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22C4091"/>
    <w:multiLevelType w:val="multilevel"/>
    <w:tmpl w:val="83AE0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7468835">
    <w:abstractNumId w:val="6"/>
  </w:num>
  <w:num w:numId="2" w16cid:durableId="1476146828">
    <w:abstractNumId w:val="1"/>
  </w:num>
  <w:num w:numId="3" w16cid:durableId="1404141564">
    <w:abstractNumId w:val="9"/>
  </w:num>
  <w:num w:numId="4" w16cid:durableId="134953091">
    <w:abstractNumId w:val="20"/>
  </w:num>
  <w:num w:numId="5" w16cid:durableId="276181524">
    <w:abstractNumId w:val="16"/>
  </w:num>
  <w:num w:numId="6" w16cid:durableId="2073891792">
    <w:abstractNumId w:val="17"/>
  </w:num>
  <w:num w:numId="7" w16cid:durableId="942610070">
    <w:abstractNumId w:val="21"/>
  </w:num>
  <w:num w:numId="8" w16cid:durableId="1928420676">
    <w:abstractNumId w:val="13"/>
  </w:num>
  <w:num w:numId="9" w16cid:durableId="1323653699">
    <w:abstractNumId w:val="4"/>
  </w:num>
  <w:num w:numId="10" w16cid:durableId="1355381693">
    <w:abstractNumId w:val="11"/>
  </w:num>
  <w:num w:numId="11" w16cid:durableId="541790061">
    <w:abstractNumId w:val="12"/>
  </w:num>
  <w:num w:numId="12" w16cid:durableId="1293363348">
    <w:abstractNumId w:val="10"/>
  </w:num>
  <w:num w:numId="13" w16cid:durableId="557859610">
    <w:abstractNumId w:val="15"/>
  </w:num>
  <w:num w:numId="14" w16cid:durableId="2093237801">
    <w:abstractNumId w:val="8"/>
  </w:num>
  <w:num w:numId="15" w16cid:durableId="962884374">
    <w:abstractNumId w:val="2"/>
  </w:num>
  <w:num w:numId="16" w16cid:durableId="225534767">
    <w:abstractNumId w:val="5"/>
  </w:num>
  <w:num w:numId="17" w16cid:durableId="163984692">
    <w:abstractNumId w:val="22"/>
  </w:num>
  <w:num w:numId="18" w16cid:durableId="1013074474">
    <w:abstractNumId w:val="18"/>
  </w:num>
  <w:num w:numId="19" w16cid:durableId="1576432762">
    <w:abstractNumId w:val="7"/>
  </w:num>
  <w:num w:numId="20" w16cid:durableId="1662198155">
    <w:abstractNumId w:val="14"/>
  </w:num>
  <w:num w:numId="21" w16cid:durableId="238291706">
    <w:abstractNumId w:val="23"/>
  </w:num>
  <w:num w:numId="22" w16cid:durableId="121656016">
    <w:abstractNumId w:val="0"/>
  </w:num>
  <w:num w:numId="23" w16cid:durableId="164709098">
    <w:abstractNumId w:val="19"/>
  </w:num>
  <w:num w:numId="24" w16cid:durableId="11701751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5964"/>
    <w:rsid w:val="0001715D"/>
    <w:rsid w:val="00022C42"/>
    <w:rsid w:val="0002692A"/>
    <w:rsid w:val="00027B15"/>
    <w:rsid w:val="00030A05"/>
    <w:rsid w:val="00070818"/>
    <w:rsid w:val="0008238F"/>
    <w:rsid w:val="00082EC6"/>
    <w:rsid w:val="00085388"/>
    <w:rsid w:val="000C7EA0"/>
    <w:rsid w:val="000D2E1A"/>
    <w:rsid w:val="000D41DC"/>
    <w:rsid w:val="000D76D1"/>
    <w:rsid w:val="00125D37"/>
    <w:rsid w:val="00127C1A"/>
    <w:rsid w:val="00150D81"/>
    <w:rsid w:val="00166CEB"/>
    <w:rsid w:val="00183CB9"/>
    <w:rsid w:val="0018489A"/>
    <w:rsid w:val="00184A9A"/>
    <w:rsid w:val="0019132E"/>
    <w:rsid w:val="001947DF"/>
    <w:rsid w:val="001B22BB"/>
    <w:rsid w:val="001B619C"/>
    <w:rsid w:val="001D1D3C"/>
    <w:rsid w:val="001F42EF"/>
    <w:rsid w:val="0020628D"/>
    <w:rsid w:val="002205D4"/>
    <w:rsid w:val="00222C3A"/>
    <w:rsid w:val="00226D31"/>
    <w:rsid w:val="00236401"/>
    <w:rsid w:val="002370CE"/>
    <w:rsid w:val="00242974"/>
    <w:rsid w:val="002868CA"/>
    <w:rsid w:val="002976D4"/>
    <w:rsid w:val="002A5577"/>
    <w:rsid w:val="002B4AA4"/>
    <w:rsid w:val="002C0CF2"/>
    <w:rsid w:val="002E71BA"/>
    <w:rsid w:val="002F5066"/>
    <w:rsid w:val="003003FD"/>
    <w:rsid w:val="003005C6"/>
    <w:rsid w:val="00310245"/>
    <w:rsid w:val="00316C95"/>
    <w:rsid w:val="003458DB"/>
    <w:rsid w:val="003523D3"/>
    <w:rsid w:val="00363933"/>
    <w:rsid w:val="00364C35"/>
    <w:rsid w:val="00396F60"/>
    <w:rsid w:val="00397A35"/>
    <w:rsid w:val="003A51D6"/>
    <w:rsid w:val="003B125E"/>
    <w:rsid w:val="003B2A5E"/>
    <w:rsid w:val="003C7C97"/>
    <w:rsid w:val="003F73A3"/>
    <w:rsid w:val="00406B8D"/>
    <w:rsid w:val="00410068"/>
    <w:rsid w:val="0041618E"/>
    <w:rsid w:val="0042295C"/>
    <w:rsid w:val="00426EEC"/>
    <w:rsid w:val="004466C3"/>
    <w:rsid w:val="004552CE"/>
    <w:rsid w:val="004670F8"/>
    <w:rsid w:val="00481FF7"/>
    <w:rsid w:val="00500295"/>
    <w:rsid w:val="00501AAF"/>
    <w:rsid w:val="00527AFA"/>
    <w:rsid w:val="005419DA"/>
    <w:rsid w:val="00553221"/>
    <w:rsid w:val="005678AC"/>
    <w:rsid w:val="005709B1"/>
    <w:rsid w:val="00572B3B"/>
    <w:rsid w:val="005836D2"/>
    <w:rsid w:val="00587C58"/>
    <w:rsid w:val="005A00C7"/>
    <w:rsid w:val="005A7FD4"/>
    <w:rsid w:val="005B1A84"/>
    <w:rsid w:val="005D1AF9"/>
    <w:rsid w:val="005D5457"/>
    <w:rsid w:val="005E2699"/>
    <w:rsid w:val="005E40BD"/>
    <w:rsid w:val="005E44B5"/>
    <w:rsid w:val="00612DEA"/>
    <w:rsid w:val="00614572"/>
    <w:rsid w:val="006232DF"/>
    <w:rsid w:val="00631F2E"/>
    <w:rsid w:val="006430DF"/>
    <w:rsid w:val="006457C0"/>
    <w:rsid w:val="00652BB7"/>
    <w:rsid w:val="00661758"/>
    <w:rsid w:val="0067612C"/>
    <w:rsid w:val="00676FEB"/>
    <w:rsid w:val="006912C4"/>
    <w:rsid w:val="006A5CFC"/>
    <w:rsid w:val="006B497C"/>
    <w:rsid w:val="006B57F6"/>
    <w:rsid w:val="006C5138"/>
    <w:rsid w:val="006C689B"/>
    <w:rsid w:val="006E005C"/>
    <w:rsid w:val="006E6EE5"/>
    <w:rsid w:val="006F0029"/>
    <w:rsid w:val="007138EF"/>
    <w:rsid w:val="0075476B"/>
    <w:rsid w:val="007632A9"/>
    <w:rsid w:val="00774092"/>
    <w:rsid w:val="00782830"/>
    <w:rsid w:val="0078664A"/>
    <w:rsid w:val="007B0F6D"/>
    <w:rsid w:val="007C62C3"/>
    <w:rsid w:val="007D25AA"/>
    <w:rsid w:val="007E0583"/>
    <w:rsid w:val="007F0873"/>
    <w:rsid w:val="00805726"/>
    <w:rsid w:val="00815117"/>
    <w:rsid w:val="008520F8"/>
    <w:rsid w:val="00855F34"/>
    <w:rsid w:val="008826B6"/>
    <w:rsid w:val="008B0B22"/>
    <w:rsid w:val="008C58B0"/>
    <w:rsid w:val="008C591B"/>
    <w:rsid w:val="008C6182"/>
    <w:rsid w:val="00926458"/>
    <w:rsid w:val="00933720"/>
    <w:rsid w:val="009C7E52"/>
    <w:rsid w:val="009E4934"/>
    <w:rsid w:val="009F40A7"/>
    <w:rsid w:val="009F5CE6"/>
    <w:rsid w:val="00A020ED"/>
    <w:rsid w:val="00A035CD"/>
    <w:rsid w:val="00A50E80"/>
    <w:rsid w:val="00A513B0"/>
    <w:rsid w:val="00A63F7F"/>
    <w:rsid w:val="00A667CE"/>
    <w:rsid w:val="00A75042"/>
    <w:rsid w:val="00A774BC"/>
    <w:rsid w:val="00A82678"/>
    <w:rsid w:val="00A946CB"/>
    <w:rsid w:val="00AA14EE"/>
    <w:rsid w:val="00AA77C8"/>
    <w:rsid w:val="00AC7BE2"/>
    <w:rsid w:val="00AE35BF"/>
    <w:rsid w:val="00B1067E"/>
    <w:rsid w:val="00B81790"/>
    <w:rsid w:val="00B81BBC"/>
    <w:rsid w:val="00BD03D5"/>
    <w:rsid w:val="00C3215E"/>
    <w:rsid w:val="00C45272"/>
    <w:rsid w:val="00C47770"/>
    <w:rsid w:val="00C73D11"/>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DF31E5"/>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4026"/>
    <w:rsid w:val="00ED5964"/>
    <w:rsid w:val="00F123D2"/>
    <w:rsid w:val="00F1720B"/>
    <w:rsid w:val="00F36ADC"/>
    <w:rsid w:val="00F605C6"/>
    <w:rsid w:val="00F6785B"/>
    <w:rsid w:val="00F915D6"/>
    <w:rsid w:val="00FE00AD"/>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CommentReference">
    <w:name w:val="annotation reference"/>
    <w:basedOn w:val="DefaultParagraphFont"/>
    <w:uiPriority w:val="99"/>
    <w:semiHidden/>
    <w:unhideWhenUsed/>
    <w:rsid w:val="0075476B"/>
    <w:rPr>
      <w:sz w:val="16"/>
      <w:szCs w:val="16"/>
    </w:rPr>
  </w:style>
  <w:style w:type="paragraph" w:styleId="CommentText">
    <w:name w:val="annotation text"/>
    <w:basedOn w:val="Normal"/>
    <w:link w:val="CommentTextChar"/>
    <w:uiPriority w:val="99"/>
    <w:semiHidden/>
    <w:unhideWhenUsed/>
    <w:rsid w:val="0075476B"/>
    <w:pPr>
      <w:spacing w:line="240" w:lineRule="auto"/>
    </w:pPr>
    <w:rPr>
      <w:szCs w:val="20"/>
    </w:rPr>
  </w:style>
  <w:style w:type="character" w:customStyle="1" w:styleId="CommentTextChar">
    <w:name w:val="Comment Text Char"/>
    <w:basedOn w:val="DefaultParagraphFont"/>
    <w:link w:val="CommentText"/>
    <w:uiPriority w:val="99"/>
    <w:semiHidden/>
    <w:rsid w:val="0075476B"/>
    <w:rPr>
      <w:rFonts w:ascii="Segoe UI" w:hAnsi="Segoe UI"/>
      <w:sz w:val="20"/>
      <w:szCs w:val="20"/>
    </w:rPr>
  </w:style>
  <w:style w:type="paragraph" w:styleId="CommentSubject">
    <w:name w:val="annotation subject"/>
    <w:basedOn w:val="CommentText"/>
    <w:next w:val="CommentText"/>
    <w:link w:val="CommentSubjectChar"/>
    <w:uiPriority w:val="99"/>
    <w:semiHidden/>
    <w:unhideWhenUsed/>
    <w:rsid w:val="0075476B"/>
    <w:rPr>
      <w:b/>
      <w:bCs/>
    </w:rPr>
  </w:style>
  <w:style w:type="character" w:customStyle="1" w:styleId="CommentSubjectChar">
    <w:name w:val="Comment Subject Char"/>
    <w:basedOn w:val="CommentTextChar"/>
    <w:link w:val="CommentSubject"/>
    <w:uiPriority w:val="99"/>
    <w:semiHidden/>
    <w:rsid w:val="0075476B"/>
    <w:rPr>
      <w:rFonts w:ascii="Segoe UI" w:hAnsi="Segoe UI"/>
      <w:b/>
      <w:bCs/>
      <w:sz w:val="20"/>
      <w:szCs w:val="20"/>
    </w:rPr>
  </w:style>
  <w:style w:type="paragraph" w:styleId="BalloonText">
    <w:name w:val="Balloon Text"/>
    <w:basedOn w:val="Normal"/>
    <w:link w:val="BalloonTextChar"/>
    <w:uiPriority w:val="99"/>
    <w:semiHidden/>
    <w:unhideWhenUsed/>
    <w:rsid w:val="0002692A"/>
    <w:pPr>
      <w:spacing w:after="0" w:line="240" w:lineRule="auto"/>
    </w:pPr>
    <w:rPr>
      <w:rFonts w:cs="Segoe UI"/>
      <w:sz w:val="18"/>
      <w:szCs w:val="18"/>
    </w:rPr>
  </w:style>
  <w:style w:type="character" w:customStyle="1" w:styleId="BalloonTextChar">
    <w:name w:val="Balloon Text Char"/>
    <w:basedOn w:val="DefaultParagraphFont"/>
    <w:link w:val="BalloonText"/>
    <w:uiPriority w:val="99"/>
    <w:semiHidden/>
    <w:rsid w:val="0002692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873974">
      <w:bodyDiv w:val="1"/>
      <w:marLeft w:val="0"/>
      <w:marRight w:val="0"/>
      <w:marTop w:val="0"/>
      <w:marBottom w:val="0"/>
      <w:divBdr>
        <w:top w:val="none" w:sz="0" w:space="0" w:color="auto"/>
        <w:left w:val="none" w:sz="0" w:space="0" w:color="auto"/>
        <w:bottom w:val="none" w:sz="0" w:space="0" w:color="auto"/>
        <w:right w:val="none" w:sz="0" w:space="0" w:color="auto"/>
      </w:divBdr>
    </w:div>
    <w:div w:id="295911164">
      <w:bodyDiv w:val="1"/>
      <w:marLeft w:val="0"/>
      <w:marRight w:val="0"/>
      <w:marTop w:val="0"/>
      <w:marBottom w:val="0"/>
      <w:divBdr>
        <w:top w:val="none" w:sz="0" w:space="0" w:color="auto"/>
        <w:left w:val="none" w:sz="0" w:space="0" w:color="auto"/>
        <w:bottom w:val="none" w:sz="0" w:space="0" w:color="auto"/>
        <w:right w:val="none" w:sz="0" w:space="0" w:color="auto"/>
      </w:divBdr>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630862662">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731226153">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EBCC1C-0EDB-4455-81C0-847182AEA2C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Pages>
  <Words>1931</Words>
  <Characters>11009</Characters>
  <Application>Microsoft Office Word</Application>
  <DocSecurity>0</DocSecurity>
  <Lines>91</Lines>
  <Paragraphs>25</Paragraphs>
  <ScaleCrop>false</ScaleCrop>
  <Company>University of Wales Trinity Saint David</Company>
  <LinksUpToDate>false</LinksUpToDate>
  <CharactersWithSpaces>12915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Faiza Khan</cp:lastModifiedBy>
  <cp:revision>19</cp:revision>
  <dcterms:created xsi:type="dcterms:W3CDTF">2026-02-05T14:30:00Z</dcterms:created>
  <dcterms:modified xsi:type="dcterms:W3CDTF">2026-03-16T22:37:00Z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1bc7a706-a71e-4de8-859a-b8a4d7eb90ce</vt:lpwstr>
  </property>
</Properties>
</file>