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491" w:type="dxa"/>
        <w:tblInd w:w="-318" w:type="dxa"/>
        <w:tblLook w:val="04A0"/>
      </w:tblPr>
      <w:tblGrid>
        <w:gridCol w:w="10491"/>
      </w:tblGrid>
      <w:tr w:rsidR="005C36F3" w:rsidRPr="00E17630" w:rsidTr="00E17630">
        <w:tc>
          <w:tcPr>
            <w:tcW w:w="10491" w:type="dxa"/>
          </w:tcPr>
          <w:p w:rsidR="005B36FB" w:rsidRPr="007B68AF" w:rsidRDefault="007B68AF" w:rsidP="00756D36">
            <w:pPr>
              <w:spacing w:line="360" w:lineRule="auto"/>
              <w:jc w:val="center"/>
              <w:rPr>
                <w:rFonts w:asciiTheme="minorBidi" w:hAnsiTheme="minorBidi" w:cstheme="minorBidi"/>
                <w:b/>
                <w:sz w:val="48"/>
                <w:szCs w:val="48"/>
              </w:rPr>
            </w:pPr>
            <w:r w:rsidRPr="007B68AF">
              <w:rPr>
                <w:rFonts w:asciiTheme="minorBidi" w:hAnsiTheme="minorBidi" w:cstheme="minorBidi"/>
                <w:b/>
                <w:sz w:val="48"/>
                <w:szCs w:val="48"/>
              </w:rPr>
              <w:t>Does the required skill set of Food and Beverage employee change, based on the type of business and the type of service utilized?</w:t>
            </w:r>
          </w:p>
          <w:p w:rsidR="007B68AF" w:rsidRPr="007B68AF" w:rsidRDefault="007B68AF" w:rsidP="00756D36">
            <w:pPr>
              <w:spacing w:line="360" w:lineRule="auto"/>
              <w:jc w:val="center"/>
              <w:rPr>
                <w:rFonts w:asciiTheme="minorBidi" w:hAnsiTheme="minorBidi" w:cstheme="minorBidi"/>
                <w:b/>
                <w:sz w:val="48"/>
                <w:szCs w:val="48"/>
              </w:rPr>
            </w:pPr>
            <w:r w:rsidRPr="007B68AF">
              <w:rPr>
                <w:rFonts w:asciiTheme="minorBidi" w:hAnsiTheme="minorBidi" w:cstheme="minorBidi"/>
                <w:b/>
                <w:sz w:val="48"/>
                <w:szCs w:val="48"/>
              </w:rPr>
              <w:t>Module Number: BMIH4002</w:t>
            </w:r>
          </w:p>
          <w:p w:rsidR="007B68AF" w:rsidRPr="007B68AF" w:rsidRDefault="007B68AF" w:rsidP="00756D36">
            <w:pPr>
              <w:spacing w:line="360" w:lineRule="auto"/>
              <w:jc w:val="center"/>
              <w:rPr>
                <w:rFonts w:asciiTheme="minorBidi" w:hAnsiTheme="minorBidi" w:cstheme="minorBidi"/>
                <w:b/>
                <w:sz w:val="48"/>
                <w:szCs w:val="48"/>
              </w:rPr>
            </w:pPr>
            <w:r w:rsidRPr="007B68AF">
              <w:rPr>
                <w:rFonts w:asciiTheme="minorBidi" w:hAnsiTheme="minorBidi" w:cstheme="minorBidi"/>
                <w:b/>
                <w:sz w:val="48"/>
                <w:szCs w:val="48"/>
              </w:rPr>
              <w:t>Student Number:2117690</w:t>
            </w:r>
          </w:p>
          <w:p w:rsidR="007B68AF" w:rsidRPr="007B68AF" w:rsidRDefault="007B68AF" w:rsidP="00756D36">
            <w:pPr>
              <w:spacing w:line="360" w:lineRule="auto"/>
              <w:jc w:val="center"/>
              <w:rPr>
                <w:rFonts w:asciiTheme="minorBidi" w:hAnsiTheme="minorBidi" w:cstheme="minorBidi"/>
                <w:b/>
                <w:sz w:val="48"/>
                <w:szCs w:val="48"/>
              </w:rPr>
            </w:pPr>
            <w:r w:rsidRPr="007B68AF">
              <w:rPr>
                <w:rFonts w:asciiTheme="minorBidi" w:hAnsiTheme="minorBidi" w:cstheme="minorBidi"/>
                <w:b/>
                <w:sz w:val="48"/>
                <w:szCs w:val="48"/>
              </w:rPr>
              <w:t>Student Name: Taslima Akther Lima.</w:t>
            </w:r>
          </w:p>
          <w:p w:rsidR="007B68AF" w:rsidRDefault="007B68AF" w:rsidP="00756D36">
            <w:pPr>
              <w:spacing w:line="360" w:lineRule="auto"/>
              <w:jc w:val="center"/>
              <w:rPr>
                <w:rFonts w:asciiTheme="minorBidi" w:hAnsiTheme="minorBidi" w:cstheme="minorBidi"/>
                <w:b/>
                <w:sz w:val="48"/>
                <w:szCs w:val="44"/>
              </w:rPr>
            </w:pPr>
          </w:p>
          <w:p w:rsidR="007B68AF" w:rsidRPr="007B68AF" w:rsidRDefault="007B68AF" w:rsidP="007B68AF">
            <w:pPr>
              <w:spacing w:line="360" w:lineRule="auto"/>
              <w:rPr>
                <w:rFonts w:asciiTheme="minorBidi" w:hAnsiTheme="minorBidi" w:cstheme="minorBidi"/>
                <w:b/>
                <w:sz w:val="48"/>
                <w:szCs w:val="44"/>
              </w:rPr>
            </w:pPr>
          </w:p>
          <w:p w:rsidR="00771A32" w:rsidRPr="00E17630" w:rsidRDefault="00771A32" w:rsidP="00756D36">
            <w:pPr>
              <w:spacing w:line="360" w:lineRule="auto"/>
              <w:rPr>
                <w:rFonts w:asciiTheme="minorBidi" w:hAnsiTheme="minorBidi" w:cstheme="minorBidi"/>
                <w:b/>
                <w:bCs/>
                <w:lang w:val="en-US"/>
              </w:rPr>
            </w:pPr>
            <w:bookmarkStart w:id="0" w:name="_Toc133701296"/>
            <w:r w:rsidRPr="00E17630">
              <w:rPr>
                <w:rFonts w:asciiTheme="minorBidi" w:hAnsiTheme="minorBidi" w:cstheme="minorBidi"/>
                <w:b/>
                <w:bCs/>
                <w:lang w:val="en-US"/>
              </w:rPr>
              <w:t>Introduction</w:t>
            </w:r>
            <w:bookmarkEnd w:id="0"/>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All the restaurants which may include fast-food, fine-dining etc are a the sector of the food and beverage sector (Smithsonian Magazine, 2019). This report will elaborate on the skills required for the job, the differences in the skills from restaurant to restaurant and the impact of it towards food &amp; beverage employees’ skills.</w:t>
            </w:r>
          </w:p>
          <w:p w:rsidR="00771A32" w:rsidRPr="00E17630" w:rsidRDefault="00771A32" w:rsidP="00756D36">
            <w:pPr>
              <w:spacing w:line="360" w:lineRule="auto"/>
              <w:rPr>
                <w:rFonts w:asciiTheme="minorBidi" w:hAnsiTheme="minorBidi" w:cstheme="minorBidi"/>
                <w:b/>
                <w:bCs/>
                <w:lang w:val="en-US"/>
              </w:rPr>
            </w:pPr>
            <w:bookmarkStart w:id="1" w:name="_Toc133701297"/>
            <w:r w:rsidRPr="00E17630">
              <w:rPr>
                <w:rFonts w:asciiTheme="minorBidi" w:hAnsiTheme="minorBidi" w:cstheme="minorBidi"/>
                <w:b/>
                <w:bCs/>
                <w:lang w:val="en-US"/>
              </w:rPr>
              <w:t>Two different restaurants</w:t>
            </w:r>
            <w:bookmarkEnd w:id="1"/>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 xml:space="preserve">In the UK, there is a luxury hotel which is famous for its fine dining The Ritz. Another casual dining restaurant in the UK is Wagamama (Zhang et al., 2019). Usually in both the restaurant there is a common feature that is the the position of a top assistant are shared (Dawson &amp; West, 2016). A sous chef is second in command in a kitchen and is in charge of managing the kitchen staff, developing menus, placing supply orders, and making sure that all meals are made to the standards of the establishment. </w:t>
            </w:r>
          </w:p>
          <w:p w:rsidR="00771A32" w:rsidRPr="00E17630" w:rsidRDefault="00771A32" w:rsidP="00756D36">
            <w:pPr>
              <w:spacing w:line="360" w:lineRule="auto"/>
              <w:rPr>
                <w:rFonts w:asciiTheme="minorBidi" w:hAnsiTheme="minorBidi" w:cstheme="minorBidi"/>
                <w:b/>
                <w:bCs/>
                <w:lang w:val="en-US"/>
              </w:rPr>
            </w:pPr>
            <w:bookmarkStart w:id="2" w:name="_Toc133701298"/>
            <w:r w:rsidRPr="00E17630">
              <w:rPr>
                <w:rFonts w:asciiTheme="minorBidi" w:hAnsiTheme="minorBidi" w:cstheme="minorBidi"/>
                <w:b/>
                <w:bCs/>
                <w:lang w:val="en-US"/>
              </w:rPr>
              <w:t>Skills required for a job role in the restaurant industry</w:t>
            </w:r>
            <w:bookmarkEnd w:id="2"/>
          </w:p>
          <w:p w:rsid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lastRenderedPageBreak/>
              <w:t>As a former employee of a restaurant, I believe that a head chef is one position that calls for a particular set of abilities. A head chef is in charge of managing the kitchen staff, developing menus, placing orders for ingredients, and making sure that all meals are made following the restaurant's standards. I believe that to succeed as a head chef, I will need to have a variety of capabilities, including strong leadership qualities, culinary proficiency, and adept time management (Kim et al., 2017). Head chefs must be able to design inventive, one-of-a-kind dishes that satisfy patron tastes while remaining cost-conscious. Chefs and line cooks must be able to work together as a team in the kitchen (Kandampully et al., 2015).</w:t>
            </w:r>
          </w:p>
          <w:p w:rsidR="00E17630" w:rsidRPr="00E17630" w:rsidRDefault="00E17630" w:rsidP="00756D36">
            <w:pPr>
              <w:spacing w:line="360" w:lineRule="auto"/>
              <w:rPr>
                <w:rFonts w:asciiTheme="minorBidi" w:hAnsiTheme="minorBidi" w:cstheme="minorBidi"/>
                <w:lang w:val="en-US"/>
              </w:rPr>
            </w:pPr>
          </w:p>
          <w:p w:rsidR="00771A32" w:rsidRPr="00E17630" w:rsidRDefault="00771A32" w:rsidP="00756D36">
            <w:pPr>
              <w:spacing w:line="360" w:lineRule="auto"/>
              <w:rPr>
                <w:rFonts w:asciiTheme="minorBidi" w:hAnsiTheme="minorBidi" w:cstheme="minorBidi"/>
                <w:b/>
                <w:bCs/>
                <w:lang w:val="en-US"/>
              </w:rPr>
            </w:pPr>
            <w:bookmarkStart w:id="3" w:name="_Toc133701299"/>
            <w:r w:rsidRPr="00E17630">
              <w:rPr>
                <w:rFonts w:asciiTheme="minorBidi" w:hAnsiTheme="minorBidi" w:cstheme="minorBidi"/>
                <w:b/>
                <w:bCs/>
                <w:lang w:val="en-US"/>
              </w:rPr>
              <w:t>Comparison and contrast of the skills</w:t>
            </w:r>
            <w:bookmarkEnd w:id="3"/>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Some similarities and differences between the abilities necessary for me to fill the position of head chef at The Ritz and Wagamama can be found (Vallen&amp;Vallen, 2016).</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The Ritz and Wagamama both demand that their head chefs have significant culinary knowledge and the capacity to develop original and creative dishes. Both restaurants also demand that their head chefs possess strong leadership qualities to effectively oversee a team of the kitchen staff.</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The abilities needed for this position at these two restaurants vary, nevertheless, in some ways (Boella&amp; Goss-Turner, 2013). According to my study, The Ritz's head chef has to be a master at time management and able to function under pressure. On the other side, the head cook at Wagamama needs to be well-organized to handle the busy atmosphere and large volume of patrons that are distinctive of a relaxed dining establishment.</w:t>
            </w:r>
          </w:p>
          <w:p w:rsidR="00771A32" w:rsidRPr="00E17630" w:rsidRDefault="00771A32" w:rsidP="00756D36">
            <w:pPr>
              <w:spacing w:line="360" w:lineRule="auto"/>
              <w:rPr>
                <w:rFonts w:asciiTheme="minorBidi" w:hAnsiTheme="minorBidi" w:cstheme="minorBidi"/>
                <w:b/>
                <w:bCs/>
                <w:lang w:val="en-US"/>
              </w:rPr>
            </w:pPr>
            <w:bookmarkStart w:id="4" w:name="_Toc133701300"/>
            <w:r w:rsidRPr="00E17630">
              <w:rPr>
                <w:rFonts w:asciiTheme="minorBidi" w:hAnsiTheme="minorBidi" w:cstheme="minorBidi"/>
                <w:b/>
                <w:bCs/>
                <w:lang w:val="en-US"/>
              </w:rPr>
              <w:t>Differentiation of skills based on the type of service</w:t>
            </w:r>
            <w:bookmarkEnd w:id="4"/>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I believe that depending on the kind of service provided, different employment roles within the restaurant business may demand different skill sets. For instance, the qualifications needed for an executive chef position might differ greatly depending on whether the establishment serves fine dining or quick cuisine. To operate as head chef in a high-end restaurant, I must have outstanding culinary abilities and imagination to develop unique, eye-catching meals that complement the establishment's upscale ambience.  I also need to be an effective time manager. As a head chef in a fast food restaurant, I need to be well-organized to efficiently manage inventory and place supply orders (Bonham &amp; Baker, 2015). To ensure prompt delivery, I also need to be able to operate in a high-pressure.</w:t>
            </w:r>
          </w:p>
          <w:p w:rsidR="00771A32" w:rsidRPr="00E17630" w:rsidRDefault="00771A32" w:rsidP="00756D36">
            <w:pPr>
              <w:spacing w:line="360" w:lineRule="auto"/>
              <w:rPr>
                <w:rFonts w:asciiTheme="minorBidi" w:hAnsiTheme="minorBidi" w:cstheme="minorBidi"/>
                <w:b/>
                <w:bCs/>
                <w:lang w:val="en-US"/>
              </w:rPr>
            </w:pPr>
            <w:bookmarkStart w:id="5" w:name="_Toc133701301"/>
            <w:r w:rsidRPr="00E17630">
              <w:rPr>
                <w:rFonts w:asciiTheme="minorBidi" w:hAnsiTheme="minorBidi" w:cstheme="minorBidi"/>
                <w:b/>
                <w:bCs/>
                <w:lang w:val="en-US"/>
              </w:rPr>
              <w:t>Impact of the differences towards food and beverage Employees’ skills</w:t>
            </w:r>
            <w:bookmarkEnd w:id="5"/>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lastRenderedPageBreak/>
              <w:t xml:space="preserve">The skill sets of the employees and the overall operations of the restaurant can be significantly impacted by the variations in the needed abilities for a particular job function in the food and beverage sector dependent on the type of service supplied (Brotherton, 2019). For instance, if I were to hold the position of head chef at a fine dining establishment, I would need to possess both culinary knowledge and creativity, as they are essential for developing distinctive and appetising dishes. These recipes frequently take longer to make and demand more skill to produce. If I want to be a head chef at a fast food restaurant, I need to be well-organized and able to work quickly since they are essential abilities. To ensure prompt service, I must be able to swiftly and precisely combine pre-made elements. </w:t>
            </w:r>
          </w:p>
          <w:p w:rsidR="00771A32" w:rsidRPr="00E17630" w:rsidRDefault="00771A32" w:rsidP="00756D36">
            <w:pPr>
              <w:spacing w:line="360" w:lineRule="auto"/>
              <w:rPr>
                <w:rFonts w:asciiTheme="minorBidi" w:hAnsiTheme="minorBidi" w:cstheme="minorBidi"/>
                <w:b/>
                <w:bCs/>
                <w:lang w:val="en-US"/>
              </w:rPr>
            </w:pPr>
            <w:bookmarkStart w:id="6" w:name="_Toc133701302"/>
            <w:r w:rsidRPr="00E17630">
              <w:rPr>
                <w:rFonts w:asciiTheme="minorBidi" w:hAnsiTheme="minorBidi" w:cstheme="minorBidi"/>
                <w:b/>
                <w:bCs/>
                <w:lang w:val="en-US"/>
              </w:rPr>
              <w:t>Conclusion</w:t>
            </w:r>
            <w:bookmarkEnd w:id="6"/>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Restaurant owners and managers must comprehend the variations in the needed abilities for particular job responsibilities in the food and beverage business dependent on the type of service. It may assist them in finding the best staff, providing efficient employee training, and eventually enhancing the restaurant's overall performance.</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br w:type="page"/>
            </w:r>
          </w:p>
          <w:p w:rsidR="00771A32" w:rsidRPr="00E17630" w:rsidRDefault="00771A32" w:rsidP="00756D36">
            <w:pPr>
              <w:spacing w:line="360" w:lineRule="auto"/>
              <w:rPr>
                <w:rFonts w:asciiTheme="minorBidi" w:hAnsiTheme="minorBidi" w:cstheme="minorBidi"/>
                <w:b/>
                <w:bCs/>
                <w:lang w:val="en-US"/>
              </w:rPr>
            </w:pPr>
            <w:bookmarkStart w:id="7" w:name="_Toc133701303"/>
            <w:r w:rsidRPr="00E17630">
              <w:rPr>
                <w:rFonts w:asciiTheme="minorBidi" w:hAnsiTheme="minorBidi" w:cstheme="minorBidi"/>
                <w:b/>
                <w:bCs/>
                <w:lang w:val="en-US"/>
              </w:rPr>
              <w:t>References</w:t>
            </w:r>
            <w:bookmarkEnd w:id="7"/>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Boella, M. J., &amp; Goss-Turner, S. (2013). Human Resource Management in the Hospitality Industry: A Guide to Best Practice. Routledge.</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Bonham, S. W., &amp; Baker, S. (2015). Food and Beverage Cost Control (6th ed.). John Wiley &amp; Sons.</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Brotherton, B. (2019). Food and Beverage Management (6th ed.). Routledge.</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Dawson, P., &amp; West, M. A. (2016). Employee Engagement and Satisfaction in the Hospitality Industry. Routledge.</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 xml:space="preserve">Kandampully, J., Zhang, T., &amp;Bilgihan, A. (2015). Experience Design in the Restaurant Industry: An Evolving Phenomenon. Journal of Hospitality and Tourism Research, 39(3), 341-368. </w:t>
            </w:r>
            <w:hyperlink r:id="rId6" w:tgtFrame="_new" w:history="1">
              <w:r w:rsidRPr="00E17630">
                <w:rPr>
                  <w:rStyle w:val="Hyperlink"/>
                  <w:rFonts w:asciiTheme="minorBidi" w:hAnsiTheme="minorBidi" w:cstheme="minorBidi"/>
                  <w:lang w:val="en-US"/>
                </w:rPr>
                <w:t>https://doi.org/10.1177/1096348012469423</w:t>
              </w:r>
            </w:hyperlink>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 xml:space="preserve">Kim, S., Lee, H., &amp; Han, H. (2017). Customer Revisit Intention in Restaurants: The Effects of Food Quality, Service Quality, and Restaurant Attributes. International Journal of Hospitality &amp; Tourism Administration, 18(1), 1-18. </w:t>
            </w:r>
            <w:hyperlink r:id="rId7" w:tgtFrame="_new" w:history="1">
              <w:r w:rsidRPr="00E17630">
                <w:rPr>
                  <w:rStyle w:val="Hyperlink"/>
                  <w:rFonts w:asciiTheme="minorBidi" w:hAnsiTheme="minorBidi" w:cstheme="minorBidi"/>
                  <w:lang w:val="en-US"/>
                </w:rPr>
                <w:t>https://doi.org/10.1080/15256480.2016.1278407</w:t>
              </w:r>
            </w:hyperlink>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 xml:space="preserve">Smithsonian Magazine. (2019). The Surprisingly Intolerant History of Milk. Smithsonian Magazine </w:t>
            </w:r>
            <w:hyperlink r:id="rId8" w:tgtFrame="_new" w:history="1">
              <w:r w:rsidRPr="00E17630">
                <w:rPr>
                  <w:rStyle w:val="Hyperlink"/>
                  <w:rFonts w:asciiTheme="minorBidi" w:hAnsiTheme="minorBidi" w:cstheme="minorBidi"/>
                  <w:lang w:val="en-US"/>
                </w:rPr>
                <w:t>https://www.smithsonianmag.com/history/surprisingly-intolerant-history-milk-</w:t>
              </w:r>
              <w:r w:rsidRPr="00E17630">
                <w:rPr>
                  <w:rStyle w:val="Hyperlink"/>
                  <w:rFonts w:asciiTheme="minorBidi" w:hAnsiTheme="minorBidi" w:cstheme="minorBidi"/>
                  <w:lang w:val="en-US"/>
                </w:rPr>
                <w:lastRenderedPageBreak/>
                <w:t>180972616/</w:t>
              </w:r>
            </w:hyperlink>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Vallen, G. K., &amp;Vallen, J. J. (2016). The Food and Culture Around the World Handbook. ABC-CLIO.</w:t>
            </w:r>
          </w:p>
          <w:p w:rsidR="00771A32" w:rsidRPr="00E17630" w:rsidRDefault="00771A32" w:rsidP="00756D36">
            <w:pPr>
              <w:spacing w:line="360" w:lineRule="auto"/>
              <w:rPr>
                <w:rFonts w:asciiTheme="minorBidi" w:hAnsiTheme="minorBidi" w:cstheme="minorBidi"/>
                <w:lang w:val="en-US"/>
              </w:rPr>
            </w:pPr>
            <w:r w:rsidRPr="00E17630">
              <w:rPr>
                <w:rFonts w:asciiTheme="minorBidi" w:hAnsiTheme="minorBidi" w:cstheme="minorBidi"/>
                <w:lang w:val="en-US"/>
              </w:rPr>
              <w:t xml:space="preserve">Zhang, Q., Wu, Y., &amp; Wang, Q. (2019). A Study on the Relationship between Customer Engagement and Brand Experience in Restaurants. Sustainability, 11(14), 3831. </w:t>
            </w:r>
            <w:hyperlink r:id="rId9" w:tgtFrame="_new" w:history="1">
              <w:r w:rsidRPr="00E17630">
                <w:rPr>
                  <w:rStyle w:val="Hyperlink"/>
                  <w:rFonts w:asciiTheme="minorBidi" w:hAnsiTheme="minorBidi" w:cstheme="minorBidi"/>
                  <w:lang w:val="en-US"/>
                </w:rPr>
                <w:t>https://doi.org/10.3390/su11143831</w:t>
              </w:r>
            </w:hyperlink>
          </w:p>
          <w:p w:rsidR="005C36F3" w:rsidRPr="00E17630" w:rsidRDefault="005C36F3" w:rsidP="00756D36">
            <w:pPr>
              <w:spacing w:line="360" w:lineRule="auto"/>
              <w:rPr>
                <w:rFonts w:asciiTheme="minorBidi" w:hAnsiTheme="minorBidi" w:cstheme="minorBidi"/>
              </w:rPr>
            </w:pPr>
          </w:p>
        </w:tc>
      </w:tr>
    </w:tbl>
    <w:p w:rsidR="007D6989" w:rsidRPr="00E17630" w:rsidRDefault="004A5B51" w:rsidP="00756D36">
      <w:pPr>
        <w:rPr>
          <w:rFonts w:asciiTheme="minorBidi" w:hAnsiTheme="minorBidi" w:cstheme="minorBidi"/>
        </w:rPr>
      </w:pPr>
    </w:p>
    <w:sectPr w:rsidR="007D6989" w:rsidRPr="00E17630" w:rsidSect="007B68AF">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B51" w:rsidRDefault="004A5B51" w:rsidP="0060317F">
      <w:pPr>
        <w:spacing w:after="0" w:line="240" w:lineRule="auto"/>
      </w:pPr>
      <w:r>
        <w:separator/>
      </w:r>
    </w:p>
  </w:endnote>
  <w:endnote w:type="continuationSeparator" w:id="1">
    <w:p w:rsidR="004A5B51" w:rsidRDefault="004A5B51" w:rsidP="006031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B51" w:rsidRDefault="004A5B51" w:rsidP="0060317F">
      <w:pPr>
        <w:spacing w:after="0" w:line="240" w:lineRule="auto"/>
      </w:pPr>
      <w:r>
        <w:separator/>
      </w:r>
    </w:p>
  </w:footnote>
  <w:footnote w:type="continuationSeparator" w:id="1">
    <w:p w:rsidR="004A5B51" w:rsidRDefault="004A5B51" w:rsidP="0060317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tDQyNzCyNDG1MDczNjVS0lEKTi0uzszPAykwrAUA3b+aWywAAAA="/>
  </w:docVars>
  <w:rsids>
    <w:rsidRoot w:val="005C36F3"/>
    <w:rsid w:val="00013414"/>
    <w:rsid w:val="00044506"/>
    <w:rsid w:val="000849F9"/>
    <w:rsid w:val="00086214"/>
    <w:rsid w:val="00091782"/>
    <w:rsid w:val="000A5195"/>
    <w:rsid w:val="000E6763"/>
    <w:rsid w:val="000F02F5"/>
    <w:rsid w:val="00110865"/>
    <w:rsid w:val="00137211"/>
    <w:rsid w:val="001807E2"/>
    <w:rsid w:val="0018107D"/>
    <w:rsid w:val="001A40A7"/>
    <w:rsid w:val="001B596C"/>
    <w:rsid w:val="001C7B0A"/>
    <w:rsid w:val="001F6176"/>
    <w:rsid w:val="0020268B"/>
    <w:rsid w:val="002045BA"/>
    <w:rsid w:val="0020705E"/>
    <w:rsid w:val="00207E48"/>
    <w:rsid w:val="00220537"/>
    <w:rsid w:val="00220A1E"/>
    <w:rsid w:val="002211EF"/>
    <w:rsid w:val="00243D08"/>
    <w:rsid w:val="0024658B"/>
    <w:rsid w:val="00254498"/>
    <w:rsid w:val="00267B3E"/>
    <w:rsid w:val="00292DB8"/>
    <w:rsid w:val="00380F0B"/>
    <w:rsid w:val="00384E07"/>
    <w:rsid w:val="00392008"/>
    <w:rsid w:val="003C6CCC"/>
    <w:rsid w:val="00415B91"/>
    <w:rsid w:val="004279E7"/>
    <w:rsid w:val="00477FE4"/>
    <w:rsid w:val="00485D6D"/>
    <w:rsid w:val="004A5B51"/>
    <w:rsid w:val="004E646C"/>
    <w:rsid w:val="004E706C"/>
    <w:rsid w:val="00515F26"/>
    <w:rsid w:val="00535711"/>
    <w:rsid w:val="00546CB9"/>
    <w:rsid w:val="0055717A"/>
    <w:rsid w:val="005B36FB"/>
    <w:rsid w:val="005B7588"/>
    <w:rsid w:val="005C36F3"/>
    <w:rsid w:val="005E3A73"/>
    <w:rsid w:val="005F3CC0"/>
    <w:rsid w:val="006017A7"/>
    <w:rsid w:val="0060317F"/>
    <w:rsid w:val="006047CC"/>
    <w:rsid w:val="00607413"/>
    <w:rsid w:val="00613915"/>
    <w:rsid w:val="00614FD2"/>
    <w:rsid w:val="00617801"/>
    <w:rsid w:val="00673360"/>
    <w:rsid w:val="006D571C"/>
    <w:rsid w:val="006F6EE8"/>
    <w:rsid w:val="00733220"/>
    <w:rsid w:val="007417FD"/>
    <w:rsid w:val="00756D36"/>
    <w:rsid w:val="00771A32"/>
    <w:rsid w:val="007B68AF"/>
    <w:rsid w:val="007E7BC1"/>
    <w:rsid w:val="00802F80"/>
    <w:rsid w:val="00853FEF"/>
    <w:rsid w:val="008767E7"/>
    <w:rsid w:val="008A7171"/>
    <w:rsid w:val="008B0E49"/>
    <w:rsid w:val="008C26DA"/>
    <w:rsid w:val="008E6BB4"/>
    <w:rsid w:val="00921722"/>
    <w:rsid w:val="00947223"/>
    <w:rsid w:val="0096284B"/>
    <w:rsid w:val="00981A81"/>
    <w:rsid w:val="009903E0"/>
    <w:rsid w:val="009B7CEA"/>
    <w:rsid w:val="009E4749"/>
    <w:rsid w:val="009E5D6F"/>
    <w:rsid w:val="00A277A3"/>
    <w:rsid w:val="00A40FF8"/>
    <w:rsid w:val="00A52BE7"/>
    <w:rsid w:val="00A636AF"/>
    <w:rsid w:val="00AA1342"/>
    <w:rsid w:val="00AB2195"/>
    <w:rsid w:val="00AB6925"/>
    <w:rsid w:val="00AD1AE6"/>
    <w:rsid w:val="00AD2A18"/>
    <w:rsid w:val="00AE41E4"/>
    <w:rsid w:val="00AF3414"/>
    <w:rsid w:val="00B75651"/>
    <w:rsid w:val="00BB170A"/>
    <w:rsid w:val="00BF2D51"/>
    <w:rsid w:val="00C6415E"/>
    <w:rsid w:val="00C77C96"/>
    <w:rsid w:val="00C810BF"/>
    <w:rsid w:val="00C96B3D"/>
    <w:rsid w:val="00CC34D0"/>
    <w:rsid w:val="00CC48BE"/>
    <w:rsid w:val="00DA030B"/>
    <w:rsid w:val="00DE1BCA"/>
    <w:rsid w:val="00DE2DE9"/>
    <w:rsid w:val="00DF259B"/>
    <w:rsid w:val="00DF4CD1"/>
    <w:rsid w:val="00E17630"/>
    <w:rsid w:val="00E422E9"/>
    <w:rsid w:val="00E97930"/>
    <w:rsid w:val="00EC1147"/>
    <w:rsid w:val="00ED13B5"/>
    <w:rsid w:val="00F01FF2"/>
    <w:rsid w:val="00F03E7D"/>
    <w:rsid w:val="00F552C4"/>
    <w:rsid w:val="00F7414C"/>
    <w:rsid w:val="00F77523"/>
    <w:rsid w:val="00FB2413"/>
    <w:rsid w:val="00FC652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195"/>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after="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table" w:styleId="TableGrid">
    <w:name w:val="Table Grid"/>
    <w:basedOn w:val="TableNormal"/>
    <w:uiPriority w:val="39"/>
    <w:rsid w:val="005C36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03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17F"/>
  </w:style>
  <w:style w:type="paragraph" w:styleId="Footer">
    <w:name w:val="footer"/>
    <w:basedOn w:val="Normal"/>
    <w:link w:val="FooterChar"/>
    <w:uiPriority w:val="99"/>
    <w:unhideWhenUsed/>
    <w:rsid w:val="00603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17F"/>
  </w:style>
  <w:style w:type="character" w:styleId="Hyperlink">
    <w:name w:val="Hyperlink"/>
    <w:basedOn w:val="DefaultParagraphFont"/>
    <w:uiPriority w:val="99"/>
    <w:unhideWhenUsed/>
    <w:rsid w:val="00771A32"/>
    <w:rPr>
      <w:color w:val="0563C1" w:themeColor="hyperlink"/>
      <w:u w:val="single"/>
    </w:rPr>
  </w:style>
  <w:style w:type="character" w:customStyle="1" w:styleId="UnresolvedMention1">
    <w:name w:val="Unresolved Mention1"/>
    <w:basedOn w:val="DefaultParagraphFont"/>
    <w:uiPriority w:val="99"/>
    <w:semiHidden/>
    <w:unhideWhenUsed/>
    <w:rsid w:val="00771A3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ithsonianmag.com/history/surprisingly-intolerant-history-milk-180972616/" TargetMode="External"/><Relationship Id="rId3" Type="http://schemas.openxmlformats.org/officeDocument/2006/relationships/webSettings" Target="webSettings.xml"/><Relationship Id="rId7" Type="http://schemas.openxmlformats.org/officeDocument/2006/relationships/hyperlink" Target="https://doi.org/10.1080/15256480.2016.12784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109634801246942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3390/su11143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2023-05-03T16:33:00Z</dcterms:created>
  <dcterms:modified xsi:type="dcterms:W3CDTF">2023-05-03T16:33:00Z</dcterms:modified>
</cp:coreProperties>
</file>