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E078D" w14:textId="723AE0FE" w:rsidR="005A0B43" w:rsidRPr="00D57350" w:rsidRDefault="00E74646" w:rsidP="005A0B43">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4646">
        <w:rPr>
          <w:rFonts w:ascii="Arial" w:hAnsi="Arial" w:cs="Arial"/>
          <w:noProof/>
        </w:rPr>
        <w:drawing>
          <wp:anchor distT="0" distB="0" distL="114300" distR="114300" simplePos="0" relativeHeight="251674112" behindDoc="1" locked="0" layoutInCell="1" allowOverlap="1" wp14:anchorId="224DDB8F" wp14:editId="12127247">
            <wp:simplePos x="0" y="0"/>
            <wp:positionH relativeFrom="column">
              <wp:posOffset>3743325</wp:posOffset>
            </wp:positionH>
            <wp:positionV relativeFrom="paragraph">
              <wp:posOffset>0</wp:posOffset>
            </wp:positionV>
            <wp:extent cx="2480310" cy="1733550"/>
            <wp:effectExtent l="0" t="0" r="0" b="0"/>
            <wp:wrapTight wrapText="bothSides">
              <wp:wrapPolygon edited="0">
                <wp:start x="0" y="0"/>
                <wp:lineTo x="0" y="21363"/>
                <wp:lineTo x="21401" y="21363"/>
                <wp:lineTo x="21401" y="0"/>
                <wp:lineTo x="0" y="0"/>
              </wp:wrapPolygon>
            </wp:wrapTight>
            <wp:docPr id="19745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424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80310" cy="1733550"/>
                    </a:xfrm>
                    <a:prstGeom prst="rect">
                      <a:avLst/>
                    </a:prstGeom>
                  </pic:spPr>
                </pic:pic>
              </a:graphicData>
            </a:graphic>
          </wp:anchor>
        </w:drawing>
      </w:r>
      <w:r w:rsidR="008B0E9E" w:rsidRPr="00D57350">
        <w:rPr>
          <w:rFonts w:ascii="Arial" w:hAnsi="Arial" w:cs="Arial"/>
          <w:noProof/>
        </w:rPr>
        <w:drawing>
          <wp:inline distT="0" distB="0" distL="0" distR="0" wp14:anchorId="60EACE5C" wp14:editId="74EF6C5B">
            <wp:extent cx="2311754" cy="1552575"/>
            <wp:effectExtent l="0" t="0" r="0" b="0"/>
            <wp:docPr id="39057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7073" name=""/>
                    <pic:cNvPicPr/>
                  </pic:nvPicPr>
                  <pic:blipFill>
                    <a:blip r:embed="rId9"/>
                    <a:stretch>
                      <a:fillRect/>
                    </a:stretch>
                  </pic:blipFill>
                  <pic:spPr>
                    <a:xfrm>
                      <a:off x="0" y="0"/>
                      <a:ext cx="2336563" cy="1569237"/>
                    </a:xfrm>
                    <a:prstGeom prst="rect">
                      <a:avLst/>
                    </a:prstGeom>
                  </pic:spPr>
                </pic:pic>
              </a:graphicData>
            </a:graphic>
          </wp:inline>
        </w:drawing>
      </w:r>
      <w:r w:rsidR="005A0B43" w:rsidRPr="00D57350">
        <w:rPr>
          <w:rFonts w:ascii="Arial" w:hAnsi="Arial" w:cs="Arial"/>
          <w:noProof/>
        </w:rPr>
        <w:t xml:space="preserve"> </w:t>
      </w:r>
    </w:p>
    <w:p w14:paraId="61B474AD" w14:textId="2A049F8D" w:rsidR="005A0B43" w:rsidRPr="00D57350" w:rsidRDefault="005A0B43" w:rsidP="005A0B43">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350">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ED037C" w14:textId="77777777" w:rsidR="005A0B43" w:rsidRPr="00D57350" w:rsidRDefault="005A0B43" w:rsidP="005A0B43">
      <w:pPr>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350">
        <w:rPr>
          <w:rFonts w:ascii="Arial" w:hAnsi="Arial" w:cs="Arial"/>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ABA8CE" w14:textId="77777777" w:rsidR="005A0B43" w:rsidRPr="00D57350" w:rsidRDefault="005A0B43" w:rsidP="005A0B43">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350">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977AAE0" w14:textId="77777777" w:rsidR="005A0B43" w:rsidRPr="00D57350" w:rsidRDefault="005A0B43" w:rsidP="005A0B43">
      <w:p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350">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Aamir Sahar    2211030   </w:t>
      </w:r>
    </w:p>
    <w:p w14:paraId="4EE30427" w14:textId="77777777" w:rsidR="005A0B43" w:rsidRPr="00D57350" w:rsidRDefault="005A0B43" w:rsidP="005A0B43">
      <w:pP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350">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6232F85" w14:textId="1D4904A8" w:rsidR="005A0B43" w:rsidRPr="00D57350" w:rsidRDefault="005A0B43" w:rsidP="0067704A">
      <w:pPr>
        <w:jc w:val="cente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350">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3EE2FBF9" w14:textId="15446478" w:rsidR="005A0B43" w:rsidRPr="00D57350" w:rsidRDefault="005A0B43" w:rsidP="0067704A">
      <w:pPr>
        <w:jc w:val="center"/>
        <w:rPr>
          <w:rFonts w:ascii="Arial" w:eastAsiaTheme="majorEastAsia" w:hAnsi="Arial" w:cs="Arial"/>
          <w:b/>
          <w:bCs/>
          <w:color w:val="000000" w:themeColor="text1"/>
          <w:kern w:val="24"/>
          <w:sz w:val="88"/>
          <w:szCs w:val="88"/>
        </w:rPr>
      </w:pPr>
      <w:r w:rsidRPr="00D57350">
        <w:rPr>
          <w:rFonts w:ascii="Arial" w:hAnsi="Arial" w:cs="Arial"/>
          <w:bCs/>
          <w:color w:val="000000" w:themeColor="text1"/>
          <w:kern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Management LCBB5005</w:t>
      </w:r>
    </w:p>
    <w:p w14:paraId="24E966A3" w14:textId="77777777" w:rsidR="005A0B43" w:rsidRPr="00D57350" w:rsidRDefault="005A0B43" w:rsidP="0067704A">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350">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1: Report writing</w:t>
      </w:r>
    </w:p>
    <w:p w14:paraId="29133343" w14:textId="77777777" w:rsidR="005A0B43" w:rsidRPr="00D57350" w:rsidRDefault="005A0B43" w:rsidP="0067704A">
      <w:pPr>
        <w:jc w:val="center"/>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26615" w14:textId="77777777" w:rsidR="005A0B43" w:rsidRPr="00D57350" w:rsidRDefault="005A0B43" w:rsidP="0067704A">
      <w:pPr>
        <w:jc w:val="center"/>
        <w:rPr>
          <w:rFonts w:ascii="Arial" w:hAnsi="Arial" w:cs="Arial"/>
          <w:b/>
          <w:bCs/>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D57350">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submission: 01/11/2026</w:t>
      </w:r>
    </w:p>
    <w:p w14:paraId="51331E2D" w14:textId="0B090614" w:rsidR="005A0B43" w:rsidRPr="0067704A" w:rsidRDefault="005A0B43" w:rsidP="0067704A">
      <w:pPr>
        <w:jc w:val="center"/>
        <w:rPr>
          <w:rFonts w:ascii="Arial" w:hAnsi="Arial" w:cs="Arial"/>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67704A">
        <w:rPr>
          <w:rFonts w:ascii="Arial" w:hAnsi="Arial" w:cs="Arial"/>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Lecturer Name:  </w:t>
      </w:r>
      <w:r w:rsidR="007778FF" w:rsidRPr="0067704A">
        <w:rPr>
          <w:rFonts w:ascii="Arial" w:hAnsi="Arial" w:cs="Arial"/>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Dr </w:t>
      </w:r>
      <w:r w:rsidRPr="0067704A">
        <w:rPr>
          <w:rFonts w:ascii="Arial" w:hAnsi="Arial" w:cs="Arial"/>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Ashikul Khan</w:t>
      </w:r>
    </w:p>
    <w:p w14:paraId="3119896D" w14:textId="77777777" w:rsidR="005A0B43" w:rsidRPr="0067704A" w:rsidRDefault="005A0B43" w:rsidP="0067704A">
      <w:pPr>
        <w:shd w:val="clear" w:color="auto" w:fill="FFFFFF"/>
        <w:spacing w:after="240" w:line="510" w:lineRule="atLeast"/>
        <w:jc w:val="center"/>
        <w:outlineLvl w:val="0"/>
        <w:rPr>
          <w:rFonts w:ascii="Arial" w:eastAsia="Times New Roman" w:hAnsi="Arial" w:cs="Arial"/>
          <w:b/>
          <w:bCs/>
          <w:color w:val="F6C5AC" w:themeColor="accent2" w:themeTint="66"/>
          <w:kern w:val="36"/>
          <w:sz w:val="36"/>
          <w:szCs w:val="36"/>
          <w:lang w:eastAsia="en-GB"/>
          <w14:textOutline w14:w="11112" w14:cap="flat" w14:cmpd="sng" w14:algn="ctr">
            <w14:solidFill>
              <w14:schemeClr w14:val="accent2"/>
            </w14:solidFill>
            <w14:prstDash w14:val="solid"/>
            <w14:round/>
          </w14:textOutline>
          <w14:ligatures w14:val="none"/>
        </w:rPr>
      </w:pPr>
      <w:bookmarkStart w:id="0" w:name="_Toc243730060"/>
      <w:r w:rsidRPr="0067704A">
        <w:rPr>
          <w:rFonts w:ascii="Arial" w:eastAsia="Times New Roman" w:hAnsi="Arial" w:cs="Arial"/>
          <w:b/>
          <w:bCs/>
          <w:color w:val="F6C5AC" w:themeColor="accent2" w:themeTint="66"/>
          <w:kern w:val="36"/>
          <w:sz w:val="36"/>
          <w:szCs w:val="36"/>
          <w:lang w:eastAsia="en-GB"/>
          <w14:textOutline w14:w="11112" w14:cap="flat" w14:cmpd="sng" w14:algn="ctr">
            <w14:solidFill>
              <w14:schemeClr w14:val="accent2"/>
            </w14:solidFill>
            <w14:prstDash w14:val="solid"/>
            <w14:round/>
          </w14:textOutline>
          <w14:ligatures w14:val="none"/>
        </w:rPr>
        <w:t>Project Initiation and Planning Report</w:t>
      </w:r>
      <w:bookmarkEnd w:id="0"/>
    </w:p>
    <w:p w14:paraId="3A1CAC29" w14:textId="77777777" w:rsidR="00BB553B" w:rsidRDefault="005A0B43" w:rsidP="0067704A">
      <w:pPr>
        <w:shd w:val="clear" w:color="auto" w:fill="FFFFFF"/>
        <w:spacing w:before="240" w:after="240" w:line="420" w:lineRule="atLeast"/>
        <w:jc w:val="center"/>
        <w:rPr>
          <w:rFonts w:ascii="Arial" w:eastAsia="Times New Roman" w:hAnsi="Arial" w:cs="Arial"/>
          <w:b/>
          <w:bCs/>
          <w:color w:val="0F1115"/>
          <w:kern w:val="0"/>
          <w:sz w:val="32"/>
          <w:szCs w:val="32"/>
          <w:lang w:eastAsia="en-GB"/>
          <w14:ligatures w14:val="none"/>
        </w:rPr>
      </w:pPr>
      <w:r w:rsidRPr="00330B3F">
        <w:rPr>
          <w:rFonts w:ascii="Arial" w:eastAsia="Times New Roman" w:hAnsi="Arial" w:cs="Arial"/>
          <w:b/>
          <w:bCs/>
          <w:color w:val="0F1115"/>
          <w:kern w:val="0"/>
          <w:sz w:val="32"/>
          <w:szCs w:val="32"/>
          <w:lang w:eastAsia="en-GB"/>
          <w14:ligatures w14:val="none"/>
        </w:rPr>
        <w:t xml:space="preserve">Project Title: </w:t>
      </w:r>
    </w:p>
    <w:p w14:paraId="3BB9F5B6" w14:textId="603CE73F" w:rsidR="005A0B43" w:rsidRPr="00330B3F" w:rsidRDefault="005A0B43" w:rsidP="0067704A">
      <w:pPr>
        <w:shd w:val="clear" w:color="auto" w:fill="FFFFFF"/>
        <w:spacing w:before="240" w:after="240" w:line="420" w:lineRule="atLeast"/>
        <w:jc w:val="center"/>
        <w:rPr>
          <w:rFonts w:ascii="Arial" w:eastAsia="Times New Roman" w:hAnsi="Arial" w:cs="Arial"/>
          <w:b/>
          <w:bCs/>
          <w:color w:val="0F1115"/>
          <w:kern w:val="0"/>
          <w:sz w:val="32"/>
          <w:szCs w:val="32"/>
          <w:lang w:eastAsia="en-GB"/>
          <w14:ligatures w14:val="none"/>
        </w:rPr>
      </w:pPr>
      <w:r w:rsidRPr="00330B3F">
        <w:rPr>
          <w:rFonts w:ascii="Arial" w:eastAsia="Times New Roman" w:hAnsi="Arial" w:cs="Arial"/>
          <w:b/>
          <w:bCs/>
          <w:color w:val="0F1115"/>
          <w:kern w:val="0"/>
          <w:sz w:val="32"/>
          <w:szCs w:val="32"/>
          <w:lang w:eastAsia="en-GB"/>
          <w14:ligatures w14:val="none"/>
        </w:rPr>
        <w:t xml:space="preserve">Development and Launch of </w:t>
      </w:r>
      <w:r w:rsidRPr="00BB553B">
        <w:rPr>
          <w:rFonts w:ascii="Arial" w:eastAsia="Times New Roman" w:hAnsi="Arial" w:cs="Arial"/>
          <w:b/>
          <w:bCs/>
          <w:color w:val="0F9ED5" w:themeColor="accent4"/>
          <w:kern w:val="0"/>
          <w:sz w:val="32"/>
          <w:szCs w:val="32"/>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N</w:t>
      </w:r>
      <w:r w:rsidR="008B0E9E" w:rsidRPr="00BB553B">
        <w:rPr>
          <w:rFonts w:ascii="Arial" w:eastAsia="Times New Roman" w:hAnsi="Arial" w:cs="Arial"/>
          <w:b/>
          <w:bCs/>
          <w:color w:val="196B24" w:themeColor="accent3"/>
          <w:kern w:val="0"/>
          <w:sz w:val="32"/>
          <w:szCs w:val="32"/>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O</w:t>
      </w:r>
      <w:r w:rsidR="008B0E9E" w:rsidRPr="00BB553B">
        <w:rPr>
          <w:rFonts w:ascii="Arial" w:eastAsia="Times New Roman" w:hAnsi="Arial" w:cs="Arial"/>
          <w:b/>
          <w:bCs/>
          <w:color w:val="F6C5AC" w:themeColor="accent2" w:themeTint="66"/>
          <w:kern w:val="0"/>
          <w:sz w:val="32"/>
          <w:szCs w:val="32"/>
          <w:lang w:eastAsia="en-GB"/>
          <w14:textOutline w14:w="11112" w14:cap="flat" w14:cmpd="sng" w14:algn="ctr">
            <w14:solidFill>
              <w14:schemeClr w14:val="accent2"/>
            </w14:solidFill>
            <w14:prstDash w14:val="solid"/>
            <w14:round/>
          </w14:textOutline>
          <w14:ligatures w14:val="none"/>
        </w:rPr>
        <w:t>W</w:t>
      </w:r>
      <w:r w:rsidRPr="00330B3F">
        <w:rPr>
          <w:rFonts w:ascii="Arial" w:eastAsia="Times New Roman" w:hAnsi="Arial" w:cs="Arial"/>
          <w:b/>
          <w:bCs/>
          <w:color w:val="0F1115"/>
          <w:kern w:val="0"/>
          <w:sz w:val="32"/>
          <w:szCs w:val="32"/>
          <w:lang w:eastAsia="en-GB"/>
          <w14:ligatures w14:val="none"/>
        </w:rPr>
        <w:t xml:space="preserve"> Accounting Software</w:t>
      </w:r>
    </w:p>
    <w:p w14:paraId="68141C29" w14:textId="77777777" w:rsidR="005A0B43" w:rsidRPr="00330B3F" w:rsidRDefault="005A0B43" w:rsidP="0067704A">
      <w:pPr>
        <w:shd w:val="clear" w:color="auto" w:fill="FFFFFF"/>
        <w:spacing w:before="240" w:after="240" w:line="420" w:lineRule="atLeast"/>
        <w:jc w:val="center"/>
        <w:rPr>
          <w:rFonts w:ascii="Arial" w:eastAsia="Times New Roman" w:hAnsi="Arial" w:cs="Arial"/>
          <w:b/>
          <w:bCs/>
          <w:color w:val="0F1115"/>
          <w:kern w:val="0"/>
          <w:sz w:val="32"/>
          <w:szCs w:val="32"/>
          <w:lang w:eastAsia="en-GB"/>
          <w14:ligatures w14:val="none"/>
        </w:rPr>
      </w:pPr>
      <w:r w:rsidRPr="00330B3F">
        <w:rPr>
          <w:rFonts w:ascii="Arial" w:eastAsia="Times New Roman" w:hAnsi="Arial" w:cs="Arial"/>
          <w:b/>
          <w:bCs/>
          <w:color w:val="0F1115"/>
          <w:kern w:val="0"/>
          <w:sz w:val="32"/>
          <w:szCs w:val="32"/>
          <w:lang w:eastAsia="en-GB"/>
          <w14:ligatures w14:val="none"/>
        </w:rPr>
        <w:t>Prepared by: Project Manager</w:t>
      </w:r>
    </w:p>
    <w:p w14:paraId="668930F3" w14:textId="77777777" w:rsidR="005A0B43" w:rsidRPr="00330B3F" w:rsidRDefault="005A0B43" w:rsidP="0067704A">
      <w:pPr>
        <w:shd w:val="clear" w:color="auto" w:fill="FFFFFF"/>
        <w:spacing w:before="240" w:after="240" w:line="420" w:lineRule="atLeast"/>
        <w:jc w:val="center"/>
        <w:rPr>
          <w:rFonts w:ascii="Arial" w:eastAsia="Times New Roman" w:hAnsi="Arial" w:cs="Arial"/>
          <w:b/>
          <w:bCs/>
          <w:color w:val="0F1115"/>
          <w:kern w:val="0"/>
          <w:sz w:val="32"/>
          <w:szCs w:val="32"/>
          <w:lang w:eastAsia="en-GB"/>
          <w14:ligatures w14:val="none"/>
        </w:rPr>
      </w:pPr>
      <w:r w:rsidRPr="00330B3F">
        <w:rPr>
          <w:rFonts w:ascii="Arial" w:eastAsia="Times New Roman" w:hAnsi="Arial" w:cs="Arial"/>
          <w:b/>
          <w:bCs/>
          <w:color w:val="0F1115"/>
          <w:kern w:val="0"/>
          <w:sz w:val="32"/>
          <w:szCs w:val="32"/>
          <w:lang w:eastAsia="en-GB"/>
          <w14:ligatures w14:val="none"/>
        </w:rPr>
        <w:t>Year 2026</w:t>
      </w:r>
    </w:p>
    <w:p w14:paraId="3827D53C" w14:textId="77777777" w:rsidR="005A0B43" w:rsidRPr="00D57350" w:rsidRDefault="005A0B43" w:rsidP="005A0B43">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D5D155E" w14:textId="77777777" w:rsidR="005A0B43" w:rsidRPr="00D57350" w:rsidRDefault="005A0B43" w:rsidP="005A0B43">
      <w:pPr>
        <w:rPr>
          <w:rFonts w:ascii="Arial" w:hAnsi="Arial" w:cs="Arial"/>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3CA85B" w14:textId="77777777" w:rsidR="00C168C5" w:rsidRPr="00D57350" w:rsidRDefault="00C168C5" w:rsidP="00CF4E21">
      <w:pPr>
        <w:rPr>
          <w:rFonts w:ascii="Arial" w:hAnsi="Arial" w:cs="Arial"/>
          <w:b/>
          <w:bCs/>
          <w:sz w:val="28"/>
          <w:szCs w:val="28"/>
          <w:lang w:eastAsia="en-GB"/>
        </w:rPr>
      </w:pPr>
    </w:p>
    <w:sdt>
      <w:sdtPr>
        <w:id w:val="-32808014"/>
        <w:docPartObj>
          <w:docPartGallery w:val="Table of Contents"/>
          <w:docPartUnique/>
        </w:docPartObj>
      </w:sdtPr>
      <w:sdtEndPr>
        <w:rPr>
          <w:rFonts w:asciiTheme="minorHAnsi" w:eastAsiaTheme="minorHAnsi" w:hAnsiTheme="minorHAnsi" w:cstheme="minorBidi"/>
          <w:color w:val="auto"/>
          <w:kern w:val="2"/>
          <w:sz w:val="24"/>
          <w:szCs w:val="24"/>
          <w:lang w:val="en-GB"/>
          <w14:ligatures w14:val="standardContextual"/>
        </w:rPr>
      </w:sdtEndPr>
      <w:sdtContent>
        <w:p w14:paraId="67450F58" w14:textId="593C72A0" w:rsidR="008A7680" w:rsidRPr="007C012C" w:rsidRDefault="008A7680" w:rsidP="007C012C">
          <w:pPr>
            <w:pStyle w:val="TOCHeading"/>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012C">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5F6A89EB" w14:textId="28503C7C" w:rsidR="008A7680" w:rsidRDefault="008A7680" w:rsidP="007C012C">
          <w:pPr>
            <w:pStyle w:val="TOC1"/>
          </w:pPr>
          <w:r w:rsidRPr="00D920B6">
            <w:rPr>
              <w:rFonts w:eastAsia="Times New Roman"/>
              <w:noProof w:val="0"/>
              <w:color w:val="000000" w:themeColor="text1"/>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Initiation and Planning</w:t>
          </w:r>
          <w:r>
            <w:rPr>
              <w:b w:val="0"/>
              <w:bCs w:val="0"/>
            </w:rPr>
            <w:t xml:space="preserve"> </w:t>
          </w:r>
          <w:r w:rsidR="00D920B6">
            <w:rPr>
              <w:b w:val="0"/>
              <w:bCs w:val="0"/>
            </w:rPr>
            <w:t xml:space="preserve">                                                                                </w:t>
          </w:r>
          <w:r>
            <w:t>1</w:t>
          </w:r>
        </w:p>
        <w:p w14:paraId="1539EC3E" w14:textId="5A1D3BAB" w:rsidR="008A7680" w:rsidRDefault="00162E9E" w:rsidP="007C012C">
          <w:pPr>
            <w:pStyle w:val="TOC2"/>
            <w:ind w:left="0"/>
          </w:pPr>
          <w:r w:rsidRPr="00D920B6">
            <w:rPr>
              <w:rFonts w:eastAsia="Times New Roman"/>
              <w:b/>
              <w:bCs/>
              <w:color w:val="000000" w:themeColor="text1"/>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C77E6" w:rsidRPr="00D920B6">
            <w:rPr>
              <w:rFonts w:eastAsia="Times New Roman"/>
              <w:b/>
              <w:bCs/>
              <w:color w:val="000000" w:themeColor="text1"/>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w:t>
          </w:r>
          <w:r w:rsidR="00D920B6">
            <w:rPr>
              <w:rFonts w:eastAsia="Times New Roman"/>
              <w:b/>
              <w:bCs/>
              <w:color w:val="000000" w:themeColor="text1"/>
              <w:lang w:val="en-US"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7680">
            <w:t>2</w:t>
          </w:r>
        </w:p>
        <w:p w14:paraId="6A28C144" w14:textId="3820234E" w:rsidR="008A7680" w:rsidRDefault="00162E9E" w:rsidP="007C012C">
          <w:pPr>
            <w:pStyle w:val="TOC3"/>
            <w:ind w:left="0"/>
          </w:pPr>
          <w:r>
            <w:rPr>
              <w:rFonts w:eastAsia="Times New Roman"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4C77E6" w:rsidRPr="008B4478">
            <w:rPr>
              <w:rFonts w:eastAsia="Times New Roman"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 and Objectives of the Project</w:t>
          </w:r>
          <w:r w:rsidR="00017EA3">
            <w:rPr>
              <w:rFonts w:eastAsia="Times New Roman"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77E6">
            <w:t>4</w:t>
          </w:r>
        </w:p>
        <w:p w14:paraId="2CF8B71F" w14:textId="04A30327" w:rsidR="001C4C1B" w:rsidRPr="00162E9E" w:rsidRDefault="001C4C1B" w:rsidP="007C012C">
          <w:pPr>
            <w:pStyle w:val="Heading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2E9E">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Project Aim</w:t>
          </w:r>
          <w:r w:rsidRPr="00162E9E">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17EA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62E9E">
            <w:rPr>
              <w:rFonts w:ascii="Arial" w:eastAsiaTheme="minorEastAsia" w:hAnsi="Arial" w:cs="Arial"/>
              <w:color w:val="auto"/>
              <w:kern w:val="0"/>
              <w:sz w:val="24"/>
              <w:szCs w:val="24"/>
              <w:lang w:val="en-US"/>
              <w14:ligatures w14:val="none"/>
            </w:rPr>
            <w:t xml:space="preserve">                        </w:t>
          </w:r>
          <w:r w:rsidR="00162E9E">
            <w:rPr>
              <w:rFonts w:ascii="Arial" w:eastAsiaTheme="minorEastAsia" w:hAnsi="Arial" w:cs="Arial"/>
              <w:color w:val="auto"/>
              <w:kern w:val="0"/>
              <w:sz w:val="24"/>
              <w:szCs w:val="24"/>
              <w:lang w:val="en-US"/>
              <w14:ligatures w14:val="none"/>
            </w:rPr>
            <w:t xml:space="preserve">        </w:t>
          </w:r>
          <w:r w:rsidR="00D920B6">
            <w:rPr>
              <w:rFonts w:ascii="Arial" w:eastAsiaTheme="minorEastAsia" w:hAnsi="Arial" w:cs="Arial"/>
              <w:color w:val="auto"/>
              <w:kern w:val="0"/>
              <w:sz w:val="24"/>
              <w:szCs w:val="24"/>
              <w:lang w:val="en-US"/>
              <w14:ligatures w14:val="none"/>
            </w:rPr>
            <w:t xml:space="preserve"> </w:t>
          </w:r>
          <w:r w:rsidR="00162E9E">
            <w:rPr>
              <w:rFonts w:ascii="Arial" w:eastAsiaTheme="minorEastAsia" w:hAnsi="Arial" w:cs="Arial"/>
              <w:color w:val="auto"/>
              <w:kern w:val="0"/>
              <w:sz w:val="24"/>
              <w:szCs w:val="24"/>
              <w:lang w:val="en-US"/>
              <w14:ligatures w14:val="none"/>
            </w:rPr>
            <w:t xml:space="preserve">  </w:t>
          </w:r>
          <w:r w:rsidR="007C012C">
            <w:rPr>
              <w:rFonts w:ascii="Arial" w:eastAsiaTheme="minorEastAsia" w:hAnsi="Arial" w:cs="Arial"/>
              <w:color w:val="auto"/>
              <w:kern w:val="0"/>
              <w:sz w:val="24"/>
              <w:szCs w:val="24"/>
              <w:lang w:val="en-US"/>
              <w14:ligatures w14:val="none"/>
            </w:rPr>
            <w:t xml:space="preserve">   </w:t>
          </w:r>
          <w:r w:rsidR="00D920B6">
            <w:rPr>
              <w:rFonts w:ascii="Arial" w:eastAsiaTheme="minorEastAsia" w:hAnsi="Arial" w:cs="Arial"/>
              <w:color w:val="auto"/>
              <w:kern w:val="0"/>
              <w:sz w:val="24"/>
              <w:szCs w:val="24"/>
              <w:lang w:val="en-US"/>
              <w14:ligatures w14:val="none"/>
            </w:rPr>
            <w:t xml:space="preserve"> </w:t>
          </w:r>
          <w:r w:rsidRPr="00162E9E">
            <w:rPr>
              <w:rFonts w:ascii="Arial" w:eastAsiaTheme="minorEastAsia" w:hAnsi="Arial" w:cs="Arial"/>
              <w:color w:val="auto"/>
              <w:kern w:val="0"/>
              <w:sz w:val="24"/>
              <w:szCs w:val="24"/>
              <w:lang w:val="en-US"/>
              <w14:ligatures w14:val="none"/>
            </w:rPr>
            <w:t>4</w:t>
          </w:r>
        </w:p>
        <w:p w14:paraId="10BB8802" w14:textId="60C12E8D" w:rsidR="001C4C1B" w:rsidRPr="00162E9E" w:rsidRDefault="00162E9E" w:rsidP="007C012C">
          <w:pPr>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2E9E">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Project Objectives</w:t>
          </w:r>
          <w:r>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20B6">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12C">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w:t>
          </w:r>
        </w:p>
        <w:p w14:paraId="7B439584" w14:textId="1812F05A" w:rsidR="00162E9E" w:rsidRPr="00162E9E" w:rsidRDefault="00162E9E" w:rsidP="007C012C">
          <w:pPr>
            <w:pStyle w:val="Heading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2E9E">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Scope of the Project</w:t>
          </w:r>
          <w:r>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12C">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A18222A" w14:textId="74B7B16E" w:rsidR="00162E9E" w:rsidRDefault="00162E9E" w:rsidP="007C012C">
          <w:pPr>
            <w:pStyle w:val="TOC1"/>
          </w:pPr>
          <w:r>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1C4C1B" w:rsidRPr="008B4478">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Deliverables</w:t>
          </w:r>
          <w:r w:rsidR="001C4C1B">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20B6">
            <w:t xml:space="preserve">                                                                                              5</w:t>
          </w:r>
        </w:p>
        <w:p w14:paraId="67802FFC" w14:textId="299B79F3" w:rsidR="006023CE" w:rsidRDefault="006023CE" w:rsidP="007C012C">
          <w:pPr>
            <w:pStyle w:val="Heading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023CE">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4.Project Activities and Work Breakdown Structure</w:t>
          </w:r>
          <w:r w:rsidR="00017EA3">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C012C">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17EA3">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9</w:t>
          </w:r>
        </w:p>
        <w:p w14:paraId="1F009AAA" w14:textId="3F80ED8F" w:rsidR="006023CE" w:rsidRDefault="006023CE" w:rsidP="007C012C">
          <w:pPr>
            <w:pStyle w:val="Heading2"/>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3CE">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Work Breakdown Structure</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12C">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09946C3A" w14:textId="34E04EEB" w:rsidR="00186FEB" w:rsidRPr="009D2BA2" w:rsidRDefault="006023CE" w:rsidP="007C012C">
          <w:pPr>
            <w:pStyle w:val="Heading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3CE">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WBS Analysi</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r w:rsidR="009E5193">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02D3">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301D4975" w14:textId="7EB3836F" w:rsidR="006023CE" w:rsidRDefault="006023CE" w:rsidP="007C012C">
          <w:pPr>
            <w:pStyle w:val="Heading2"/>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3CE">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4.3 Gantt Chart </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5193">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02D3">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19E9083D" w14:textId="5B938E29" w:rsidR="009002D3" w:rsidRDefault="009002D3" w:rsidP="007C012C">
          <w:pPr>
            <w:pStyle w:val="Heading2"/>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02D3">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 Key Project Activities</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5193">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646BD4D9" w14:textId="728AEE41" w:rsidR="009D2BA2" w:rsidRDefault="009D2BA2" w:rsidP="007C012C">
          <w:pPr>
            <w:pStyle w:val="Heading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D2BA2">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5. Project Timeline and Milestones</w:t>
          </w:r>
          <w:r>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1679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14</w:t>
          </w:r>
        </w:p>
        <w:p w14:paraId="09CBA454" w14:textId="67AD0C2C" w:rsidR="009D2BA2" w:rsidRDefault="00DD7696" w:rsidP="007C012C">
          <w:pPr>
            <w:pStyle w:val="Heading2"/>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7696">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Project Phases and Duration</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5193">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791">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eading2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p w14:paraId="23E1DD8B" w14:textId="5639CD7F" w:rsidR="00FE3A76" w:rsidRDefault="00FE3A76" w:rsidP="007C012C">
          <w:r>
            <w:t xml:space="preserve">5.2 Key Milestones </w:t>
          </w:r>
          <w:r w:rsidR="00216791">
            <w:t xml:space="preserve">                                                                                                                                    </w:t>
          </w:r>
          <w:r>
            <w:t xml:space="preserve"> </w:t>
          </w:r>
          <w:r w:rsidR="009E5193">
            <w:t xml:space="preserve">     </w:t>
          </w:r>
          <w:r>
            <w:t>16</w:t>
          </w:r>
        </w:p>
        <w:p w14:paraId="0B9B180D" w14:textId="67DD1B34" w:rsidR="00FE3A76" w:rsidRDefault="00FE3A76" w:rsidP="007C012C">
          <w:r>
            <w:t xml:space="preserve">5.3 </w:t>
          </w:r>
          <w:r w:rsidR="00CC256F">
            <w:t>Critical</w:t>
          </w:r>
          <w:r>
            <w:t xml:space="preserve"> </w:t>
          </w:r>
          <w:r w:rsidR="00CC256F">
            <w:t xml:space="preserve">Path Review </w:t>
          </w:r>
          <w:r w:rsidR="00216791">
            <w:t xml:space="preserve">                                                                                                                          </w:t>
          </w:r>
          <w:r w:rsidR="009E5193">
            <w:t xml:space="preserve">     </w:t>
          </w:r>
          <w:r w:rsidR="00216791">
            <w:t xml:space="preserve"> </w:t>
          </w:r>
          <w:r w:rsidR="00CC256F">
            <w:t>17</w:t>
          </w:r>
        </w:p>
        <w:p w14:paraId="51C87CE7" w14:textId="58D998DC" w:rsidR="00CC256F" w:rsidRDefault="00CC256F" w:rsidP="007C012C">
          <w:pPr>
            <w:pStyle w:val="Heading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C256F">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6. Stakeholder Management</w:t>
          </w:r>
          <w:r w:rsidR="0021679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18</w:t>
          </w:r>
        </w:p>
        <w:p w14:paraId="05B0C49A" w14:textId="0CB5DB20" w:rsidR="00CC256F" w:rsidRDefault="00CC256F" w:rsidP="007C012C">
          <w:pPr>
            <w:pStyle w:val="Heading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C256F">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7. Resource Planning</w:t>
          </w:r>
          <w:r w:rsidR="0021679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B5786">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24</w:t>
          </w:r>
        </w:p>
        <w:p w14:paraId="48A0E928" w14:textId="33A9BCCD" w:rsidR="001B5786" w:rsidRDefault="001B5786" w:rsidP="007C012C">
          <w:pPr>
            <w:pStyle w:val="Heading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B5786">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8. Project Monitoring and Control</w:t>
          </w:r>
          <w:r w:rsidR="00216791">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D920B6">
            <w:rPr>
              <w:rFonts w:ascii="Arial" w:eastAsia="Times New Roman" w:hAnsi="Arial" w:cs="Arial"/>
              <w:b/>
              <w:bCs/>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30</w:t>
          </w:r>
        </w:p>
        <w:p w14:paraId="1FD834A3" w14:textId="7D0A2C7D" w:rsidR="00D920B6" w:rsidRDefault="00D920B6" w:rsidP="007C012C">
          <w:pPr>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D920B6">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9</w:t>
          </w:r>
          <w:r w:rsidR="00446197">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Pr="00D920B6">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Conclusion</w:t>
          </w:r>
          <w:r>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16791">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43</w:t>
          </w:r>
        </w:p>
        <w:p w14:paraId="61C7E8DB" w14:textId="2F6D02D6" w:rsidR="00D920B6" w:rsidRPr="00D920B6" w:rsidRDefault="00D920B6" w:rsidP="007C012C">
          <w:pPr>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10. References </w:t>
          </w:r>
          <w:r w:rsidR="00216791">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eastAsia="Times New Roman" w:hAnsi="Arial" w:cs="Arial"/>
              <w:b/>
              <w:bCs/>
              <w:noProof/>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44</w:t>
          </w:r>
        </w:p>
        <w:p w14:paraId="1DF20B27" w14:textId="77777777" w:rsidR="00D920B6" w:rsidRPr="00D920B6" w:rsidRDefault="00D920B6" w:rsidP="00D920B6">
          <w:pPr>
            <w:rPr>
              <w:lang w:eastAsia="en-GB"/>
            </w:rPr>
          </w:pPr>
        </w:p>
        <w:p w14:paraId="2001E007" w14:textId="77777777" w:rsidR="00D920B6" w:rsidRDefault="00D920B6" w:rsidP="00D920B6">
          <w:pPr>
            <w:pStyle w:val="Heading1"/>
            <w:spacing w:line="24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83C23E" w14:textId="2507317A" w:rsidR="00654594" w:rsidRPr="00D920B6" w:rsidRDefault="008A7680" w:rsidP="00D920B6"/>
      </w:sdtContent>
    </w:sdt>
    <w:p w14:paraId="01705AD7" w14:textId="40E4B1F0" w:rsidR="002836E9" w:rsidRPr="008B4478" w:rsidRDefault="002836E9" w:rsidP="00FD4F9B">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43730062"/>
      <w:r w:rsidRPr="008B4478">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1.Overview</w:t>
      </w:r>
    </w:p>
    <w:p w14:paraId="2AD3C4A6" w14:textId="375EF7AA" w:rsidR="00627694" w:rsidRPr="0098440A" w:rsidRDefault="00627694" w:rsidP="00627694">
      <w:pPr>
        <w:spacing w:before="100" w:beforeAutospacing="1" w:after="100" w:afterAutospacing="1" w:line="300" w:lineRule="atLeast"/>
        <w:rPr>
          <w:rFonts w:ascii="Arial" w:eastAsia="Times New Roman" w:hAnsi="Arial" w:cs="Arial"/>
          <w:kern w:val="0"/>
          <w:lang w:eastAsia="en-GB"/>
          <w14:ligatures w14:val="none"/>
        </w:rPr>
      </w:pPr>
      <w:r w:rsidRPr="0098440A">
        <w:rPr>
          <w:rFonts w:ascii="Arial" w:eastAsia="Times New Roman" w:hAnsi="Arial" w:cs="Arial"/>
          <w:kern w:val="0"/>
          <w:lang w:eastAsia="en-GB"/>
          <w14:ligatures w14:val="none"/>
        </w:rPr>
        <w:t>The United Kingdom tax system is undergoing significant digital transformation through the implementation of Making Tax Digital (MTD), which aims to improve tax compliance, reduce reporting errors and modernise interactions between businesses and HM Revenue &amp; Customs (HMRC). Consequently, demand for cloud-based accounting software has increased, particularly among small and medium-sized enterprises (SMEs) that often face financial and technological constraints.</w:t>
      </w:r>
    </w:p>
    <w:p w14:paraId="192BCB14" w14:textId="77777777" w:rsidR="00627694" w:rsidRPr="0098440A" w:rsidRDefault="00627694" w:rsidP="00627694">
      <w:pPr>
        <w:spacing w:before="100" w:beforeAutospacing="1" w:after="100" w:afterAutospacing="1" w:line="300" w:lineRule="atLeast"/>
        <w:rPr>
          <w:rFonts w:ascii="Arial" w:eastAsia="Times New Roman" w:hAnsi="Arial" w:cs="Arial"/>
          <w:kern w:val="0"/>
          <w:lang w:eastAsia="en-GB"/>
          <w14:ligatures w14:val="none"/>
        </w:rPr>
      </w:pPr>
      <w:r w:rsidRPr="0098440A">
        <w:rPr>
          <w:rFonts w:ascii="Arial" w:eastAsia="Times New Roman" w:hAnsi="Arial" w:cs="Arial"/>
          <w:kern w:val="0"/>
          <w:lang w:eastAsia="en-GB"/>
          <w14:ligatures w14:val="none"/>
        </w:rPr>
        <w:t xml:space="preserve">This report presents the Project Initiation and Planning framework for </w:t>
      </w:r>
      <w:r w:rsidRPr="0098440A">
        <w:rPr>
          <w:rFonts w:ascii="Arial" w:eastAsia="Times New Roman" w:hAnsi="Arial" w:cs="Arial"/>
          <w:b/>
          <w:bCs/>
          <w:kern w:val="0"/>
          <w:lang w:eastAsia="en-GB"/>
          <w14:ligatures w14:val="none"/>
        </w:rPr>
        <w:t>NOW Accounting</w:t>
      </w:r>
      <w:r w:rsidRPr="0098440A">
        <w:rPr>
          <w:rFonts w:ascii="Arial" w:eastAsia="Times New Roman" w:hAnsi="Arial" w:cs="Arial"/>
          <w:kern w:val="0"/>
          <w:lang w:eastAsia="en-GB"/>
          <w14:ligatures w14:val="none"/>
        </w:rPr>
        <w:t>, a cloud-based accounting software platform specifically developed for UK SMEs. The project aims to provide an integrated solution combining intelligent bookkeeping, Making Tax Digital compliance, automated VAT submissions, compliance reminders, annual accounts support and financial performance dashboards within a single platform.</w:t>
      </w:r>
    </w:p>
    <w:p w14:paraId="401A8FA3" w14:textId="77777777" w:rsidR="00627694" w:rsidRPr="0098440A" w:rsidRDefault="00627694" w:rsidP="00627694">
      <w:pPr>
        <w:spacing w:before="100" w:beforeAutospacing="1" w:after="100" w:afterAutospacing="1" w:line="300" w:lineRule="atLeast"/>
        <w:rPr>
          <w:rFonts w:ascii="Arial" w:eastAsia="Times New Roman" w:hAnsi="Arial" w:cs="Arial"/>
          <w:kern w:val="0"/>
          <w:lang w:eastAsia="en-GB"/>
          <w14:ligatures w14:val="none"/>
        </w:rPr>
      </w:pPr>
      <w:r w:rsidRPr="0098440A">
        <w:rPr>
          <w:rFonts w:ascii="Arial" w:eastAsia="Times New Roman" w:hAnsi="Arial" w:cs="Arial"/>
          <w:kern w:val="0"/>
          <w:lang w:eastAsia="en-GB"/>
          <w14:ligatures w14:val="none"/>
        </w:rPr>
        <w:t>Contemporary project management literature emphasises that projects should be evaluated according to the value and benefits they generate rather than solely by delivering predefined outputs. Martinsuo (2022) argues that project success is increasingly linked to strategic value creation, while Serra and Kunc (2022) highlight that many projects achieve cost, time and scope objectives but fail to deliver expected organisational benefits. Furthermore, Gemünden, Lehner and Kock (2021) suggest that projects play a vital role in supporting innovation and organisational transformation. Therefore, the success of NOW Accounting should be assessed based on its ability to improve compliance, enhance efficiency and create sustainable value for SME users.</w:t>
      </w:r>
    </w:p>
    <w:p w14:paraId="56054418" w14:textId="77777777" w:rsidR="00627694" w:rsidRPr="0098440A" w:rsidRDefault="00627694" w:rsidP="00627694">
      <w:pPr>
        <w:spacing w:before="100" w:beforeAutospacing="1" w:after="100" w:afterAutospacing="1" w:line="300" w:lineRule="atLeast"/>
        <w:rPr>
          <w:rFonts w:ascii="Arial" w:eastAsia="Times New Roman" w:hAnsi="Arial" w:cs="Arial"/>
          <w:kern w:val="0"/>
          <w:lang w:eastAsia="en-GB"/>
          <w14:ligatures w14:val="none"/>
        </w:rPr>
      </w:pPr>
      <w:r w:rsidRPr="0098440A">
        <w:rPr>
          <w:rFonts w:ascii="Arial" w:eastAsia="Times New Roman" w:hAnsi="Arial" w:cs="Arial"/>
          <w:kern w:val="0"/>
          <w:lang w:eastAsia="en-GB"/>
          <w14:ligatures w14:val="none"/>
        </w:rPr>
        <w:t>Digital accounting technologies have been shown to improve organisational performance and financial management. Moll and Yigitbasioglu (2022) found that digital technologies enhance data accessibility, reporting accuracy and decision-making, while Vincent, Rowbottom and Georgiou (2023) argue that cloud-based systems provide real-time financial information that improves organisational responsiveness and operational effectiveness.</w:t>
      </w:r>
    </w:p>
    <w:p w14:paraId="23122B6E" w14:textId="77777777" w:rsidR="00627694" w:rsidRPr="0098440A" w:rsidRDefault="00627694" w:rsidP="00627694">
      <w:pPr>
        <w:spacing w:before="100" w:beforeAutospacing="1" w:after="100" w:afterAutospacing="1" w:line="300" w:lineRule="atLeast"/>
        <w:rPr>
          <w:rFonts w:ascii="Arial" w:eastAsia="Times New Roman" w:hAnsi="Arial" w:cs="Arial"/>
          <w:kern w:val="0"/>
          <w:lang w:eastAsia="en-GB"/>
          <w14:ligatures w14:val="none"/>
        </w:rPr>
      </w:pPr>
      <w:r w:rsidRPr="0098440A">
        <w:rPr>
          <w:rFonts w:ascii="Arial" w:eastAsia="Times New Roman" w:hAnsi="Arial" w:cs="Arial"/>
          <w:kern w:val="0"/>
          <w:lang w:eastAsia="en-GB"/>
          <w14:ligatures w14:val="none"/>
        </w:rPr>
        <w:t>Despite these benefits, SMEs often face barriers when adopting new technologies. Troise et al. (2022) identify challenges including limited resources, technological uncertainty and resistance to change. Alamin, Yeoh and Warren (2023) further note that SMEs struggle to find solutions that balance compliance, usability and affordability. NOW Accounting seeks to address these challenges by delivering an accessible, compliant and user-friendly platform that supports regulatory requirements, operational efficiency and long-term business value (Martinsuo, 2022; Serra and Kunc, 2022).</w:t>
      </w:r>
    </w:p>
    <w:p w14:paraId="61EB2EAB" w14:textId="6C95F9A6" w:rsidR="00171F4C" w:rsidRPr="008B4478" w:rsidRDefault="00E95D42" w:rsidP="00D90D4A">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4478">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w:t>
      </w:r>
      <w:r w:rsidR="00D90D4A" w:rsidRPr="008B4478">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711F" w:rsidRPr="008B4478">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 and Objectives of the Project</w:t>
      </w:r>
      <w:bookmarkEnd w:id="1"/>
    </w:p>
    <w:p w14:paraId="34D797F0" w14:textId="75CD2D27" w:rsidR="0089711F" w:rsidRPr="008B4478" w:rsidRDefault="0089711F" w:rsidP="008B4478">
      <w:pPr>
        <w:pStyle w:val="Heading2"/>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43730063"/>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Project Aim</w:t>
      </w:r>
      <w:bookmarkEnd w:id="2"/>
      <w:r w:rsidR="00E63706" w:rsidRPr="008B4478">
        <w:rPr>
          <w:rFonts w:ascii="Arial" w:hAnsi="Arial" w:cs="Arial"/>
          <w:b/>
          <w:bCs/>
          <w:color w:val="000000" w:themeColor="text1"/>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3B5F8B" w14:textId="5B46FEC4" w:rsidR="00171F4C" w:rsidRPr="0098440A" w:rsidRDefault="00171F4C" w:rsidP="009F508C">
      <w:pPr>
        <w:rPr>
          <w:rFonts w:ascii="Arial" w:hAnsi="Arial" w:cs="Arial"/>
          <w:lang w:eastAsia="en-GB"/>
        </w:rPr>
      </w:pPr>
      <w:r w:rsidRPr="0098440A">
        <w:rPr>
          <w:rFonts w:ascii="Arial" w:hAnsi="Arial" w:cs="Arial"/>
          <w:lang w:eastAsia="en-GB"/>
        </w:rPr>
        <w:t xml:space="preserve">The aim of this project is to develop and launch a cloud-based accounting and tax compliance software platform for UK SMEs that streamlines bookkeeping, VAT submissions under Making Tax Digital (MTD), Corporation Tax returns, </w:t>
      </w:r>
      <w:r w:rsidR="00857922" w:rsidRPr="0098440A">
        <w:rPr>
          <w:rFonts w:ascii="Arial" w:hAnsi="Arial" w:cs="Arial"/>
          <w:lang w:eastAsia="en-GB"/>
        </w:rPr>
        <w:t>Self-Assessment</w:t>
      </w:r>
      <w:r w:rsidRPr="0098440A">
        <w:rPr>
          <w:rFonts w:ascii="Arial" w:hAnsi="Arial" w:cs="Arial"/>
          <w:lang w:eastAsia="en-GB"/>
        </w:rPr>
        <w:t xml:space="preserve"> tax returns and Companies House filings. The platform will integrate automated bookkeeping, financial reporting, compliance monitoring, client communication, deadline tracking and document management within a single system. By automating routine accounting and tax processes, the solution aims to reduce administrative workload, improve reporting accuracy, enhance regulatory compliance and increase operational efficiency for both SMEs and accounting professionals (Alexander, Britton and Jorissen, 2022; Moll and Yigitbasioglu, 2022; ACCA, 2023; HMRC, 2025).</w:t>
      </w:r>
    </w:p>
    <w:p w14:paraId="09FDEC53" w14:textId="44B4BDA7" w:rsidR="0089711F" w:rsidRPr="008B4478" w:rsidRDefault="0089711F" w:rsidP="00D90D4A">
      <w:pPr>
        <w:pStyle w:val="Heading2"/>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43730064"/>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 Project </w:t>
      </w:r>
      <w:bookmarkEnd w:id="3"/>
      <w:r w:rsidR="00426B28"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Objectives</w:t>
      </w:r>
    </w:p>
    <w:p w14:paraId="637C0128" w14:textId="77777777"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1:</w:t>
      </w:r>
      <w:r w:rsidRPr="0098440A">
        <w:rPr>
          <w:rFonts w:ascii="Arial" w:hAnsi="Arial" w:cs="Arial"/>
          <w:sz w:val="24"/>
          <w:szCs w:val="24"/>
        </w:rPr>
        <w:t xml:space="preserve"> Develop a fully MTD-compatible platform by Month 8 for digital record-keeping and direct VAT submissions to HMRC.</w:t>
      </w:r>
    </w:p>
    <w:p w14:paraId="2745525F" w14:textId="77777777"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2:</w:t>
      </w:r>
      <w:r w:rsidRPr="0098440A">
        <w:rPr>
          <w:rFonts w:ascii="Arial" w:hAnsi="Arial" w:cs="Arial"/>
          <w:sz w:val="24"/>
          <w:szCs w:val="24"/>
        </w:rPr>
        <w:t xml:space="preserve"> Develop an automated bookkeeping module by Month 10 to streamline transaction processing, invoicing and bank reconciliation.</w:t>
      </w:r>
    </w:p>
    <w:p w14:paraId="2975BD23" w14:textId="77777777"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3:</w:t>
      </w:r>
      <w:r w:rsidRPr="0098440A">
        <w:rPr>
          <w:rFonts w:ascii="Arial" w:hAnsi="Arial" w:cs="Arial"/>
          <w:sz w:val="24"/>
          <w:szCs w:val="24"/>
        </w:rPr>
        <w:t xml:space="preserve"> Implement statutory accounts preparation and Companies House filing functionality by Month 9.</w:t>
      </w:r>
    </w:p>
    <w:p w14:paraId="24E5AB27" w14:textId="56C21C46"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4:</w:t>
      </w:r>
      <w:r w:rsidRPr="0098440A">
        <w:rPr>
          <w:rFonts w:ascii="Arial" w:hAnsi="Arial" w:cs="Arial"/>
          <w:sz w:val="24"/>
          <w:szCs w:val="24"/>
        </w:rPr>
        <w:t xml:space="preserve"> Integrate Corporation Tax, </w:t>
      </w:r>
      <w:r w:rsidR="00857922" w:rsidRPr="0098440A">
        <w:rPr>
          <w:rFonts w:ascii="Arial" w:hAnsi="Arial" w:cs="Arial"/>
          <w:sz w:val="24"/>
          <w:szCs w:val="24"/>
        </w:rPr>
        <w:t>Self-Assessment</w:t>
      </w:r>
      <w:r w:rsidRPr="0098440A">
        <w:rPr>
          <w:rFonts w:ascii="Arial" w:hAnsi="Arial" w:cs="Arial"/>
          <w:sz w:val="24"/>
          <w:szCs w:val="24"/>
        </w:rPr>
        <w:t xml:space="preserve"> and VAT compliance management into a single platform by Month 9.</w:t>
      </w:r>
    </w:p>
    <w:p w14:paraId="19E3BCEE" w14:textId="77777777"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5:</w:t>
      </w:r>
      <w:r w:rsidRPr="0098440A">
        <w:rPr>
          <w:rFonts w:ascii="Arial" w:hAnsi="Arial" w:cs="Arial"/>
          <w:sz w:val="24"/>
          <w:szCs w:val="24"/>
        </w:rPr>
        <w:t xml:space="preserve"> Implement a client information request and document management system by Month 8.</w:t>
      </w:r>
    </w:p>
    <w:p w14:paraId="50D3AE0F" w14:textId="77777777"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6:</w:t>
      </w:r>
      <w:r w:rsidRPr="0098440A">
        <w:rPr>
          <w:rFonts w:ascii="Arial" w:hAnsi="Arial" w:cs="Arial"/>
          <w:sz w:val="24"/>
          <w:szCs w:val="24"/>
        </w:rPr>
        <w:t xml:space="preserve"> Achieve HMRC software recognition and complete all required API integrations by Month 7.</w:t>
      </w:r>
    </w:p>
    <w:p w14:paraId="63C946BF" w14:textId="77777777"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7:</w:t>
      </w:r>
      <w:r w:rsidRPr="0098440A">
        <w:rPr>
          <w:rFonts w:ascii="Arial" w:hAnsi="Arial" w:cs="Arial"/>
          <w:sz w:val="24"/>
          <w:szCs w:val="24"/>
        </w:rPr>
        <w:t xml:space="preserve"> Acquire 2,500 active subscribers and generate £210,000 annual recurring revenue within 22 months of project commencement.</w:t>
      </w:r>
    </w:p>
    <w:p w14:paraId="3BABEA4C" w14:textId="77777777" w:rsidR="00171F4C" w:rsidRPr="0098440A" w:rsidRDefault="00171F4C">
      <w:pPr>
        <w:pStyle w:val="NormalWeb"/>
        <w:spacing w:line="300" w:lineRule="atLeast"/>
        <w:rPr>
          <w:rFonts w:ascii="Arial" w:hAnsi="Arial" w:cs="Arial"/>
          <w:sz w:val="24"/>
          <w:szCs w:val="24"/>
        </w:rPr>
      </w:pPr>
      <w:r w:rsidRPr="0098440A">
        <w:rPr>
          <w:rStyle w:val="Strong"/>
          <w:rFonts w:ascii="Arial" w:hAnsi="Arial" w:cs="Arial"/>
          <w:sz w:val="24"/>
          <w:szCs w:val="24"/>
        </w:rPr>
        <w:t>Objective 8:</w:t>
      </w:r>
      <w:r w:rsidRPr="0098440A">
        <w:rPr>
          <w:rFonts w:ascii="Arial" w:hAnsi="Arial" w:cs="Arial"/>
          <w:sz w:val="24"/>
          <w:szCs w:val="24"/>
        </w:rPr>
        <w:t xml:space="preserve"> Achieve a customer satisfaction score of at least 85% within three months of platform launch.</w:t>
      </w:r>
    </w:p>
    <w:p w14:paraId="75AD1100" w14:textId="77777777" w:rsidR="0089711F" w:rsidRPr="008B4478" w:rsidRDefault="0089711F" w:rsidP="00D90D4A">
      <w:pPr>
        <w:pStyle w:val="Heading2"/>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43730065"/>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Scope of the Project</w:t>
      </w:r>
      <w:bookmarkEnd w:id="4"/>
    </w:p>
    <w:p w14:paraId="70432DA9" w14:textId="77777777" w:rsidR="00681E3C" w:rsidRPr="0098440A" w:rsidRDefault="00681E3C" w:rsidP="00681E3C">
      <w:pPr>
        <w:rPr>
          <w:rFonts w:ascii="Arial" w:hAnsi="Arial" w:cs="Arial"/>
          <w:lang w:eastAsia="en-GB"/>
        </w:rPr>
      </w:pPr>
      <w:r w:rsidRPr="0098440A">
        <w:rPr>
          <w:rFonts w:ascii="Arial" w:hAnsi="Arial" w:cs="Arial"/>
          <w:lang w:eastAsia="en-GB"/>
        </w:rPr>
        <w:t xml:space="preserve">A clearly defined project scope is essential for effective resource utilisation, stakeholder alignment, and successful project delivery. Poor scope definition and </w:t>
      </w:r>
      <w:r w:rsidRPr="0098440A">
        <w:rPr>
          <w:rFonts w:ascii="Arial" w:hAnsi="Arial" w:cs="Arial"/>
          <w:lang w:eastAsia="en-GB"/>
        </w:rPr>
        <w:lastRenderedPageBreak/>
        <w:t>uncontrolled scope changes are recognised as major causes of project delays, cost overruns, and project failure (Martinsuo, 2022; Mnaseer, 2026).</w:t>
      </w:r>
    </w:p>
    <w:p w14:paraId="5C3B9A17" w14:textId="259EF3E0" w:rsidR="00681E3C" w:rsidRPr="0098440A" w:rsidRDefault="00681E3C" w:rsidP="00681E3C">
      <w:pPr>
        <w:rPr>
          <w:rFonts w:ascii="Arial" w:hAnsi="Arial" w:cs="Arial"/>
          <w:lang w:eastAsia="en-GB"/>
        </w:rPr>
      </w:pPr>
      <w:r w:rsidRPr="0098440A">
        <w:rPr>
          <w:rFonts w:ascii="Arial" w:hAnsi="Arial" w:cs="Arial"/>
          <w:lang w:eastAsia="en-GB"/>
        </w:rPr>
        <w:t xml:space="preserve">The project scope includes requirements gathering and system design; development of a cloud-based accounting and bookkeeping engine; Making Tax Digital (MTD)-compliant VAT functionality; HMRC API integration for VAT submissions; Corporation Tax, </w:t>
      </w:r>
      <w:r w:rsidR="005F0034" w:rsidRPr="0098440A">
        <w:rPr>
          <w:rFonts w:ascii="Arial" w:hAnsi="Arial" w:cs="Arial"/>
          <w:lang w:eastAsia="en-GB"/>
        </w:rPr>
        <w:t>Self-Assessment</w:t>
      </w:r>
      <w:r w:rsidRPr="0098440A">
        <w:rPr>
          <w:rFonts w:ascii="Arial" w:hAnsi="Arial" w:cs="Arial"/>
          <w:lang w:eastAsia="en-GB"/>
        </w:rPr>
        <w:t>, and tax compliance management features; statutory accounts preparation and filing support; automated compliance reminders and deadline monitoring; client relationship management tools; financial reporting dashboards; data migration capabilities; integration with Xero, QuickBooks, and Sage; system testing and User Acceptance Testing (UAT); user training and support documentation; system deployment; and post-implementation benefits realisation tracking.</w:t>
      </w:r>
    </w:p>
    <w:p w14:paraId="75933B32" w14:textId="77777777" w:rsidR="00681E3C" w:rsidRPr="0098440A" w:rsidRDefault="00681E3C" w:rsidP="00681E3C">
      <w:pPr>
        <w:rPr>
          <w:rFonts w:ascii="Arial" w:hAnsi="Arial" w:cs="Arial"/>
          <w:lang w:eastAsia="en-GB"/>
        </w:rPr>
      </w:pPr>
      <w:r w:rsidRPr="0098440A">
        <w:rPr>
          <w:rFonts w:ascii="Arial" w:hAnsi="Arial" w:cs="Arial"/>
          <w:lang w:eastAsia="en-GB"/>
        </w:rPr>
        <w:t>The inclusion of automated bookkeeping, compliance management, and digital tax reporting features reflects increasing demand for integrated accounting solutions that improve efficiency and support regulatory compliance (ACCA, 2023; HMRC, 2025; Xero, 2024). Although Corporation Tax remains a significant business obligation, HMRC has confirmed that there are currently no plans to introduce mandatory Making Tax Digital reporting for Corporation Tax, reducing the immediate need for full MTD Corporation Tax integration (Accountancy Age, 2025).</w:t>
      </w:r>
    </w:p>
    <w:p w14:paraId="7C40DF07" w14:textId="3536F953" w:rsidR="00D3362F" w:rsidRPr="006023CE" w:rsidRDefault="00681E3C" w:rsidP="00F21BFC">
      <w:pPr>
        <w:rPr>
          <w:rFonts w:ascii="Arial" w:hAnsi="Arial" w:cs="Arial"/>
          <w:lang w:eastAsia="en-GB"/>
        </w:rPr>
      </w:pPr>
      <w:r w:rsidRPr="0098440A">
        <w:rPr>
          <w:rFonts w:ascii="Arial" w:hAnsi="Arial" w:cs="Arial"/>
          <w:lang w:eastAsia="en-GB"/>
        </w:rPr>
        <w:t>Effective scope control will minimise scope creep, maintain project focus, and support delivery within agreed time, cost, and quality constraints. Strong scope management is particularly important in software development projects, where evolving stakeholder requirements can significantly increase project complexity and risk (Martinsuo, 2022; Serra and Kunc, 2022).</w:t>
      </w:r>
    </w:p>
    <w:p w14:paraId="2D0A0430" w14:textId="75B45D5F" w:rsidR="0089711F" w:rsidRPr="008B4478" w:rsidRDefault="0089711F" w:rsidP="00D90D4A">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43730066"/>
      <w:r w:rsidRPr="008B4478">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Project Deliverables</w:t>
      </w:r>
      <w:bookmarkEnd w:id="5"/>
    </w:p>
    <w:p w14:paraId="641DEECF" w14:textId="6E2FE8D5" w:rsidR="00765C3B" w:rsidRPr="006023CE" w:rsidRDefault="005F0034" w:rsidP="006023CE">
      <w:pPr>
        <w:shd w:val="clear" w:color="auto" w:fill="FFFFFF"/>
        <w:spacing w:before="240" w:after="240" w:line="420" w:lineRule="atLeast"/>
        <w:rPr>
          <w:rFonts w:ascii="Arial" w:eastAsia="Times New Roman" w:hAnsi="Arial" w:cs="Arial"/>
          <w:color w:val="0F1115"/>
          <w:kern w:val="0"/>
          <w:lang w:eastAsia="en-GB"/>
          <w14:ligatures w14:val="none"/>
        </w:rPr>
      </w:pPr>
      <w:r w:rsidRPr="00D57350">
        <w:rPr>
          <w:rFonts w:ascii="Arial" w:eastAsia="Times New Roman" w:hAnsi="Arial" w:cs="Arial"/>
          <w:color w:val="0F1115"/>
          <w:kern w:val="0"/>
          <w:lang w:eastAsia="en-GB"/>
          <w14:ligatures w14:val="none"/>
        </w:rPr>
        <w:t>The business case underpinning these deliverables is a formal document used to justify the need for the project, evaluating whether it should proceed by analysing costs, benefits, and risks to ensure that the organisation invests resources in initiatives that align with strategic goals and deliver tangible value (Merideth and Zwikael, 2024).</w:t>
      </w:r>
      <w:r w:rsidR="003F2517">
        <w:rPr>
          <w:rFonts w:ascii="Arial" w:eastAsia="Times New Roman" w:hAnsi="Arial" w:cs="Arial"/>
          <w:color w:val="0F1115"/>
          <w:kern w:val="0"/>
          <w:lang w:eastAsia="en-GB"/>
          <w14:ligatures w14:val="none"/>
        </w:rPr>
        <w:t xml:space="preserve"> Table 1 explains the concept in detail</w:t>
      </w:r>
      <w:r w:rsidR="001570AC">
        <w:rPr>
          <w:rFonts w:ascii="Arial" w:eastAsia="Times New Roman" w:hAnsi="Arial" w:cs="Arial"/>
          <w:color w:val="0F1115"/>
          <w:kern w:val="0"/>
          <w:lang w:eastAsia="en-GB"/>
          <w14:ligatures w14:val="none"/>
        </w:rPr>
        <w:t>.</w:t>
      </w:r>
    </w:p>
    <w:p w14:paraId="08FC90F2" w14:textId="53946100" w:rsidR="00E9652D" w:rsidRPr="00E9652D" w:rsidRDefault="00E9652D" w:rsidP="00E9652D">
      <w:pPr>
        <w:jc w:val="center"/>
      </w:pPr>
      <w:r w:rsidRPr="00E9652D">
        <w:rPr>
          <w:noProof/>
          <w:color w:val="7030A0"/>
        </w:rPr>
        <w:lastRenderedPageBreak/>
        <w:drawing>
          <wp:anchor distT="0" distB="0" distL="114300" distR="114300" simplePos="0" relativeHeight="251642368" behindDoc="1" locked="0" layoutInCell="1" allowOverlap="1" wp14:anchorId="267F46F8" wp14:editId="5EF08F16">
            <wp:simplePos x="0" y="0"/>
            <wp:positionH relativeFrom="margin">
              <wp:posOffset>-95250</wp:posOffset>
            </wp:positionH>
            <wp:positionV relativeFrom="paragraph">
              <wp:posOffset>333375</wp:posOffset>
            </wp:positionV>
            <wp:extent cx="6141720" cy="8136890"/>
            <wp:effectExtent l="0" t="0" r="0" b="0"/>
            <wp:wrapTight wrapText="bothSides">
              <wp:wrapPolygon edited="0">
                <wp:start x="0" y="0"/>
                <wp:lineTo x="0" y="21543"/>
                <wp:lineTo x="21506" y="21543"/>
                <wp:lineTo x="21506" y="0"/>
                <wp:lineTo x="0" y="0"/>
              </wp:wrapPolygon>
            </wp:wrapTight>
            <wp:docPr id="946274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74026" name=""/>
                    <pic:cNvPicPr/>
                  </pic:nvPicPr>
                  <pic:blipFill>
                    <a:blip r:embed="rId10">
                      <a:extLst>
                        <a:ext uri="{28A0092B-C50C-407E-A947-70E740481C1C}">
                          <a14:useLocalDpi xmlns:a14="http://schemas.microsoft.com/office/drawing/2010/main" val="0"/>
                        </a:ext>
                      </a:extLst>
                    </a:blip>
                    <a:stretch>
                      <a:fillRect/>
                    </a:stretch>
                  </pic:blipFill>
                  <pic:spPr>
                    <a:xfrm>
                      <a:off x="0" y="0"/>
                      <a:ext cx="6141720" cy="8136890"/>
                    </a:xfrm>
                    <a:prstGeom prst="rect">
                      <a:avLst/>
                    </a:prstGeom>
                  </pic:spPr>
                </pic:pic>
              </a:graphicData>
            </a:graphic>
            <wp14:sizeRelV relativeFrom="margin">
              <wp14:pctHeight>0</wp14:pctHeight>
            </wp14:sizeRelV>
          </wp:anchor>
        </w:drawing>
      </w:r>
      <w:r w:rsidR="00D43557">
        <w:rPr>
          <w:color w:val="7030A0"/>
        </w:rPr>
        <w:t>Table</w:t>
      </w:r>
      <w:r w:rsidRPr="00E9652D">
        <w:rPr>
          <w:color w:val="7030A0"/>
        </w:rPr>
        <w:t xml:space="preserve"> </w:t>
      </w:r>
      <w:r w:rsidR="00D43557">
        <w:rPr>
          <w:color w:val="7030A0"/>
        </w:rPr>
        <w:fldChar w:fldCharType="begin"/>
      </w:r>
      <w:r w:rsidR="00D43557">
        <w:rPr>
          <w:color w:val="7030A0"/>
        </w:rPr>
        <w:instrText xml:space="preserve"> SEQ Figure \* ARABIC </w:instrText>
      </w:r>
      <w:r w:rsidR="00D43557">
        <w:rPr>
          <w:color w:val="7030A0"/>
        </w:rPr>
        <w:fldChar w:fldCharType="separate"/>
      </w:r>
      <w:r w:rsidR="00E209D3">
        <w:rPr>
          <w:noProof/>
          <w:color w:val="7030A0"/>
        </w:rPr>
        <w:t>1</w:t>
      </w:r>
      <w:r w:rsidR="00D43557">
        <w:rPr>
          <w:color w:val="7030A0"/>
        </w:rPr>
        <w:fldChar w:fldCharType="end"/>
      </w:r>
      <w:r w:rsidRPr="00E9652D">
        <w:rPr>
          <w:color w:val="7030A0"/>
        </w:rPr>
        <w:t>:Project Deliverables Analysis</w:t>
      </w:r>
    </w:p>
    <w:p w14:paraId="432DE7EB" w14:textId="59037B0F" w:rsidR="00320E56" w:rsidRDefault="00E9652D" w:rsidP="005F0034">
      <w:r w:rsidRPr="007A3C92">
        <w:rPr>
          <w:noProof/>
        </w:rPr>
        <w:lastRenderedPageBreak/>
        <w:drawing>
          <wp:anchor distT="0" distB="0" distL="114300" distR="114300" simplePos="0" relativeHeight="251643392" behindDoc="1" locked="0" layoutInCell="1" allowOverlap="1" wp14:anchorId="1F247A43" wp14:editId="135587A4">
            <wp:simplePos x="0" y="0"/>
            <wp:positionH relativeFrom="column">
              <wp:posOffset>-188259</wp:posOffset>
            </wp:positionH>
            <wp:positionV relativeFrom="paragraph">
              <wp:posOffset>21179</wp:posOffset>
            </wp:positionV>
            <wp:extent cx="6534557" cy="8834120"/>
            <wp:effectExtent l="0" t="0" r="0" b="5080"/>
            <wp:wrapTight wrapText="bothSides">
              <wp:wrapPolygon edited="0">
                <wp:start x="0" y="0"/>
                <wp:lineTo x="0" y="21566"/>
                <wp:lineTo x="21537" y="21566"/>
                <wp:lineTo x="21537" y="0"/>
                <wp:lineTo x="0" y="0"/>
              </wp:wrapPolygon>
            </wp:wrapTight>
            <wp:docPr id="473522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22046" name=""/>
                    <pic:cNvPicPr/>
                  </pic:nvPicPr>
                  <pic:blipFill>
                    <a:blip r:embed="rId11">
                      <a:extLst>
                        <a:ext uri="{28A0092B-C50C-407E-A947-70E740481C1C}">
                          <a14:useLocalDpi xmlns:a14="http://schemas.microsoft.com/office/drawing/2010/main" val="0"/>
                        </a:ext>
                      </a:extLst>
                    </a:blip>
                    <a:stretch>
                      <a:fillRect/>
                    </a:stretch>
                  </pic:blipFill>
                  <pic:spPr>
                    <a:xfrm>
                      <a:off x="0" y="0"/>
                      <a:ext cx="6534557" cy="8834120"/>
                    </a:xfrm>
                    <a:prstGeom prst="rect">
                      <a:avLst/>
                    </a:prstGeom>
                  </pic:spPr>
                </pic:pic>
              </a:graphicData>
            </a:graphic>
            <wp14:sizeRelH relativeFrom="margin">
              <wp14:pctWidth>0</wp14:pctWidth>
            </wp14:sizeRelH>
          </wp:anchor>
        </w:drawing>
      </w:r>
    </w:p>
    <w:p w14:paraId="4349799A" w14:textId="5948CD94" w:rsidR="005F0034" w:rsidRDefault="00D70588" w:rsidP="005F0034">
      <w:r w:rsidRPr="007A3C92">
        <w:rPr>
          <w:noProof/>
        </w:rPr>
        <w:lastRenderedPageBreak/>
        <w:drawing>
          <wp:inline distT="0" distB="0" distL="0" distR="0" wp14:anchorId="60DB12E4" wp14:editId="4637F2D2">
            <wp:extent cx="6185295" cy="8740588"/>
            <wp:effectExtent l="0" t="0" r="6350" b="3810"/>
            <wp:docPr id="1815078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078337" name=""/>
                    <pic:cNvPicPr/>
                  </pic:nvPicPr>
                  <pic:blipFill>
                    <a:blip r:embed="rId12"/>
                    <a:stretch>
                      <a:fillRect/>
                    </a:stretch>
                  </pic:blipFill>
                  <pic:spPr>
                    <a:xfrm>
                      <a:off x="0" y="0"/>
                      <a:ext cx="6194770" cy="8753977"/>
                    </a:xfrm>
                    <a:prstGeom prst="rect">
                      <a:avLst/>
                    </a:prstGeom>
                  </pic:spPr>
                </pic:pic>
              </a:graphicData>
            </a:graphic>
          </wp:inline>
        </w:drawing>
      </w:r>
    </w:p>
    <w:p w14:paraId="2F519F30" w14:textId="53415979" w:rsidR="004D496B" w:rsidRDefault="004D496B" w:rsidP="005F0034"/>
    <w:p w14:paraId="744F61C0" w14:textId="3F8D64BA" w:rsidR="0089711F" w:rsidRPr="00D57350" w:rsidRDefault="00E9652D" w:rsidP="00E9652D">
      <w:pPr>
        <w:rPr>
          <w:rFonts w:ascii="Arial" w:eastAsia="Times New Roman" w:hAnsi="Arial" w:cs="Arial"/>
          <w:b/>
          <w:bCs/>
          <w:color w:val="0F1115"/>
          <w:kern w:val="0"/>
          <w:sz w:val="30"/>
          <w:szCs w:val="30"/>
          <w:lang w:eastAsia="en-GB"/>
          <w14:ligatures w14:val="none"/>
        </w:rPr>
      </w:pPr>
      <w:r w:rsidRPr="00E9652D">
        <w:rPr>
          <w:noProof/>
        </w:rPr>
        <w:drawing>
          <wp:anchor distT="0" distB="0" distL="114300" distR="114300" simplePos="0" relativeHeight="251641344" behindDoc="1" locked="0" layoutInCell="1" allowOverlap="1" wp14:anchorId="663FCE99" wp14:editId="4B6DF065">
            <wp:simplePos x="0" y="0"/>
            <wp:positionH relativeFrom="margin">
              <wp:align>right</wp:align>
            </wp:positionH>
            <wp:positionV relativeFrom="paragraph">
              <wp:posOffset>13335</wp:posOffset>
            </wp:positionV>
            <wp:extent cx="5728335" cy="4881245"/>
            <wp:effectExtent l="0" t="0" r="5715" b="0"/>
            <wp:wrapTight wrapText="bothSides">
              <wp:wrapPolygon edited="0">
                <wp:start x="0" y="0"/>
                <wp:lineTo x="0" y="21496"/>
                <wp:lineTo x="21550" y="21496"/>
                <wp:lineTo x="21550" y="0"/>
                <wp:lineTo x="0" y="0"/>
              </wp:wrapPolygon>
            </wp:wrapTight>
            <wp:docPr id="472103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03364" name=""/>
                    <pic:cNvPicPr/>
                  </pic:nvPicPr>
                  <pic:blipFill>
                    <a:blip r:embed="rId13">
                      <a:extLst>
                        <a:ext uri="{28A0092B-C50C-407E-A947-70E740481C1C}">
                          <a14:useLocalDpi xmlns:a14="http://schemas.microsoft.com/office/drawing/2010/main" val="0"/>
                        </a:ext>
                      </a:extLst>
                    </a:blip>
                    <a:stretch>
                      <a:fillRect/>
                    </a:stretch>
                  </pic:blipFill>
                  <pic:spPr>
                    <a:xfrm>
                      <a:off x="0" y="0"/>
                      <a:ext cx="5730768" cy="4883355"/>
                    </a:xfrm>
                    <a:prstGeom prst="rect">
                      <a:avLst/>
                    </a:prstGeom>
                  </pic:spPr>
                </pic:pic>
              </a:graphicData>
            </a:graphic>
            <wp14:sizeRelH relativeFrom="margin">
              <wp14:pctWidth>0</wp14:pctWidth>
            </wp14:sizeRelH>
            <wp14:sizeRelV relativeFrom="margin">
              <wp14:pctHeight>0</wp14:pctHeight>
            </wp14:sizeRelV>
          </wp:anchor>
        </w:drawing>
      </w:r>
    </w:p>
    <w:p w14:paraId="3106F31B" w14:textId="17DD7B7B" w:rsidR="0089711F" w:rsidRPr="008B4478" w:rsidRDefault="00D10616" w:rsidP="00D90D4A">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43730067"/>
      <w:r w:rsidRPr="008B4478">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89711F" w:rsidRPr="008B4478">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Activities and Work Breakdown Structure</w:t>
      </w:r>
      <w:bookmarkEnd w:id="6"/>
    </w:p>
    <w:p w14:paraId="00DB4D94" w14:textId="7B81F853" w:rsidR="00D10616" w:rsidRPr="008B4478" w:rsidRDefault="00D90D4A" w:rsidP="00D90D4A">
      <w:pPr>
        <w:pStyle w:val="Heading2"/>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43730068"/>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4.1 </w:t>
      </w:r>
      <w:r w:rsidR="00D10616"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Breakdown Structure</w:t>
      </w:r>
      <w:bookmarkEnd w:id="7"/>
    </w:p>
    <w:p w14:paraId="1182975C" w14:textId="30E3D7FE" w:rsidR="00E52834" w:rsidRPr="00D57350" w:rsidRDefault="00E52834" w:rsidP="005E44EB">
      <w:pPr>
        <w:rPr>
          <w:rFonts w:ascii="Arial" w:hAnsi="Arial" w:cs="Arial"/>
          <w:lang w:eastAsia="en-GB"/>
        </w:rPr>
      </w:pPr>
      <w:r w:rsidRPr="00D57350">
        <w:rPr>
          <w:rFonts w:ascii="Arial" w:hAnsi="Arial" w:cs="Arial"/>
          <w:lang w:eastAsia="en-GB"/>
        </w:rPr>
        <w:t>Presented below</w:t>
      </w:r>
      <w:r w:rsidR="00E9652D">
        <w:rPr>
          <w:rFonts w:ascii="Arial" w:hAnsi="Arial" w:cs="Arial"/>
          <w:lang w:eastAsia="en-GB"/>
        </w:rPr>
        <w:t xml:space="preserve"> figure </w:t>
      </w:r>
      <w:r w:rsidR="00F81FAF">
        <w:rPr>
          <w:rFonts w:ascii="Arial" w:hAnsi="Arial" w:cs="Arial"/>
          <w:lang w:eastAsia="en-GB"/>
        </w:rPr>
        <w:t xml:space="preserve">1 </w:t>
      </w:r>
      <w:r w:rsidR="00CA22FC" w:rsidRPr="00D57350">
        <w:rPr>
          <w:rFonts w:ascii="Arial" w:hAnsi="Arial" w:cs="Arial"/>
          <w:lang w:eastAsia="en-GB"/>
        </w:rPr>
        <w:t>WBS</w:t>
      </w:r>
      <w:r w:rsidRPr="00D57350">
        <w:rPr>
          <w:rFonts w:ascii="Arial" w:hAnsi="Arial" w:cs="Arial"/>
          <w:lang w:eastAsia="en-GB"/>
        </w:rPr>
        <w:t xml:space="preserve"> project plan adopts a structured six-phase approach spanning 194 days. It begins with Discovery and Requirements (36 days) and Architecture and Design (40 days) to establish business, technical, and regulatory requirements. This is followed by Core Development and Integration (33 days), QA and Compliance Testing (21 days), and Go-to-Market and Launch (23 days). The final phase, Client Release and Post-Launch Support (41 days), focuses on user onboarding, support, performance monitoring, and project closure, ensuring successful implementation and long-term system adoption.</w:t>
      </w:r>
    </w:p>
    <w:p w14:paraId="2F9F4F01" w14:textId="2EE93C9B" w:rsidR="001A457F" w:rsidRPr="00D57350" w:rsidRDefault="001A457F" w:rsidP="00D90D4A">
      <w:pPr>
        <w:rPr>
          <w:rFonts w:ascii="Arial" w:eastAsia="Times New Roman" w:hAnsi="Arial" w:cs="Arial"/>
          <w:kern w:val="0"/>
          <w:lang w:eastAsia="en-GB"/>
          <w14:ligatures w14:val="none"/>
        </w:rPr>
      </w:pPr>
    </w:p>
    <w:p w14:paraId="5613358A" w14:textId="77777777" w:rsidR="00E9652D" w:rsidRDefault="00A411E2" w:rsidP="00E9652D">
      <w:pPr>
        <w:keepNext/>
      </w:pPr>
      <w:r w:rsidRPr="00D57350">
        <w:rPr>
          <w:rFonts w:ascii="Arial" w:hAnsi="Arial" w:cs="Arial"/>
          <w:noProof/>
          <w:lang w:eastAsia="en-GB"/>
        </w:rPr>
        <w:drawing>
          <wp:inline distT="0" distB="0" distL="0" distR="0" wp14:anchorId="79F98E0A" wp14:editId="4686E6C8">
            <wp:extent cx="5731510" cy="3407434"/>
            <wp:effectExtent l="0" t="0" r="2540" b="2540"/>
            <wp:docPr id="895033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033108" name=""/>
                    <pic:cNvPicPr/>
                  </pic:nvPicPr>
                  <pic:blipFill>
                    <a:blip r:embed="rId14"/>
                    <a:stretch>
                      <a:fillRect/>
                    </a:stretch>
                  </pic:blipFill>
                  <pic:spPr>
                    <a:xfrm>
                      <a:off x="0" y="0"/>
                      <a:ext cx="5740013" cy="3412489"/>
                    </a:xfrm>
                    <a:prstGeom prst="rect">
                      <a:avLst/>
                    </a:prstGeom>
                  </pic:spPr>
                </pic:pic>
              </a:graphicData>
            </a:graphic>
          </wp:inline>
        </w:drawing>
      </w:r>
    </w:p>
    <w:p w14:paraId="15B8651D" w14:textId="4F5CF015" w:rsidR="00A411E2" w:rsidRPr="00E9652D" w:rsidRDefault="00E9652D" w:rsidP="00E9652D">
      <w:pPr>
        <w:pStyle w:val="Caption"/>
        <w:jc w:val="center"/>
        <w:rPr>
          <w:rFonts w:ascii="Arial" w:hAnsi="Arial" w:cs="Arial"/>
          <w:b/>
          <w:bCs/>
          <w:color w:val="7030A0"/>
          <w:sz w:val="20"/>
          <w:szCs w:val="20"/>
          <w:lang w:eastAsia="en-GB"/>
        </w:rPr>
      </w:pPr>
      <w:r w:rsidRPr="00E9652D">
        <w:rPr>
          <w:rFonts w:ascii="Arial" w:hAnsi="Arial" w:cs="Arial"/>
          <w:b/>
          <w:bCs/>
          <w:color w:val="7030A0"/>
          <w:sz w:val="20"/>
          <w:szCs w:val="20"/>
        </w:rPr>
        <w:t xml:space="preserve">Figure </w:t>
      </w:r>
      <w:r w:rsidR="00D357FB">
        <w:rPr>
          <w:rFonts w:ascii="Arial" w:hAnsi="Arial" w:cs="Arial"/>
          <w:b/>
          <w:bCs/>
          <w:color w:val="7030A0"/>
          <w:sz w:val="20"/>
          <w:szCs w:val="20"/>
        </w:rPr>
        <w:t>1</w:t>
      </w:r>
      <w:r w:rsidRPr="00E9652D">
        <w:rPr>
          <w:rFonts w:ascii="Arial" w:hAnsi="Arial" w:cs="Arial"/>
          <w:b/>
          <w:bCs/>
          <w:color w:val="7030A0"/>
          <w:sz w:val="20"/>
          <w:szCs w:val="20"/>
        </w:rPr>
        <w:t>: WBS Analysis</w:t>
      </w:r>
    </w:p>
    <w:p w14:paraId="6D8953D2" w14:textId="77777777" w:rsidR="00E52834" w:rsidRPr="00D57350" w:rsidRDefault="00E52834" w:rsidP="00E52834">
      <w:pPr>
        <w:pStyle w:val="ListParagraph"/>
        <w:rPr>
          <w:rStyle w:val="Heading2Char"/>
          <w:rFonts w:ascii="Arial"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D45E48" w14:textId="638DE1B4" w:rsidR="00A411E2" w:rsidRPr="008B4478" w:rsidRDefault="00C350BA" w:rsidP="00C350BA">
      <w:pPr>
        <w:pStyle w:val="Heading2"/>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4.2 </w:t>
      </w:r>
      <w:r w:rsidR="00A411E2"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WBS Analysis</w:t>
      </w:r>
    </w:p>
    <w:p w14:paraId="1831CB92" w14:textId="77777777" w:rsidR="00A411E2" w:rsidRPr="00D57350" w:rsidRDefault="00A411E2" w:rsidP="009914C5">
      <w:pPr>
        <w:rPr>
          <w:rFonts w:ascii="Arial" w:hAnsi="Arial" w:cs="Arial"/>
          <w:lang w:eastAsia="en-GB"/>
        </w:rPr>
      </w:pPr>
      <w:r w:rsidRPr="00D57350">
        <w:rPr>
          <w:rFonts w:ascii="Arial" w:hAnsi="Arial" w:cs="Arial"/>
          <w:lang w:eastAsia="en-GB"/>
        </w:rPr>
        <w:t>The Work Breakdown Structure (WBS) divides the project into six major phases: Discovery &amp; Requirements, Architecture &amp; Design, Core Development &amp; Integration, QA &amp; Compliance Testing, Go-to-Market &amp; Launch, and Release to Clients &amp; Support. Each phase is further decomposed into manageable activities, enabling effective planning, resource allocation, progress monitoring, and control throughout the project lifecycle. The WBS provides a structured framework for delivering the project within the planned 194-day schedule while ensuring all technical, compliance, testing, deployment, and support activities are completed.</w:t>
      </w:r>
    </w:p>
    <w:p w14:paraId="7568A579" w14:textId="44FD7B1F" w:rsidR="00E24743" w:rsidRPr="00D57350" w:rsidRDefault="00E24743" w:rsidP="00820328">
      <w:pPr>
        <w:rPr>
          <w:rFonts w:ascii="Arial" w:hAnsi="Arial" w:cs="Arial"/>
          <w:lang w:eastAsia="en-GB"/>
        </w:rPr>
      </w:pPr>
    </w:p>
    <w:p w14:paraId="4BD60298" w14:textId="6D2C7278" w:rsidR="00453194" w:rsidRPr="008B4478" w:rsidRDefault="00C350BA" w:rsidP="00C350BA">
      <w:pPr>
        <w:pStyle w:val="Heading2"/>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43730069"/>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4.3 </w:t>
      </w:r>
      <w:r w:rsidR="008E6402"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Gantt Chart</w:t>
      </w:r>
      <w:bookmarkEnd w:id="8"/>
      <w:r w:rsidR="008E6402"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CFD134E" w14:textId="77777777" w:rsidR="00E9652D" w:rsidRDefault="00BA0FF8" w:rsidP="00E9652D">
      <w:pPr>
        <w:keepNext/>
      </w:pPr>
      <w:r w:rsidRPr="00D57350">
        <w:rPr>
          <w:rFonts w:ascii="Arial" w:hAnsi="Arial" w:cs="Arial"/>
          <w:noProof/>
          <w:lang w:eastAsia="en-GB"/>
        </w:rPr>
        <w:drawing>
          <wp:inline distT="0" distB="0" distL="0" distR="0" wp14:anchorId="1059B9B4" wp14:editId="226E7A9E">
            <wp:extent cx="5731510" cy="3590364"/>
            <wp:effectExtent l="0" t="0" r="2540" b="0"/>
            <wp:docPr id="1046685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85137" name=""/>
                    <pic:cNvPicPr/>
                  </pic:nvPicPr>
                  <pic:blipFill>
                    <a:blip r:embed="rId15"/>
                    <a:stretch>
                      <a:fillRect/>
                    </a:stretch>
                  </pic:blipFill>
                  <pic:spPr>
                    <a:xfrm>
                      <a:off x="0" y="0"/>
                      <a:ext cx="5734621" cy="3592313"/>
                    </a:xfrm>
                    <a:prstGeom prst="rect">
                      <a:avLst/>
                    </a:prstGeom>
                  </pic:spPr>
                </pic:pic>
              </a:graphicData>
            </a:graphic>
          </wp:inline>
        </w:drawing>
      </w:r>
    </w:p>
    <w:p w14:paraId="58CCE0CB" w14:textId="049A426E" w:rsidR="005E278B" w:rsidRPr="00E9652D" w:rsidRDefault="00E9652D" w:rsidP="00E9652D">
      <w:pPr>
        <w:pStyle w:val="Caption"/>
        <w:jc w:val="center"/>
        <w:rPr>
          <w:rFonts w:ascii="Arial" w:hAnsi="Arial" w:cs="Arial"/>
          <w:b/>
          <w:bCs/>
          <w:color w:val="7030A0"/>
          <w:sz w:val="20"/>
          <w:szCs w:val="20"/>
        </w:rPr>
      </w:pPr>
      <w:r w:rsidRPr="00E9652D">
        <w:rPr>
          <w:rFonts w:ascii="Arial" w:hAnsi="Arial" w:cs="Arial"/>
          <w:b/>
          <w:bCs/>
          <w:color w:val="7030A0"/>
          <w:sz w:val="20"/>
          <w:szCs w:val="20"/>
        </w:rPr>
        <w:t>Figure</w:t>
      </w:r>
      <w:r w:rsidR="00F81FAF">
        <w:rPr>
          <w:rFonts w:ascii="Arial" w:hAnsi="Arial" w:cs="Arial"/>
          <w:b/>
          <w:bCs/>
          <w:color w:val="7030A0"/>
          <w:sz w:val="20"/>
          <w:szCs w:val="20"/>
        </w:rPr>
        <w:t xml:space="preserve"> </w:t>
      </w:r>
      <w:r w:rsidR="00466C76">
        <w:rPr>
          <w:rFonts w:ascii="Arial" w:hAnsi="Arial" w:cs="Arial"/>
          <w:b/>
          <w:bCs/>
          <w:color w:val="7030A0"/>
          <w:sz w:val="20"/>
          <w:szCs w:val="20"/>
        </w:rPr>
        <w:t>2:</w:t>
      </w:r>
      <w:r w:rsidRPr="00E9652D">
        <w:rPr>
          <w:rFonts w:ascii="Arial" w:hAnsi="Arial" w:cs="Arial"/>
          <w:b/>
          <w:bCs/>
          <w:color w:val="7030A0"/>
          <w:sz w:val="20"/>
          <w:szCs w:val="20"/>
        </w:rPr>
        <w:t xml:space="preserve"> Gantt Chart</w:t>
      </w:r>
    </w:p>
    <w:p w14:paraId="73C4D78E" w14:textId="6E1AD63C" w:rsidR="00F1545B" w:rsidRPr="00D57350" w:rsidRDefault="00F1545B" w:rsidP="00A6098B">
      <w:pPr>
        <w:rPr>
          <w:rFonts w:ascii="Arial" w:hAnsi="Arial" w:cs="Arial"/>
          <w:lang w:eastAsia="en-GB"/>
        </w:rPr>
      </w:pPr>
      <w:r w:rsidRPr="00D57350">
        <w:rPr>
          <w:rFonts w:ascii="Arial" w:hAnsi="Arial" w:cs="Arial"/>
          <w:lang w:eastAsia="en-GB"/>
        </w:rPr>
        <w:t>The Gantt Chart</w:t>
      </w:r>
      <w:r w:rsidR="001B53EE">
        <w:rPr>
          <w:rFonts w:ascii="Arial" w:hAnsi="Arial" w:cs="Arial"/>
          <w:lang w:eastAsia="en-GB"/>
        </w:rPr>
        <w:t xml:space="preserve"> in figure </w:t>
      </w:r>
      <w:r w:rsidR="00F81FAF">
        <w:rPr>
          <w:rFonts w:ascii="Arial" w:hAnsi="Arial" w:cs="Arial"/>
          <w:lang w:eastAsia="en-GB"/>
        </w:rPr>
        <w:t>2</w:t>
      </w:r>
      <w:r w:rsidR="001B53EE">
        <w:rPr>
          <w:rFonts w:ascii="Arial" w:hAnsi="Arial" w:cs="Arial"/>
          <w:lang w:eastAsia="en-GB"/>
        </w:rPr>
        <w:t>,</w:t>
      </w:r>
      <w:r w:rsidRPr="00D57350">
        <w:rPr>
          <w:rFonts w:ascii="Arial" w:hAnsi="Arial" w:cs="Arial"/>
          <w:lang w:eastAsia="en-GB"/>
        </w:rPr>
        <w:t xml:space="preserve"> demonstrates a sequential project schedule, where each phase begins only after the previous phase has been completed. This indicates a strong dependency between project activities and aligns with the critical path identified earlier. The project's longest phases are Release to Clients &amp; Support (41 days) and Architecture &amp; Design (40 days), making them particularly important for monitoring and resource allocation. Any delay in these phases could affect the planned completion date of 194 days. Overall, the schedule provides a structured and realistic roadmap from requirements gathering through development, testing, deployment, and post-launch support.</w:t>
      </w:r>
    </w:p>
    <w:p w14:paraId="1A13F081" w14:textId="6FC39FD0" w:rsidR="008E6402" w:rsidRPr="00D57350" w:rsidRDefault="008E6402" w:rsidP="009914C5">
      <w:pPr>
        <w:rPr>
          <w:rFonts w:ascii="Arial" w:hAnsi="Arial" w:cs="Arial"/>
          <w:lang w:eastAsia="en-GB"/>
        </w:rPr>
      </w:pPr>
    </w:p>
    <w:p w14:paraId="5CD0DD91" w14:textId="162113BF" w:rsidR="0089711F" w:rsidRPr="008B4478" w:rsidRDefault="00D10616" w:rsidP="00C350BA">
      <w:pPr>
        <w:pStyle w:val="Heading2"/>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43730070"/>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C350BA"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89711F"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Project Activities</w:t>
      </w:r>
      <w:bookmarkEnd w:id="9"/>
    </w:p>
    <w:p w14:paraId="445E1407" w14:textId="77777777" w:rsidR="00E0223D" w:rsidRPr="00D57350" w:rsidRDefault="00E0223D" w:rsidP="00E0223D">
      <w:pPr>
        <w:shd w:val="clear" w:color="auto" w:fill="FFFFFF"/>
        <w:spacing w:before="480" w:after="240" w:line="450" w:lineRule="atLeast"/>
        <w:ind w:left="360"/>
        <w:outlineLvl w:val="2"/>
        <w:rPr>
          <w:rFonts w:ascii="Arial" w:eastAsia="Times New Roman" w:hAnsi="Arial" w:cs="Arial"/>
          <w:b/>
          <w:bCs/>
          <w:color w:val="0F1115"/>
          <w:kern w:val="0"/>
          <w:sz w:val="30"/>
          <w:szCs w:val="30"/>
          <w:lang w:eastAsia="en-GB"/>
          <w14:ligatures w14:val="none"/>
        </w:rPr>
      </w:pPr>
      <w:bookmarkStart w:id="10" w:name="_Toc243730071"/>
      <w:r w:rsidRPr="00D57350">
        <w:rPr>
          <w:rFonts w:ascii="Arial" w:eastAsia="Times New Roman" w:hAnsi="Arial" w:cs="Arial"/>
          <w:b/>
          <w:bCs/>
          <w:color w:val="0F1115"/>
          <w:kern w:val="0"/>
          <w:sz w:val="30"/>
          <w:szCs w:val="30"/>
          <w:lang w:eastAsia="en-GB"/>
          <w14:ligatures w14:val="none"/>
        </w:rPr>
        <w:t>Analysis</w:t>
      </w:r>
      <w:bookmarkEnd w:id="10"/>
    </w:p>
    <w:p w14:paraId="72C3F325" w14:textId="1A1D02CC" w:rsidR="005C7153" w:rsidRPr="005C7153" w:rsidRDefault="005C7153" w:rsidP="005C7153">
      <w:pPr>
        <w:keepNext/>
        <w:rPr>
          <w:rFonts w:ascii="Arial" w:hAnsi="Arial" w:cs="Arial"/>
          <w:lang w:eastAsia="en-GB"/>
        </w:rPr>
      </w:pPr>
      <w:r w:rsidRPr="005C7153">
        <w:rPr>
          <w:rFonts w:ascii="Arial" w:hAnsi="Arial" w:cs="Arial"/>
          <w:lang w:eastAsia="en-GB"/>
        </w:rPr>
        <w:t xml:space="preserve">The project is organised into </w:t>
      </w:r>
      <w:r w:rsidRPr="005C7153">
        <w:rPr>
          <w:rFonts w:ascii="Arial" w:hAnsi="Arial" w:cs="Arial"/>
          <w:b/>
          <w:bCs/>
          <w:lang w:eastAsia="en-GB"/>
        </w:rPr>
        <w:t>six sequential phases</w:t>
      </w:r>
      <w:r w:rsidRPr="005C7153">
        <w:rPr>
          <w:rFonts w:ascii="Arial" w:hAnsi="Arial" w:cs="Arial"/>
          <w:lang w:eastAsia="en-GB"/>
        </w:rPr>
        <w:t xml:space="preserve">, comprising requirements analysis, solution design, software development, testing, deployment, and post-launch support, as illustrated in Figure 4. This phased approach ensures that each stage is completed and formally approved before the next phase begins, facilitating </w:t>
      </w:r>
      <w:r w:rsidRPr="005C7153">
        <w:rPr>
          <w:rFonts w:ascii="Arial" w:hAnsi="Arial" w:cs="Arial"/>
          <w:lang w:eastAsia="en-GB"/>
        </w:rPr>
        <w:lastRenderedPageBreak/>
        <w:t xml:space="preserve">effective project governance, control, and delivery within the planned </w:t>
      </w:r>
      <w:r w:rsidRPr="005C7153">
        <w:rPr>
          <w:rFonts w:ascii="Arial" w:hAnsi="Arial" w:cs="Arial"/>
          <w:b/>
          <w:bCs/>
          <w:lang w:eastAsia="en-GB"/>
        </w:rPr>
        <w:t>194-day timeframe</w:t>
      </w:r>
      <w:r w:rsidRPr="005C7153">
        <w:rPr>
          <w:rFonts w:ascii="Arial" w:hAnsi="Arial" w:cs="Arial"/>
          <w:lang w:eastAsia="en-GB"/>
        </w:rPr>
        <w:t>.</w:t>
      </w:r>
      <w:r>
        <w:rPr>
          <w:rFonts w:ascii="Arial" w:hAnsi="Arial" w:cs="Arial"/>
          <w:lang w:eastAsia="en-GB"/>
        </w:rPr>
        <w:t xml:space="preserve"> Table 2 Illustrates in more detail each stage of project life cycle.</w:t>
      </w:r>
    </w:p>
    <w:p w14:paraId="4A5737EA" w14:textId="77777777" w:rsidR="001B53EE" w:rsidRDefault="001C3C21" w:rsidP="001B53EE">
      <w:pPr>
        <w:keepNext/>
      </w:pPr>
      <w:r w:rsidRPr="00D57350">
        <w:rPr>
          <w:rFonts w:ascii="Arial" w:hAnsi="Arial" w:cs="Arial"/>
          <w:noProof/>
          <w:lang w:eastAsia="en-GB"/>
        </w:rPr>
        <w:drawing>
          <wp:inline distT="0" distB="0" distL="0" distR="0" wp14:anchorId="16985BEB" wp14:editId="6E0B0DDA">
            <wp:extent cx="4124901" cy="5496692"/>
            <wp:effectExtent l="0" t="0" r="9525" b="0"/>
            <wp:docPr id="878139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39866" name=""/>
                    <pic:cNvPicPr/>
                  </pic:nvPicPr>
                  <pic:blipFill>
                    <a:blip r:embed="rId16"/>
                    <a:stretch>
                      <a:fillRect/>
                    </a:stretch>
                  </pic:blipFill>
                  <pic:spPr>
                    <a:xfrm>
                      <a:off x="0" y="0"/>
                      <a:ext cx="4124901" cy="5496692"/>
                    </a:xfrm>
                    <a:prstGeom prst="rect">
                      <a:avLst/>
                    </a:prstGeom>
                  </pic:spPr>
                </pic:pic>
              </a:graphicData>
            </a:graphic>
          </wp:inline>
        </w:drawing>
      </w:r>
    </w:p>
    <w:p w14:paraId="408D152C" w14:textId="4138E1EE" w:rsidR="001C3C21" w:rsidRPr="001B53EE" w:rsidRDefault="001B53EE" w:rsidP="001B53EE">
      <w:pPr>
        <w:pStyle w:val="Caption"/>
        <w:jc w:val="center"/>
        <w:rPr>
          <w:rFonts w:ascii="Arial" w:hAnsi="Arial" w:cs="Arial"/>
          <w:b/>
          <w:bCs/>
          <w:color w:val="7030A0"/>
          <w:sz w:val="20"/>
          <w:szCs w:val="20"/>
        </w:rPr>
      </w:pPr>
      <w:r w:rsidRPr="001B53EE">
        <w:rPr>
          <w:rFonts w:ascii="Arial" w:hAnsi="Arial" w:cs="Arial"/>
          <w:b/>
          <w:bCs/>
          <w:color w:val="7030A0"/>
          <w:sz w:val="20"/>
          <w:szCs w:val="20"/>
        </w:rPr>
        <w:t>Figure</w:t>
      </w:r>
      <w:r w:rsidR="00371FA9">
        <w:rPr>
          <w:rFonts w:ascii="Arial" w:hAnsi="Arial" w:cs="Arial"/>
          <w:b/>
          <w:bCs/>
          <w:color w:val="7030A0"/>
          <w:sz w:val="20"/>
          <w:szCs w:val="20"/>
        </w:rPr>
        <w:t>3: Project</w:t>
      </w:r>
      <w:r w:rsidRPr="001B53EE">
        <w:rPr>
          <w:rFonts w:ascii="Arial" w:hAnsi="Arial" w:cs="Arial"/>
          <w:b/>
          <w:bCs/>
          <w:color w:val="7030A0"/>
          <w:sz w:val="20"/>
          <w:szCs w:val="20"/>
        </w:rPr>
        <w:t xml:space="preserve"> Lifecycle</w:t>
      </w:r>
    </w:p>
    <w:p w14:paraId="6491061F" w14:textId="77777777" w:rsidR="009E6177" w:rsidRDefault="009E6177" w:rsidP="009E6177">
      <w:pPr>
        <w:pStyle w:val="Caption"/>
        <w:jc w:val="center"/>
        <w:rPr>
          <w:rFonts w:ascii="Arial" w:hAnsi="Arial" w:cs="Arial"/>
          <w:b/>
          <w:bCs/>
          <w:color w:val="7030A0"/>
          <w:sz w:val="20"/>
          <w:szCs w:val="20"/>
        </w:rPr>
      </w:pPr>
    </w:p>
    <w:p w14:paraId="0E182783" w14:textId="77777777" w:rsidR="009E6177" w:rsidRDefault="009E6177" w:rsidP="009E6177">
      <w:pPr>
        <w:pStyle w:val="Caption"/>
        <w:jc w:val="center"/>
        <w:rPr>
          <w:rFonts w:ascii="Arial" w:hAnsi="Arial" w:cs="Arial"/>
          <w:b/>
          <w:bCs/>
          <w:color w:val="7030A0"/>
          <w:sz w:val="20"/>
          <w:szCs w:val="20"/>
        </w:rPr>
      </w:pPr>
    </w:p>
    <w:p w14:paraId="42A94CC7" w14:textId="77777777" w:rsidR="009E6177" w:rsidRDefault="009E6177" w:rsidP="009E6177">
      <w:pPr>
        <w:pStyle w:val="Caption"/>
        <w:jc w:val="center"/>
        <w:rPr>
          <w:rFonts w:ascii="Arial" w:hAnsi="Arial" w:cs="Arial"/>
          <w:b/>
          <w:bCs/>
          <w:color w:val="7030A0"/>
          <w:sz w:val="20"/>
          <w:szCs w:val="20"/>
        </w:rPr>
      </w:pPr>
    </w:p>
    <w:p w14:paraId="56095EB2" w14:textId="77777777" w:rsidR="009E6177" w:rsidRDefault="009E6177" w:rsidP="009E6177">
      <w:pPr>
        <w:pStyle w:val="Caption"/>
        <w:jc w:val="center"/>
        <w:rPr>
          <w:rFonts w:ascii="Arial" w:hAnsi="Arial" w:cs="Arial"/>
          <w:b/>
          <w:bCs/>
          <w:color w:val="7030A0"/>
          <w:sz w:val="20"/>
          <w:szCs w:val="20"/>
        </w:rPr>
      </w:pPr>
    </w:p>
    <w:p w14:paraId="73178064" w14:textId="77777777" w:rsidR="009E6177" w:rsidRDefault="009E6177" w:rsidP="009E6177">
      <w:pPr>
        <w:pStyle w:val="Caption"/>
        <w:jc w:val="center"/>
        <w:rPr>
          <w:rFonts w:ascii="Arial" w:hAnsi="Arial" w:cs="Arial"/>
          <w:b/>
          <w:bCs/>
          <w:color w:val="7030A0"/>
          <w:sz w:val="20"/>
          <w:szCs w:val="20"/>
        </w:rPr>
      </w:pPr>
    </w:p>
    <w:p w14:paraId="508517B9" w14:textId="77777777" w:rsidR="009E6177" w:rsidRDefault="009E6177" w:rsidP="009E6177">
      <w:pPr>
        <w:pStyle w:val="Caption"/>
        <w:jc w:val="center"/>
        <w:rPr>
          <w:rFonts w:ascii="Arial" w:hAnsi="Arial" w:cs="Arial"/>
          <w:b/>
          <w:bCs/>
          <w:color w:val="7030A0"/>
          <w:sz w:val="20"/>
          <w:szCs w:val="20"/>
        </w:rPr>
      </w:pPr>
    </w:p>
    <w:p w14:paraId="256DCDA0" w14:textId="77777777" w:rsidR="009E6177" w:rsidRDefault="009E6177" w:rsidP="009E6177">
      <w:pPr>
        <w:pStyle w:val="Caption"/>
        <w:jc w:val="center"/>
        <w:rPr>
          <w:rFonts w:ascii="Arial" w:hAnsi="Arial" w:cs="Arial"/>
          <w:b/>
          <w:bCs/>
          <w:color w:val="7030A0"/>
          <w:sz w:val="20"/>
          <w:szCs w:val="20"/>
        </w:rPr>
      </w:pPr>
    </w:p>
    <w:p w14:paraId="502F4E0E" w14:textId="77777777" w:rsidR="009E6177" w:rsidRDefault="009E6177" w:rsidP="009E6177">
      <w:pPr>
        <w:pStyle w:val="Caption"/>
        <w:jc w:val="center"/>
        <w:rPr>
          <w:rFonts w:ascii="Arial" w:hAnsi="Arial" w:cs="Arial"/>
          <w:b/>
          <w:bCs/>
          <w:color w:val="7030A0"/>
          <w:sz w:val="20"/>
          <w:szCs w:val="20"/>
        </w:rPr>
      </w:pPr>
    </w:p>
    <w:p w14:paraId="3D63D0CB" w14:textId="77777777" w:rsidR="009E6177" w:rsidRDefault="009E6177" w:rsidP="009E6177">
      <w:pPr>
        <w:pStyle w:val="Caption"/>
        <w:jc w:val="center"/>
        <w:rPr>
          <w:rFonts w:ascii="Arial" w:hAnsi="Arial" w:cs="Arial"/>
          <w:b/>
          <w:bCs/>
          <w:color w:val="7030A0"/>
          <w:sz w:val="20"/>
          <w:szCs w:val="20"/>
        </w:rPr>
      </w:pPr>
    </w:p>
    <w:p w14:paraId="7BA702FA" w14:textId="05A310D3" w:rsidR="009E6177" w:rsidRPr="009E6177" w:rsidRDefault="00D43557" w:rsidP="009E6177">
      <w:pPr>
        <w:pStyle w:val="Caption"/>
        <w:jc w:val="center"/>
        <w:rPr>
          <w:rFonts w:ascii="Arial" w:hAnsi="Arial" w:cs="Arial"/>
          <w:b/>
          <w:bCs/>
          <w:color w:val="7030A0"/>
          <w:sz w:val="20"/>
          <w:szCs w:val="20"/>
        </w:rPr>
      </w:pPr>
      <w:r>
        <w:rPr>
          <w:rFonts w:ascii="Arial" w:hAnsi="Arial" w:cs="Arial"/>
          <w:b/>
          <w:bCs/>
          <w:color w:val="7030A0"/>
          <w:sz w:val="20"/>
          <w:szCs w:val="20"/>
        </w:rPr>
        <w:lastRenderedPageBreak/>
        <w:t>Table</w:t>
      </w:r>
      <w:r w:rsidR="001B030C">
        <w:rPr>
          <w:rFonts w:ascii="Arial" w:hAnsi="Arial" w:cs="Arial"/>
          <w:b/>
          <w:bCs/>
          <w:color w:val="7030A0"/>
          <w:sz w:val="20"/>
          <w:szCs w:val="20"/>
        </w:rPr>
        <w:t xml:space="preserve"> 2</w:t>
      </w:r>
      <w:r>
        <w:rPr>
          <w:rFonts w:ascii="Arial" w:hAnsi="Arial" w:cs="Arial"/>
          <w:b/>
          <w:bCs/>
          <w:color w:val="7030A0"/>
          <w:sz w:val="20"/>
          <w:szCs w:val="20"/>
        </w:rPr>
        <w:t xml:space="preserve">: </w:t>
      </w:r>
      <w:r w:rsidR="009E6177" w:rsidRPr="009E6177">
        <w:rPr>
          <w:rFonts w:ascii="Arial" w:hAnsi="Arial" w:cs="Arial"/>
          <w:b/>
          <w:bCs/>
          <w:color w:val="7030A0"/>
          <w:sz w:val="20"/>
          <w:szCs w:val="20"/>
        </w:rPr>
        <w:t>Project Lifecycle Analysis</w:t>
      </w:r>
    </w:p>
    <w:p w14:paraId="57C8543F" w14:textId="77777777" w:rsidR="009E6177" w:rsidRDefault="009E6177" w:rsidP="009E6177">
      <w:pPr>
        <w:keepNext/>
        <w:shd w:val="clear" w:color="auto" w:fill="FFFFFF"/>
        <w:spacing w:before="480" w:after="240" w:line="450" w:lineRule="atLeast"/>
        <w:ind w:left="360"/>
        <w:outlineLvl w:val="2"/>
      </w:pPr>
      <w:bookmarkStart w:id="11" w:name="_Toc243918255"/>
      <w:r w:rsidRPr="009E6177">
        <w:rPr>
          <w:rFonts w:ascii="Arial" w:eastAsia="Times New Roman" w:hAnsi="Arial" w:cs="Arial"/>
          <w:b/>
          <w:bCs/>
          <w:noProof/>
          <w:color w:val="0F1115"/>
          <w:kern w:val="0"/>
          <w:sz w:val="30"/>
          <w:szCs w:val="30"/>
          <w:lang w:eastAsia="en-GB"/>
          <w14:ligatures w14:val="none"/>
        </w:rPr>
        <w:drawing>
          <wp:inline distT="0" distB="0" distL="0" distR="0" wp14:anchorId="0CD34A4D" wp14:editId="12405552">
            <wp:extent cx="5633085" cy="7463118"/>
            <wp:effectExtent l="0" t="0" r="5715" b="5080"/>
            <wp:docPr id="564047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47026" name=""/>
                    <pic:cNvPicPr/>
                  </pic:nvPicPr>
                  <pic:blipFill>
                    <a:blip r:embed="rId17"/>
                    <a:stretch>
                      <a:fillRect/>
                    </a:stretch>
                  </pic:blipFill>
                  <pic:spPr>
                    <a:xfrm>
                      <a:off x="0" y="0"/>
                      <a:ext cx="5641636" cy="7474447"/>
                    </a:xfrm>
                    <a:prstGeom prst="rect">
                      <a:avLst/>
                    </a:prstGeom>
                  </pic:spPr>
                </pic:pic>
              </a:graphicData>
            </a:graphic>
          </wp:inline>
        </w:drawing>
      </w:r>
      <w:bookmarkEnd w:id="11"/>
    </w:p>
    <w:p w14:paraId="7FC61F25" w14:textId="744672B8" w:rsidR="00C82268" w:rsidRPr="00D57350" w:rsidRDefault="00C82268" w:rsidP="009E6177">
      <w:pPr>
        <w:pStyle w:val="Caption"/>
        <w:rPr>
          <w:rFonts w:ascii="Arial" w:eastAsia="Times New Roman" w:hAnsi="Arial" w:cs="Arial"/>
          <w:b/>
          <w:bCs/>
          <w:color w:val="0F1115"/>
          <w:kern w:val="0"/>
          <w:sz w:val="30"/>
          <w:szCs w:val="30"/>
          <w:lang w:eastAsia="en-GB"/>
          <w14:ligatures w14:val="none"/>
        </w:rPr>
      </w:pPr>
    </w:p>
    <w:p w14:paraId="1C4B79C3" w14:textId="272EE451" w:rsidR="007A01FC" w:rsidRDefault="00371FA9" w:rsidP="00371FA9">
      <w:pPr>
        <w:shd w:val="clear" w:color="auto" w:fill="FFFFFF"/>
        <w:spacing w:before="240" w:after="240" w:line="420" w:lineRule="atLeast"/>
        <w:rPr>
          <w:rFonts w:ascii="Arial" w:eastAsia="Times New Roman" w:hAnsi="Arial" w:cs="Arial"/>
          <w:lang w:eastAsia="en-GB"/>
        </w:rPr>
      </w:pPr>
      <w:r w:rsidRPr="00371FA9">
        <w:rPr>
          <w:rFonts w:ascii="Arial" w:eastAsia="Times New Roman" w:hAnsi="Arial" w:cs="Arial"/>
          <w:noProof/>
          <w:color w:val="0F1115"/>
          <w:kern w:val="0"/>
          <w:lang w:eastAsia="en-GB"/>
          <w14:ligatures w14:val="none"/>
        </w:rPr>
        <w:lastRenderedPageBreak/>
        <w:drawing>
          <wp:inline distT="0" distB="0" distL="0" distR="0" wp14:anchorId="5076D431" wp14:editId="68EA6042">
            <wp:extent cx="5731510" cy="1743075"/>
            <wp:effectExtent l="0" t="0" r="2540" b="9525"/>
            <wp:docPr id="766327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27496" name=""/>
                    <pic:cNvPicPr/>
                  </pic:nvPicPr>
                  <pic:blipFill>
                    <a:blip r:embed="rId18"/>
                    <a:stretch>
                      <a:fillRect/>
                    </a:stretch>
                  </pic:blipFill>
                  <pic:spPr>
                    <a:xfrm>
                      <a:off x="0" y="0"/>
                      <a:ext cx="5731510" cy="1743075"/>
                    </a:xfrm>
                    <a:prstGeom prst="rect">
                      <a:avLst/>
                    </a:prstGeom>
                  </pic:spPr>
                </pic:pic>
              </a:graphicData>
            </a:graphic>
          </wp:inline>
        </w:drawing>
      </w:r>
      <w:bookmarkStart w:id="12" w:name="_Toc243730072"/>
    </w:p>
    <w:p w14:paraId="252EBD6D" w14:textId="4BA53768" w:rsidR="0089711F" w:rsidRPr="004570ED" w:rsidRDefault="0089711F" w:rsidP="00C350BA">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70ED">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Project Timeline and Milestones</w:t>
      </w:r>
      <w:bookmarkEnd w:id="12"/>
    </w:p>
    <w:p w14:paraId="2C0EE60D" w14:textId="429524FE" w:rsidR="007778F8" w:rsidRPr="007778F8" w:rsidRDefault="0089711F" w:rsidP="007778F8">
      <w:pPr>
        <w:pStyle w:val="Heading2"/>
        <w:rPr>
          <w:rFonts w:ascii="Arial" w:hAnsi="Arial" w:cs="Arial"/>
        </w:rPr>
      </w:pPr>
      <w:bookmarkStart w:id="13" w:name="_Toc243730073"/>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Project Phases and Duration</w:t>
      </w:r>
      <w:bookmarkEnd w:id="13"/>
      <w:r w:rsidR="007A01FC" w:rsidRPr="00D57350">
        <w:rPr>
          <w:rFonts w:ascii="Arial" w:hAnsi="Arial" w:cs="Arial"/>
          <w:noProof/>
        </w:rPr>
        <w:drawing>
          <wp:inline distT="0" distB="0" distL="0" distR="0" wp14:anchorId="3F6E7D40" wp14:editId="33C9B749">
            <wp:extent cx="3631721" cy="5395201"/>
            <wp:effectExtent l="0" t="0" r="6985" b="0"/>
            <wp:docPr id="193084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84390" name=""/>
                    <pic:cNvPicPr/>
                  </pic:nvPicPr>
                  <pic:blipFill>
                    <a:blip r:embed="rId19"/>
                    <a:stretch>
                      <a:fillRect/>
                    </a:stretch>
                  </pic:blipFill>
                  <pic:spPr>
                    <a:xfrm>
                      <a:off x="0" y="0"/>
                      <a:ext cx="3631721" cy="5395201"/>
                    </a:xfrm>
                    <a:prstGeom prst="rect">
                      <a:avLst/>
                    </a:prstGeom>
                  </pic:spPr>
                </pic:pic>
              </a:graphicData>
            </a:graphic>
          </wp:inline>
        </w:drawing>
      </w:r>
    </w:p>
    <w:p w14:paraId="0A94CD78" w14:textId="23093BA4" w:rsidR="00BB505D" w:rsidRDefault="00F167DA" w:rsidP="007778F8">
      <w:pPr>
        <w:pStyle w:val="Caption"/>
        <w:rPr>
          <w:rFonts w:ascii="Arial" w:hAnsi="Arial" w:cs="Arial"/>
          <w:b/>
          <w:bCs/>
          <w:color w:val="7030A0"/>
          <w:sz w:val="20"/>
          <w:szCs w:val="20"/>
        </w:rPr>
      </w:pPr>
      <w:r>
        <w:rPr>
          <w:rFonts w:ascii="Arial" w:hAnsi="Arial" w:cs="Arial"/>
          <w:b/>
          <w:bCs/>
          <w:color w:val="7030A0"/>
          <w:sz w:val="20"/>
          <w:szCs w:val="20"/>
        </w:rPr>
        <w:t xml:space="preserve">                       </w:t>
      </w:r>
      <w:r w:rsidR="007778F8" w:rsidRPr="007778F8">
        <w:rPr>
          <w:rFonts w:ascii="Arial" w:hAnsi="Arial" w:cs="Arial"/>
          <w:b/>
          <w:bCs/>
          <w:color w:val="7030A0"/>
          <w:sz w:val="20"/>
          <w:szCs w:val="20"/>
        </w:rPr>
        <w:t>Figure</w:t>
      </w:r>
      <w:r w:rsidR="00371FA9">
        <w:rPr>
          <w:rFonts w:ascii="Arial" w:hAnsi="Arial" w:cs="Arial"/>
          <w:b/>
          <w:bCs/>
          <w:color w:val="7030A0"/>
          <w:sz w:val="20"/>
          <w:szCs w:val="20"/>
        </w:rPr>
        <w:t xml:space="preserve"> 4</w:t>
      </w:r>
      <w:r w:rsidR="007778F8" w:rsidRPr="007778F8">
        <w:rPr>
          <w:rFonts w:ascii="Arial" w:hAnsi="Arial" w:cs="Arial"/>
          <w:b/>
          <w:bCs/>
          <w:color w:val="7030A0"/>
          <w:sz w:val="20"/>
          <w:szCs w:val="20"/>
        </w:rPr>
        <w:t xml:space="preserve">: </w:t>
      </w:r>
      <w:r w:rsidR="00D43557">
        <w:rPr>
          <w:rFonts w:ascii="Arial" w:hAnsi="Arial" w:cs="Arial"/>
          <w:b/>
          <w:bCs/>
          <w:color w:val="7030A0"/>
          <w:sz w:val="20"/>
          <w:szCs w:val="20"/>
        </w:rPr>
        <w:t xml:space="preserve">Illustrating </w:t>
      </w:r>
      <w:r w:rsidR="007778F8" w:rsidRPr="007778F8">
        <w:rPr>
          <w:rFonts w:ascii="Arial" w:hAnsi="Arial" w:cs="Arial"/>
          <w:b/>
          <w:bCs/>
          <w:color w:val="7030A0"/>
          <w:sz w:val="20"/>
          <w:szCs w:val="20"/>
        </w:rPr>
        <w:t>Project Timeline</w:t>
      </w:r>
    </w:p>
    <w:p w14:paraId="7FE4B16B" w14:textId="2290B89A" w:rsidR="008E09C3" w:rsidRPr="008E09C3" w:rsidRDefault="00854155" w:rsidP="008E09C3">
      <w:pPr>
        <w:pStyle w:val="Caption"/>
        <w:rPr>
          <w:rFonts w:ascii="Arial" w:hAnsi="Arial" w:cs="Arial"/>
          <w:b/>
          <w:bCs/>
          <w:color w:val="7030A0"/>
          <w:sz w:val="20"/>
          <w:szCs w:val="20"/>
        </w:rPr>
      </w:pPr>
      <w:r w:rsidRPr="00EA1091">
        <w:rPr>
          <w:noProof/>
        </w:rPr>
        <w:lastRenderedPageBreak/>
        <w:drawing>
          <wp:anchor distT="0" distB="0" distL="114300" distR="114300" simplePos="0" relativeHeight="251644416" behindDoc="1" locked="0" layoutInCell="1" allowOverlap="1" wp14:anchorId="6064CF76" wp14:editId="5F4FCD9D">
            <wp:simplePos x="0" y="0"/>
            <wp:positionH relativeFrom="margin">
              <wp:posOffset>-57150</wp:posOffset>
            </wp:positionH>
            <wp:positionV relativeFrom="paragraph">
              <wp:posOffset>0</wp:posOffset>
            </wp:positionV>
            <wp:extent cx="5835015" cy="8686800"/>
            <wp:effectExtent l="0" t="0" r="0" b="0"/>
            <wp:wrapTight wrapText="bothSides">
              <wp:wrapPolygon edited="0">
                <wp:start x="0" y="0"/>
                <wp:lineTo x="0" y="21553"/>
                <wp:lineTo x="21508" y="21553"/>
                <wp:lineTo x="21508" y="0"/>
                <wp:lineTo x="0" y="0"/>
              </wp:wrapPolygon>
            </wp:wrapTight>
            <wp:docPr id="2134958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58934" name=""/>
                    <pic:cNvPicPr/>
                  </pic:nvPicPr>
                  <pic:blipFill>
                    <a:blip r:embed="rId20">
                      <a:extLst>
                        <a:ext uri="{28A0092B-C50C-407E-A947-70E740481C1C}">
                          <a14:useLocalDpi xmlns:a14="http://schemas.microsoft.com/office/drawing/2010/main" val="0"/>
                        </a:ext>
                      </a:extLst>
                    </a:blip>
                    <a:stretch>
                      <a:fillRect/>
                    </a:stretch>
                  </pic:blipFill>
                  <pic:spPr>
                    <a:xfrm>
                      <a:off x="0" y="0"/>
                      <a:ext cx="5835015" cy="8686800"/>
                    </a:xfrm>
                    <a:prstGeom prst="rect">
                      <a:avLst/>
                    </a:prstGeom>
                  </pic:spPr>
                </pic:pic>
              </a:graphicData>
            </a:graphic>
            <wp14:sizeRelV relativeFrom="margin">
              <wp14:pctHeight>0</wp14:pctHeight>
            </wp14:sizeRelV>
          </wp:anchor>
        </w:drawing>
      </w:r>
      <w:r w:rsidR="00D43557">
        <w:rPr>
          <w:noProof/>
        </w:rPr>
        <mc:AlternateContent>
          <mc:Choice Requires="wps">
            <w:drawing>
              <wp:anchor distT="0" distB="0" distL="114300" distR="114300" simplePos="0" relativeHeight="251662848" behindDoc="1" locked="0" layoutInCell="1" allowOverlap="1" wp14:anchorId="52056A3F" wp14:editId="0111B795">
                <wp:simplePos x="0" y="0"/>
                <wp:positionH relativeFrom="column">
                  <wp:posOffset>-57150</wp:posOffset>
                </wp:positionH>
                <wp:positionV relativeFrom="paragraph">
                  <wp:posOffset>0</wp:posOffset>
                </wp:positionV>
                <wp:extent cx="5835015" cy="295275"/>
                <wp:effectExtent l="0" t="0" r="0" b="0"/>
                <wp:wrapTight wrapText="bothSides">
                  <wp:wrapPolygon edited="0">
                    <wp:start x="0" y="0"/>
                    <wp:lineTo x="0" y="20903"/>
                    <wp:lineTo x="21508" y="20903"/>
                    <wp:lineTo x="21508" y="0"/>
                    <wp:lineTo x="0" y="0"/>
                  </wp:wrapPolygon>
                </wp:wrapTight>
                <wp:docPr id="430670597" name="Text Box 1"/>
                <wp:cNvGraphicFramePr/>
                <a:graphic xmlns:a="http://schemas.openxmlformats.org/drawingml/2006/main">
                  <a:graphicData uri="http://schemas.microsoft.com/office/word/2010/wordprocessingShape">
                    <wps:wsp>
                      <wps:cNvSpPr txBox="1"/>
                      <wps:spPr>
                        <a:xfrm>
                          <a:off x="0" y="0"/>
                          <a:ext cx="5835015" cy="295275"/>
                        </a:xfrm>
                        <a:prstGeom prst="rect">
                          <a:avLst/>
                        </a:prstGeom>
                        <a:solidFill>
                          <a:prstClr val="white"/>
                        </a:solidFill>
                        <a:ln>
                          <a:noFill/>
                        </a:ln>
                      </wps:spPr>
                      <wps:txbx>
                        <w:txbxContent>
                          <w:p w14:paraId="33086D8D" w14:textId="4750048C" w:rsidR="00D43557" w:rsidRPr="00D43557" w:rsidRDefault="00371FA9" w:rsidP="00D43557">
                            <w:pPr>
                              <w:pStyle w:val="Caption"/>
                              <w:jc w:val="center"/>
                              <w:rPr>
                                <w:rFonts w:ascii="Arial" w:hAnsi="Arial" w:cs="Arial"/>
                                <w:b/>
                                <w:bCs/>
                                <w:color w:val="7030A0"/>
                                <w:sz w:val="20"/>
                                <w:szCs w:val="20"/>
                              </w:rPr>
                            </w:pPr>
                            <w:r>
                              <w:rPr>
                                <w:rFonts w:ascii="Arial" w:hAnsi="Arial" w:cs="Arial"/>
                                <w:b/>
                                <w:bCs/>
                                <w:color w:val="7030A0"/>
                                <w:sz w:val="20"/>
                                <w:szCs w:val="20"/>
                              </w:rPr>
                              <w:t>Ta</w:t>
                            </w:r>
                            <w:r w:rsidR="00F167DA">
                              <w:rPr>
                                <w:rFonts w:ascii="Arial" w:hAnsi="Arial" w:cs="Arial"/>
                                <w:b/>
                                <w:bCs/>
                                <w:color w:val="7030A0"/>
                                <w:sz w:val="20"/>
                                <w:szCs w:val="20"/>
                              </w:rPr>
                              <w:t>ble</w:t>
                            </w:r>
                            <w:r w:rsidR="0090097C">
                              <w:rPr>
                                <w:rFonts w:ascii="Arial" w:hAnsi="Arial" w:cs="Arial"/>
                                <w:b/>
                                <w:bCs/>
                                <w:color w:val="7030A0"/>
                                <w:sz w:val="20"/>
                                <w:szCs w:val="20"/>
                              </w:rPr>
                              <w:t xml:space="preserve"> 3</w:t>
                            </w:r>
                            <w:r w:rsidR="00F167DA">
                              <w:rPr>
                                <w:rFonts w:ascii="Arial" w:hAnsi="Arial" w:cs="Arial"/>
                                <w:b/>
                                <w:bCs/>
                                <w:color w:val="7030A0"/>
                                <w:sz w:val="20"/>
                                <w:szCs w:val="20"/>
                              </w:rPr>
                              <w:t>:</w:t>
                            </w:r>
                            <w:r w:rsidR="00D43557">
                              <w:rPr>
                                <w:rFonts w:ascii="Arial" w:hAnsi="Arial" w:cs="Arial"/>
                                <w:b/>
                                <w:bCs/>
                                <w:color w:val="7030A0"/>
                                <w:sz w:val="20"/>
                                <w:szCs w:val="20"/>
                              </w:rPr>
                              <w:t xml:space="preserve"> </w:t>
                            </w:r>
                            <w:r w:rsidR="00D43557" w:rsidRPr="00D43557">
                              <w:rPr>
                                <w:rFonts w:ascii="Arial" w:hAnsi="Arial" w:cs="Arial"/>
                                <w:b/>
                                <w:bCs/>
                                <w:color w:val="7030A0"/>
                                <w:sz w:val="20"/>
                                <w:szCs w:val="20"/>
                              </w:rPr>
                              <w:t xml:space="preserve">Project </w:t>
                            </w:r>
                            <w:r w:rsidR="0090097C">
                              <w:rPr>
                                <w:rFonts w:ascii="Arial" w:hAnsi="Arial" w:cs="Arial"/>
                                <w:b/>
                                <w:bCs/>
                                <w:color w:val="7030A0"/>
                                <w:sz w:val="20"/>
                                <w:szCs w:val="20"/>
                              </w:rPr>
                              <w:t>Timeline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2056A3F" id="_x0000_t202" coordsize="21600,21600" o:spt="202" path="m,l,21600r21600,l21600,xe">
                <v:stroke joinstyle="miter"/>
                <v:path gradientshapeok="t" o:connecttype="rect"/>
              </v:shapetype>
              <v:shape id="Text Box 1" o:spid="_x0000_s1026" type="#_x0000_t202" style="position:absolute;margin-left:-4.5pt;margin-top:0;width:459.45pt;height:23.25pt;z-index:-251653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" stroked="f">
                <v:textbox inset="0,0,0,0">
                  <w:txbxContent>
                    <w:p w14:paraId="33086D8D" w14:textId="4750048C" w:rsidR="00D43557" w:rsidRPr="00D43557" w:rsidRDefault="00371FA9" w:rsidP="00D43557">
                      <w:pPr>
                        <w:pStyle w:val="Caption"/>
                        <w:jc w:val="center"/>
                        <w:rPr>
                          <w:rFonts w:ascii="Arial" w:hAnsi="Arial" w:cs="Arial"/>
                          <w:b/>
                          <w:bCs/>
                          <w:color w:val="7030A0"/>
                          <w:sz w:val="20"/>
                          <w:szCs w:val="20"/>
                        </w:rPr>
                      </w:pPr>
                      <w:r>
                        <w:rPr>
                          <w:rFonts w:ascii="Arial" w:hAnsi="Arial" w:cs="Arial"/>
                          <w:b/>
                          <w:bCs/>
                          <w:color w:val="7030A0"/>
                          <w:sz w:val="20"/>
                          <w:szCs w:val="20"/>
                        </w:rPr>
                        <w:t>Ta</w:t>
                      </w:r>
                      <w:r w:rsidR="00F167DA">
                        <w:rPr>
                          <w:rFonts w:ascii="Arial" w:hAnsi="Arial" w:cs="Arial"/>
                          <w:b/>
                          <w:bCs/>
                          <w:color w:val="7030A0"/>
                          <w:sz w:val="20"/>
                          <w:szCs w:val="20"/>
                        </w:rPr>
                        <w:t>ble</w:t>
                      </w:r>
                      <w:r w:rsidR="0090097C">
                        <w:rPr>
                          <w:rFonts w:ascii="Arial" w:hAnsi="Arial" w:cs="Arial"/>
                          <w:b/>
                          <w:bCs/>
                          <w:color w:val="7030A0"/>
                          <w:sz w:val="20"/>
                          <w:szCs w:val="20"/>
                        </w:rPr>
                        <w:t xml:space="preserve"> 3</w:t>
                      </w:r>
                      <w:r w:rsidR="00F167DA">
                        <w:rPr>
                          <w:rFonts w:ascii="Arial" w:hAnsi="Arial" w:cs="Arial"/>
                          <w:b/>
                          <w:bCs/>
                          <w:color w:val="7030A0"/>
                          <w:sz w:val="20"/>
                          <w:szCs w:val="20"/>
                        </w:rPr>
                        <w:t>:</w:t>
                      </w:r>
                      <w:r w:rsidR="00D43557">
                        <w:rPr>
                          <w:rFonts w:ascii="Arial" w:hAnsi="Arial" w:cs="Arial"/>
                          <w:b/>
                          <w:bCs/>
                          <w:color w:val="7030A0"/>
                          <w:sz w:val="20"/>
                          <w:szCs w:val="20"/>
                        </w:rPr>
                        <w:t xml:space="preserve"> </w:t>
                      </w:r>
                      <w:r w:rsidR="00D43557" w:rsidRPr="00D43557">
                        <w:rPr>
                          <w:rFonts w:ascii="Arial" w:hAnsi="Arial" w:cs="Arial"/>
                          <w:b/>
                          <w:bCs/>
                          <w:color w:val="7030A0"/>
                          <w:sz w:val="20"/>
                          <w:szCs w:val="20"/>
                        </w:rPr>
                        <w:t xml:space="preserve">Project </w:t>
                      </w:r>
                      <w:r w:rsidR="0090097C">
                        <w:rPr>
                          <w:rFonts w:ascii="Arial" w:hAnsi="Arial" w:cs="Arial"/>
                          <w:b/>
                          <w:bCs/>
                          <w:color w:val="7030A0"/>
                          <w:sz w:val="20"/>
                          <w:szCs w:val="20"/>
                        </w:rPr>
                        <w:t>Timeline</w:t>
                      </w:r>
                    </w:p>
                  </w:txbxContent>
                </v:textbox>
                <w10:wrap type="tight"/>
              </v:shape>
            </w:pict>
          </mc:Fallback>
        </mc:AlternateContent>
      </w:r>
      <w:bookmarkStart w:id="14" w:name="_Toc243730074"/>
    </w:p>
    <w:p w14:paraId="0EB0AF46" w14:textId="111294E4" w:rsidR="008E09C3" w:rsidRDefault="00364B49" w:rsidP="00C350BA">
      <w:pPr>
        <w:rPr>
          <w:rFonts w:ascii="Arial" w:hAnsi="Arial" w:cs="Arial"/>
          <w:b/>
          <w:bCs/>
          <w:lang w:eastAsia="en-GB"/>
        </w:rPr>
      </w:pPr>
      <w:r w:rsidRPr="00364B49">
        <w:rPr>
          <w:rFonts w:ascii="Arial" w:hAnsi="Arial" w:cs="Arial"/>
          <w:b/>
          <w:bCs/>
          <w:lang w:eastAsia="en-GB"/>
        </w:rPr>
        <w:lastRenderedPageBreak/>
        <w:drawing>
          <wp:inline distT="0" distB="0" distL="0" distR="0" wp14:anchorId="10E6A05C" wp14:editId="14F91DB1">
            <wp:extent cx="5731510" cy="3604895"/>
            <wp:effectExtent l="0" t="0" r="2540" b="0"/>
            <wp:docPr id="18205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54831" name=""/>
                    <pic:cNvPicPr/>
                  </pic:nvPicPr>
                  <pic:blipFill>
                    <a:blip r:embed="rId21"/>
                    <a:stretch>
                      <a:fillRect/>
                    </a:stretch>
                  </pic:blipFill>
                  <pic:spPr>
                    <a:xfrm>
                      <a:off x="0" y="0"/>
                      <a:ext cx="5731510" cy="3604895"/>
                    </a:xfrm>
                    <a:prstGeom prst="rect">
                      <a:avLst/>
                    </a:prstGeom>
                  </pic:spPr>
                </pic:pic>
              </a:graphicData>
            </a:graphic>
          </wp:inline>
        </w:drawing>
      </w:r>
    </w:p>
    <w:p w14:paraId="0BD54BAB" w14:textId="3755A4C6" w:rsidR="0089711F" w:rsidRPr="008B4478" w:rsidRDefault="0089711F" w:rsidP="00BB505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43730075"/>
      <w:bookmarkEnd w:id="14"/>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 Key Milestones</w:t>
      </w:r>
      <w:bookmarkEnd w:id="15"/>
    </w:p>
    <w:p w14:paraId="1917BC0D" w14:textId="77777777" w:rsidR="007A01FC" w:rsidRPr="008B4478" w:rsidRDefault="007A01FC" w:rsidP="007A01FC">
      <w:pPr>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42309B" w14:textId="77777777" w:rsidR="00FC236B" w:rsidRDefault="007A01FC" w:rsidP="00FC236B">
      <w:pPr>
        <w:keepNext/>
      </w:pPr>
      <w:bookmarkStart w:id="16" w:name="_Toc243735906"/>
      <w:bookmarkStart w:id="17" w:name="_Toc243906339"/>
      <w:bookmarkStart w:id="18" w:name="_Toc243918259"/>
      <w:r w:rsidRPr="00D57350">
        <w:rPr>
          <w:rStyle w:val="Heading2Char"/>
          <w:rFonts w:ascii="Arial" w:hAnsi="Arial" w:cs="Arial"/>
          <w:noProof/>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4EB77E8" wp14:editId="3A07C769">
            <wp:extent cx="6198703" cy="3792071"/>
            <wp:effectExtent l="0" t="0" r="0" b="0"/>
            <wp:docPr id="731263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263139" name=""/>
                    <pic:cNvPicPr/>
                  </pic:nvPicPr>
                  <pic:blipFill>
                    <a:blip r:embed="rId22"/>
                    <a:stretch>
                      <a:fillRect/>
                    </a:stretch>
                  </pic:blipFill>
                  <pic:spPr>
                    <a:xfrm>
                      <a:off x="0" y="0"/>
                      <a:ext cx="6211883" cy="3800134"/>
                    </a:xfrm>
                    <a:prstGeom prst="rect">
                      <a:avLst/>
                    </a:prstGeom>
                  </pic:spPr>
                </pic:pic>
              </a:graphicData>
            </a:graphic>
          </wp:inline>
        </w:drawing>
      </w:r>
      <w:bookmarkEnd w:id="16"/>
      <w:bookmarkEnd w:id="17"/>
      <w:bookmarkEnd w:id="18"/>
    </w:p>
    <w:p w14:paraId="1945A288" w14:textId="282DC9CF" w:rsidR="007A01FC" w:rsidRPr="00364B49" w:rsidRDefault="00FC236B" w:rsidP="00364B49">
      <w:pPr>
        <w:pStyle w:val="Caption"/>
        <w:jc w:val="center"/>
        <w:rPr>
          <w:rFonts w:ascii="Arial" w:hAnsi="Arial" w:cs="Arial"/>
          <w:b/>
          <w:bCs/>
          <w:color w:val="7030A0"/>
          <w:sz w:val="20"/>
          <w:szCs w:val="20"/>
        </w:rPr>
      </w:pPr>
      <w:r w:rsidRPr="00FC236B">
        <w:rPr>
          <w:rFonts w:ascii="Arial" w:hAnsi="Arial" w:cs="Arial"/>
          <w:b/>
          <w:bCs/>
          <w:color w:val="7030A0"/>
          <w:sz w:val="20"/>
          <w:szCs w:val="20"/>
        </w:rPr>
        <w:t xml:space="preserve">Figure </w:t>
      </w:r>
      <w:r w:rsidR="008E09C3">
        <w:rPr>
          <w:rFonts w:ascii="Arial" w:hAnsi="Arial" w:cs="Arial"/>
          <w:b/>
          <w:bCs/>
          <w:color w:val="7030A0"/>
          <w:sz w:val="20"/>
          <w:szCs w:val="20"/>
        </w:rPr>
        <w:t>5</w:t>
      </w:r>
      <w:r w:rsidRPr="00FC236B">
        <w:rPr>
          <w:rFonts w:ascii="Arial" w:hAnsi="Arial" w:cs="Arial"/>
          <w:b/>
          <w:bCs/>
          <w:color w:val="7030A0"/>
          <w:sz w:val="20"/>
          <w:szCs w:val="20"/>
        </w:rPr>
        <w:t>: Project Milestones</w:t>
      </w:r>
    </w:p>
    <w:p w14:paraId="29B35296" w14:textId="77777777" w:rsidR="00BB505D" w:rsidRPr="00D57350" w:rsidRDefault="00BB505D" w:rsidP="00BB505D">
      <w:pPr>
        <w:rPr>
          <w:rFonts w:ascii="Arial" w:hAnsi="Arial" w:cs="Arial"/>
        </w:rPr>
      </w:pPr>
    </w:p>
    <w:p w14:paraId="30B2F33E" w14:textId="77777777" w:rsidR="00312BA2" w:rsidRPr="00F167DA" w:rsidRDefault="00312BA2" w:rsidP="008B4478">
      <w:pPr>
        <w:rPr>
          <w:rFonts w:ascii="Arial" w:hAnsi="Arial" w:cs="Arial"/>
          <w:b/>
          <w:bCs/>
          <w:lang w:eastAsia="en-GB"/>
        </w:rPr>
      </w:pPr>
      <w:bookmarkStart w:id="19" w:name="_Toc243730076"/>
      <w:r w:rsidRPr="00F167DA">
        <w:rPr>
          <w:rFonts w:ascii="Arial" w:hAnsi="Arial" w:cs="Arial"/>
          <w:b/>
          <w:bCs/>
          <w:lang w:eastAsia="en-GB"/>
        </w:rPr>
        <w:t>Analysis</w:t>
      </w:r>
      <w:bookmarkEnd w:id="19"/>
    </w:p>
    <w:p w14:paraId="54026867" w14:textId="77777777" w:rsidR="001308D1" w:rsidRDefault="001308D1" w:rsidP="00036F84">
      <w:pPr>
        <w:rPr>
          <w:rFonts w:ascii="Arial" w:hAnsi="Arial" w:cs="Arial"/>
          <w:lang w:eastAsia="en-GB"/>
        </w:rPr>
      </w:pPr>
    </w:p>
    <w:p w14:paraId="5B085452" w14:textId="59BF1CE3" w:rsidR="00312BA2" w:rsidRPr="001308D1" w:rsidRDefault="001308D1" w:rsidP="00036F84">
      <w:pPr>
        <w:rPr>
          <w:rStyle w:val="Heading2Char"/>
          <w:rFonts w:ascii="Arial" w:eastAsiaTheme="minorHAnsi" w:hAnsi="Arial" w:cs="Arial"/>
          <w:color w:val="auto"/>
          <w:sz w:val="24"/>
          <w:szCs w:val="24"/>
          <w:lang w:eastAsia="en-GB"/>
        </w:rPr>
      </w:pPr>
      <w:r w:rsidRPr="001308D1">
        <w:rPr>
          <w:rFonts w:ascii="Arial" w:hAnsi="Arial" w:cs="Arial"/>
          <w:noProof/>
          <w:lang w:eastAsia="en-GB"/>
        </w:rPr>
        <w:drawing>
          <wp:anchor distT="0" distB="0" distL="114300" distR="114300" simplePos="0" relativeHeight="251664896" behindDoc="1" locked="0" layoutInCell="1" allowOverlap="1" wp14:anchorId="2281E5A1" wp14:editId="20D00A19">
            <wp:simplePos x="0" y="0"/>
            <wp:positionH relativeFrom="margin">
              <wp:posOffset>-219075</wp:posOffset>
            </wp:positionH>
            <wp:positionV relativeFrom="paragraph">
              <wp:posOffset>0</wp:posOffset>
            </wp:positionV>
            <wp:extent cx="6229350" cy="2212340"/>
            <wp:effectExtent l="0" t="0" r="0" b="0"/>
            <wp:wrapTight wrapText="bothSides">
              <wp:wrapPolygon edited="0">
                <wp:start x="0" y="0"/>
                <wp:lineTo x="0" y="21389"/>
                <wp:lineTo x="21534" y="21389"/>
                <wp:lineTo x="21534" y="0"/>
                <wp:lineTo x="0" y="0"/>
              </wp:wrapPolygon>
            </wp:wrapTight>
            <wp:docPr id="96889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9772" name=""/>
                    <pic:cNvPicPr/>
                  </pic:nvPicPr>
                  <pic:blipFill>
                    <a:blip r:embed="rId23">
                      <a:extLst>
                        <a:ext uri="{28A0092B-C50C-407E-A947-70E740481C1C}">
                          <a14:useLocalDpi xmlns:a14="http://schemas.microsoft.com/office/drawing/2010/main" val="0"/>
                        </a:ext>
                      </a:extLst>
                    </a:blip>
                    <a:stretch>
                      <a:fillRect/>
                    </a:stretch>
                  </pic:blipFill>
                  <pic:spPr>
                    <a:xfrm>
                      <a:off x="0" y="0"/>
                      <a:ext cx="6229350" cy="2212340"/>
                    </a:xfrm>
                    <a:prstGeom prst="rect">
                      <a:avLst/>
                    </a:prstGeom>
                  </pic:spPr>
                </pic:pic>
              </a:graphicData>
            </a:graphic>
            <wp14:sizeRelH relativeFrom="margin">
              <wp14:pctWidth>0</wp14:pctWidth>
            </wp14:sizeRelH>
          </wp:anchor>
        </w:drawing>
      </w:r>
    </w:p>
    <w:p w14:paraId="71F30FD4" w14:textId="3CA9121D" w:rsidR="0089711F" w:rsidRPr="008B4478" w:rsidRDefault="0089711F" w:rsidP="008B4478">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43730077"/>
      <w:r w:rsidRPr="008B4478">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Critical Path</w:t>
      </w:r>
      <w:bookmarkEnd w:id="20"/>
      <w:r w:rsidR="00CC256F">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Review</w:t>
      </w:r>
    </w:p>
    <w:p w14:paraId="14B33885" w14:textId="77777777" w:rsidR="0089711F" w:rsidRPr="0040646E" w:rsidRDefault="0089711F" w:rsidP="00036F84">
      <w:pPr>
        <w:rPr>
          <w:rFonts w:ascii="Arial" w:hAnsi="Arial" w:cs="Arial"/>
          <w:lang w:eastAsia="en-GB"/>
        </w:rPr>
      </w:pPr>
      <w:r w:rsidRPr="0040646E">
        <w:rPr>
          <w:rFonts w:ascii="Arial" w:hAnsi="Arial" w:cs="Arial"/>
          <w:lang w:eastAsia="en-GB"/>
        </w:rPr>
        <w:t>The critical path runs through requirements gathering, system design, MTD VAT submission module development, HMRC API integration testing, user acceptance testing, and deployment. Critical chain scheduling considerations apply, as the critical path determines the shortest possible project duration and must be carefully monitored to maintain schedule performance (Herroelen and Leus, 2001).</w:t>
      </w:r>
    </w:p>
    <w:p w14:paraId="4ECC1143" w14:textId="038E536A" w:rsidR="006A6B65" w:rsidRPr="006A6B65" w:rsidRDefault="006A6B65" w:rsidP="006A6B65">
      <w:pPr>
        <w:keepNext/>
      </w:pPr>
      <w:r w:rsidRPr="006A6B65">
        <w:rPr>
          <w:noProof/>
        </w:rPr>
        <w:drawing>
          <wp:inline distT="0" distB="0" distL="0" distR="0" wp14:anchorId="2F6B9F53" wp14:editId="2C03A14B">
            <wp:extent cx="6115050" cy="3021965"/>
            <wp:effectExtent l="0" t="0" r="0" b="6985"/>
            <wp:docPr id="533759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24810" cy="3026788"/>
                    </a:xfrm>
                    <a:prstGeom prst="rect">
                      <a:avLst/>
                    </a:prstGeom>
                    <a:noFill/>
                    <a:ln>
                      <a:noFill/>
                    </a:ln>
                  </pic:spPr>
                </pic:pic>
              </a:graphicData>
            </a:graphic>
          </wp:inline>
        </w:drawing>
      </w:r>
    </w:p>
    <w:p w14:paraId="02A7F67B" w14:textId="3A902D3C" w:rsidR="00AA0DBC" w:rsidRDefault="00AA0DBC" w:rsidP="00AA0DBC">
      <w:pPr>
        <w:keepNext/>
      </w:pPr>
    </w:p>
    <w:p w14:paraId="4EC90529" w14:textId="41CE853A" w:rsidR="00031A50" w:rsidRPr="00AA0DBC" w:rsidRDefault="00AA0DBC" w:rsidP="00AA0DBC">
      <w:pPr>
        <w:pStyle w:val="Caption"/>
        <w:jc w:val="center"/>
        <w:rPr>
          <w:rFonts w:ascii="Arial" w:hAnsi="Arial" w:cs="Arial"/>
          <w:b/>
          <w:bCs/>
          <w:color w:val="7030A0"/>
          <w:sz w:val="20"/>
          <w:szCs w:val="20"/>
        </w:rPr>
      </w:pPr>
      <w:r w:rsidRPr="00AA0DBC">
        <w:rPr>
          <w:rFonts w:ascii="Arial" w:hAnsi="Arial" w:cs="Arial"/>
          <w:b/>
          <w:bCs/>
          <w:color w:val="7030A0"/>
          <w:sz w:val="20"/>
          <w:szCs w:val="20"/>
        </w:rPr>
        <w:t>Figure</w:t>
      </w:r>
      <w:r w:rsidR="001308D1">
        <w:rPr>
          <w:rFonts w:ascii="Arial" w:hAnsi="Arial" w:cs="Arial"/>
          <w:b/>
          <w:bCs/>
          <w:color w:val="7030A0"/>
          <w:sz w:val="20"/>
          <w:szCs w:val="20"/>
        </w:rPr>
        <w:t xml:space="preserve"> 6</w:t>
      </w:r>
      <w:r w:rsidR="00F167DA">
        <w:rPr>
          <w:rFonts w:ascii="Arial" w:hAnsi="Arial" w:cs="Arial"/>
          <w:b/>
          <w:bCs/>
          <w:color w:val="7030A0"/>
          <w:sz w:val="20"/>
          <w:szCs w:val="20"/>
        </w:rPr>
        <w:t>:</w:t>
      </w:r>
      <w:r w:rsidRPr="00AA0DBC">
        <w:rPr>
          <w:rFonts w:ascii="Arial" w:hAnsi="Arial" w:cs="Arial"/>
          <w:b/>
          <w:bCs/>
          <w:color w:val="7030A0"/>
          <w:sz w:val="20"/>
          <w:szCs w:val="20"/>
        </w:rPr>
        <w:t xml:space="preserve"> Critical Path Analysis</w:t>
      </w:r>
    </w:p>
    <w:p w14:paraId="348D7B5B" w14:textId="77777777" w:rsidR="00031A50" w:rsidRPr="00D57350" w:rsidRDefault="00031A50" w:rsidP="00031A50">
      <w:pPr>
        <w:shd w:val="clear" w:color="auto" w:fill="FFFFFF"/>
        <w:spacing w:before="240" w:after="240" w:line="420" w:lineRule="atLeast"/>
        <w:rPr>
          <w:rFonts w:ascii="Arial" w:eastAsia="Times New Roman" w:hAnsi="Arial" w:cs="Arial"/>
          <w:b/>
          <w:bCs/>
          <w:color w:val="0F1115"/>
          <w:kern w:val="0"/>
          <w:lang w:eastAsia="en-GB"/>
          <w14:ligatures w14:val="none"/>
        </w:rPr>
      </w:pPr>
      <w:r w:rsidRPr="00D57350">
        <w:rPr>
          <w:rFonts w:ascii="Arial" w:eastAsia="Times New Roman" w:hAnsi="Arial" w:cs="Arial"/>
          <w:b/>
          <w:bCs/>
          <w:color w:val="0F1115"/>
          <w:kern w:val="0"/>
          <w:lang w:eastAsia="en-GB"/>
          <w14:ligatures w14:val="none"/>
        </w:rPr>
        <w:lastRenderedPageBreak/>
        <w:t>Critical Path Analysis</w:t>
      </w:r>
    </w:p>
    <w:p w14:paraId="32C231BE" w14:textId="5AA0FE7E" w:rsidR="00031A50" w:rsidRPr="00D57350" w:rsidRDefault="00031A50" w:rsidP="00036F84">
      <w:pPr>
        <w:rPr>
          <w:rFonts w:ascii="Arial" w:hAnsi="Arial" w:cs="Arial"/>
          <w:lang w:eastAsia="en-GB"/>
        </w:rPr>
      </w:pPr>
      <w:r w:rsidRPr="00D57350">
        <w:rPr>
          <w:rFonts w:ascii="Arial" w:hAnsi="Arial" w:cs="Arial"/>
          <w:lang w:eastAsia="en-GB"/>
        </w:rPr>
        <w:t>The critical path consists of six sequential activities with a total duration of 194 days. As these activities are interdependent,</w:t>
      </w:r>
      <w:r w:rsidR="00E310FB">
        <w:rPr>
          <w:rFonts w:ascii="Arial" w:hAnsi="Arial" w:cs="Arial"/>
          <w:lang w:eastAsia="en-GB"/>
        </w:rPr>
        <w:t xml:space="preserve"> can see in figure 6, that </w:t>
      </w:r>
      <w:r w:rsidRPr="00D57350">
        <w:rPr>
          <w:rFonts w:ascii="Arial" w:hAnsi="Arial" w:cs="Arial"/>
          <w:lang w:eastAsia="en-GB"/>
        </w:rPr>
        <w:t xml:space="preserve"> any delay in one phase will directly affect the overall project completion date. The longest stages are Release to Clients and Post-Launch Support (41 days) and Architecture and Design (40 days), making them key areas for project monitoring. Effective scheduling, resource allocation, and milestone tracking are essential to ensure the project is completed within the planned timeframe.</w:t>
      </w:r>
    </w:p>
    <w:p w14:paraId="006DF817" w14:textId="5EFB1E23" w:rsidR="00031A50" w:rsidRPr="00D57350" w:rsidRDefault="00031A50" w:rsidP="00036F84">
      <w:pPr>
        <w:rPr>
          <w:rFonts w:ascii="Arial" w:hAnsi="Arial" w:cs="Arial"/>
          <w:lang w:eastAsia="en-GB"/>
        </w:rPr>
      </w:pPr>
      <w:r w:rsidRPr="00D57350">
        <w:rPr>
          <w:rFonts w:ascii="Arial" w:hAnsi="Arial" w:cs="Arial"/>
          <w:lang w:eastAsia="en-GB"/>
        </w:rPr>
        <w:t>Total Project Duration: 194 Days</w:t>
      </w:r>
      <w:r w:rsidRPr="00D57350">
        <w:rPr>
          <w:rFonts w:ascii="Arial" w:hAnsi="Arial" w:cs="Arial"/>
          <w:lang w:eastAsia="en-GB"/>
        </w:rPr>
        <w:br/>
        <w:t>Critical Activities: 6</w:t>
      </w:r>
      <w:r w:rsidRPr="00D57350">
        <w:rPr>
          <w:rFonts w:ascii="Arial" w:hAnsi="Arial" w:cs="Arial"/>
          <w:lang w:eastAsia="en-GB"/>
        </w:rPr>
        <w:br/>
        <w:t>Schedule Float: 0 Days</w:t>
      </w:r>
      <w:r w:rsidRPr="00D57350">
        <w:rPr>
          <w:rFonts w:ascii="Arial" w:hAnsi="Arial" w:cs="Arial"/>
          <w:lang w:eastAsia="en-GB"/>
        </w:rPr>
        <w:br/>
        <w:t>Longest Activity: Release to Clients and Post-Launch Support (41 Days</w:t>
      </w:r>
    </w:p>
    <w:p w14:paraId="3A8C0D93" w14:textId="77777777" w:rsidR="0089711F" w:rsidRPr="004570ED" w:rsidRDefault="0089711F" w:rsidP="009F3BE0">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43730078"/>
      <w:r w:rsidRPr="004570ED">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6. </w:t>
      </w:r>
      <w:r w:rsidRPr="004570ED">
        <w:rPr>
          <w:rFonts w:eastAsia="Times New Roman"/>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 Management</w:t>
      </w:r>
      <w:bookmarkEnd w:id="21"/>
    </w:p>
    <w:p w14:paraId="29F19047" w14:textId="77777777" w:rsidR="0089711F"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43730079"/>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 Stakeholder Analysis</w:t>
      </w:r>
      <w:bookmarkEnd w:id="22"/>
    </w:p>
    <w:p w14:paraId="0751E6BC" w14:textId="77777777" w:rsidR="009B59AC" w:rsidRPr="009B59AC" w:rsidRDefault="009B59AC" w:rsidP="009B59AC">
      <w:pPr>
        <w:shd w:val="clear" w:color="auto" w:fill="FFFFFF"/>
        <w:spacing w:before="480" w:after="240" w:line="450" w:lineRule="atLeast"/>
        <w:outlineLvl w:val="2"/>
        <w:rPr>
          <w:rFonts w:ascii="Arial" w:hAnsi="Arial" w:cs="Arial"/>
        </w:rPr>
      </w:pPr>
      <w:r w:rsidRPr="009B59AC">
        <w:rPr>
          <w:rFonts w:ascii="Arial" w:hAnsi="Arial" w:cs="Arial"/>
        </w:rPr>
        <w:t>Table 4 presents a comprehensive analysis of project stakeholders, outlining their responsibilities, expectations, influence, and involvement in the successful delivery of the project.</w:t>
      </w:r>
    </w:p>
    <w:p w14:paraId="31B64E5F" w14:textId="0E628E35" w:rsidR="00D60235" w:rsidRPr="00D57350" w:rsidRDefault="00D60235" w:rsidP="00D60235">
      <w:pPr>
        <w:shd w:val="clear" w:color="auto" w:fill="FFFFFF"/>
        <w:spacing w:before="480" w:after="240" w:line="450" w:lineRule="atLeast"/>
        <w:outlineLvl w:val="2"/>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6E3E27" w14:textId="78C5BAD0" w:rsidR="00D60235" w:rsidRPr="00D43557" w:rsidRDefault="00D60235" w:rsidP="00D60235">
      <w:pPr>
        <w:pStyle w:val="Caption"/>
        <w:jc w:val="center"/>
        <w:rPr>
          <w:rFonts w:ascii="Arial" w:hAnsi="Arial" w:cs="Arial"/>
          <w:b/>
          <w:bCs/>
          <w:color w:val="7030A0"/>
          <w:sz w:val="20"/>
          <w:szCs w:val="20"/>
        </w:rPr>
      </w:pPr>
      <w:r w:rsidRPr="005B67BA">
        <w:rPr>
          <w:noProof/>
        </w:rPr>
        <w:drawing>
          <wp:anchor distT="0" distB="0" distL="114300" distR="114300" simplePos="0" relativeHeight="251645440" behindDoc="1" locked="0" layoutInCell="1" allowOverlap="1" wp14:anchorId="03DE221C" wp14:editId="065BB634">
            <wp:simplePos x="0" y="0"/>
            <wp:positionH relativeFrom="column">
              <wp:posOffset>-552450</wp:posOffset>
            </wp:positionH>
            <wp:positionV relativeFrom="paragraph">
              <wp:posOffset>310515</wp:posOffset>
            </wp:positionV>
            <wp:extent cx="6954520" cy="2190750"/>
            <wp:effectExtent l="0" t="0" r="0" b="0"/>
            <wp:wrapTight wrapText="bothSides">
              <wp:wrapPolygon edited="0">
                <wp:start x="0" y="0"/>
                <wp:lineTo x="0" y="21412"/>
                <wp:lineTo x="21537" y="21412"/>
                <wp:lineTo x="21537" y="0"/>
                <wp:lineTo x="0" y="0"/>
              </wp:wrapPolygon>
            </wp:wrapTight>
            <wp:docPr id="1409698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98065" name=""/>
                    <pic:cNvPicPr/>
                  </pic:nvPicPr>
                  <pic:blipFill>
                    <a:blip r:embed="rId25">
                      <a:extLst>
                        <a:ext uri="{28A0092B-C50C-407E-A947-70E740481C1C}">
                          <a14:useLocalDpi xmlns:a14="http://schemas.microsoft.com/office/drawing/2010/main" val="0"/>
                        </a:ext>
                      </a:extLst>
                    </a:blip>
                    <a:stretch>
                      <a:fillRect/>
                    </a:stretch>
                  </pic:blipFill>
                  <pic:spPr>
                    <a:xfrm>
                      <a:off x="0" y="0"/>
                      <a:ext cx="6954520" cy="2190750"/>
                    </a:xfrm>
                    <a:prstGeom prst="rect">
                      <a:avLst/>
                    </a:prstGeom>
                  </pic:spPr>
                </pic:pic>
              </a:graphicData>
            </a:graphic>
            <wp14:sizeRelH relativeFrom="margin">
              <wp14:pctWidth>0</wp14:pctWidth>
            </wp14:sizeRelH>
            <wp14:sizeRelV relativeFrom="margin">
              <wp14:pctHeight>0</wp14:pctHeight>
            </wp14:sizeRelV>
          </wp:anchor>
        </w:drawing>
      </w:r>
      <w:r w:rsidR="00D43557">
        <w:rPr>
          <w:noProof/>
        </w:rPr>
        <mc:AlternateContent>
          <mc:Choice Requires="wps">
            <w:drawing>
              <wp:anchor distT="0" distB="0" distL="114300" distR="114300" simplePos="0" relativeHeight="251663872" behindDoc="1" locked="0" layoutInCell="1" allowOverlap="1" wp14:anchorId="13473466" wp14:editId="01FAA4A5">
                <wp:simplePos x="0" y="0"/>
                <wp:positionH relativeFrom="column">
                  <wp:posOffset>-551180</wp:posOffset>
                </wp:positionH>
                <wp:positionV relativeFrom="paragraph">
                  <wp:posOffset>2666365</wp:posOffset>
                </wp:positionV>
                <wp:extent cx="6954520" cy="457200"/>
                <wp:effectExtent l="0" t="0" r="0" b="0"/>
                <wp:wrapTight wrapText="bothSides">
                  <wp:wrapPolygon edited="0">
                    <wp:start x="0" y="0"/>
                    <wp:lineTo x="0" y="20700"/>
                    <wp:lineTo x="21537" y="20700"/>
                    <wp:lineTo x="21537" y="0"/>
                    <wp:lineTo x="0" y="0"/>
                  </wp:wrapPolygon>
                </wp:wrapTight>
                <wp:docPr id="1975677752" name="Text Box 1"/>
                <wp:cNvGraphicFramePr/>
                <a:graphic xmlns:a="http://schemas.openxmlformats.org/drawingml/2006/main">
                  <a:graphicData uri="http://schemas.microsoft.com/office/word/2010/wordprocessingShape">
                    <wps:wsp>
                      <wps:cNvSpPr txBox="1"/>
                      <wps:spPr>
                        <a:xfrm>
                          <a:off x="0" y="0"/>
                          <a:ext cx="6954520" cy="457200"/>
                        </a:xfrm>
                        <a:prstGeom prst="rect">
                          <a:avLst/>
                        </a:prstGeom>
                        <a:solidFill>
                          <a:prstClr val="white"/>
                        </a:solidFill>
                        <a:ln>
                          <a:noFill/>
                        </a:ln>
                      </wps:spPr>
                      <wps:txbx>
                        <w:txbxContent>
                          <w:p w14:paraId="30E8AE0B" w14:textId="2A286E95" w:rsidR="00D43557" w:rsidRPr="00D43557" w:rsidRDefault="00D43557" w:rsidP="00D43557">
                            <w:pPr>
                              <w:pStyle w:val="Caption"/>
                              <w:jc w:val="center"/>
                              <w:rPr>
                                <w:rFonts w:ascii="Arial" w:hAnsi="Arial" w:cs="Arial"/>
                                <w:b/>
                                <w:bCs/>
                                <w:color w:val="7030A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3473466" id="_x0000_s1027" type="#_x0000_t202" style="position:absolute;left:0;text-align:left;margin-left:-43.4pt;margin-top:209.95pt;width:547.6pt;height:36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" stroked="f">
                <v:textbox inset="0,0,0,0">
                  <w:txbxContent>
                    <w:p w14:paraId="30E8AE0B" w14:textId="2A286E95" w:rsidR="00D43557" w:rsidRPr="00D43557" w:rsidRDefault="00D43557" w:rsidP="00D43557">
                      <w:pPr>
                        <w:pStyle w:val="Caption"/>
                        <w:jc w:val="center"/>
                        <w:rPr>
                          <w:rFonts w:ascii="Arial" w:hAnsi="Arial" w:cs="Arial"/>
                          <w:b/>
                          <w:bCs/>
                          <w:color w:val="7030A0"/>
                          <w:sz w:val="20"/>
                          <w:szCs w:val="20"/>
                        </w:rPr>
                      </w:pPr>
                    </w:p>
                  </w:txbxContent>
                </v:textbox>
                <w10:wrap type="tight"/>
              </v:shape>
            </w:pict>
          </mc:Fallback>
        </mc:AlternateContent>
      </w:r>
      <w:r w:rsidR="00AA2EF3" w:rsidRPr="00D57350">
        <w:rPr>
          <w:rFonts w:ascii="Arial" w:hAnsi="Arial" w:cs="Arial"/>
          <w:lang w:eastAsia="en-GB"/>
        </w:rPr>
        <w:t xml:space="preserve"> </w:t>
      </w:r>
      <w:r w:rsidRPr="00D43557">
        <w:rPr>
          <w:rFonts w:ascii="Arial" w:hAnsi="Arial" w:cs="Arial"/>
          <w:b/>
          <w:bCs/>
          <w:color w:val="7030A0"/>
          <w:sz w:val="20"/>
          <w:szCs w:val="20"/>
        </w:rPr>
        <w:t>Table</w:t>
      </w:r>
      <w:r>
        <w:rPr>
          <w:rFonts w:ascii="Arial" w:hAnsi="Arial" w:cs="Arial"/>
          <w:b/>
          <w:bCs/>
          <w:color w:val="7030A0"/>
          <w:sz w:val="20"/>
          <w:szCs w:val="20"/>
        </w:rPr>
        <w:t xml:space="preserve"> 4:</w:t>
      </w:r>
      <w:r w:rsidRPr="00D43557">
        <w:rPr>
          <w:rFonts w:ascii="Arial" w:hAnsi="Arial" w:cs="Arial"/>
          <w:b/>
          <w:bCs/>
          <w:color w:val="7030A0"/>
          <w:sz w:val="20"/>
          <w:szCs w:val="20"/>
        </w:rPr>
        <w:t xml:space="preserve"> Stakeholders analysis</w:t>
      </w:r>
    </w:p>
    <w:p w14:paraId="78181C20" w14:textId="5E278573" w:rsidR="00D43557" w:rsidRDefault="00D60235" w:rsidP="00D43557">
      <w:pPr>
        <w:rPr>
          <w:rFonts w:ascii="Arial" w:hAnsi="Arial" w:cs="Arial"/>
          <w:lang w:eastAsia="en-GB"/>
        </w:rPr>
      </w:pPr>
      <w:r w:rsidRPr="005B67BA">
        <w:rPr>
          <w:noProof/>
        </w:rPr>
        <w:lastRenderedPageBreak/>
        <w:drawing>
          <wp:anchor distT="0" distB="0" distL="114300" distR="114300" simplePos="0" relativeHeight="251646464" behindDoc="1" locked="0" layoutInCell="1" allowOverlap="1" wp14:anchorId="5BC7EF8E" wp14:editId="72426F75">
            <wp:simplePos x="0" y="0"/>
            <wp:positionH relativeFrom="page">
              <wp:posOffset>412115</wp:posOffset>
            </wp:positionH>
            <wp:positionV relativeFrom="paragraph">
              <wp:posOffset>0</wp:posOffset>
            </wp:positionV>
            <wp:extent cx="6938645" cy="8794115"/>
            <wp:effectExtent l="0" t="0" r="0" b="6985"/>
            <wp:wrapTight wrapText="bothSides">
              <wp:wrapPolygon edited="0">
                <wp:start x="0" y="0"/>
                <wp:lineTo x="0" y="21570"/>
                <wp:lineTo x="21527" y="21570"/>
                <wp:lineTo x="21527" y="0"/>
                <wp:lineTo x="0" y="0"/>
              </wp:wrapPolygon>
            </wp:wrapTight>
            <wp:docPr id="1792823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23560" name=""/>
                    <pic:cNvPicPr/>
                  </pic:nvPicPr>
                  <pic:blipFill>
                    <a:blip r:embed="rId26">
                      <a:extLst>
                        <a:ext uri="{28A0092B-C50C-407E-A947-70E740481C1C}">
                          <a14:useLocalDpi xmlns:a14="http://schemas.microsoft.com/office/drawing/2010/main" val="0"/>
                        </a:ext>
                      </a:extLst>
                    </a:blip>
                    <a:stretch>
                      <a:fillRect/>
                    </a:stretch>
                  </pic:blipFill>
                  <pic:spPr>
                    <a:xfrm>
                      <a:off x="0" y="0"/>
                      <a:ext cx="6938645" cy="8794115"/>
                    </a:xfrm>
                    <a:prstGeom prst="rect">
                      <a:avLst/>
                    </a:prstGeom>
                  </pic:spPr>
                </pic:pic>
              </a:graphicData>
            </a:graphic>
            <wp14:sizeRelH relativeFrom="margin">
              <wp14:pctWidth>0</wp14:pctWidth>
            </wp14:sizeRelH>
            <wp14:sizeRelV relativeFrom="margin">
              <wp14:pctHeight>0</wp14:pctHeight>
            </wp14:sizeRelV>
          </wp:anchor>
        </w:drawing>
      </w:r>
    </w:p>
    <w:p w14:paraId="1A8567F4" w14:textId="77777777" w:rsidR="00526B2D" w:rsidRDefault="00526B2D" w:rsidP="00673064">
      <w:pPr>
        <w:rPr>
          <w:rFonts w:ascii="Arial" w:hAnsi="Arial" w:cs="Arial"/>
          <w:lang w:eastAsia="en-GB"/>
        </w:rPr>
      </w:pPr>
    </w:p>
    <w:p w14:paraId="75D4D830" w14:textId="77777777" w:rsidR="00526B2D" w:rsidRDefault="00526B2D" w:rsidP="00673064">
      <w:pPr>
        <w:rPr>
          <w:rFonts w:ascii="Arial" w:hAnsi="Arial" w:cs="Arial"/>
          <w:lang w:eastAsia="en-GB"/>
        </w:rPr>
      </w:pPr>
    </w:p>
    <w:p w14:paraId="3DAAA91B" w14:textId="77777777" w:rsidR="00526B2D" w:rsidRDefault="00526B2D" w:rsidP="00673064">
      <w:pPr>
        <w:rPr>
          <w:rFonts w:ascii="Arial" w:hAnsi="Arial" w:cs="Arial"/>
          <w:lang w:eastAsia="en-GB"/>
        </w:rPr>
      </w:pPr>
    </w:p>
    <w:p w14:paraId="6F8A58BD" w14:textId="2BD9380B" w:rsidR="007E10B5" w:rsidRPr="00D57350" w:rsidRDefault="0096156C" w:rsidP="00673064">
      <w:pPr>
        <w:rPr>
          <w:rFonts w:ascii="Arial" w:hAnsi="Arial" w:cs="Arial"/>
          <w:lang w:eastAsia="en-GB"/>
        </w:rPr>
      </w:pPr>
      <w:r w:rsidRPr="00D60235">
        <w:rPr>
          <w:rFonts w:ascii="Arial" w:eastAsiaTheme="majorEastAsia" w:hAnsi="Arial" w:cs="Arial"/>
          <w:b/>
          <w:bCs/>
          <w:noProof/>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2064" behindDoc="1" locked="0" layoutInCell="1" allowOverlap="1" wp14:anchorId="6055366F" wp14:editId="4016245B">
            <wp:simplePos x="0" y="0"/>
            <wp:positionH relativeFrom="margin">
              <wp:posOffset>0</wp:posOffset>
            </wp:positionH>
            <wp:positionV relativeFrom="paragraph">
              <wp:posOffset>4685665</wp:posOffset>
            </wp:positionV>
            <wp:extent cx="5960110" cy="2472055"/>
            <wp:effectExtent l="0" t="0" r="2540" b="4445"/>
            <wp:wrapTight wrapText="bothSides">
              <wp:wrapPolygon edited="0">
                <wp:start x="0" y="0"/>
                <wp:lineTo x="0" y="21472"/>
                <wp:lineTo x="21540" y="21472"/>
                <wp:lineTo x="21540" y="0"/>
                <wp:lineTo x="0" y="0"/>
              </wp:wrapPolygon>
            </wp:wrapTight>
            <wp:docPr id="921955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843332" name=""/>
                    <pic:cNvPicPr/>
                  </pic:nvPicPr>
                  <pic:blipFill>
                    <a:blip r:embed="rId27">
                      <a:extLst>
                        <a:ext uri="{28A0092B-C50C-407E-A947-70E740481C1C}">
                          <a14:useLocalDpi xmlns:a14="http://schemas.microsoft.com/office/drawing/2010/main" val="0"/>
                        </a:ext>
                      </a:extLst>
                    </a:blip>
                    <a:stretch>
                      <a:fillRect/>
                    </a:stretch>
                  </pic:blipFill>
                  <pic:spPr>
                    <a:xfrm>
                      <a:off x="0" y="0"/>
                      <a:ext cx="5960110" cy="2472055"/>
                    </a:xfrm>
                    <a:prstGeom prst="rect">
                      <a:avLst/>
                    </a:prstGeom>
                  </pic:spPr>
                </pic:pic>
              </a:graphicData>
            </a:graphic>
            <wp14:sizeRelH relativeFrom="margin">
              <wp14:pctWidth>0</wp14:pctWidth>
            </wp14:sizeRelH>
          </wp:anchor>
        </w:drawing>
      </w:r>
      <w:r w:rsidR="00D60235" w:rsidRPr="005B67BA">
        <w:rPr>
          <w:noProof/>
        </w:rPr>
        <w:drawing>
          <wp:anchor distT="0" distB="0" distL="114300" distR="114300" simplePos="0" relativeHeight="251647488" behindDoc="1" locked="0" layoutInCell="1" allowOverlap="1" wp14:anchorId="307EECB4" wp14:editId="7E1EFD1D">
            <wp:simplePos x="0" y="0"/>
            <wp:positionH relativeFrom="margin">
              <wp:posOffset>-692785</wp:posOffset>
            </wp:positionH>
            <wp:positionV relativeFrom="paragraph">
              <wp:posOffset>0</wp:posOffset>
            </wp:positionV>
            <wp:extent cx="7004685" cy="4248785"/>
            <wp:effectExtent l="0" t="0" r="5715" b="0"/>
            <wp:wrapTight wrapText="bothSides">
              <wp:wrapPolygon edited="0">
                <wp:start x="0" y="0"/>
                <wp:lineTo x="0" y="21500"/>
                <wp:lineTo x="21559" y="21500"/>
                <wp:lineTo x="21559" y="0"/>
                <wp:lineTo x="0" y="0"/>
              </wp:wrapPolygon>
            </wp:wrapTight>
            <wp:docPr id="756774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74313" name=""/>
                    <pic:cNvPicPr/>
                  </pic:nvPicPr>
                  <pic:blipFill>
                    <a:blip r:embed="rId28">
                      <a:extLst>
                        <a:ext uri="{28A0092B-C50C-407E-A947-70E740481C1C}">
                          <a14:useLocalDpi xmlns:a14="http://schemas.microsoft.com/office/drawing/2010/main" val="0"/>
                        </a:ext>
                      </a:extLst>
                    </a:blip>
                    <a:stretch>
                      <a:fillRect/>
                    </a:stretch>
                  </pic:blipFill>
                  <pic:spPr>
                    <a:xfrm>
                      <a:off x="0" y="0"/>
                      <a:ext cx="7004685" cy="424878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lang w:eastAsia="en-GB"/>
        </w:rPr>
        <w:t>Analysis</w:t>
      </w:r>
    </w:p>
    <w:p w14:paraId="50AD20B8" w14:textId="6F8229CC" w:rsidR="0089711F"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43730081"/>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6.2 Stakeholder Engagement Strategy</w:t>
      </w:r>
      <w:bookmarkEnd w:id="23"/>
    </w:p>
    <w:p w14:paraId="1CCD244A" w14:textId="77777777" w:rsidR="0089711F" w:rsidRDefault="0089711F" w:rsidP="007E3B11">
      <w:pPr>
        <w:shd w:val="clear" w:color="auto" w:fill="FFFFFF"/>
        <w:spacing w:before="240" w:after="240" w:line="276" w:lineRule="auto"/>
        <w:rPr>
          <w:rFonts w:ascii="Arial" w:eastAsia="Times New Roman" w:hAnsi="Arial" w:cs="Arial"/>
          <w:color w:val="0F1115"/>
          <w:kern w:val="0"/>
          <w:lang w:eastAsia="en-GB"/>
          <w14:ligatures w14:val="none"/>
        </w:rPr>
      </w:pPr>
      <w:r w:rsidRPr="00D57350">
        <w:rPr>
          <w:rFonts w:ascii="Arial" w:eastAsia="Times New Roman" w:hAnsi="Arial" w:cs="Arial"/>
          <w:color w:val="0F1115"/>
          <w:kern w:val="0"/>
          <w:lang w:eastAsia="en-GB"/>
          <w14:ligatures w14:val="none"/>
        </w:rPr>
        <w:t>Effective stakeholder analysis and classification is critical to project success, as stakeholders are individuals or groups impacted by or who can influence the project, and identifying and managing them ensures project success (Eskerod and Jepsen, 2026). Research on project complexity emphasises the need for dynamic and systemic stakeholder modelling, particularly in projects involving regulatory bodies and multiple user groups (Sankaran, Müller and Drouin, 2025).</w:t>
      </w:r>
    </w:p>
    <w:p w14:paraId="3252385A" w14:textId="77777777" w:rsidR="007E3B11" w:rsidRPr="00D57350" w:rsidRDefault="007E3B11" w:rsidP="007E3B11">
      <w:pPr>
        <w:shd w:val="clear" w:color="auto" w:fill="FFFFFF"/>
        <w:spacing w:before="240" w:after="240" w:line="276" w:lineRule="auto"/>
        <w:rPr>
          <w:rFonts w:ascii="Arial" w:eastAsia="Times New Roman" w:hAnsi="Arial" w:cs="Arial"/>
          <w:color w:val="0F1115"/>
          <w:kern w:val="0"/>
          <w:lang w:eastAsia="en-GB"/>
          <w14:ligatures w14:val="none"/>
        </w:rPr>
      </w:pPr>
    </w:p>
    <w:p w14:paraId="25E64374" w14:textId="77777777" w:rsidR="007E3B11" w:rsidRDefault="005A6DAD" w:rsidP="007E3B11">
      <w:pPr>
        <w:keepNext/>
      </w:pPr>
      <w:r w:rsidRPr="00D57350">
        <w:rPr>
          <w:rFonts w:ascii="Arial" w:hAnsi="Arial" w:cs="Arial"/>
          <w:noProof/>
          <w:lang w:eastAsia="en-GB"/>
        </w:rPr>
        <w:drawing>
          <wp:inline distT="0" distB="0" distL="0" distR="0" wp14:anchorId="04CB86C8" wp14:editId="53B6644A">
            <wp:extent cx="4286250" cy="3170286"/>
            <wp:effectExtent l="0" t="0" r="0" b="0"/>
            <wp:docPr id="1435508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508192" name=""/>
                    <pic:cNvPicPr/>
                  </pic:nvPicPr>
                  <pic:blipFill>
                    <a:blip r:embed="rId29"/>
                    <a:stretch>
                      <a:fillRect/>
                    </a:stretch>
                  </pic:blipFill>
                  <pic:spPr>
                    <a:xfrm>
                      <a:off x="0" y="0"/>
                      <a:ext cx="4290343" cy="3173313"/>
                    </a:xfrm>
                    <a:prstGeom prst="rect">
                      <a:avLst/>
                    </a:prstGeom>
                  </pic:spPr>
                </pic:pic>
              </a:graphicData>
            </a:graphic>
          </wp:inline>
        </w:drawing>
      </w:r>
    </w:p>
    <w:p w14:paraId="33A01BA0" w14:textId="238FA023" w:rsidR="005A6DAD" w:rsidRDefault="007E3B11" w:rsidP="007E3B11">
      <w:pPr>
        <w:pStyle w:val="Caption"/>
        <w:jc w:val="center"/>
        <w:rPr>
          <w:rFonts w:ascii="Arial" w:hAnsi="Arial" w:cs="Arial"/>
          <w:b/>
          <w:bCs/>
          <w:color w:val="7030A0"/>
          <w:sz w:val="20"/>
          <w:szCs w:val="20"/>
        </w:rPr>
      </w:pPr>
      <w:r w:rsidRPr="007E3B11">
        <w:rPr>
          <w:rFonts w:ascii="Arial" w:hAnsi="Arial" w:cs="Arial"/>
          <w:b/>
          <w:bCs/>
          <w:color w:val="7030A0"/>
          <w:sz w:val="20"/>
          <w:szCs w:val="20"/>
        </w:rPr>
        <w:t>Fi</w:t>
      </w:r>
      <w:r w:rsidR="009B59AC">
        <w:rPr>
          <w:rFonts w:ascii="Arial" w:hAnsi="Arial" w:cs="Arial"/>
          <w:b/>
          <w:bCs/>
          <w:color w:val="7030A0"/>
          <w:sz w:val="20"/>
          <w:szCs w:val="20"/>
        </w:rPr>
        <w:t>gure 7: Power and Influence Matrix</w:t>
      </w:r>
      <w:r w:rsidR="009B59AC" w:rsidRPr="0007528F">
        <w:rPr>
          <w:noProof/>
        </w:rPr>
        <w:drawing>
          <wp:inline distT="0" distB="0" distL="0" distR="0" wp14:anchorId="6576961A" wp14:editId="26B69323">
            <wp:extent cx="5731510" cy="3088640"/>
            <wp:effectExtent l="0" t="0" r="2540" b="0"/>
            <wp:docPr id="1412126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26527" name=""/>
                    <pic:cNvPicPr/>
                  </pic:nvPicPr>
                  <pic:blipFill>
                    <a:blip r:embed="rId30"/>
                    <a:stretch>
                      <a:fillRect/>
                    </a:stretch>
                  </pic:blipFill>
                  <pic:spPr>
                    <a:xfrm>
                      <a:off x="0" y="0"/>
                      <a:ext cx="5731510" cy="3088640"/>
                    </a:xfrm>
                    <a:prstGeom prst="rect">
                      <a:avLst/>
                    </a:prstGeom>
                  </pic:spPr>
                </pic:pic>
              </a:graphicData>
            </a:graphic>
          </wp:inline>
        </w:drawing>
      </w:r>
    </w:p>
    <w:p w14:paraId="27B8FCB5" w14:textId="0C8F969A" w:rsidR="0007528F" w:rsidRPr="0007528F" w:rsidRDefault="0007528F" w:rsidP="0007528F">
      <w:pPr>
        <w:rPr>
          <w:rStyle w:val="Heading2Char"/>
          <w:rFonts w:asciiTheme="minorHAnsi" w:eastAsiaTheme="minorHAnsi" w:hAnsiTheme="minorHAnsi" w:cstheme="minorBidi"/>
          <w:color w:val="auto"/>
          <w:sz w:val="24"/>
          <w:szCs w:val="24"/>
        </w:rPr>
      </w:pPr>
      <w:bookmarkStart w:id="24" w:name="_Toc243730082"/>
    </w:p>
    <w:p w14:paraId="40478A8C" w14:textId="74CE41A3" w:rsidR="0089711F"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6.3 Communication Plan</w:t>
      </w:r>
      <w:bookmarkEnd w:id="24"/>
    </w:p>
    <w:p w14:paraId="6D9039D5" w14:textId="51079C76" w:rsidR="003E6E3E" w:rsidRDefault="003E6E3E" w:rsidP="003E6E3E">
      <w:pPr>
        <w:rPr>
          <w:rFonts w:ascii="Arial" w:eastAsia="Times New Roman" w:hAnsi="Arial" w:cs="Arial"/>
          <w:color w:val="0F1115"/>
          <w:kern w:val="0"/>
          <w:lang w:eastAsia="en-GB"/>
          <w14:ligatures w14:val="none"/>
        </w:rPr>
      </w:pPr>
      <w:r w:rsidRPr="00E260DA">
        <w:rPr>
          <w:rFonts w:ascii="Arial" w:eastAsia="Times New Roman" w:hAnsi="Arial" w:cs="Arial"/>
          <w:color w:val="0F1115"/>
          <w:kern w:val="0"/>
          <w:lang w:eastAsia="en-GB"/>
          <w14:ligatures w14:val="none"/>
        </w:rPr>
        <w:t>An effective communication plan determines what information needs to be collected and transmitted, who needs to collect and transmit it, how the information is collected and transmitted, how often, and when it should be collected and transmitted so that schedules, issues and items can be tracked (Wong et al., 2022). Research comparing communication in different project management approaches demonstrates that communication strategies must be aligned with project complexity, stakeholder maturity, and organisational context (Xiong et al., 2026).</w:t>
      </w:r>
    </w:p>
    <w:p w14:paraId="5874FDC4" w14:textId="048F0239" w:rsidR="00185D7C" w:rsidRPr="00185D7C" w:rsidRDefault="00185D7C" w:rsidP="00185D7C">
      <w:pPr>
        <w:jc w:val="center"/>
        <w:rPr>
          <w:rFonts w:ascii="Arial" w:hAnsi="Arial" w:cs="Arial"/>
          <w:b/>
          <w:bCs/>
          <w:i/>
          <w:iCs/>
          <w:color w:val="7030A0"/>
          <w:sz w:val="20"/>
          <w:szCs w:val="20"/>
        </w:rPr>
      </w:pPr>
      <w:r w:rsidRPr="00185D7C">
        <w:rPr>
          <w:rFonts w:ascii="Arial" w:hAnsi="Arial" w:cs="Arial"/>
          <w:b/>
          <w:bCs/>
          <w:i/>
          <w:iCs/>
          <w:color w:val="7030A0"/>
          <w:sz w:val="20"/>
          <w:szCs w:val="20"/>
        </w:rPr>
        <w:t>Table 5: Communication Process</w:t>
      </w:r>
    </w:p>
    <w:p w14:paraId="4D6C1B8D" w14:textId="4769C989" w:rsidR="00185D7C" w:rsidRPr="003E6E3E" w:rsidRDefault="00185D7C" w:rsidP="003E6E3E">
      <w:r w:rsidRPr="00116FC0">
        <w:rPr>
          <w:rFonts w:ascii="Arial" w:eastAsia="Times New Roman" w:hAnsi="Arial" w:cs="Arial"/>
          <w:noProof/>
          <w:color w:val="0F1115"/>
          <w:kern w:val="0"/>
          <w:lang w:eastAsia="en-GB"/>
          <w14:ligatures w14:val="none"/>
        </w:rPr>
        <w:drawing>
          <wp:inline distT="0" distB="0" distL="0" distR="0" wp14:anchorId="40657A64" wp14:editId="68AAB5D3">
            <wp:extent cx="5731510" cy="6271110"/>
            <wp:effectExtent l="0" t="0" r="2540" b="0"/>
            <wp:docPr id="196271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18912" name=""/>
                    <pic:cNvPicPr/>
                  </pic:nvPicPr>
                  <pic:blipFill>
                    <a:blip r:embed="rId31"/>
                    <a:stretch>
                      <a:fillRect/>
                    </a:stretch>
                  </pic:blipFill>
                  <pic:spPr>
                    <a:xfrm>
                      <a:off x="0" y="0"/>
                      <a:ext cx="5731510" cy="6271110"/>
                    </a:xfrm>
                    <a:prstGeom prst="rect">
                      <a:avLst/>
                    </a:prstGeom>
                  </pic:spPr>
                </pic:pic>
              </a:graphicData>
            </a:graphic>
          </wp:inline>
        </w:drawing>
      </w:r>
    </w:p>
    <w:p w14:paraId="59E65CF6" w14:textId="77777777" w:rsidR="003E6E3E" w:rsidRDefault="003E6E3E" w:rsidP="003E6E3E">
      <w:pPr>
        <w:keepNext/>
      </w:pPr>
      <w:r w:rsidRPr="00D57350">
        <w:rPr>
          <w:rFonts w:ascii="Arial" w:hAnsi="Arial" w:cs="Arial"/>
          <w:noProof/>
          <w:lang w:eastAsia="en-GB"/>
        </w:rPr>
        <w:lastRenderedPageBreak/>
        <w:drawing>
          <wp:anchor distT="0" distB="0" distL="114300" distR="114300" simplePos="0" relativeHeight="251666944" behindDoc="1" locked="0" layoutInCell="1" allowOverlap="1" wp14:anchorId="06DF7250" wp14:editId="30DBEEF8">
            <wp:simplePos x="0" y="0"/>
            <wp:positionH relativeFrom="margin">
              <wp:posOffset>-9525</wp:posOffset>
            </wp:positionH>
            <wp:positionV relativeFrom="paragraph">
              <wp:posOffset>0</wp:posOffset>
            </wp:positionV>
            <wp:extent cx="6184900" cy="7906385"/>
            <wp:effectExtent l="0" t="0" r="6350" b="0"/>
            <wp:wrapTight wrapText="bothSides">
              <wp:wrapPolygon edited="0">
                <wp:start x="0" y="0"/>
                <wp:lineTo x="0" y="21546"/>
                <wp:lineTo x="21556" y="21546"/>
                <wp:lineTo x="21556" y="0"/>
                <wp:lineTo x="0" y="0"/>
              </wp:wrapPolygon>
            </wp:wrapTight>
            <wp:docPr id="1687569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569589" name=""/>
                    <pic:cNvPicPr/>
                  </pic:nvPicPr>
                  <pic:blipFill>
                    <a:blip r:embed="rId32">
                      <a:extLst>
                        <a:ext uri="{28A0092B-C50C-407E-A947-70E740481C1C}">
                          <a14:useLocalDpi xmlns:a14="http://schemas.microsoft.com/office/drawing/2010/main" val="0"/>
                        </a:ext>
                      </a:extLst>
                    </a:blip>
                    <a:stretch>
                      <a:fillRect/>
                    </a:stretch>
                  </pic:blipFill>
                  <pic:spPr>
                    <a:xfrm>
                      <a:off x="0" y="0"/>
                      <a:ext cx="6184900" cy="7906385"/>
                    </a:xfrm>
                    <a:prstGeom prst="rect">
                      <a:avLst/>
                    </a:prstGeom>
                  </pic:spPr>
                </pic:pic>
              </a:graphicData>
            </a:graphic>
          </wp:anchor>
        </w:drawing>
      </w:r>
    </w:p>
    <w:p w14:paraId="69A72884" w14:textId="02A88065" w:rsidR="003E6E3E" w:rsidRDefault="003E6E3E" w:rsidP="003E6E3E">
      <w:pPr>
        <w:pStyle w:val="Caption"/>
        <w:jc w:val="center"/>
        <w:rPr>
          <w:rFonts w:ascii="Arial" w:hAnsi="Arial" w:cs="Arial"/>
          <w:b/>
          <w:bCs/>
          <w:color w:val="7030A0"/>
          <w:sz w:val="20"/>
          <w:szCs w:val="20"/>
        </w:rPr>
      </w:pPr>
      <w:r w:rsidRPr="003E6E3E">
        <w:rPr>
          <w:rFonts w:ascii="Arial" w:hAnsi="Arial" w:cs="Arial"/>
          <w:b/>
          <w:bCs/>
          <w:color w:val="7030A0"/>
          <w:sz w:val="20"/>
          <w:szCs w:val="20"/>
        </w:rPr>
        <w:t xml:space="preserve">Figure </w:t>
      </w:r>
      <w:r w:rsidR="00760E94">
        <w:rPr>
          <w:rFonts w:ascii="Arial" w:hAnsi="Arial" w:cs="Arial"/>
          <w:b/>
          <w:bCs/>
          <w:color w:val="7030A0"/>
          <w:sz w:val="20"/>
          <w:szCs w:val="20"/>
        </w:rPr>
        <w:t>8</w:t>
      </w:r>
      <w:r w:rsidRPr="003E6E3E">
        <w:rPr>
          <w:rFonts w:ascii="Arial" w:hAnsi="Arial" w:cs="Arial"/>
          <w:b/>
          <w:bCs/>
          <w:color w:val="7030A0"/>
          <w:sz w:val="20"/>
          <w:szCs w:val="20"/>
        </w:rPr>
        <w:t>: Communication Plan</w:t>
      </w:r>
    </w:p>
    <w:p w14:paraId="596302F8" w14:textId="77777777" w:rsidR="00116FC0" w:rsidRDefault="00116FC0" w:rsidP="00116FC0">
      <w:pPr>
        <w:pStyle w:val="Caption"/>
        <w:jc w:val="center"/>
        <w:rPr>
          <w:rFonts w:ascii="Arial" w:hAnsi="Arial" w:cs="Arial"/>
          <w:b/>
          <w:bCs/>
          <w:color w:val="7030A0"/>
          <w:sz w:val="20"/>
          <w:szCs w:val="20"/>
        </w:rPr>
      </w:pPr>
    </w:p>
    <w:p w14:paraId="306B6FD2" w14:textId="77777777" w:rsidR="00116FC0" w:rsidRDefault="00116FC0" w:rsidP="00116FC0">
      <w:pPr>
        <w:pStyle w:val="Caption"/>
        <w:jc w:val="center"/>
        <w:rPr>
          <w:rFonts w:ascii="Arial" w:hAnsi="Arial" w:cs="Arial"/>
          <w:b/>
          <w:bCs/>
          <w:color w:val="7030A0"/>
          <w:sz w:val="20"/>
          <w:szCs w:val="20"/>
        </w:rPr>
      </w:pPr>
    </w:p>
    <w:p w14:paraId="461DC985" w14:textId="49FE8F92" w:rsidR="00697FAF" w:rsidRDefault="00B471DF" w:rsidP="00697FAF">
      <w:pPr>
        <w:rPr>
          <w:rFonts w:ascii="Arial" w:hAnsi="Arial" w:cs="Arial"/>
          <w:b/>
          <w:bCs/>
          <w:lang w:eastAsia="en-GB"/>
        </w:rPr>
      </w:pPr>
      <w:r w:rsidRPr="00B471DF">
        <w:rPr>
          <w:rFonts w:ascii="Arial" w:hAnsi="Arial" w:cs="Arial"/>
          <w:b/>
          <w:bCs/>
          <w:noProof/>
          <w:lang w:eastAsia="en-GB"/>
        </w:rPr>
        <w:drawing>
          <wp:anchor distT="0" distB="0" distL="114300" distR="114300" simplePos="0" relativeHeight="251667968" behindDoc="1" locked="0" layoutInCell="1" allowOverlap="1" wp14:anchorId="23C19958" wp14:editId="45D6BC0A">
            <wp:simplePos x="0" y="0"/>
            <wp:positionH relativeFrom="margin">
              <wp:align>right</wp:align>
            </wp:positionH>
            <wp:positionV relativeFrom="paragraph">
              <wp:posOffset>307975</wp:posOffset>
            </wp:positionV>
            <wp:extent cx="5922010" cy="1995170"/>
            <wp:effectExtent l="0" t="0" r="2540" b="5080"/>
            <wp:wrapTight wrapText="bothSides">
              <wp:wrapPolygon edited="0">
                <wp:start x="0" y="0"/>
                <wp:lineTo x="0" y="21449"/>
                <wp:lineTo x="21540" y="21449"/>
                <wp:lineTo x="21540" y="0"/>
                <wp:lineTo x="0" y="0"/>
              </wp:wrapPolygon>
            </wp:wrapTight>
            <wp:docPr id="684244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44250" name=""/>
                    <pic:cNvPicPr/>
                  </pic:nvPicPr>
                  <pic:blipFill>
                    <a:blip r:embed="rId33">
                      <a:extLst>
                        <a:ext uri="{28A0092B-C50C-407E-A947-70E740481C1C}">
                          <a14:useLocalDpi xmlns:a14="http://schemas.microsoft.com/office/drawing/2010/main" val="0"/>
                        </a:ext>
                      </a:extLst>
                    </a:blip>
                    <a:stretch>
                      <a:fillRect/>
                    </a:stretch>
                  </pic:blipFill>
                  <pic:spPr>
                    <a:xfrm>
                      <a:off x="0" y="0"/>
                      <a:ext cx="5922010" cy="1995170"/>
                    </a:xfrm>
                    <a:prstGeom prst="rect">
                      <a:avLst/>
                    </a:prstGeom>
                  </pic:spPr>
                </pic:pic>
              </a:graphicData>
            </a:graphic>
            <wp14:sizeRelH relativeFrom="margin">
              <wp14:pctWidth>0</wp14:pctWidth>
            </wp14:sizeRelH>
          </wp:anchor>
        </w:drawing>
      </w:r>
      <w:r w:rsidR="00697FAF" w:rsidRPr="00D57350">
        <w:rPr>
          <w:rFonts w:ascii="Arial" w:hAnsi="Arial" w:cs="Arial"/>
          <w:b/>
          <w:bCs/>
          <w:lang w:eastAsia="en-GB"/>
        </w:rPr>
        <w:t>Analysis</w:t>
      </w:r>
    </w:p>
    <w:p w14:paraId="62C93201" w14:textId="6062D126" w:rsidR="00B471DF" w:rsidRPr="00D57350" w:rsidRDefault="00B471DF" w:rsidP="00697FAF">
      <w:pPr>
        <w:rPr>
          <w:rFonts w:ascii="Arial" w:hAnsi="Arial" w:cs="Arial"/>
          <w:b/>
          <w:bCs/>
          <w:lang w:eastAsia="en-GB"/>
        </w:rPr>
      </w:pPr>
    </w:p>
    <w:p w14:paraId="104818D6" w14:textId="18900256" w:rsidR="009F3BE0" w:rsidRPr="004570ED" w:rsidRDefault="0089711F" w:rsidP="00E260DA">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243730083"/>
      <w:r w:rsidRPr="004570ED">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Resource Planning</w:t>
      </w:r>
      <w:bookmarkEnd w:id="25"/>
    </w:p>
    <w:p w14:paraId="1A09C427" w14:textId="77777777" w:rsidR="0089711F"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243730084"/>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7.1 Human Resources</w:t>
      </w:r>
      <w:bookmarkEnd w:id="26"/>
    </w:p>
    <w:p w14:paraId="1E8A9EDF" w14:textId="77777777" w:rsidR="00E260DA" w:rsidRPr="00D57350" w:rsidRDefault="00E260DA" w:rsidP="00E260DA">
      <w:pPr>
        <w:shd w:val="clear" w:color="auto" w:fill="FFFFFF"/>
        <w:spacing w:before="480" w:after="240" w:line="450" w:lineRule="atLeast"/>
        <w:ind w:left="360"/>
        <w:outlineLvl w:val="2"/>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7" w:name="_Toc243730086"/>
      <w:r w:rsidRPr="00D57350">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27"/>
    </w:p>
    <w:p w14:paraId="35EF369F" w14:textId="77777777" w:rsidR="00725E33" w:rsidRPr="00725E33" w:rsidRDefault="00725E33" w:rsidP="00725E33">
      <w:pPr>
        <w:spacing w:line="276" w:lineRule="auto"/>
        <w:rPr>
          <w:rFonts w:ascii="Arial" w:hAnsi="Arial" w:cs="Arial"/>
          <w:lang w:eastAsia="en-GB"/>
        </w:rPr>
      </w:pPr>
      <w:r w:rsidRPr="00725E33">
        <w:rPr>
          <w:rFonts w:ascii="Arial" w:hAnsi="Arial" w:cs="Arial"/>
          <w:lang w:eastAsia="en-GB"/>
        </w:rPr>
        <w:t xml:space="preserve">As illustrated in </w:t>
      </w:r>
      <w:r w:rsidRPr="00725E33">
        <w:rPr>
          <w:rFonts w:ascii="Arial" w:hAnsi="Arial" w:cs="Arial"/>
          <w:b/>
          <w:bCs/>
          <w:lang w:eastAsia="en-GB"/>
        </w:rPr>
        <w:t>Table 6</w:t>
      </w:r>
      <w:r w:rsidRPr="00725E33">
        <w:rPr>
          <w:rFonts w:ascii="Arial" w:hAnsi="Arial" w:cs="Arial"/>
          <w:lang w:eastAsia="en-GB"/>
        </w:rPr>
        <w:t xml:space="preserve"> and </w:t>
      </w:r>
      <w:r w:rsidRPr="00725E33">
        <w:rPr>
          <w:rFonts w:ascii="Arial" w:hAnsi="Arial" w:cs="Arial"/>
          <w:b/>
          <w:bCs/>
          <w:lang w:eastAsia="en-GB"/>
        </w:rPr>
        <w:t>Figure 9</w:t>
      </w:r>
      <w:r w:rsidRPr="00725E33">
        <w:rPr>
          <w:rFonts w:ascii="Arial" w:hAnsi="Arial" w:cs="Arial"/>
          <w:lang w:eastAsia="en-GB"/>
        </w:rPr>
        <w:t xml:space="preserve">, the Human Resources Plan outlines the key personnel required for the successful delivery of the project, together with their respective responsibilities, resource allocation levels, and duration of involvement. The project is primarily supported by full-time team members, including the </w:t>
      </w:r>
      <w:r w:rsidRPr="00725E33">
        <w:rPr>
          <w:rFonts w:ascii="Arial" w:hAnsi="Arial" w:cs="Arial"/>
          <w:b/>
          <w:bCs/>
          <w:lang w:eastAsia="en-GB"/>
        </w:rPr>
        <w:t>Project Manager, Product Manager, Development Lead, Senior Developer, Developers, and Business Analyst</w:t>
      </w:r>
      <w:r w:rsidRPr="00725E33">
        <w:rPr>
          <w:rFonts w:ascii="Arial" w:hAnsi="Arial" w:cs="Arial"/>
          <w:lang w:eastAsia="en-GB"/>
        </w:rPr>
        <w:t xml:space="preserve">, who are responsible for project governance, requirements management, system development, and overall delivery. In addition, part-time specialists such as the </w:t>
      </w:r>
      <w:r w:rsidRPr="00725E33">
        <w:rPr>
          <w:rFonts w:ascii="Arial" w:hAnsi="Arial" w:cs="Arial"/>
          <w:b/>
          <w:bCs/>
          <w:lang w:eastAsia="en-GB"/>
        </w:rPr>
        <w:t>UX Designer, Compliance Specialist, and Training Coordinator</w:t>
      </w:r>
      <w:r w:rsidRPr="00725E33">
        <w:rPr>
          <w:rFonts w:ascii="Arial" w:hAnsi="Arial" w:cs="Arial"/>
          <w:lang w:eastAsia="en-GB"/>
        </w:rPr>
        <w:t xml:space="preserve"> contribute specialised expertise in user experience design, regulatory compliance, and user training. The allocation of resources has been structured to address the project's technical complexity and compliance obligations, ensuring that the necessary skills and expertise are available throughout the </w:t>
      </w:r>
      <w:r w:rsidRPr="00725E33">
        <w:rPr>
          <w:rFonts w:ascii="Arial" w:hAnsi="Arial" w:cs="Arial"/>
          <w:b/>
          <w:bCs/>
          <w:lang w:eastAsia="en-GB"/>
        </w:rPr>
        <w:t>10-month project lifecycle</w:t>
      </w:r>
      <w:r w:rsidRPr="00725E33">
        <w:rPr>
          <w:rFonts w:ascii="Arial" w:hAnsi="Arial" w:cs="Arial"/>
          <w:lang w:eastAsia="en-GB"/>
        </w:rPr>
        <w:t>. Further details of the resource plan are presented in the following pages.</w:t>
      </w:r>
    </w:p>
    <w:p w14:paraId="5B992E1B" w14:textId="77777777" w:rsidR="00E260DA" w:rsidRDefault="00E260DA" w:rsidP="00E260DA">
      <w:pPr>
        <w:spacing w:line="276" w:lineRule="auto"/>
      </w:pPr>
    </w:p>
    <w:p w14:paraId="6245636D" w14:textId="77777777" w:rsidR="00725E33" w:rsidRDefault="00725E33" w:rsidP="00E260DA">
      <w:pPr>
        <w:spacing w:line="276" w:lineRule="auto"/>
      </w:pPr>
    </w:p>
    <w:p w14:paraId="638A5903" w14:textId="77777777" w:rsidR="00ED3332" w:rsidRDefault="00ED3332" w:rsidP="00E260DA">
      <w:pPr>
        <w:spacing w:line="276" w:lineRule="auto"/>
      </w:pPr>
    </w:p>
    <w:p w14:paraId="1E1F491B" w14:textId="5D87C21B" w:rsidR="00ED3332" w:rsidRDefault="00AB623A" w:rsidP="00837D75">
      <w:pPr>
        <w:spacing w:line="276" w:lineRule="auto"/>
        <w:jc w:val="center"/>
      </w:pPr>
      <w:bookmarkStart w:id="28" w:name="_Toc243918270"/>
      <w:r w:rsidRPr="00837D75">
        <w:rPr>
          <w:b/>
          <w:bCs/>
          <w:i/>
          <w:iCs/>
          <w:color w:val="7030A0"/>
          <w:sz w:val="20"/>
          <w:szCs w:val="20"/>
        </w:rPr>
        <w:lastRenderedPageBreak/>
        <w:drawing>
          <wp:anchor distT="0" distB="0" distL="114300" distR="114300" simplePos="0" relativeHeight="251671040" behindDoc="1" locked="0" layoutInCell="1" allowOverlap="1" wp14:anchorId="0D08AE30" wp14:editId="5C7E14DC">
            <wp:simplePos x="0" y="0"/>
            <wp:positionH relativeFrom="column">
              <wp:posOffset>-247650</wp:posOffset>
            </wp:positionH>
            <wp:positionV relativeFrom="paragraph">
              <wp:posOffset>351790</wp:posOffset>
            </wp:positionV>
            <wp:extent cx="5731510" cy="8072755"/>
            <wp:effectExtent l="0" t="0" r="2540" b="4445"/>
            <wp:wrapTight wrapText="bothSides">
              <wp:wrapPolygon edited="0">
                <wp:start x="0" y="0"/>
                <wp:lineTo x="0" y="21561"/>
                <wp:lineTo x="21538" y="21561"/>
                <wp:lineTo x="21538" y="0"/>
                <wp:lineTo x="0" y="0"/>
              </wp:wrapPolygon>
            </wp:wrapTight>
            <wp:docPr id="996473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73443"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8072755"/>
                    </a:xfrm>
                    <a:prstGeom prst="rect">
                      <a:avLst/>
                    </a:prstGeom>
                  </pic:spPr>
                </pic:pic>
              </a:graphicData>
            </a:graphic>
            <wp14:sizeRelV relativeFrom="margin">
              <wp14:pctHeight>0</wp14:pctHeight>
            </wp14:sizeRelV>
          </wp:anchor>
        </w:drawing>
      </w:r>
      <w:bookmarkEnd w:id="28"/>
      <w:r w:rsidR="00725E33" w:rsidRPr="00837D75">
        <w:rPr>
          <w:rFonts w:ascii="Arial" w:hAnsi="Arial" w:cs="Arial"/>
          <w:b/>
          <w:bCs/>
          <w:i/>
          <w:iCs/>
          <w:color w:val="7030A0"/>
          <w:sz w:val="20"/>
          <w:szCs w:val="20"/>
        </w:rPr>
        <w:t>Table 6: Humna Reso</w:t>
      </w:r>
      <w:r w:rsidR="00837D75" w:rsidRPr="00837D75">
        <w:rPr>
          <w:rFonts w:ascii="Arial" w:hAnsi="Arial" w:cs="Arial"/>
          <w:b/>
          <w:bCs/>
          <w:i/>
          <w:iCs/>
          <w:color w:val="7030A0"/>
          <w:sz w:val="20"/>
          <w:szCs w:val="20"/>
        </w:rPr>
        <w:t>urce Management Analysis</w:t>
      </w:r>
    </w:p>
    <w:p w14:paraId="2258B491" w14:textId="0F6D8063" w:rsidR="00ED3332" w:rsidRDefault="00ED3332" w:rsidP="00E260DA">
      <w:pPr>
        <w:spacing w:line="276" w:lineRule="auto"/>
      </w:pPr>
    </w:p>
    <w:p w14:paraId="5879B9E7" w14:textId="77777777" w:rsidR="00ED3332" w:rsidRDefault="00ED3332" w:rsidP="00E260DA">
      <w:pPr>
        <w:spacing w:line="276" w:lineRule="auto"/>
      </w:pPr>
    </w:p>
    <w:p w14:paraId="62702933" w14:textId="77777777" w:rsidR="00ED3332" w:rsidRDefault="00ED3332" w:rsidP="00E260DA">
      <w:pPr>
        <w:spacing w:line="276" w:lineRule="auto"/>
      </w:pPr>
    </w:p>
    <w:p w14:paraId="2E813D32" w14:textId="5F9F0A2E" w:rsidR="00ED3332" w:rsidRPr="00E260DA" w:rsidRDefault="00ED3332" w:rsidP="00E260DA">
      <w:pPr>
        <w:spacing w:line="276" w:lineRule="auto"/>
      </w:pPr>
    </w:p>
    <w:p w14:paraId="525331A4" w14:textId="55FB949B" w:rsidR="0080076E" w:rsidRPr="00D57350" w:rsidRDefault="0080076E" w:rsidP="00E7759E">
      <w:pPr>
        <w:pStyle w:val="Normal1"/>
        <w:rPr>
          <w:rStyle w:val="Heading2Char"/>
          <w:rFonts w:ascii="Arial" w:eastAsiaTheme="minorHAnsi" w:hAnsi="Arial" w:cs="Arial"/>
          <w:color w:val="auto"/>
          <w:sz w:val="36"/>
          <w:szCs w:val="36"/>
        </w:rPr>
      </w:pPr>
    </w:p>
    <w:p w14:paraId="3C00848C" w14:textId="2CFEB679" w:rsidR="001049E8" w:rsidRPr="00ED3332" w:rsidRDefault="00837D75" w:rsidP="00ED3332">
      <w:pPr>
        <w:pStyle w:val="Normal1"/>
        <w:rPr>
          <w:rStyle w:val="Heading2Char"/>
          <w:rFonts w:ascii="Arial" w:eastAsiaTheme="minorHAnsi" w:hAnsi="Arial" w:cs="Arial"/>
          <w:color w:val="auto"/>
          <w:sz w:val="36"/>
          <w:szCs w:val="36"/>
        </w:rPr>
      </w:pPr>
      <w:bookmarkStart w:id="29" w:name="_Toc243730085"/>
      <w:bookmarkStart w:id="30" w:name="_Toc243733817"/>
      <w:bookmarkStart w:id="31" w:name="_Toc243906351"/>
      <w:r>
        <mc:AlternateContent>
          <mc:Choice Requires="wps">
            <w:drawing>
              <wp:anchor distT="0" distB="0" distL="114300" distR="114300" simplePos="0" relativeHeight="251656704" behindDoc="1" locked="0" layoutInCell="1" allowOverlap="1" wp14:anchorId="409BC4F2" wp14:editId="02B6A699">
                <wp:simplePos x="0" y="0"/>
                <wp:positionH relativeFrom="column">
                  <wp:posOffset>13335</wp:posOffset>
                </wp:positionH>
                <wp:positionV relativeFrom="paragraph">
                  <wp:posOffset>6541135</wp:posOffset>
                </wp:positionV>
                <wp:extent cx="6225540" cy="635"/>
                <wp:effectExtent l="0" t="0" r="3810" b="0"/>
                <wp:wrapTight wrapText="bothSides">
                  <wp:wrapPolygon edited="0">
                    <wp:start x="0" y="0"/>
                    <wp:lineTo x="0" y="19591"/>
                    <wp:lineTo x="21547" y="19591"/>
                    <wp:lineTo x="21547" y="0"/>
                    <wp:lineTo x="0" y="0"/>
                  </wp:wrapPolygon>
                </wp:wrapTight>
                <wp:docPr id="326120716" name="Text Box 1"/>
                <wp:cNvGraphicFramePr/>
                <a:graphic xmlns:a="http://schemas.openxmlformats.org/drawingml/2006/main">
                  <a:graphicData uri="http://schemas.microsoft.com/office/word/2010/wordprocessingShape">
                    <wps:wsp>
                      <wps:cNvSpPr txBox="1"/>
                      <wps:spPr>
                        <a:xfrm>
                          <a:off x="0" y="0"/>
                          <a:ext cx="6225540" cy="635"/>
                        </a:xfrm>
                        <a:prstGeom prst="rect">
                          <a:avLst/>
                        </a:prstGeom>
                        <a:solidFill>
                          <a:prstClr val="white"/>
                        </a:solidFill>
                        <a:ln>
                          <a:noFill/>
                        </a:ln>
                      </wps:spPr>
                      <wps:txbx>
                        <w:txbxContent>
                          <w:p w14:paraId="553B6F64" w14:textId="7FD0036A" w:rsidR="00ED3332" w:rsidRPr="00ED3332" w:rsidRDefault="00ED3332" w:rsidP="00ED3332">
                            <w:pPr>
                              <w:pStyle w:val="Caption"/>
                              <w:jc w:val="center"/>
                              <w:rPr>
                                <w:rFonts w:ascii="Arial" w:hAnsi="Arial" w:cs="Arial"/>
                                <w:b/>
                                <w:bCs/>
                                <w:color w:val="7030A0"/>
                                <w:sz w:val="20"/>
                                <w:szCs w:val="20"/>
                              </w:rPr>
                            </w:pPr>
                            <w:r w:rsidRPr="00ED3332">
                              <w:rPr>
                                <w:rFonts w:ascii="Arial" w:hAnsi="Arial" w:cs="Arial"/>
                                <w:b/>
                                <w:bCs/>
                                <w:color w:val="7030A0"/>
                                <w:sz w:val="20"/>
                                <w:szCs w:val="20"/>
                              </w:rPr>
                              <w:t xml:space="preserve">Figure </w:t>
                            </w:r>
                            <w:r w:rsidR="00DC43A3">
                              <w:rPr>
                                <w:rFonts w:ascii="Arial" w:hAnsi="Arial" w:cs="Arial"/>
                                <w:b/>
                                <w:bCs/>
                                <w:color w:val="7030A0"/>
                                <w:sz w:val="20"/>
                                <w:szCs w:val="20"/>
                              </w:rPr>
                              <w:t>9</w:t>
                            </w:r>
                            <w:r w:rsidRPr="00ED3332">
                              <w:rPr>
                                <w:rFonts w:ascii="Arial" w:hAnsi="Arial" w:cs="Arial"/>
                                <w:b/>
                                <w:bCs/>
                                <w:color w:val="7030A0"/>
                                <w:sz w:val="20"/>
                                <w:szCs w:val="20"/>
                              </w:rPr>
                              <w:t>: HR in Project Now Accounting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BC4F2" id="_x0000_s1028" type="#_x0000_t202" style="position:absolute;left:0;text-align:left;margin-left:1.05pt;margin-top:515.05pt;width:490.2pt;height:.0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DG1GQIAAD8EAAAOAAAAZHJzL2Uyb0RvYy54bWysU1GP2jAMfp+0/xDlfRTYQ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" stroked="f">
                <v:textbox style="mso-fit-shape-to-text:t" inset="0,0,0,0">
                  <w:txbxContent>
                    <w:p w14:paraId="553B6F64" w14:textId="7FD0036A" w:rsidR="00ED3332" w:rsidRPr="00ED3332" w:rsidRDefault="00ED3332" w:rsidP="00ED3332">
                      <w:pPr>
                        <w:pStyle w:val="Caption"/>
                        <w:jc w:val="center"/>
                        <w:rPr>
                          <w:rFonts w:ascii="Arial" w:hAnsi="Arial" w:cs="Arial"/>
                          <w:b/>
                          <w:bCs/>
                          <w:color w:val="7030A0"/>
                          <w:sz w:val="20"/>
                          <w:szCs w:val="20"/>
                        </w:rPr>
                      </w:pPr>
                      <w:r w:rsidRPr="00ED3332">
                        <w:rPr>
                          <w:rFonts w:ascii="Arial" w:hAnsi="Arial" w:cs="Arial"/>
                          <w:b/>
                          <w:bCs/>
                          <w:color w:val="7030A0"/>
                          <w:sz w:val="20"/>
                          <w:szCs w:val="20"/>
                        </w:rPr>
                        <w:t xml:space="preserve">Figure </w:t>
                      </w:r>
                      <w:r w:rsidR="00DC43A3">
                        <w:rPr>
                          <w:rFonts w:ascii="Arial" w:hAnsi="Arial" w:cs="Arial"/>
                          <w:b/>
                          <w:bCs/>
                          <w:color w:val="7030A0"/>
                          <w:sz w:val="20"/>
                          <w:szCs w:val="20"/>
                        </w:rPr>
                        <w:t>9</w:t>
                      </w:r>
                      <w:r w:rsidRPr="00ED3332">
                        <w:rPr>
                          <w:rFonts w:ascii="Arial" w:hAnsi="Arial" w:cs="Arial"/>
                          <w:b/>
                          <w:bCs/>
                          <w:color w:val="7030A0"/>
                          <w:sz w:val="20"/>
                          <w:szCs w:val="20"/>
                        </w:rPr>
                        <w:t>: HR in Project Now Accounting</w:t>
                      </w:r>
                    </w:p>
                  </w:txbxContent>
                </v:textbox>
                <w10:wrap type="tight"/>
              </v:shape>
            </w:pict>
          </mc:Fallback>
        </mc:AlternateContent>
      </w:r>
      <w:r w:rsidRPr="00D57350">
        <w:rPr>
          <w:rStyle w:val="Heading2Char"/>
          <w:rFonts w:ascii="Arial" w:hAnsi="Arial" w:cs="Arial"/>
          <w:color w:val="000000" w:themeColor="text1"/>
          <w:sz w:val="36"/>
          <w:szCs w:val="36"/>
        </w:rPr>
        <w:drawing>
          <wp:anchor distT="0" distB="0" distL="114300" distR="114300" simplePos="0" relativeHeight="251652608" behindDoc="1" locked="0" layoutInCell="1" allowOverlap="1" wp14:anchorId="3BF92E77" wp14:editId="42AAF84E">
            <wp:simplePos x="0" y="0"/>
            <wp:positionH relativeFrom="column">
              <wp:posOffset>-352425</wp:posOffset>
            </wp:positionH>
            <wp:positionV relativeFrom="paragraph">
              <wp:posOffset>-1325245</wp:posOffset>
            </wp:positionV>
            <wp:extent cx="5403850" cy="7667625"/>
            <wp:effectExtent l="0" t="0" r="6350" b="9525"/>
            <wp:wrapTight wrapText="bothSides">
              <wp:wrapPolygon edited="0">
                <wp:start x="0" y="0"/>
                <wp:lineTo x="0" y="21573"/>
                <wp:lineTo x="21549" y="21573"/>
                <wp:lineTo x="21549" y="0"/>
                <wp:lineTo x="0" y="0"/>
              </wp:wrapPolygon>
            </wp:wrapTight>
            <wp:docPr id="604659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59866" name=""/>
                    <pic:cNvPicPr/>
                  </pic:nvPicPr>
                  <pic:blipFill>
                    <a:blip r:embed="rId35">
                      <a:extLst>
                        <a:ext uri="{28A0092B-C50C-407E-A947-70E740481C1C}">
                          <a14:useLocalDpi xmlns:a14="http://schemas.microsoft.com/office/drawing/2010/main" val="0"/>
                        </a:ext>
                      </a:extLst>
                    </a:blip>
                    <a:stretch>
                      <a:fillRect/>
                    </a:stretch>
                  </pic:blipFill>
                  <pic:spPr>
                    <a:xfrm>
                      <a:off x="0" y="0"/>
                      <a:ext cx="5403850" cy="7667625"/>
                    </a:xfrm>
                    <a:prstGeom prst="rect">
                      <a:avLst/>
                    </a:prstGeom>
                  </pic:spPr>
                </pic:pic>
              </a:graphicData>
            </a:graphic>
            <wp14:sizeRelH relativeFrom="margin">
              <wp14:pctWidth>0</wp14:pctWidth>
            </wp14:sizeRelH>
            <wp14:sizeRelV relativeFrom="margin">
              <wp14:pctHeight>0</wp14:pctHeight>
            </wp14:sizeRelV>
          </wp:anchor>
        </w:drawing>
      </w:r>
      <w:bookmarkEnd w:id="29"/>
      <w:bookmarkEnd w:id="30"/>
      <w:bookmarkEnd w:id="31"/>
    </w:p>
    <w:p w14:paraId="33688CF0" w14:textId="39243374" w:rsidR="006829E9"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2" w:name="_Toc243730087"/>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7.2 Financial Resources</w:t>
      </w:r>
      <w:bookmarkEnd w:id="32"/>
    </w:p>
    <w:p w14:paraId="0C3AEDD3" w14:textId="77777777" w:rsidR="007703C5" w:rsidRPr="00D57350" w:rsidRDefault="007703C5" w:rsidP="007703C5">
      <w:pPr>
        <w:shd w:val="clear" w:color="auto" w:fill="FFFFFF"/>
        <w:spacing w:before="480" w:after="240" w:line="450" w:lineRule="atLeast"/>
        <w:ind w:left="360"/>
        <w:outlineLvl w:val="2"/>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3" w:name="_Toc243730089"/>
      <w:r w:rsidRPr="00D57350">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Resources Analysis</w:t>
      </w:r>
      <w:bookmarkEnd w:id="33"/>
    </w:p>
    <w:p w14:paraId="4BC27398" w14:textId="66E70ECA" w:rsidR="007703C5" w:rsidRPr="002351A4" w:rsidRDefault="007703C5" w:rsidP="002C7069">
      <w:pPr>
        <w:spacing w:line="276" w:lineRule="auto"/>
        <w:rPr>
          <w:rFonts w:ascii="Arial" w:hAnsi="Arial" w:cs="Arial"/>
          <w:lang w:eastAsia="en-GB"/>
        </w:rPr>
      </w:pPr>
      <w:r w:rsidRPr="002351A4">
        <w:rPr>
          <w:rFonts w:ascii="Arial" w:hAnsi="Arial" w:cs="Arial"/>
          <w:lang w:eastAsia="en-GB"/>
        </w:rPr>
        <w:t>The project has a total budget of £</w:t>
      </w:r>
      <w:r w:rsidR="007777E0" w:rsidRPr="002351A4">
        <w:rPr>
          <w:rFonts w:ascii="Arial" w:hAnsi="Arial" w:cs="Arial"/>
          <w:lang w:eastAsia="en-GB"/>
        </w:rPr>
        <w:t>220,000,</w:t>
      </w:r>
      <w:r w:rsidR="007777E0">
        <w:rPr>
          <w:rFonts w:ascii="Arial" w:hAnsi="Arial" w:cs="Arial"/>
          <w:lang w:eastAsia="en-GB"/>
        </w:rPr>
        <w:t xml:space="preserve"> as</w:t>
      </w:r>
      <w:r w:rsidR="003D60D6">
        <w:rPr>
          <w:rFonts w:ascii="Arial" w:hAnsi="Arial" w:cs="Arial"/>
          <w:lang w:eastAsia="en-GB"/>
        </w:rPr>
        <w:t xml:space="preserve"> explains in </w:t>
      </w:r>
      <w:r w:rsidR="007777E0">
        <w:rPr>
          <w:rFonts w:ascii="Arial" w:hAnsi="Arial" w:cs="Arial"/>
          <w:lang w:eastAsia="en-GB"/>
        </w:rPr>
        <w:t>figure 10 and table 7</w:t>
      </w:r>
      <w:r w:rsidRPr="002351A4">
        <w:rPr>
          <w:rFonts w:ascii="Arial" w:hAnsi="Arial" w:cs="Arial"/>
          <w:lang w:eastAsia="en-GB"/>
        </w:rPr>
        <w:t xml:space="preserve"> with Personnel Costs (£85,000; 38.6%) representing the largest proportion of expenditure, reflecting the need for skilled project, development, and testing resources. Technology and Infrastructure (£68,000; 30.9%) is the second-largest cost category, covering software, cloud services, and system infrastructure. A 12.3% contingency reserve (£27,000) has been allocated to mitigate unforeseen risks and cost overruns. The remaining budget is distributed between External Services (£28,000; 12.7%) and Training and Change Management (£12,000; 5.5%), ensuring regulatory compliance and successful user adoption.</w:t>
      </w:r>
    </w:p>
    <w:p w14:paraId="0FF3DCCA" w14:textId="15F29D70" w:rsidR="00ED3332" w:rsidRDefault="003E141B" w:rsidP="00ED3332">
      <w:pPr>
        <w:keepNext/>
      </w:pPr>
      <w:r w:rsidRPr="003E141B">
        <w:drawing>
          <wp:inline distT="0" distB="0" distL="0" distR="0" wp14:anchorId="178E89E3" wp14:editId="30BCCDB7">
            <wp:extent cx="4724400" cy="3239977"/>
            <wp:effectExtent l="0" t="0" r="0" b="0"/>
            <wp:docPr id="1733585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85286" name=""/>
                    <pic:cNvPicPr/>
                  </pic:nvPicPr>
                  <pic:blipFill>
                    <a:blip r:embed="rId36"/>
                    <a:stretch>
                      <a:fillRect/>
                    </a:stretch>
                  </pic:blipFill>
                  <pic:spPr>
                    <a:xfrm>
                      <a:off x="0" y="0"/>
                      <a:ext cx="4732366" cy="3245440"/>
                    </a:xfrm>
                    <a:prstGeom prst="rect">
                      <a:avLst/>
                    </a:prstGeom>
                  </pic:spPr>
                </pic:pic>
              </a:graphicData>
            </a:graphic>
          </wp:inline>
        </w:drawing>
      </w:r>
    </w:p>
    <w:p w14:paraId="1687BCE0" w14:textId="73F771DD" w:rsidR="00E7759E" w:rsidRPr="007777E0" w:rsidRDefault="00ED3332" w:rsidP="00ED3332">
      <w:pPr>
        <w:pStyle w:val="Caption"/>
        <w:jc w:val="center"/>
        <w:rPr>
          <w:rFonts w:ascii="Arial" w:hAnsi="Arial" w:cs="Arial"/>
          <w:b/>
          <w:bCs/>
          <w:color w:val="7030A0"/>
          <w:sz w:val="20"/>
          <w:szCs w:val="20"/>
        </w:rPr>
      </w:pPr>
      <w:r w:rsidRPr="007777E0">
        <w:rPr>
          <w:rFonts w:ascii="Arial" w:hAnsi="Arial" w:cs="Arial"/>
          <w:b/>
          <w:bCs/>
          <w:color w:val="7030A0"/>
          <w:sz w:val="20"/>
          <w:szCs w:val="20"/>
        </w:rPr>
        <w:t xml:space="preserve">Figure </w:t>
      </w:r>
      <w:r w:rsidR="00955E4D" w:rsidRPr="007777E0">
        <w:rPr>
          <w:rFonts w:ascii="Arial" w:hAnsi="Arial" w:cs="Arial"/>
          <w:b/>
          <w:bCs/>
          <w:color w:val="7030A0"/>
          <w:sz w:val="20"/>
          <w:szCs w:val="20"/>
        </w:rPr>
        <w:t>1</w:t>
      </w:r>
      <w:r w:rsidR="00E76C76" w:rsidRPr="007777E0">
        <w:rPr>
          <w:rFonts w:ascii="Arial" w:hAnsi="Arial" w:cs="Arial"/>
          <w:b/>
          <w:bCs/>
          <w:color w:val="7030A0"/>
          <w:sz w:val="20"/>
          <w:szCs w:val="20"/>
        </w:rPr>
        <w:t>0</w:t>
      </w:r>
      <w:r w:rsidRPr="007777E0">
        <w:rPr>
          <w:rFonts w:ascii="Arial" w:hAnsi="Arial" w:cs="Arial"/>
          <w:b/>
          <w:bCs/>
          <w:color w:val="7030A0"/>
          <w:sz w:val="20"/>
          <w:szCs w:val="20"/>
        </w:rPr>
        <w:t>: Financial Resources for Now Accounting</w:t>
      </w:r>
    </w:p>
    <w:p w14:paraId="00EFC422" w14:textId="1CAEA680" w:rsidR="002351A4" w:rsidRPr="002351A4" w:rsidRDefault="002351A4" w:rsidP="002351A4">
      <w:pPr>
        <w:shd w:val="clear" w:color="auto" w:fill="FFFFFF"/>
        <w:spacing w:before="240" w:after="240" w:line="276" w:lineRule="auto"/>
        <w:rPr>
          <w:rStyle w:val="Heading2Char"/>
          <w:rFonts w:ascii="Arial" w:eastAsia="Times New Roman" w:hAnsi="Arial" w:cs="Arial"/>
          <w:color w:val="0F1115"/>
          <w:kern w:val="0"/>
          <w:sz w:val="24"/>
          <w:szCs w:val="24"/>
          <w:lang w:eastAsia="en-GB"/>
          <w14:ligatures w14:val="none"/>
        </w:rPr>
      </w:pPr>
      <w:r w:rsidRPr="002351A4">
        <w:rPr>
          <w:rFonts w:ascii="Arial" w:eastAsia="Times New Roman" w:hAnsi="Arial" w:cs="Arial"/>
          <w:color w:val="0F1115"/>
          <w:kern w:val="0"/>
          <w:lang w:eastAsia="en-GB"/>
          <w14:ligatures w14:val="none"/>
        </w:rPr>
        <w:t>The financial appraisal adopts net present value (NPV) methodology, which discounts all net cash flows generated by the project to their present values using a discount rate that reflects the cost of funds and project risk. If the net present value is positive, the project is acceptable on quantifiable grounds because it will add value to the entity undertaking the project (HKICPA, 2010). Cost accounts and budget assignment ensure that work planning and budget allocation are clearly established, enabling estimates and actuals to be easily compared and potential savings to be identified as the project progresses (ICAI, 2024).</w:t>
      </w:r>
    </w:p>
    <w:p w14:paraId="11751149" w14:textId="2AF2C70E" w:rsidR="002351A4" w:rsidRPr="00D57350" w:rsidRDefault="00E1681D" w:rsidP="003F43B0">
      <w:pPr>
        <w:rPr>
          <w:rStyle w:val="Heading2Char"/>
          <w:rFonts w:ascii="Arial" w:hAnsi="Arial" w:cs="Arial"/>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mc:AlternateContent>
          <mc:Choice Requires="wps">
            <w:drawing>
              <wp:anchor distT="0" distB="0" distL="114300" distR="114300" simplePos="0" relativeHeight="251658752" behindDoc="1" locked="0" layoutInCell="1" allowOverlap="1" wp14:anchorId="5EE53C3C" wp14:editId="5CA68A87">
                <wp:simplePos x="0" y="0"/>
                <wp:positionH relativeFrom="page">
                  <wp:align>left</wp:align>
                </wp:positionH>
                <wp:positionV relativeFrom="paragraph">
                  <wp:posOffset>295275</wp:posOffset>
                </wp:positionV>
                <wp:extent cx="6426835" cy="457200"/>
                <wp:effectExtent l="0" t="0" r="0" b="0"/>
                <wp:wrapTight wrapText="bothSides">
                  <wp:wrapPolygon edited="0">
                    <wp:start x="0" y="0"/>
                    <wp:lineTo x="0" y="20700"/>
                    <wp:lineTo x="21512" y="20700"/>
                    <wp:lineTo x="21512" y="0"/>
                    <wp:lineTo x="0" y="0"/>
                  </wp:wrapPolygon>
                </wp:wrapTight>
                <wp:docPr id="774199142" name="Text Box 1"/>
                <wp:cNvGraphicFramePr/>
                <a:graphic xmlns:a="http://schemas.openxmlformats.org/drawingml/2006/main">
                  <a:graphicData uri="http://schemas.microsoft.com/office/word/2010/wordprocessingShape">
                    <wps:wsp>
                      <wps:cNvSpPr txBox="1"/>
                      <wps:spPr>
                        <a:xfrm>
                          <a:off x="0" y="0"/>
                          <a:ext cx="6426835" cy="457200"/>
                        </a:xfrm>
                        <a:prstGeom prst="rect">
                          <a:avLst/>
                        </a:prstGeom>
                        <a:solidFill>
                          <a:prstClr val="white"/>
                        </a:solidFill>
                        <a:ln>
                          <a:noFill/>
                        </a:ln>
                      </wps:spPr>
                      <wps:txbx>
                        <w:txbxContent>
                          <w:p w14:paraId="351CBE89" w14:textId="4BC1B0E3" w:rsidR="00E1681D" w:rsidRPr="00E1681D" w:rsidRDefault="00071C3A" w:rsidP="00E1681D">
                            <w:pPr>
                              <w:pStyle w:val="Caption"/>
                              <w:jc w:val="center"/>
                              <w:rPr>
                                <w:rFonts w:ascii="Arial" w:hAnsi="Arial" w:cs="Arial"/>
                                <w:b/>
                                <w:bCs/>
                                <w:color w:val="7030A0"/>
                                <w:sz w:val="20"/>
                                <w:szCs w:val="20"/>
                              </w:rPr>
                            </w:pPr>
                            <w:r>
                              <w:rPr>
                                <w:rFonts w:ascii="Arial" w:hAnsi="Arial" w:cs="Arial"/>
                                <w:b/>
                                <w:bCs/>
                                <w:color w:val="7030A0"/>
                                <w:sz w:val="20"/>
                                <w:szCs w:val="20"/>
                              </w:rPr>
                              <w:t>Table</w:t>
                            </w:r>
                            <w:r w:rsidR="00E1681D" w:rsidRPr="00E1681D">
                              <w:rPr>
                                <w:rFonts w:ascii="Arial" w:hAnsi="Arial" w:cs="Arial"/>
                                <w:b/>
                                <w:bCs/>
                                <w:color w:val="7030A0"/>
                                <w:sz w:val="20"/>
                                <w:szCs w:val="20"/>
                              </w:rPr>
                              <w:t xml:space="preserve"> </w:t>
                            </w:r>
                            <w:r w:rsidR="00E76C76">
                              <w:rPr>
                                <w:rFonts w:ascii="Arial" w:hAnsi="Arial" w:cs="Arial"/>
                                <w:b/>
                                <w:bCs/>
                                <w:color w:val="7030A0"/>
                                <w:sz w:val="20"/>
                                <w:szCs w:val="20"/>
                              </w:rPr>
                              <w:t>7</w:t>
                            </w:r>
                            <w:r w:rsidR="00E1681D" w:rsidRPr="00E1681D">
                              <w:rPr>
                                <w:rFonts w:ascii="Arial" w:hAnsi="Arial" w:cs="Arial"/>
                                <w:b/>
                                <w:bCs/>
                                <w:color w:val="7030A0"/>
                                <w:sz w:val="20"/>
                                <w:szCs w:val="20"/>
                              </w:rPr>
                              <w:t>: Total Project Budget Allocation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EE53C3C" id="_x0000_s1029" type="#_x0000_t202" style="position:absolute;margin-left:0;margin-top:23.25pt;width:506.05pt;height:36pt;z-index:-251657728;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" stroked="f">
                <v:textbox inset="0,0,0,0">
                  <w:txbxContent>
                    <w:p w14:paraId="351CBE89" w14:textId="4BC1B0E3" w:rsidR="00E1681D" w:rsidRPr="00E1681D" w:rsidRDefault="00071C3A" w:rsidP="00E1681D">
                      <w:pPr>
                        <w:pStyle w:val="Caption"/>
                        <w:jc w:val="center"/>
                        <w:rPr>
                          <w:rFonts w:ascii="Arial" w:hAnsi="Arial" w:cs="Arial"/>
                          <w:b/>
                          <w:bCs/>
                          <w:color w:val="7030A0"/>
                          <w:sz w:val="20"/>
                          <w:szCs w:val="20"/>
                        </w:rPr>
                      </w:pPr>
                      <w:r>
                        <w:rPr>
                          <w:rFonts w:ascii="Arial" w:hAnsi="Arial" w:cs="Arial"/>
                          <w:b/>
                          <w:bCs/>
                          <w:color w:val="7030A0"/>
                          <w:sz w:val="20"/>
                          <w:szCs w:val="20"/>
                        </w:rPr>
                        <w:t>Table</w:t>
                      </w:r>
                      <w:r w:rsidR="00E1681D" w:rsidRPr="00E1681D">
                        <w:rPr>
                          <w:rFonts w:ascii="Arial" w:hAnsi="Arial" w:cs="Arial"/>
                          <w:b/>
                          <w:bCs/>
                          <w:color w:val="7030A0"/>
                          <w:sz w:val="20"/>
                          <w:szCs w:val="20"/>
                        </w:rPr>
                        <w:t xml:space="preserve"> </w:t>
                      </w:r>
                      <w:r w:rsidR="00E76C76">
                        <w:rPr>
                          <w:rFonts w:ascii="Arial" w:hAnsi="Arial" w:cs="Arial"/>
                          <w:b/>
                          <w:bCs/>
                          <w:color w:val="7030A0"/>
                          <w:sz w:val="20"/>
                          <w:szCs w:val="20"/>
                        </w:rPr>
                        <w:t>7</w:t>
                      </w:r>
                      <w:r w:rsidR="00E1681D" w:rsidRPr="00E1681D">
                        <w:rPr>
                          <w:rFonts w:ascii="Arial" w:hAnsi="Arial" w:cs="Arial"/>
                          <w:b/>
                          <w:bCs/>
                          <w:color w:val="7030A0"/>
                          <w:sz w:val="20"/>
                          <w:szCs w:val="20"/>
                        </w:rPr>
                        <w:t>: Total Project Budget Allocation</w:t>
                      </w:r>
                    </w:p>
                  </w:txbxContent>
                </v:textbox>
                <w10:wrap type="tight" anchorx="page"/>
              </v:shape>
            </w:pict>
          </mc:Fallback>
        </mc:AlternateContent>
      </w:r>
    </w:p>
    <w:p w14:paraId="458FD5F5" w14:textId="764407F9" w:rsidR="0089711F" w:rsidRDefault="00E1681D" w:rsidP="003F43B0">
      <w:pPr>
        <w:rPr>
          <w:rFonts w:ascii="Arial" w:eastAsia="Times New Roman" w:hAnsi="Arial" w:cs="Arial"/>
          <w:b/>
          <w:bCs/>
          <w:color w:val="0F1115"/>
          <w:kern w:val="0"/>
          <w:lang w:eastAsia="en-GB"/>
          <w14:ligatures w14:val="none"/>
        </w:rPr>
      </w:pPr>
      <w:r w:rsidRPr="00E1681D">
        <w:rPr>
          <w:rFonts w:ascii="Arial" w:eastAsia="Times New Roman" w:hAnsi="Arial" w:cs="Arial"/>
          <w:noProof/>
          <w:color w:val="0F1115"/>
          <w:kern w:val="0"/>
          <w:lang w:eastAsia="en-GB"/>
          <w14:ligatures w14:val="none"/>
        </w:rPr>
        <w:drawing>
          <wp:anchor distT="0" distB="0" distL="114300" distR="114300" simplePos="0" relativeHeight="251657728" behindDoc="1" locked="0" layoutInCell="1" allowOverlap="1" wp14:anchorId="41AB03C1" wp14:editId="49BC4B02">
            <wp:simplePos x="0" y="0"/>
            <wp:positionH relativeFrom="column">
              <wp:posOffset>-336550</wp:posOffset>
            </wp:positionH>
            <wp:positionV relativeFrom="paragraph">
              <wp:posOffset>299720</wp:posOffset>
            </wp:positionV>
            <wp:extent cx="6426835" cy="3065780"/>
            <wp:effectExtent l="0" t="0" r="0" b="1270"/>
            <wp:wrapTight wrapText="bothSides">
              <wp:wrapPolygon edited="0">
                <wp:start x="0" y="0"/>
                <wp:lineTo x="0" y="21475"/>
                <wp:lineTo x="21512" y="21475"/>
                <wp:lineTo x="21512" y="0"/>
                <wp:lineTo x="0" y="0"/>
              </wp:wrapPolygon>
            </wp:wrapTight>
            <wp:docPr id="1015416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416307" name=""/>
                    <pic:cNvPicPr/>
                  </pic:nvPicPr>
                  <pic:blipFill>
                    <a:blip r:embed="rId37">
                      <a:extLst>
                        <a:ext uri="{28A0092B-C50C-407E-A947-70E740481C1C}">
                          <a14:useLocalDpi xmlns:a14="http://schemas.microsoft.com/office/drawing/2010/main" val="0"/>
                        </a:ext>
                      </a:extLst>
                    </a:blip>
                    <a:stretch>
                      <a:fillRect/>
                    </a:stretch>
                  </pic:blipFill>
                  <pic:spPr>
                    <a:xfrm>
                      <a:off x="0" y="0"/>
                      <a:ext cx="6426835" cy="3065780"/>
                    </a:xfrm>
                    <a:prstGeom prst="rect">
                      <a:avLst/>
                    </a:prstGeom>
                  </pic:spPr>
                </pic:pic>
              </a:graphicData>
            </a:graphic>
            <wp14:sizeRelH relativeFrom="margin">
              <wp14:pctWidth>0</wp14:pctWidth>
            </wp14:sizeRelH>
            <wp14:sizeRelV relativeFrom="margin">
              <wp14:pctHeight>0</wp14:pctHeight>
            </wp14:sizeRelV>
          </wp:anchor>
        </w:drawing>
      </w:r>
      <w:r w:rsidR="0089711F" w:rsidRPr="00D57350">
        <w:rPr>
          <w:rFonts w:ascii="Arial" w:eastAsia="Times New Roman" w:hAnsi="Arial" w:cs="Arial"/>
          <w:b/>
          <w:bCs/>
          <w:color w:val="0F1115"/>
          <w:kern w:val="0"/>
          <w:lang w:eastAsia="en-GB"/>
          <w14:ligatures w14:val="none"/>
        </w:rPr>
        <w:t>Total Project Budget: £220,000</w:t>
      </w:r>
    </w:p>
    <w:p w14:paraId="632FC91A" w14:textId="77777777" w:rsidR="00E1681D" w:rsidRDefault="00E1681D" w:rsidP="009F3BE0">
      <w:pPr>
        <w:pStyle w:val="Heading2"/>
        <w:rPr>
          <w:rStyle w:val="Heading2Char"/>
          <w:rFonts w:ascii="Arial" w:hAnsi="Arial" w:cs="Arial"/>
        </w:rPr>
      </w:pPr>
      <w:bookmarkStart w:id="34" w:name="_Toc243730090"/>
    </w:p>
    <w:p w14:paraId="49A00115" w14:textId="58EEFB69" w:rsidR="0089711F"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 Technology Resources</w:t>
      </w:r>
      <w:bookmarkEnd w:id="34"/>
    </w:p>
    <w:p w14:paraId="541E2E56" w14:textId="53E47D4E" w:rsidR="00782C13" w:rsidRPr="00D57350" w:rsidRDefault="00782C13" w:rsidP="00805DB1">
      <w:pPr>
        <w:rPr>
          <w:rFonts w:ascii="Arial" w:hAnsi="Arial" w:cs="Arial"/>
          <w:lang w:eastAsia="en-GB"/>
        </w:rPr>
      </w:pPr>
    </w:p>
    <w:p w14:paraId="6F3991C7" w14:textId="77777777" w:rsidR="008B78E2" w:rsidRPr="00D57350" w:rsidRDefault="008B78E2" w:rsidP="008B78E2">
      <w:pPr>
        <w:shd w:val="clear" w:color="auto" w:fill="FFFFFF"/>
        <w:spacing w:before="480" w:after="240" w:line="450" w:lineRule="atLeast"/>
        <w:outlineLvl w:val="2"/>
        <w:rPr>
          <w:rFonts w:ascii="Arial" w:eastAsia="Times New Roman" w:hAnsi="Arial" w:cs="Arial"/>
          <w:b/>
          <w:bCs/>
          <w:color w:val="0F1115"/>
          <w:kern w:val="0"/>
          <w:sz w:val="30"/>
          <w:szCs w:val="30"/>
          <w:lang w:eastAsia="en-GB"/>
          <w14:ligatures w14:val="none"/>
        </w:rPr>
      </w:pPr>
      <w:bookmarkStart w:id="35" w:name="_Toc243730091"/>
      <w:bookmarkStart w:id="36" w:name="_Toc243906356"/>
      <w:r w:rsidRPr="00D57350">
        <w:rPr>
          <w:rFonts w:ascii="Arial" w:eastAsia="Times New Roman" w:hAnsi="Arial" w:cs="Arial"/>
          <w:b/>
          <w:bCs/>
          <w:color w:val="0F1115"/>
          <w:kern w:val="0"/>
          <w:sz w:val="30"/>
          <w:szCs w:val="30"/>
          <w:lang w:eastAsia="en-GB"/>
          <w14:ligatures w14:val="none"/>
        </w:rPr>
        <w:t>Analysis</w:t>
      </w:r>
      <w:bookmarkEnd w:id="35"/>
      <w:bookmarkEnd w:id="36"/>
    </w:p>
    <w:p w14:paraId="0E9A7396" w14:textId="70655481" w:rsidR="008B78E2" w:rsidRPr="002C7069" w:rsidRDefault="008B78E2" w:rsidP="002351A4">
      <w:pPr>
        <w:spacing w:line="276" w:lineRule="auto"/>
        <w:rPr>
          <w:rFonts w:ascii="Arial" w:hAnsi="Arial" w:cs="Arial"/>
          <w:sz w:val="22"/>
          <w:szCs w:val="22"/>
          <w:lang w:eastAsia="en-GB"/>
        </w:rPr>
      </w:pPr>
      <w:r w:rsidRPr="002351A4">
        <w:rPr>
          <w:rFonts w:ascii="Arial" w:hAnsi="Arial" w:cs="Arial"/>
          <w:lang w:eastAsia="en-GB"/>
        </w:rPr>
        <w:t xml:space="preserve">The Technology Resources Plan </w:t>
      </w:r>
      <w:r w:rsidR="0076415D">
        <w:rPr>
          <w:rFonts w:ascii="Arial" w:hAnsi="Arial" w:cs="Arial"/>
          <w:lang w:eastAsia="en-GB"/>
        </w:rPr>
        <w:t>as ex</w:t>
      </w:r>
      <w:r w:rsidR="000E3D79">
        <w:rPr>
          <w:rFonts w:ascii="Arial" w:hAnsi="Arial" w:cs="Arial"/>
          <w:lang w:eastAsia="en-GB"/>
        </w:rPr>
        <w:t xml:space="preserve">plains in figure 11 and table 8, </w:t>
      </w:r>
      <w:r w:rsidRPr="002351A4">
        <w:rPr>
          <w:rFonts w:ascii="Arial" w:hAnsi="Arial" w:cs="Arial"/>
          <w:lang w:eastAsia="en-GB"/>
        </w:rPr>
        <w:t>identifies the core technical infrastructure and tools required to support development, testing, deployment, security, and project management activities. Cloud Infrastructure provides scalable and secure hosting through AWS or Azure enterprise services, while the Development Environment supports coding, version control, and continuous integration through GitHub Enterprise and CI/CD pipelines. The HMRC API Sandbox enables safe testing of Making Tax Digital (MTD) integrations before production deployment. Security Tools ensure compliance with cybersecurity and HMRC requirements through encryption, vulnerability scanning, and fraud prevention controls. Finally, Project Management Tools such as Jira, Microsoft Project, and Confluence support planning, collaboration, progress tracking, and project governance throughout the project lifecycle</w:t>
      </w:r>
      <w:r w:rsidRPr="002C7069">
        <w:rPr>
          <w:rFonts w:ascii="Arial" w:hAnsi="Arial" w:cs="Arial"/>
          <w:sz w:val="22"/>
          <w:szCs w:val="22"/>
          <w:lang w:eastAsia="en-GB"/>
        </w:rPr>
        <w:t>.</w:t>
      </w:r>
    </w:p>
    <w:p w14:paraId="2D895EA9" w14:textId="77777777" w:rsidR="008B78E2" w:rsidRDefault="008B78E2" w:rsidP="00805DB1">
      <w:pPr>
        <w:rPr>
          <w:rFonts w:ascii="Arial" w:hAnsi="Arial" w:cs="Arial"/>
          <w:sz w:val="30"/>
          <w:szCs w:val="30"/>
          <w:lang w:eastAsia="en-GB"/>
        </w:rPr>
      </w:pPr>
    </w:p>
    <w:p w14:paraId="6A22EBC4" w14:textId="7E9FD45F" w:rsidR="00E1681D" w:rsidRDefault="00E1681D" w:rsidP="00805DB1">
      <w:pPr>
        <w:rPr>
          <w:rFonts w:ascii="Arial" w:hAnsi="Arial" w:cs="Arial"/>
          <w:sz w:val="30"/>
          <w:szCs w:val="30"/>
          <w:lang w:eastAsia="en-GB"/>
        </w:rPr>
      </w:pPr>
      <w:r w:rsidRPr="00D57350">
        <w:rPr>
          <w:rFonts w:ascii="Arial" w:hAnsi="Arial" w:cs="Arial"/>
          <w:noProof/>
          <w:lang w:eastAsia="en-GB"/>
        </w:rPr>
        <w:lastRenderedPageBreak/>
        <w:drawing>
          <wp:inline distT="0" distB="0" distL="0" distR="0" wp14:anchorId="54A340A3" wp14:editId="72844D02">
            <wp:extent cx="5731510" cy="3751580"/>
            <wp:effectExtent l="0" t="0" r="2540" b="1270"/>
            <wp:docPr id="546118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118217" name=""/>
                    <pic:cNvPicPr/>
                  </pic:nvPicPr>
                  <pic:blipFill>
                    <a:blip r:embed="rId38"/>
                    <a:stretch>
                      <a:fillRect/>
                    </a:stretch>
                  </pic:blipFill>
                  <pic:spPr>
                    <a:xfrm>
                      <a:off x="0" y="0"/>
                      <a:ext cx="5731510" cy="3751580"/>
                    </a:xfrm>
                    <a:prstGeom prst="rect">
                      <a:avLst/>
                    </a:prstGeom>
                  </pic:spPr>
                </pic:pic>
              </a:graphicData>
            </a:graphic>
          </wp:inline>
        </w:drawing>
      </w:r>
    </w:p>
    <w:p w14:paraId="1EF9059C" w14:textId="72CA02B3" w:rsidR="00E1681D" w:rsidRPr="00E1681D" w:rsidRDefault="00E1681D" w:rsidP="00E1681D">
      <w:pPr>
        <w:pStyle w:val="Caption"/>
        <w:jc w:val="center"/>
        <w:rPr>
          <w:rFonts w:ascii="Arial" w:hAnsi="Arial" w:cs="Arial"/>
          <w:b/>
          <w:bCs/>
          <w:color w:val="7030A0"/>
          <w:sz w:val="20"/>
          <w:szCs w:val="20"/>
        </w:rPr>
      </w:pPr>
      <w:r w:rsidRPr="00E1681D">
        <w:rPr>
          <w:rFonts w:ascii="Arial" w:hAnsi="Arial" w:cs="Arial"/>
          <w:b/>
          <w:bCs/>
          <w:color w:val="7030A0"/>
          <w:sz w:val="20"/>
          <w:szCs w:val="20"/>
        </w:rPr>
        <w:t xml:space="preserve">Figure </w:t>
      </w:r>
      <w:r w:rsidR="00071C3A">
        <w:rPr>
          <w:rFonts w:ascii="Arial" w:hAnsi="Arial" w:cs="Arial"/>
          <w:b/>
          <w:bCs/>
          <w:color w:val="7030A0"/>
          <w:sz w:val="20"/>
          <w:szCs w:val="20"/>
        </w:rPr>
        <w:t>11</w:t>
      </w:r>
      <w:r w:rsidRPr="00E1681D">
        <w:rPr>
          <w:rFonts w:ascii="Arial" w:hAnsi="Arial" w:cs="Arial"/>
          <w:b/>
          <w:bCs/>
          <w:color w:val="7030A0"/>
          <w:sz w:val="20"/>
          <w:szCs w:val="20"/>
        </w:rPr>
        <w:t>: Technology in Now Accounting</w:t>
      </w:r>
    </w:p>
    <w:p w14:paraId="3980D85C" w14:textId="77777777" w:rsidR="00E1681D" w:rsidRDefault="00E1681D" w:rsidP="00805DB1">
      <w:pPr>
        <w:rPr>
          <w:rFonts w:ascii="Arial" w:hAnsi="Arial" w:cs="Arial"/>
          <w:sz w:val="30"/>
          <w:szCs w:val="30"/>
          <w:lang w:eastAsia="en-GB"/>
        </w:rPr>
      </w:pPr>
    </w:p>
    <w:p w14:paraId="66DF5DB1" w14:textId="3AAEB127" w:rsidR="00997DBB" w:rsidRPr="00997DBB" w:rsidRDefault="00071C3A" w:rsidP="00997DBB">
      <w:pPr>
        <w:pStyle w:val="Caption"/>
        <w:jc w:val="center"/>
        <w:rPr>
          <w:rFonts w:ascii="Arial" w:hAnsi="Arial" w:cs="Arial"/>
          <w:b/>
          <w:bCs/>
          <w:color w:val="7030A0"/>
          <w:sz w:val="20"/>
          <w:szCs w:val="20"/>
        </w:rPr>
      </w:pPr>
      <w:r>
        <w:rPr>
          <w:rFonts w:ascii="Arial" w:hAnsi="Arial" w:cs="Arial"/>
          <w:b/>
          <w:bCs/>
          <w:color w:val="7030A0"/>
          <w:sz w:val="20"/>
          <w:szCs w:val="20"/>
        </w:rPr>
        <w:t>Table 8:</w:t>
      </w:r>
      <w:r w:rsidR="00997DBB" w:rsidRPr="00997DBB">
        <w:rPr>
          <w:rFonts w:ascii="Arial" w:hAnsi="Arial" w:cs="Arial"/>
          <w:b/>
          <w:bCs/>
          <w:color w:val="7030A0"/>
          <w:sz w:val="20"/>
          <w:szCs w:val="20"/>
        </w:rPr>
        <w:t xml:space="preserve"> Technology </w:t>
      </w:r>
      <w:r w:rsidR="00997DBB" w:rsidRPr="00997DBB">
        <w:rPr>
          <w:rFonts w:ascii="Arial" w:hAnsi="Arial" w:cs="Arial"/>
          <w:noProof/>
          <w:sz w:val="30"/>
          <w:szCs w:val="30"/>
          <w:lang w:eastAsia="en-GB"/>
        </w:rPr>
        <w:drawing>
          <wp:inline distT="0" distB="0" distL="0" distR="0" wp14:anchorId="6BE46763" wp14:editId="6B37ED0F">
            <wp:extent cx="5731510" cy="4088614"/>
            <wp:effectExtent l="0" t="0" r="2540" b="7620"/>
            <wp:docPr id="1111970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970779" name=""/>
                    <pic:cNvPicPr/>
                  </pic:nvPicPr>
                  <pic:blipFill>
                    <a:blip r:embed="rId39"/>
                    <a:stretch>
                      <a:fillRect/>
                    </a:stretch>
                  </pic:blipFill>
                  <pic:spPr>
                    <a:xfrm>
                      <a:off x="0" y="0"/>
                      <a:ext cx="5731510" cy="4088614"/>
                    </a:xfrm>
                    <a:prstGeom prst="rect">
                      <a:avLst/>
                    </a:prstGeom>
                  </pic:spPr>
                </pic:pic>
              </a:graphicData>
            </a:graphic>
          </wp:inline>
        </w:drawing>
      </w:r>
    </w:p>
    <w:p w14:paraId="299445FA" w14:textId="2639B276" w:rsidR="00997DBB" w:rsidRPr="00D57350" w:rsidRDefault="00997DBB" w:rsidP="00805DB1">
      <w:pPr>
        <w:rPr>
          <w:rFonts w:ascii="Arial" w:hAnsi="Arial" w:cs="Arial"/>
          <w:sz w:val="30"/>
          <w:szCs w:val="30"/>
          <w:lang w:eastAsia="en-GB"/>
        </w:rPr>
      </w:pPr>
    </w:p>
    <w:p w14:paraId="36FEB29E" w14:textId="77777777" w:rsidR="0089711F" w:rsidRPr="004570ED" w:rsidRDefault="0089711F" w:rsidP="009F3BE0">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7" w:name="_Toc243730092"/>
      <w:r w:rsidRPr="004570ED">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Project Monitoring and Control</w:t>
      </w:r>
      <w:bookmarkEnd w:id="37"/>
    </w:p>
    <w:p w14:paraId="6417338F" w14:textId="77777777" w:rsidR="0089711F"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243730093"/>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8.1 Performance Monitoring</w:t>
      </w:r>
      <w:bookmarkEnd w:id="38"/>
    </w:p>
    <w:p w14:paraId="6921DED2" w14:textId="77777777" w:rsidR="0089711F" w:rsidRPr="00267109" w:rsidRDefault="0089711F" w:rsidP="002C7069">
      <w:pPr>
        <w:shd w:val="clear" w:color="auto" w:fill="FFFFFF"/>
        <w:spacing w:before="240" w:after="240" w:line="276" w:lineRule="auto"/>
        <w:rPr>
          <w:rFonts w:ascii="Arial" w:eastAsia="Times New Roman" w:hAnsi="Arial" w:cs="Arial"/>
          <w:color w:val="0F1115"/>
          <w:kern w:val="0"/>
          <w:lang w:eastAsia="en-GB"/>
          <w14:ligatures w14:val="none"/>
        </w:rPr>
      </w:pPr>
      <w:r w:rsidRPr="00267109">
        <w:rPr>
          <w:rFonts w:ascii="Arial" w:eastAsia="Times New Roman" w:hAnsi="Arial" w:cs="Arial"/>
          <w:color w:val="0F1115"/>
          <w:kern w:val="0"/>
          <w:lang w:eastAsia="en-GB"/>
          <w14:ligatures w14:val="none"/>
        </w:rPr>
        <w:t>Effective project control requires mechanisms to detect variances against the plan (monitoring) and responses to manage those variances (control) (Turner, 2025). Project executing involves coordinating people and resources, integrating and performing the activities of the project in accordance with the project management plan (Waterworth and Gavin, 2024).</w:t>
      </w:r>
    </w:p>
    <w:p w14:paraId="536E1161" w14:textId="77777777" w:rsidR="0089711F" w:rsidRPr="00267109" w:rsidRDefault="0089711F" w:rsidP="002C7069">
      <w:pPr>
        <w:shd w:val="clear" w:color="auto" w:fill="FFFFFF"/>
        <w:spacing w:before="240" w:after="240" w:line="276" w:lineRule="auto"/>
        <w:rPr>
          <w:rFonts w:ascii="Arial" w:eastAsia="Times New Roman" w:hAnsi="Arial" w:cs="Arial"/>
          <w:color w:val="0F1115"/>
          <w:kern w:val="0"/>
          <w:lang w:eastAsia="en-GB"/>
          <w14:ligatures w14:val="none"/>
        </w:rPr>
      </w:pPr>
      <w:r w:rsidRPr="00267109">
        <w:rPr>
          <w:rFonts w:ascii="Arial" w:eastAsia="Times New Roman" w:hAnsi="Arial" w:cs="Arial"/>
          <w:b/>
          <w:bCs/>
          <w:color w:val="0F1115"/>
          <w:kern w:val="0"/>
          <w:lang w:eastAsia="en-GB"/>
          <w14:ligatures w14:val="none"/>
        </w:rPr>
        <w:t>Schedule Performance:</w:t>
      </w:r>
      <w:r w:rsidRPr="00267109">
        <w:rPr>
          <w:rFonts w:ascii="Arial" w:eastAsia="Times New Roman" w:hAnsi="Arial" w:cs="Arial"/>
          <w:color w:val="0F1115"/>
          <w:kern w:val="0"/>
          <w:lang w:eastAsia="en-GB"/>
          <w14:ligatures w14:val="none"/>
        </w:rPr>
        <w:t xml:space="preserve"> Milestone tracking, critical path analysis, and schedule variance analysis using Earned Schedule methodology. Research on earned schedule demonstrates that it provides more accurate schedule forecasting than traditional Earned Value Management, particularly for time-based predictions (Lipke, 2019).</w:t>
      </w:r>
    </w:p>
    <w:p w14:paraId="409D9014" w14:textId="77777777" w:rsidR="0089711F" w:rsidRPr="00267109" w:rsidRDefault="0089711F" w:rsidP="002C7069">
      <w:pPr>
        <w:shd w:val="clear" w:color="auto" w:fill="FFFFFF"/>
        <w:spacing w:before="240" w:after="240" w:line="276" w:lineRule="auto"/>
        <w:rPr>
          <w:rFonts w:ascii="Arial" w:eastAsia="Times New Roman" w:hAnsi="Arial" w:cs="Arial"/>
          <w:color w:val="0F1115"/>
          <w:kern w:val="0"/>
          <w:lang w:eastAsia="en-GB"/>
          <w14:ligatures w14:val="none"/>
        </w:rPr>
      </w:pPr>
      <w:r w:rsidRPr="00267109">
        <w:rPr>
          <w:rFonts w:ascii="Arial" w:eastAsia="Times New Roman" w:hAnsi="Arial" w:cs="Arial"/>
          <w:b/>
          <w:bCs/>
          <w:color w:val="0F1115"/>
          <w:kern w:val="0"/>
          <w:lang w:eastAsia="en-GB"/>
          <w14:ligatures w14:val="none"/>
        </w:rPr>
        <w:t>Cost Performance:</w:t>
      </w:r>
      <w:r w:rsidRPr="00267109">
        <w:rPr>
          <w:rFonts w:ascii="Arial" w:eastAsia="Times New Roman" w:hAnsi="Arial" w:cs="Arial"/>
          <w:color w:val="0F1115"/>
          <w:kern w:val="0"/>
          <w:lang w:eastAsia="en-GB"/>
          <w14:ligatures w14:val="none"/>
        </w:rPr>
        <w:t xml:space="preserve"> Budget tracking, Earned Value Management (EVM) metrics, and variance analysis using Cost Performance Index (CPI). The EVM method integrates scope, schedule, and resources to objectively measure project performance and progress, helping project managers clearly see where their project is headed compared to where it is supposed to be (Anbari, 2003).</w:t>
      </w:r>
    </w:p>
    <w:p w14:paraId="77AD20EF" w14:textId="77777777" w:rsidR="0089711F" w:rsidRPr="00267109" w:rsidRDefault="0089711F" w:rsidP="002C7069">
      <w:pPr>
        <w:shd w:val="clear" w:color="auto" w:fill="FFFFFF"/>
        <w:spacing w:before="240" w:after="240" w:line="276" w:lineRule="auto"/>
        <w:rPr>
          <w:rFonts w:ascii="Arial" w:eastAsia="Times New Roman" w:hAnsi="Arial" w:cs="Arial"/>
          <w:color w:val="0F1115"/>
          <w:kern w:val="0"/>
          <w:lang w:eastAsia="en-GB"/>
          <w14:ligatures w14:val="none"/>
        </w:rPr>
      </w:pPr>
      <w:r w:rsidRPr="00267109">
        <w:rPr>
          <w:rFonts w:ascii="Arial" w:eastAsia="Times New Roman" w:hAnsi="Arial" w:cs="Arial"/>
          <w:b/>
          <w:bCs/>
          <w:color w:val="0F1115"/>
          <w:kern w:val="0"/>
          <w:lang w:eastAsia="en-GB"/>
          <w14:ligatures w14:val="none"/>
        </w:rPr>
        <w:t>Quality Performance:</w:t>
      </w:r>
      <w:r w:rsidRPr="00267109">
        <w:rPr>
          <w:rFonts w:ascii="Arial" w:eastAsia="Times New Roman" w:hAnsi="Arial" w:cs="Arial"/>
          <w:color w:val="0F1115"/>
          <w:kern w:val="0"/>
          <w:lang w:eastAsia="en-GB"/>
          <w14:ligatures w14:val="none"/>
        </w:rPr>
        <w:t xml:space="preserve"> Testing results, defect tracking, and acceptance criteria verification, including HMRC API compliance testing.</w:t>
      </w:r>
    </w:p>
    <w:p w14:paraId="60E61359" w14:textId="060B560E" w:rsidR="00267109" w:rsidRPr="00071C3A" w:rsidRDefault="0089711F" w:rsidP="00071C3A">
      <w:pPr>
        <w:shd w:val="clear" w:color="auto" w:fill="FFFFFF"/>
        <w:spacing w:before="240" w:after="240" w:line="276" w:lineRule="auto"/>
        <w:rPr>
          <w:rStyle w:val="Heading2Char"/>
          <w:rFonts w:ascii="Arial" w:eastAsia="Times New Roman" w:hAnsi="Arial" w:cs="Arial"/>
          <w:color w:val="0F1115"/>
          <w:kern w:val="0"/>
          <w:sz w:val="24"/>
          <w:szCs w:val="24"/>
          <w:lang w:eastAsia="en-GB"/>
          <w14:ligatures w14:val="none"/>
        </w:rPr>
      </w:pPr>
      <w:r w:rsidRPr="00267109">
        <w:rPr>
          <w:rFonts w:ascii="Arial" w:eastAsia="Times New Roman" w:hAnsi="Arial" w:cs="Arial"/>
          <w:b/>
          <w:bCs/>
          <w:color w:val="0F1115"/>
          <w:kern w:val="0"/>
          <w:lang w:eastAsia="en-GB"/>
          <w14:ligatures w14:val="none"/>
        </w:rPr>
        <w:t>Scope Performance:</w:t>
      </w:r>
      <w:r w:rsidRPr="00267109">
        <w:rPr>
          <w:rFonts w:ascii="Arial" w:eastAsia="Times New Roman" w:hAnsi="Arial" w:cs="Arial"/>
          <w:color w:val="0F1115"/>
          <w:kern w:val="0"/>
          <w:lang w:eastAsia="en-GB"/>
          <w14:ligatures w14:val="none"/>
        </w:rPr>
        <w:t xml:space="preserve"> Change control log, scope creep monitoring, and requirements traceability. HMRC's final evaluation found that 45% of businesses reported MTD software saved time, with 66% of those using the saved time for productivity improvements (</w:t>
      </w:r>
      <w:hyperlink r:id="rId40" w:tgtFrame="_blank" w:history="1">
        <w:r w:rsidRPr="00267109">
          <w:rPr>
            <w:rFonts w:ascii="Arial" w:eastAsia="Times New Roman" w:hAnsi="Arial" w:cs="Arial"/>
            <w:color w:val="3964FE"/>
            <w:kern w:val="0"/>
            <w:bdr w:val="single" w:sz="12" w:space="0" w:color="auto" w:frame="1"/>
            <w:lang w:eastAsia="en-GB"/>
            <w14:ligatures w14:val="none"/>
          </w:rPr>
          <w:t>GOV.UK</w:t>
        </w:r>
      </w:hyperlink>
      <w:r w:rsidRPr="00267109">
        <w:rPr>
          <w:rFonts w:ascii="Arial" w:eastAsia="Times New Roman" w:hAnsi="Arial" w:cs="Arial"/>
          <w:color w:val="0F1115"/>
          <w:kern w:val="0"/>
          <w:lang w:eastAsia="en-GB"/>
          <w14:ligatures w14:val="none"/>
        </w:rPr>
        <w:t>, 2025a).</w:t>
      </w:r>
      <w:bookmarkStart w:id="39" w:name="_Toc243730094"/>
    </w:p>
    <w:p w14:paraId="759C168F" w14:textId="77777777" w:rsidR="00267109" w:rsidRDefault="00267109" w:rsidP="00BB505D">
      <w:pPr>
        <w:pStyle w:val="Heading2"/>
        <w:rPr>
          <w:rStyle w:val="Heading2Char"/>
          <w:rFonts w:ascii="Arial" w:hAnsi="Arial" w:cs="Arial"/>
        </w:rPr>
      </w:pPr>
    </w:p>
    <w:p w14:paraId="624CAC10" w14:textId="75811F56" w:rsidR="0089711F"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8.2 Monitoring Mechanisms</w:t>
      </w:r>
      <w:bookmarkEnd w:id="39"/>
    </w:p>
    <w:p w14:paraId="1DED3D31" w14:textId="3AA5A399" w:rsidR="00B76A7B" w:rsidRPr="00B76A7B" w:rsidRDefault="00F05ACE" w:rsidP="00B76A7B">
      <w:pPr>
        <w:pStyle w:val="Caption"/>
        <w:keepNext/>
        <w:jc w:val="center"/>
        <w:rPr>
          <w:rFonts w:ascii="Arial" w:hAnsi="Arial" w:cs="Arial"/>
          <w:b/>
          <w:bCs/>
          <w:color w:val="7030A0"/>
          <w:sz w:val="20"/>
          <w:szCs w:val="20"/>
        </w:rPr>
      </w:pPr>
      <w:r>
        <w:rPr>
          <w:rFonts w:ascii="Arial" w:hAnsi="Arial" w:cs="Arial"/>
          <w:b/>
          <w:bCs/>
          <w:color w:val="7030A0"/>
          <w:sz w:val="20"/>
          <w:szCs w:val="20"/>
        </w:rPr>
        <w:t>Table 9</w:t>
      </w:r>
      <w:r w:rsidR="00B76A7B" w:rsidRPr="00B76A7B">
        <w:rPr>
          <w:rFonts w:ascii="Arial" w:hAnsi="Arial" w:cs="Arial"/>
          <w:b/>
          <w:bCs/>
          <w:color w:val="7030A0"/>
          <w:sz w:val="20"/>
          <w:szCs w:val="20"/>
        </w:rPr>
        <w:t>: Monitoring Mechanisms</w:t>
      </w:r>
    </w:p>
    <w:p w14:paraId="0C921583" w14:textId="6E976F1C" w:rsidR="00267109" w:rsidRPr="00267109" w:rsidRDefault="00267109" w:rsidP="00267109">
      <w:r w:rsidRPr="00267109">
        <w:rPr>
          <w:noProof/>
        </w:rPr>
        <w:drawing>
          <wp:inline distT="0" distB="0" distL="0" distR="0" wp14:anchorId="428E799C" wp14:editId="4FF24F15">
            <wp:extent cx="6333289" cy="6669742"/>
            <wp:effectExtent l="0" t="0" r="0" b="0"/>
            <wp:docPr id="617203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03765" name=""/>
                    <pic:cNvPicPr/>
                  </pic:nvPicPr>
                  <pic:blipFill>
                    <a:blip r:embed="rId41"/>
                    <a:stretch>
                      <a:fillRect/>
                    </a:stretch>
                  </pic:blipFill>
                  <pic:spPr>
                    <a:xfrm>
                      <a:off x="0" y="0"/>
                      <a:ext cx="6343727" cy="6680734"/>
                    </a:xfrm>
                    <a:prstGeom prst="rect">
                      <a:avLst/>
                    </a:prstGeom>
                  </pic:spPr>
                </pic:pic>
              </a:graphicData>
            </a:graphic>
          </wp:inline>
        </w:drawing>
      </w:r>
    </w:p>
    <w:p w14:paraId="21B93E40" w14:textId="18A95FDD" w:rsidR="004D7C43" w:rsidRPr="00D57350" w:rsidRDefault="004D7C43" w:rsidP="004D7C43">
      <w:pPr>
        <w:shd w:val="clear" w:color="auto" w:fill="FFFFFF"/>
        <w:spacing w:before="480" w:after="240" w:line="450" w:lineRule="atLeast"/>
        <w:outlineLvl w:val="2"/>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0" w:name="_Toc243730096"/>
      <w:r w:rsidRPr="00D57350">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40"/>
      <w:r w:rsidR="0076415D">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A95F165" w14:textId="211FE9A7" w:rsidR="004D7C43" w:rsidRPr="002351A4" w:rsidRDefault="004D7C43" w:rsidP="002351A4">
      <w:pPr>
        <w:spacing w:line="276" w:lineRule="auto"/>
        <w:rPr>
          <w:rFonts w:ascii="Arial" w:hAnsi="Arial" w:cs="Arial"/>
          <w:lang w:eastAsia="en-GB"/>
        </w:rPr>
      </w:pPr>
      <w:r w:rsidRPr="002351A4">
        <w:rPr>
          <w:rFonts w:ascii="Arial" w:hAnsi="Arial" w:cs="Arial"/>
          <w:lang w:eastAsia="en-GB"/>
        </w:rPr>
        <w:lastRenderedPageBreak/>
        <w:t>The Monitoring and Control Framework</w:t>
      </w:r>
      <w:r w:rsidR="0076415D">
        <w:rPr>
          <w:rFonts w:ascii="Arial" w:hAnsi="Arial" w:cs="Arial"/>
          <w:lang w:eastAsia="en-GB"/>
        </w:rPr>
        <w:t xml:space="preserve"> as illustrates in table 9 and figure 12,</w:t>
      </w:r>
      <w:r w:rsidRPr="002351A4">
        <w:rPr>
          <w:rFonts w:ascii="Arial" w:hAnsi="Arial" w:cs="Arial"/>
          <w:lang w:eastAsia="en-GB"/>
        </w:rPr>
        <w:t xml:space="preserve"> provides a structured approach to overseeing project performance through regular reviews and governance activities. Daily stand-ups, sprint reviews, and highlight reports support continuous monitoring of progress and issues. Risk reviews ensure threats are identified and managed proactively, while governance, quality, financial, and compliance reviews provide strategic oversight. Stage gate reviews at the end of each phase ensure formal approval is obtained before progressing, helping to maintain project quality, budget control, and regulatory compliance.</w:t>
      </w:r>
    </w:p>
    <w:p w14:paraId="560188F8" w14:textId="77777777" w:rsidR="00B76A7B" w:rsidRDefault="00C54EBC" w:rsidP="00B76A7B">
      <w:pPr>
        <w:keepNext/>
      </w:pPr>
      <w:bookmarkStart w:id="41" w:name="_Toc243730095"/>
      <w:bookmarkStart w:id="42" w:name="_Toc243906360"/>
      <w:r w:rsidRPr="00D57350">
        <w:rPr>
          <w:rStyle w:val="Strong"/>
          <w:rFonts w:ascii="Arial" w:hAnsi="Arial" w:cs="Arial"/>
          <w:noProof/>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B7F24F9" wp14:editId="6A16A044">
            <wp:extent cx="5731510" cy="4000500"/>
            <wp:effectExtent l="0" t="0" r="2540" b="0"/>
            <wp:docPr id="1103414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14838" name=""/>
                    <pic:cNvPicPr/>
                  </pic:nvPicPr>
                  <pic:blipFill>
                    <a:blip r:embed="rId42"/>
                    <a:stretch>
                      <a:fillRect/>
                    </a:stretch>
                  </pic:blipFill>
                  <pic:spPr>
                    <a:xfrm>
                      <a:off x="0" y="0"/>
                      <a:ext cx="5731510" cy="4000500"/>
                    </a:xfrm>
                    <a:prstGeom prst="rect">
                      <a:avLst/>
                    </a:prstGeom>
                  </pic:spPr>
                </pic:pic>
              </a:graphicData>
            </a:graphic>
          </wp:inline>
        </w:drawing>
      </w:r>
      <w:bookmarkEnd w:id="41"/>
      <w:bookmarkEnd w:id="42"/>
    </w:p>
    <w:p w14:paraId="58F35B30" w14:textId="16708B0C" w:rsidR="004D7C43" w:rsidRPr="00B76A7B" w:rsidRDefault="00B76A7B" w:rsidP="00B76A7B">
      <w:pPr>
        <w:pStyle w:val="Caption"/>
        <w:keepNext/>
        <w:jc w:val="center"/>
        <w:rPr>
          <w:b/>
          <w:bCs/>
          <w:color w:val="7030A0"/>
          <w:sz w:val="20"/>
          <w:szCs w:val="20"/>
        </w:rPr>
      </w:pPr>
      <w:r w:rsidRPr="00B76A7B">
        <w:rPr>
          <w:rFonts w:ascii="Arial" w:hAnsi="Arial" w:cs="Arial"/>
          <w:b/>
          <w:bCs/>
          <w:color w:val="7030A0"/>
          <w:sz w:val="20"/>
          <w:szCs w:val="20"/>
        </w:rPr>
        <w:t xml:space="preserve">Figure </w:t>
      </w:r>
      <w:r w:rsidR="009D4087">
        <w:rPr>
          <w:rFonts w:ascii="Arial" w:hAnsi="Arial" w:cs="Arial"/>
          <w:b/>
          <w:bCs/>
          <w:color w:val="7030A0"/>
          <w:sz w:val="20"/>
          <w:szCs w:val="20"/>
        </w:rPr>
        <w:t>1</w:t>
      </w:r>
      <w:r w:rsidR="00F05ACE">
        <w:rPr>
          <w:rFonts w:ascii="Arial" w:hAnsi="Arial" w:cs="Arial"/>
          <w:b/>
          <w:bCs/>
          <w:color w:val="7030A0"/>
          <w:sz w:val="20"/>
          <w:szCs w:val="20"/>
        </w:rPr>
        <w:t>2</w:t>
      </w:r>
      <w:r w:rsidRPr="00B76A7B">
        <w:rPr>
          <w:rFonts w:ascii="Arial" w:hAnsi="Arial" w:cs="Arial"/>
          <w:b/>
          <w:bCs/>
          <w:color w:val="7030A0"/>
          <w:sz w:val="20"/>
          <w:szCs w:val="20"/>
        </w:rPr>
        <w:t>: Monitoring and Control</w:t>
      </w:r>
    </w:p>
    <w:p w14:paraId="068C6CE3" w14:textId="0A1C361D" w:rsidR="0089711F" w:rsidRPr="002B2E6D" w:rsidRDefault="0089711F"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3" w:name="_Toc243730097"/>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8.3 Change Control</w:t>
      </w:r>
      <w:bookmarkEnd w:id="43"/>
    </w:p>
    <w:p w14:paraId="5439F6B6" w14:textId="77777777" w:rsidR="0089711F" w:rsidRPr="00D57350" w:rsidRDefault="0089711F" w:rsidP="002351A4">
      <w:pPr>
        <w:shd w:val="clear" w:color="auto" w:fill="FFFFFF"/>
        <w:spacing w:before="240" w:after="240" w:line="276" w:lineRule="auto"/>
        <w:rPr>
          <w:rFonts w:ascii="Arial" w:eastAsia="Times New Roman" w:hAnsi="Arial" w:cs="Arial"/>
          <w:color w:val="0F1115"/>
          <w:kern w:val="0"/>
          <w:lang w:eastAsia="en-GB"/>
          <w14:ligatures w14:val="none"/>
        </w:rPr>
      </w:pPr>
      <w:r w:rsidRPr="00D57350">
        <w:rPr>
          <w:rFonts w:ascii="Arial" w:eastAsia="Times New Roman" w:hAnsi="Arial" w:cs="Arial"/>
          <w:color w:val="0F1115"/>
          <w:kern w:val="0"/>
          <w:lang w:eastAsia="en-GB"/>
          <w14:ligatures w14:val="none"/>
        </w:rPr>
        <w:t>A formal change control process will govern modifications to project scope, schedule, or budget. All change requests will be documented, assessed for impact by the Project Manager and relevant specialists, and approved or rejected by the Project Board according to defined thresholds. Changes exceeding 10% of budget or 4 weeks of schedule will require Sponsor approval.</w:t>
      </w:r>
    </w:p>
    <w:p w14:paraId="1DBEED5F" w14:textId="77777777" w:rsidR="00963DF4" w:rsidRDefault="0089711F" w:rsidP="00963DF4">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4" w:name="_Toc243730098"/>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8.4 Risk Management</w:t>
      </w:r>
      <w:r w:rsidR="00632BCE"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44"/>
    </w:p>
    <w:p w14:paraId="16868959" w14:textId="11FFCF43" w:rsidR="00963DF4" w:rsidRPr="00963DF4" w:rsidRDefault="00632BCE" w:rsidP="00963DF4">
      <w:pPr>
        <w:pStyle w:val="Heading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E6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3DF4" w:rsidRPr="00963DF4">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13 explains the meaning of risk by comparing different interpretations gathered from survey participants, showing that the predominant view links risk to potential negative consequences.</w:t>
      </w:r>
    </w:p>
    <w:p w14:paraId="416DEE31" w14:textId="424FDF84" w:rsidR="007E55D0" w:rsidRPr="002B2E6D" w:rsidRDefault="007E55D0" w:rsidP="002B2E6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213632" w14:textId="7957DCB8" w:rsidR="00E209D3" w:rsidRDefault="00214364" w:rsidP="00E209D3">
      <w:bookmarkStart w:id="45" w:name="_Toc243730101"/>
      <w:bookmarkStart w:id="46" w:name="_Toc243906364"/>
      <w:bookmarkStart w:id="47" w:name="_Toc243918282"/>
      <w:r w:rsidRPr="00D57350">
        <w:rPr>
          <w:rStyle w:val="Heading2Char"/>
          <w:rFonts w:ascii="Arial" w:hAnsi="Arial" w:cs="Arial"/>
          <w:noProof/>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0175F3C" wp14:editId="253AEF84">
            <wp:extent cx="4848225" cy="2541746"/>
            <wp:effectExtent l="0" t="0" r="0" b="0"/>
            <wp:docPr id="1323379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79708" name=""/>
                    <pic:cNvPicPr/>
                  </pic:nvPicPr>
                  <pic:blipFill>
                    <a:blip r:embed="rId43"/>
                    <a:stretch>
                      <a:fillRect/>
                    </a:stretch>
                  </pic:blipFill>
                  <pic:spPr>
                    <a:xfrm>
                      <a:off x="0" y="0"/>
                      <a:ext cx="4848225" cy="2541746"/>
                    </a:xfrm>
                    <a:prstGeom prst="rect">
                      <a:avLst/>
                    </a:prstGeom>
                  </pic:spPr>
                </pic:pic>
              </a:graphicData>
            </a:graphic>
          </wp:inline>
        </w:drawing>
      </w:r>
      <w:bookmarkEnd w:id="45"/>
      <w:bookmarkEnd w:id="46"/>
      <w:bookmarkEnd w:id="47"/>
    </w:p>
    <w:p w14:paraId="1356E946" w14:textId="4DC2F647" w:rsidR="00E209D3" w:rsidRPr="00E209D3" w:rsidRDefault="00E209D3" w:rsidP="00E209D3">
      <w:pPr>
        <w:pStyle w:val="Caption"/>
        <w:keepNext/>
        <w:jc w:val="center"/>
        <w:rPr>
          <w:rFonts w:ascii="Arial" w:hAnsi="Arial" w:cs="Arial"/>
          <w:b/>
          <w:bCs/>
          <w:color w:val="7030A0"/>
          <w:sz w:val="20"/>
          <w:szCs w:val="20"/>
        </w:rPr>
      </w:pPr>
      <w:r w:rsidRPr="00E209D3">
        <w:rPr>
          <w:rFonts w:ascii="Arial" w:hAnsi="Arial" w:cs="Arial"/>
          <w:b/>
          <w:bCs/>
          <w:color w:val="7030A0"/>
          <w:sz w:val="20"/>
          <w:szCs w:val="20"/>
        </w:rPr>
        <w:t xml:space="preserve">Figure </w:t>
      </w:r>
      <w:r w:rsidRPr="00E209D3">
        <w:rPr>
          <w:rFonts w:ascii="Arial" w:hAnsi="Arial" w:cs="Arial"/>
          <w:b/>
          <w:bCs/>
          <w:color w:val="7030A0"/>
          <w:sz w:val="20"/>
          <w:szCs w:val="20"/>
        </w:rPr>
        <w:fldChar w:fldCharType="begin"/>
      </w:r>
      <w:r w:rsidRPr="00E209D3">
        <w:rPr>
          <w:rFonts w:ascii="Arial" w:hAnsi="Arial" w:cs="Arial"/>
          <w:b/>
          <w:bCs/>
          <w:color w:val="7030A0"/>
          <w:sz w:val="20"/>
          <w:szCs w:val="20"/>
        </w:rPr>
        <w:instrText xml:space="preserve"> SEQ Figure \* ARABIC </w:instrText>
      </w:r>
      <w:r w:rsidRPr="00E209D3">
        <w:rPr>
          <w:rFonts w:ascii="Arial" w:hAnsi="Arial" w:cs="Arial"/>
          <w:b/>
          <w:bCs/>
          <w:color w:val="7030A0"/>
          <w:sz w:val="20"/>
          <w:szCs w:val="20"/>
        </w:rPr>
        <w:fldChar w:fldCharType="separate"/>
      </w:r>
      <w:r w:rsidRPr="00E209D3">
        <w:rPr>
          <w:rFonts w:ascii="Arial" w:hAnsi="Arial" w:cs="Arial"/>
          <w:b/>
          <w:bCs/>
          <w:color w:val="7030A0"/>
          <w:sz w:val="20"/>
          <w:szCs w:val="20"/>
        </w:rPr>
        <w:t>1</w:t>
      </w:r>
      <w:r w:rsidRPr="00E209D3">
        <w:rPr>
          <w:rFonts w:ascii="Arial" w:hAnsi="Arial" w:cs="Arial"/>
          <w:b/>
          <w:bCs/>
          <w:color w:val="7030A0"/>
          <w:sz w:val="20"/>
          <w:szCs w:val="20"/>
        </w:rPr>
        <w:fldChar w:fldCharType="end"/>
      </w:r>
      <w:r w:rsidR="008F0CB0">
        <w:rPr>
          <w:rFonts w:ascii="Arial" w:hAnsi="Arial" w:cs="Arial"/>
          <w:b/>
          <w:bCs/>
          <w:color w:val="7030A0"/>
          <w:sz w:val="20"/>
          <w:szCs w:val="20"/>
        </w:rPr>
        <w:t>3:</w:t>
      </w:r>
      <w:r w:rsidRPr="00E209D3">
        <w:rPr>
          <w:rFonts w:ascii="Arial" w:hAnsi="Arial" w:cs="Arial"/>
          <w:b/>
          <w:bCs/>
          <w:color w:val="7030A0"/>
          <w:sz w:val="20"/>
          <w:szCs w:val="20"/>
        </w:rPr>
        <w:t xml:space="preserve"> Risk - Definition</w:t>
      </w:r>
    </w:p>
    <w:p w14:paraId="05CC8D57" w14:textId="71D1B624" w:rsidR="00E209D3" w:rsidRPr="00E209D3" w:rsidRDefault="00E209D3" w:rsidP="00E209D3"/>
    <w:p w14:paraId="6E15A6B2" w14:textId="77777777" w:rsidR="00D8255A" w:rsidRPr="00D8255A" w:rsidRDefault="00D8255A" w:rsidP="00D8255A">
      <w:pPr>
        <w:rPr>
          <w:rFonts w:ascii="Arial" w:hAnsi="Arial" w:cs="Arial"/>
        </w:rPr>
      </w:pPr>
      <w:r w:rsidRPr="00D8255A">
        <w:rPr>
          <w:rFonts w:ascii="Arial" w:hAnsi="Arial" w:cs="Arial"/>
        </w:rPr>
        <w:t xml:space="preserve">As illustrated in </w:t>
      </w:r>
      <w:r w:rsidRPr="00D8255A">
        <w:rPr>
          <w:rFonts w:ascii="Arial" w:hAnsi="Arial" w:cs="Arial"/>
          <w:b/>
          <w:bCs/>
        </w:rPr>
        <w:t>Figure 14</w:t>
      </w:r>
      <w:r w:rsidRPr="00D8255A">
        <w:rPr>
          <w:rFonts w:ascii="Arial" w:hAnsi="Arial" w:cs="Arial"/>
        </w:rPr>
        <w:t xml:space="preserve">, the Project Risk Management process comprises four interrelated elements: </w:t>
      </w:r>
      <w:r w:rsidRPr="00D8255A">
        <w:rPr>
          <w:rFonts w:ascii="Arial" w:hAnsi="Arial" w:cs="Arial"/>
          <w:b/>
          <w:bCs/>
        </w:rPr>
        <w:t>risk identification, risk analysis, risk response, and risk monitoring and control</w:t>
      </w:r>
      <w:r w:rsidRPr="00D8255A">
        <w:rPr>
          <w:rFonts w:ascii="Arial" w:hAnsi="Arial" w:cs="Arial"/>
        </w:rPr>
        <w:t>. The process begins with identifying and classifying potential risks that could affect project objectives. Once identified, risks are analysed to assess their likelihood and potential impact on the project. Appropriate response strategies are then developed and implemented to mitigate, transfer, avoid, or accept identified risks. Finally, risks are continuously monitored and controlled throughout the project lifecycle to ensure that emerging threats are addressed promptly and that mitigation measures remain effective. This cyclical approach supports proactive decision-making and contributes to the successful delivery of the project.</w:t>
      </w:r>
    </w:p>
    <w:p w14:paraId="5C452729" w14:textId="77777777" w:rsidR="00757E08" w:rsidRDefault="00757E08" w:rsidP="00757E08"/>
    <w:p w14:paraId="5E5BDD18" w14:textId="77777777" w:rsidR="00E133D2" w:rsidRDefault="00757E08" w:rsidP="00E133D2">
      <w:pPr>
        <w:keepNext/>
      </w:pPr>
      <w:r w:rsidRPr="00D57350">
        <w:rPr>
          <w:rFonts w:ascii="Arial" w:hAnsi="Arial" w:cs="Arial"/>
          <w:noProof/>
          <w:lang w:eastAsia="en-GB"/>
        </w:rPr>
        <w:lastRenderedPageBreak/>
        <w:drawing>
          <wp:inline distT="0" distB="0" distL="0" distR="0" wp14:anchorId="43142F92" wp14:editId="35D3FA8D">
            <wp:extent cx="4598894" cy="2510896"/>
            <wp:effectExtent l="0" t="0" r="0" b="3810"/>
            <wp:docPr id="1923933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858880" name=""/>
                    <pic:cNvPicPr/>
                  </pic:nvPicPr>
                  <pic:blipFill>
                    <a:blip r:embed="rId44"/>
                    <a:stretch>
                      <a:fillRect/>
                    </a:stretch>
                  </pic:blipFill>
                  <pic:spPr>
                    <a:xfrm>
                      <a:off x="0" y="0"/>
                      <a:ext cx="4604346" cy="2513873"/>
                    </a:xfrm>
                    <a:prstGeom prst="rect">
                      <a:avLst/>
                    </a:prstGeom>
                  </pic:spPr>
                </pic:pic>
              </a:graphicData>
            </a:graphic>
          </wp:inline>
        </w:drawing>
      </w:r>
    </w:p>
    <w:p w14:paraId="5EB1223F" w14:textId="664F7054" w:rsidR="00757E08" w:rsidRPr="00E133D2" w:rsidRDefault="00E133D2" w:rsidP="00E133D2">
      <w:pPr>
        <w:pStyle w:val="Caption"/>
        <w:keepNext/>
        <w:jc w:val="center"/>
        <w:rPr>
          <w:rFonts w:ascii="Arial" w:hAnsi="Arial" w:cs="Arial"/>
          <w:b/>
          <w:bCs/>
          <w:color w:val="7030A0"/>
          <w:sz w:val="20"/>
          <w:szCs w:val="20"/>
        </w:rPr>
      </w:pPr>
      <w:r w:rsidRPr="00E133D2">
        <w:rPr>
          <w:rFonts w:ascii="Arial" w:hAnsi="Arial" w:cs="Arial"/>
          <w:b/>
          <w:bCs/>
          <w:color w:val="7030A0"/>
          <w:sz w:val="20"/>
          <w:szCs w:val="20"/>
        </w:rPr>
        <w:t xml:space="preserve">Figure </w:t>
      </w:r>
      <w:r w:rsidR="009D4087">
        <w:rPr>
          <w:rFonts w:ascii="Arial" w:hAnsi="Arial" w:cs="Arial"/>
          <w:b/>
          <w:bCs/>
          <w:color w:val="7030A0"/>
          <w:sz w:val="20"/>
          <w:szCs w:val="20"/>
        </w:rPr>
        <w:t>1</w:t>
      </w:r>
      <w:r w:rsidR="007C5457">
        <w:rPr>
          <w:rFonts w:ascii="Arial" w:hAnsi="Arial" w:cs="Arial"/>
          <w:b/>
          <w:bCs/>
          <w:color w:val="7030A0"/>
          <w:sz w:val="20"/>
          <w:szCs w:val="20"/>
        </w:rPr>
        <w:t>4</w:t>
      </w:r>
      <w:r w:rsidRPr="00E133D2">
        <w:rPr>
          <w:rFonts w:ascii="Arial" w:hAnsi="Arial" w:cs="Arial"/>
          <w:b/>
          <w:bCs/>
          <w:color w:val="7030A0"/>
          <w:sz w:val="20"/>
          <w:szCs w:val="20"/>
        </w:rPr>
        <w:t>: Elements of Risk Management</w:t>
      </w:r>
    </w:p>
    <w:p w14:paraId="40A1AC52" w14:textId="77777777" w:rsidR="00F05CA0" w:rsidRDefault="00F05CA0" w:rsidP="00F043C2">
      <w:pPr>
        <w:pStyle w:val="Heading3"/>
      </w:pPr>
    </w:p>
    <w:p w14:paraId="02849867" w14:textId="4251366C" w:rsidR="0067398C" w:rsidRPr="002B2E6D" w:rsidRDefault="00F043C2" w:rsidP="002B2E6D">
      <w:pPr>
        <w:pStyle w:val="Heading3"/>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8.4.1 </w:t>
      </w:r>
      <w:r w:rsidR="0067398C"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Identification</w:t>
      </w:r>
    </w:p>
    <w:p w14:paraId="243F4E2D" w14:textId="636D8764" w:rsidR="00B64608" w:rsidRDefault="008D04A5" w:rsidP="00B64608">
      <w:r w:rsidRPr="007005D3">
        <w:rPr>
          <w:rFonts w:ascii="Arial" w:hAnsi="Arial" w:cs="Arial"/>
          <w:noProof/>
        </w:rPr>
        <w:drawing>
          <wp:inline distT="0" distB="0" distL="0" distR="0" wp14:anchorId="7BF00474" wp14:editId="717666F2">
            <wp:extent cx="5731510" cy="3684270"/>
            <wp:effectExtent l="0" t="0" r="2540" b="0"/>
            <wp:docPr id="67895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92330" name=""/>
                    <pic:cNvPicPr/>
                  </pic:nvPicPr>
                  <pic:blipFill>
                    <a:blip r:embed="rId45"/>
                    <a:stretch>
                      <a:fillRect/>
                    </a:stretch>
                  </pic:blipFill>
                  <pic:spPr>
                    <a:xfrm>
                      <a:off x="0" y="0"/>
                      <a:ext cx="5731510" cy="3684270"/>
                    </a:xfrm>
                    <a:prstGeom prst="rect">
                      <a:avLst/>
                    </a:prstGeom>
                  </pic:spPr>
                </pic:pic>
              </a:graphicData>
            </a:graphic>
          </wp:inline>
        </w:drawing>
      </w:r>
    </w:p>
    <w:p w14:paraId="47D52E60" w14:textId="6399A698" w:rsidR="00B64608" w:rsidRDefault="00B64608" w:rsidP="00B64608">
      <w:pPr>
        <w:keepNext/>
      </w:pPr>
    </w:p>
    <w:p w14:paraId="3B57B847" w14:textId="4413CF5A" w:rsidR="00B64608" w:rsidRDefault="00B64608" w:rsidP="008D04A5">
      <w:pPr>
        <w:pStyle w:val="Caption"/>
        <w:keepNext/>
        <w:jc w:val="center"/>
        <w:rPr>
          <w:rFonts w:ascii="Arial" w:hAnsi="Arial" w:cs="Arial"/>
          <w:b/>
          <w:bCs/>
          <w:color w:val="7030A0"/>
          <w:sz w:val="20"/>
          <w:szCs w:val="20"/>
        </w:rPr>
      </w:pPr>
      <w:r w:rsidRPr="008D04A5">
        <w:rPr>
          <w:rFonts w:ascii="Arial" w:hAnsi="Arial" w:cs="Arial"/>
          <w:b/>
          <w:bCs/>
          <w:color w:val="7030A0"/>
          <w:sz w:val="20"/>
          <w:szCs w:val="20"/>
        </w:rPr>
        <w:t xml:space="preserve">Figure </w:t>
      </w:r>
      <w:r w:rsidR="007C5457">
        <w:rPr>
          <w:rFonts w:ascii="Arial" w:hAnsi="Arial" w:cs="Arial"/>
          <w:b/>
          <w:bCs/>
          <w:color w:val="7030A0"/>
          <w:sz w:val="20"/>
          <w:szCs w:val="20"/>
        </w:rPr>
        <w:t>15</w:t>
      </w:r>
      <w:r w:rsidRPr="008D04A5">
        <w:rPr>
          <w:rFonts w:ascii="Arial" w:hAnsi="Arial" w:cs="Arial"/>
          <w:b/>
          <w:bCs/>
          <w:color w:val="7030A0"/>
          <w:sz w:val="20"/>
          <w:szCs w:val="20"/>
        </w:rPr>
        <w:t>: Identification of Risk</w:t>
      </w:r>
    </w:p>
    <w:p w14:paraId="76CEC787" w14:textId="77777777" w:rsidR="007C5457" w:rsidRPr="007C5457" w:rsidRDefault="007C5457" w:rsidP="007C5457"/>
    <w:p w14:paraId="7B74BFCB" w14:textId="77777777" w:rsidR="00B64608" w:rsidRDefault="00B64608" w:rsidP="00B64608"/>
    <w:p w14:paraId="53E6FE89" w14:textId="77777777" w:rsidR="007C5457" w:rsidRDefault="007C5457" w:rsidP="00B64608"/>
    <w:p w14:paraId="574B94CF" w14:textId="3434D513" w:rsidR="007C5457" w:rsidRPr="007C5457" w:rsidRDefault="007C5457" w:rsidP="007C5457">
      <w:pPr>
        <w:pStyle w:val="Caption"/>
        <w:keepNext/>
        <w:jc w:val="center"/>
        <w:rPr>
          <w:rFonts w:ascii="Arial" w:hAnsi="Arial" w:cs="Arial"/>
          <w:b/>
          <w:bCs/>
          <w:color w:val="7030A0"/>
          <w:sz w:val="20"/>
          <w:szCs w:val="20"/>
        </w:rPr>
      </w:pPr>
      <w:r>
        <w:rPr>
          <w:rFonts w:ascii="Arial" w:hAnsi="Arial" w:cs="Arial"/>
          <w:b/>
          <w:bCs/>
          <w:color w:val="7030A0"/>
          <w:sz w:val="20"/>
          <w:szCs w:val="20"/>
        </w:rPr>
        <w:lastRenderedPageBreak/>
        <w:t>Table 10:</w:t>
      </w:r>
      <w:r w:rsidRPr="00CA68F5">
        <w:rPr>
          <w:rFonts w:ascii="Arial" w:hAnsi="Arial" w:cs="Arial"/>
          <w:b/>
          <w:bCs/>
          <w:color w:val="7030A0"/>
          <w:sz w:val="20"/>
          <w:szCs w:val="20"/>
        </w:rPr>
        <w:t xml:space="preserve"> Risk Identification process</w:t>
      </w:r>
    </w:p>
    <w:p w14:paraId="279D4AA1" w14:textId="1E77B0A6" w:rsidR="007005D3" w:rsidRPr="00CA68F5" w:rsidRDefault="00CA68F5" w:rsidP="00B6756A">
      <w:r w:rsidRPr="00CA68F5">
        <w:rPr>
          <w:noProof/>
        </w:rPr>
        <w:drawing>
          <wp:anchor distT="0" distB="0" distL="114300" distR="114300" simplePos="0" relativeHeight="251659776" behindDoc="1" locked="0" layoutInCell="1" allowOverlap="1" wp14:anchorId="0E872AC7" wp14:editId="70C09FBA">
            <wp:simplePos x="0" y="0"/>
            <wp:positionH relativeFrom="column">
              <wp:posOffset>-538480</wp:posOffset>
            </wp:positionH>
            <wp:positionV relativeFrom="paragraph">
              <wp:posOffset>0</wp:posOffset>
            </wp:positionV>
            <wp:extent cx="6520815" cy="5875655"/>
            <wp:effectExtent l="0" t="0" r="0" b="0"/>
            <wp:wrapTight wrapText="bothSides">
              <wp:wrapPolygon edited="0">
                <wp:start x="0" y="0"/>
                <wp:lineTo x="0" y="21500"/>
                <wp:lineTo x="21518" y="21500"/>
                <wp:lineTo x="21518" y="0"/>
                <wp:lineTo x="0" y="0"/>
              </wp:wrapPolygon>
            </wp:wrapTight>
            <wp:docPr id="98679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79326" name=""/>
                    <pic:cNvPicPr/>
                  </pic:nvPicPr>
                  <pic:blipFill>
                    <a:blip r:embed="rId46">
                      <a:extLst>
                        <a:ext uri="{28A0092B-C50C-407E-A947-70E740481C1C}">
                          <a14:useLocalDpi xmlns:a14="http://schemas.microsoft.com/office/drawing/2010/main" val="0"/>
                        </a:ext>
                      </a:extLst>
                    </a:blip>
                    <a:stretch>
                      <a:fillRect/>
                    </a:stretch>
                  </pic:blipFill>
                  <pic:spPr>
                    <a:xfrm>
                      <a:off x="0" y="0"/>
                      <a:ext cx="6520815" cy="5875655"/>
                    </a:xfrm>
                    <a:prstGeom prst="rect">
                      <a:avLst/>
                    </a:prstGeom>
                  </pic:spPr>
                </pic:pic>
              </a:graphicData>
            </a:graphic>
            <wp14:sizeRelH relativeFrom="margin">
              <wp14:pctWidth>0</wp14:pctWidth>
            </wp14:sizeRelH>
          </wp:anchor>
        </w:drawing>
      </w:r>
    </w:p>
    <w:p w14:paraId="0740F239" w14:textId="4111BB79" w:rsidR="00A70D53" w:rsidRPr="00A70D53" w:rsidRDefault="00A70D53" w:rsidP="00A70D53">
      <w:pPr>
        <w:rPr>
          <w:rFonts w:ascii="Arial" w:hAnsi="Arial" w:cs="Arial"/>
          <w:b/>
          <w:bCs/>
        </w:rPr>
      </w:pPr>
    </w:p>
    <w:p w14:paraId="6780AEBC" w14:textId="77777777" w:rsidR="00666D12" w:rsidRPr="00666D12" w:rsidRDefault="00666D12" w:rsidP="00666D12">
      <w:pPr>
        <w:rPr>
          <w:rFonts w:ascii="Arial" w:hAnsi="Arial" w:cs="Arial"/>
        </w:rPr>
      </w:pPr>
      <w:r w:rsidRPr="00666D12">
        <w:rPr>
          <w:rFonts w:ascii="Arial" w:hAnsi="Arial" w:cs="Arial"/>
        </w:rPr>
        <w:t xml:space="preserve">As illustrated in </w:t>
      </w:r>
      <w:r w:rsidRPr="00666D12">
        <w:rPr>
          <w:rFonts w:ascii="Arial" w:hAnsi="Arial" w:cs="Arial"/>
          <w:b/>
          <w:bCs/>
        </w:rPr>
        <w:t>Figure 15</w:t>
      </w:r>
      <w:r w:rsidRPr="00666D12">
        <w:rPr>
          <w:rFonts w:ascii="Arial" w:hAnsi="Arial" w:cs="Arial"/>
        </w:rPr>
        <w:t xml:space="preserve"> and </w:t>
      </w:r>
      <w:r w:rsidRPr="00666D12">
        <w:rPr>
          <w:rFonts w:ascii="Arial" w:hAnsi="Arial" w:cs="Arial"/>
          <w:b/>
          <w:bCs/>
        </w:rPr>
        <w:t>Table 10</w:t>
      </w:r>
      <w:r w:rsidRPr="00666D12">
        <w:rPr>
          <w:rFonts w:ascii="Arial" w:hAnsi="Arial" w:cs="Arial"/>
        </w:rPr>
        <w:t xml:space="preserve">, the risk management framework identifies and evaluates key risks that may arise throughout the project lifecycle. The most significant risks include </w:t>
      </w:r>
      <w:r w:rsidRPr="00666D12">
        <w:rPr>
          <w:rFonts w:ascii="Arial" w:hAnsi="Arial" w:cs="Arial"/>
          <w:b/>
          <w:bCs/>
        </w:rPr>
        <w:t>scope creep, system design issues, development delays, and integration challenges</w:t>
      </w:r>
      <w:r w:rsidRPr="00666D12">
        <w:rPr>
          <w:rFonts w:ascii="Arial" w:hAnsi="Arial" w:cs="Arial"/>
        </w:rPr>
        <w:t>, all of which have the potential to negatively impact project delivery, regulatory compliance, and overall system performance if not managed effectively.</w:t>
      </w:r>
    </w:p>
    <w:p w14:paraId="4EBC5E01" w14:textId="77777777" w:rsidR="00666D12" w:rsidRPr="00666D12" w:rsidRDefault="00666D12" w:rsidP="00666D12">
      <w:pPr>
        <w:rPr>
          <w:rFonts w:ascii="Arial" w:hAnsi="Arial" w:cs="Arial"/>
        </w:rPr>
      </w:pPr>
      <w:r w:rsidRPr="00666D12">
        <w:rPr>
          <w:rFonts w:ascii="Arial" w:hAnsi="Arial" w:cs="Arial"/>
        </w:rPr>
        <w:t xml:space="preserve">Furthermore, the framework emphasises the importance of </w:t>
      </w:r>
      <w:r w:rsidRPr="00666D12">
        <w:rPr>
          <w:rFonts w:ascii="Arial" w:hAnsi="Arial" w:cs="Arial"/>
          <w:b/>
          <w:bCs/>
        </w:rPr>
        <w:t>testing, deployment, and benefits realisation</w:t>
      </w:r>
      <w:r w:rsidRPr="00666D12">
        <w:rPr>
          <w:rFonts w:ascii="Arial" w:hAnsi="Arial" w:cs="Arial"/>
        </w:rPr>
        <w:t xml:space="preserve"> to ensure that the proposed solution satisfies user requirements, achieves successful organisational adoption, and delivers the </w:t>
      </w:r>
      <w:r w:rsidRPr="00666D12">
        <w:rPr>
          <w:rFonts w:ascii="Arial" w:hAnsi="Arial" w:cs="Arial"/>
        </w:rPr>
        <w:lastRenderedPageBreak/>
        <w:t>intended business outcomes. By systematically identifying, assessing, and prioritising risks, the framework provides a structured approach to risk management, supporting informed decision-making and enhancing the likelihood of successful project delivery.</w:t>
      </w:r>
    </w:p>
    <w:p w14:paraId="25D35B8B" w14:textId="77777777" w:rsidR="00A70D53" w:rsidRPr="00F14678" w:rsidRDefault="00A70D53" w:rsidP="00B6756A">
      <w:pPr>
        <w:rPr>
          <w:rFonts w:ascii="Arial" w:hAnsi="Arial" w:cs="Arial"/>
          <w:sz w:val="22"/>
          <w:szCs w:val="22"/>
        </w:rPr>
      </w:pPr>
    </w:p>
    <w:p w14:paraId="158B1D9A" w14:textId="77777777" w:rsidR="00A70D53" w:rsidRDefault="00A70D53" w:rsidP="00B6756A">
      <w:pPr>
        <w:rPr>
          <w:rFonts w:ascii="Arial" w:hAnsi="Arial" w:cs="Arial"/>
          <w:highlight w:val="yellow"/>
        </w:rPr>
      </w:pPr>
    </w:p>
    <w:p w14:paraId="506E78BE" w14:textId="604DAA1B" w:rsidR="005070F8" w:rsidRPr="002B2E6D" w:rsidRDefault="00F14678" w:rsidP="00F14678">
      <w:pPr>
        <w:pStyle w:val="Heading3"/>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8.4.2 </w:t>
      </w:r>
      <w:r w:rsidR="0067398C"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Analysis Matrix</w:t>
      </w:r>
    </w:p>
    <w:p w14:paraId="024571A8" w14:textId="77777777" w:rsidR="00F2144E" w:rsidRPr="00D57350" w:rsidRDefault="00F2144E" w:rsidP="00B6756A">
      <w:pPr>
        <w:rPr>
          <w:rFonts w:ascii="Arial" w:hAnsi="Arial" w:cs="Arial"/>
          <w:highlight w:val="yellow"/>
        </w:rPr>
      </w:pPr>
    </w:p>
    <w:p w14:paraId="21FD39C1" w14:textId="04BB5F48" w:rsidR="007F6A5C" w:rsidRDefault="00F71B9D" w:rsidP="00B6756A">
      <w:pPr>
        <w:rPr>
          <w:rFonts w:ascii="Arial" w:hAnsi="Arial" w:cs="Arial"/>
          <w:highlight w:val="yellow"/>
        </w:rPr>
      </w:pPr>
      <w:r w:rsidRPr="00F71B9D">
        <w:rPr>
          <w:rFonts w:ascii="Arial" w:hAnsi="Arial" w:cs="Arial"/>
          <w:noProof/>
        </w:rPr>
        <w:drawing>
          <wp:inline distT="0" distB="0" distL="0" distR="0" wp14:anchorId="2342F0AD" wp14:editId="460BE923">
            <wp:extent cx="5731510" cy="5163671"/>
            <wp:effectExtent l="0" t="0" r="2540" b="0"/>
            <wp:docPr id="417145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145634" name=""/>
                    <pic:cNvPicPr/>
                  </pic:nvPicPr>
                  <pic:blipFill>
                    <a:blip r:embed="rId47"/>
                    <a:stretch>
                      <a:fillRect/>
                    </a:stretch>
                  </pic:blipFill>
                  <pic:spPr>
                    <a:xfrm>
                      <a:off x="0" y="0"/>
                      <a:ext cx="5738522" cy="5169989"/>
                    </a:xfrm>
                    <a:prstGeom prst="rect">
                      <a:avLst/>
                    </a:prstGeom>
                  </pic:spPr>
                </pic:pic>
              </a:graphicData>
            </a:graphic>
          </wp:inline>
        </w:drawing>
      </w:r>
    </w:p>
    <w:p w14:paraId="3BF6506C" w14:textId="77777777" w:rsidR="007C5457" w:rsidRPr="004F3267" w:rsidRDefault="007C5457" w:rsidP="007C5457">
      <w:pPr>
        <w:pStyle w:val="Caption"/>
        <w:keepNext/>
        <w:jc w:val="center"/>
        <w:rPr>
          <w:rFonts w:ascii="Arial" w:hAnsi="Arial" w:cs="Arial"/>
          <w:b/>
          <w:bCs/>
          <w:color w:val="7030A0"/>
          <w:sz w:val="20"/>
          <w:szCs w:val="20"/>
        </w:rPr>
      </w:pPr>
      <w:r w:rsidRPr="004F3267">
        <w:rPr>
          <w:rFonts w:ascii="Arial" w:hAnsi="Arial" w:cs="Arial"/>
          <w:b/>
          <w:bCs/>
          <w:color w:val="7030A0"/>
          <w:sz w:val="20"/>
          <w:szCs w:val="20"/>
        </w:rPr>
        <w:t>Figure</w:t>
      </w:r>
      <w:r>
        <w:rPr>
          <w:rFonts w:ascii="Arial" w:hAnsi="Arial" w:cs="Arial"/>
          <w:b/>
          <w:bCs/>
          <w:color w:val="7030A0"/>
          <w:sz w:val="20"/>
          <w:szCs w:val="20"/>
        </w:rPr>
        <w:t xml:space="preserve"> 16</w:t>
      </w:r>
      <w:r w:rsidRPr="004F3267">
        <w:rPr>
          <w:rFonts w:ascii="Arial" w:hAnsi="Arial" w:cs="Arial"/>
          <w:b/>
          <w:bCs/>
          <w:color w:val="7030A0"/>
          <w:sz w:val="20"/>
          <w:szCs w:val="20"/>
        </w:rPr>
        <w:t>: Risk Analysis Matrix</w:t>
      </w:r>
    </w:p>
    <w:p w14:paraId="04A7FF35" w14:textId="77777777" w:rsidR="007C5457" w:rsidRDefault="007C5457" w:rsidP="00B6756A">
      <w:pPr>
        <w:rPr>
          <w:rFonts w:ascii="Arial" w:hAnsi="Arial" w:cs="Arial"/>
          <w:highlight w:val="yellow"/>
        </w:rPr>
      </w:pPr>
    </w:p>
    <w:p w14:paraId="390826BC" w14:textId="77777777" w:rsidR="004536AC" w:rsidRPr="004536AC" w:rsidRDefault="004536AC" w:rsidP="004536AC">
      <w:pPr>
        <w:rPr>
          <w:rFonts w:ascii="Arial" w:hAnsi="Arial" w:cs="Arial"/>
        </w:rPr>
      </w:pPr>
      <w:r w:rsidRPr="004536AC">
        <w:rPr>
          <w:rFonts w:ascii="Arial" w:hAnsi="Arial" w:cs="Arial"/>
        </w:rPr>
        <w:t xml:space="preserve">As illustrated in </w:t>
      </w:r>
      <w:r w:rsidRPr="004536AC">
        <w:rPr>
          <w:rFonts w:ascii="Arial" w:hAnsi="Arial" w:cs="Arial"/>
          <w:b/>
          <w:bCs/>
        </w:rPr>
        <w:t>Figure 16</w:t>
      </w:r>
      <w:r w:rsidRPr="004536AC">
        <w:rPr>
          <w:rFonts w:ascii="Arial" w:hAnsi="Arial" w:cs="Arial"/>
        </w:rPr>
        <w:t xml:space="preserve">, the Risk Register Matrix summarises the principal risks that may affect the successful delivery of the project by evaluating both their probability of occurrence and potential impact. Risks including </w:t>
      </w:r>
      <w:r w:rsidRPr="004536AC">
        <w:rPr>
          <w:rFonts w:ascii="Arial" w:hAnsi="Arial" w:cs="Arial"/>
          <w:b/>
          <w:bCs/>
        </w:rPr>
        <w:t xml:space="preserve">scope creep, HMRC API integration failure, data migration errors, security vulnerabilities, and </w:t>
      </w:r>
      <w:r w:rsidRPr="004536AC">
        <w:rPr>
          <w:rFonts w:ascii="Arial" w:hAnsi="Arial" w:cs="Arial"/>
          <w:b/>
          <w:bCs/>
        </w:rPr>
        <w:lastRenderedPageBreak/>
        <w:t>development delays</w:t>
      </w:r>
      <w:r w:rsidRPr="004536AC">
        <w:rPr>
          <w:rFonts w:ascii="Arial" w:hAnsi="Arial" w:cs="Arial"/>
        </w:rPr>
        <w:t xml:space="preserve"> have been classified as </w:t>
      </w:r>
      <w:r w:rsidRPr="004536AC">
        <w:rPr>
          <w:rFonts w:ascii="Arial" w:hAnsi="Arial" w:cs="Arial"/>
          <w:b/>
          <w:bCs/>
        </w:rPr>
        <w:t>High Risk</w:t>
      </w:r>
      <w:r w:rsidRPr="004536AC">
        <w:rPr>
          <w:rFonts w:ascii="Arial" w:hAnsi="Arial" w:cs="Arial"/>
        </w:rPr>
        <w:t xml:space="preserve"> due to their significant potential to adversely affect project costs, timelines, system quality, and regulatory compliance.</w:t>
      </w:r>
    </w:p>
    <w:p w14:paraId="08C2C90D" w14:textId="77777777" w:rsidR="004536AC" w:rsidRPr="004536AC" w:rsidRDefault="004536AC" w:rsidP="004536AC">
      <w:pPr>
        <w:rPr>
          <w:rFonts w:ascii="Arial" w:hAnsi="Arial" w:cs="Arial"/>
        </w:rPr>
      </w:pPr>
      <w:r w:rsidRPr="004536AC">
        <w:rPr>
          <w:rFonts w:ascii="Arial" w:hAnsi="Arial" w:cs="Arial"/>
        </w:rPr>
        <w:t xml:space="preserve">In addition, risks related to </w:t>
      </w:r>
      <w:r w:rsidRPr="004536AC">
        <w:rPr>
          <w:rFonts w:ascii="Arial" w:hAnsi="Arial" w:cs="Arial"/>
          <w:b/>
          <w:bCs/>
        </w:rPr>
        <w:t>user acceptance, resistance to organisational change, and the failure to realise anticipated benefits</w:t>
      </w:r>
      <w:r w:rsidRPr="004536AC">
        <w:rPr>
          <w:rFonts w:ascii="Arial" w:hAnsi="Arial" w:cs="Arial"/>
        </w:rPr>
        <w:t xml:space="preserve"> have been assessed as </w:t>
      </w:r>
      <w:r w:rsidRPr="004536AC">
        <w:rPr>
          <w:rFonts w:ascii="Arial" w:hAnsi="Arial" w:cs="Arial"/>
          <w:b/>
          <w:bCs/>
        </w:rPr>
        <w:t>Medium Risk</w:t>
      </w:r>
      <w:r w:rsidRPr="004536AC">
        <w:rPr>
          <w:rFonts w:ascii="Arial" w:hAnsi="Arial" w:cs="Arial"/>
        </w:rPr>
        <w:t>. Although these risks present a lower likelihood or impact compared to high-priority risks, they still require continuous monitoring and appropriate mitigation measures to minimise their potential effects on project outcomes.</w:t>
      </w:r>
    </w:p>
    <w:p w14:paraId="33A7A787" w14:textId="77777777" w:rsidR="004536AC" w:rsidRPr="004536AC" w:rsidRDefault="004536AC" w:rsidP="004536AC">
      <w:pPr>
        <w:rPr>
          <w:rFonts w:ascii="Arial" w:hAnsi="Arial" w:cs="Arial"/>
        </w:rPr>
      </w:pPr>
      <w:r w:rsidRPr="004536AC">
        <w:rPr>
          <w:rFonts w:ascii="Arial" w:hAnsi="Arial" w:cs="Arial"/>
        </w:rPr>
        <w:t>Overall, the Risk Register Matrix serves as an important project governance tool by enabling the project team to prioritise critical risk areas, allocate resources efficiently, and implement suitable risk response strategies. This structured approach supports proactive risk management and contributes to the successful achievement of project objectives throughout the project lifecycle.</w:t>
      </w:r>
    </w:p>
    <w:p w14:paraId="0991C214" w14:textId="77777777" w:rsidR="004E6B97" w:rsidRPr="002351A4" w:rsidRDefault="004E6B97" w:rsidP="00B6756A">
      <w:pPr>
        <w:rPr>
          <w:rFonts w:ascii="Arial" w:hAnsi="Arial" w:cs="Arial"/>
          <w:highlight w:val="yellow"/>
        </w:rPr>
      </w:pPr>
    </w:p>
    <w:p w14:paraId="5A76FAD6" w14:textId="1CFD57A7" w:rsidR="0067398C" w:rsidRPr="002B2E6D" w:rsidRDefault="00F14678" w:rsidP="00F14678">
      <w:pPr>
        <w:pStyle w:val="Heading3"/>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8.4.3 </w:t>
      </w:r>
      <w:r w:rsidR="0067398C"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Mitigation Technique</w:t>
      </w:r>
      <w:r w:rsidR="002025DE"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4767A" w:rsidRPr="002B2E6D">
        <w:rPr>
          <w:rStyle w:val="Heading2Cha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monitoring</w:t>
      </w:r>
    </w:p>
    <w:p w14:paraId="60D88854" w14:textId="5E83D3FF" w:rsidR="00350AFF" w:rsidRPr="00350AFF" w:rsidRDefault="007C5457" w:rsidP="00350AFF">
      <w:pPr>
        <w:pStyle w:val="Caption"/>
        <w:keepNext/>
        <w:jc w:val="center"/>
        <w:rPr>
          <w:rFonts w:ascii="Arial" w:hAnsi="Arial" w:cs="Arial"/>
          <w:b/>
          <w:bCs/>
          <w:color w:val="7030A0"/>
          <w:sz w:val="20"/>
          <w:szCs w:val="20"/>
        </w:rPr>
      </w:pPr>
      <w:r>
        <w:rPr>
          <w:rFonts w:ascii="Arial" w:hAnsi="Arial" w:cs="Arial"/>
          <w:b/>
          <w:bCs/>
          <w:color w:val="7030A0"/>
          <w:sz w:val="20"/>
          <w:szCs w:val="20"/>
        </w:rPr>
        <w:t>Table 12:</w:t>
      </w:r>
      <w:r w:rsidR="00350AFF" w:rsidRPr="00350AFF">
        <w:rPr>
          <w:rFonts w:ascii="Arial" w:hAnsi="Arial" w:cs="Arial"/>
          <w:b/>
          <w:bCs/>
          <w:color w:val="7030A0"/>
          <w:sz w:val="20"/>
          <w:szCs w:val="20"/>
        </w:rPr>
        <w:t xml:space="preserve"> Mitigating and Monitoring</w:t>
      </w:r>
    </w:p>
    <w:p w14:paraId="46500E95" w14:textId="35F67FD8" w:rsidR="00350AFF" w:rsidRPr="00350AFF" w:rsidRDefault="00350AFF" w:rsidP="00350AFF">
      <w:r w:rsidRPr="00350AFF">
        <w:rPr>
          <w:noProof/>
        </w:rPr>
        <w:drawing>
          <wp:inline distT="0" distB="0" distL="0" distR="0" wp14:anchorId="4C93455A" wp14:editId="29603089">
            <wp:extent cx="5876290" cy="6562164"/>
            <wp:effectExtent l="0" t="0" r="0" b="0"/>
            <wp:docPr id="304043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43689" name=""/>
                    <pic:cNvPicPr/>
                  </pic:nvPicPr>
                  <pic:blipFill>
                    <a:blip r:embed="rId48"/>
                    <a:stretch>
                      <a:fillRect/>
                    </a:stretch>
                  </pic:blipFill>
                  <pic:spPr>
                    <a:xfrm>
                      <a:off x="0" y="0"/>
                      <a:ext cx="5880957" cy="6567376"/>
                    </a:xfrm>
                    <a:prstGeom prst="rect">
                      <a:avLst/>
                    </a:prstGeom>
                  </pic:spPr>
                </pic:pic>
              </a:graphicData>
            </a:graphic>
          </wp:inline>
        </w:drawing>
      </w:r>
    </w:p>
    <w:p w14:paraId="483A488C" w14:textId="77777777" w:rsidR="0067398C" w:rsidRDefault="0067398C" w:rsidP="00B6756A">
      <w:pPr>
        <w:rPr>
          <w:rFonts w:ascii="Arial" w:hAnsi="Arial" w:cs="Arial"/>
          <w:highlight w:val="yellow"/>
        </w:rPr>
      </w:pPr>
    </w:p>
    <w:p w14:paraId="1EB4E518" w14:textId="77777777" w:rsidR="0052349B" w:rsidRDefault="0052349B" w:rsidP="00B6756A">
      <w:pPr>
        <w:rPr>
          <w:rFonts w:ascii="Arial" w:hAnsi="Arial" w:cs="Arial"/>
          <w:highlight w:val="yellow"/>
        </w:rPr>
      </w:pPr>
    </w:p>
    <w:p w14:paraId="3ECFC268" w14:textId="4CA7C2F3" w:rsidR="009F538E" w:rsidRPr="00350AFF" w:rsidRDefault="009F538E" w:rsidP="009F538E">
      <w:pPr>
        <w:spacing w:before="100" w:beforeAutospacing="1" w:after="100" w:afterAutospacing="1" w:line="300" w:lineRule="atLeast"/>
        <w:outlineLvl w:val="2"/>
        <w:rPr>
          <w:rFonts w:ascii="Arial" w:eastAsia="Times New Roman" w:hAnsi="Arial" w:cs="Arial"/>
          <w:b/>
          <w:bCs/>
          <w:kern w:val="0"/>
          <w:lang w:eastAsia="en-GB"/>
          <w14:ligatures w14:val="none"/>
        </w:rPr>
      </w:pPr>
      <w:r w:rsidRPr="00350AFF">
        <w:rPr>
          <w:rFonts w:ascii="Arial" w:eastAsia="Times New Roman" w:hAnsi="Arial" w:cs="Arial"/>
          <w:b/>
          <w:bCs/>
          <w:kern w:val="0"/>
          <w:lang w:eastAsia="en-GB"/>
          <w14:ligatures w14:val="none"/>
        </w:rPr>
        <w:t>Brief Analysis</w:t>
      </w:r>
      <w:r w:rsidR="00B97DA6">
        <w:rPr>
          <w:rFonts w:ascii="Arial" w:eastAsia="Times New Roman" w:hAnsi="Arial" w:cs="Arial"/>
          <w:b/>
          <w:bCs/>
          <w:kern w:val="0"/>
          <w:lang w:eastAsia="en-GB"/>
          <w14:ligatures w14:val="none"/>
        </w:rPr>
        <w:t xml:space="preserve"> of table 12 </w:t>
      </w:r>
    </w:p>
    <w:p w14:paraId="2E214204" w14:textId="0F174DCF" w:rsidR="00701332" w:rsidRPr="007C5457" w:rsidRDefault="009F538E" w:rsidP="007C5457">
      <w:pPr>
        <w:spacing w:before="100" w:beforeAutospacing="1" w:after="100" w:afterAutospacing="1" w:line="276" w:lineRule="auto"/>
        <w:rPr>
          <w:rStyle w:val="Heading2Char"/>
          <w:rFonts w:ascii="Arial" w:eastAsia="Times New Roman" w:hAnsi="Arial" w:cs="Arial"/>
          <w:color w:val="auto"/>
          <w:kern w:val="0"/>
          <w:sz w:val="24"/>
          <w:szCs w:val="24"/>
          <w:lang w:eastAsia="en-GB"/>
          <w14:ligatures w14:val="none"/>
        </w:rPr>
      </w:pPr>
      <w:r w:rsidRPr="002351A4">
        <w:rPr>
          <w:rFonts w:ascii="Arial" w:eastAsia="Times New Roman" w:hAnsi="Arial" w:cs="Arial"/>
          <w:kern w:val="0"/>
          <w:lang w:eastAsia="en-GB"/>
          <w14:ligatures w14:val="none"/>
        </w:rPr>
        <w:t xml:space="preserve">The mitigation and monitoring plan focuses on reducing the likelihood and impact of high-priority risks through proactive controls and continuous oversight. Regular </w:t>
      </w:r>
      <w:r w:rsidRPr="002351A4">
        <w:rPr>
          <w:rFonts w:ascii="Arial" w:eastAsia="Times New Roman" w:hAnsi="Arial" w:cs="Arial"/>
          <w:kern w:val="0"/>
          <w:lang w:eastAsia="en-GB"/>
          <w14:ligatures w14:val="none"/>
        </w:rPr>
        <w:lastRenderedPageBreak/>
        <w:t xml:space="preserve">reviews, testing activities, performance reporting, and stakeholder feedback ensure emerging issues are identified </w:t>
      </w:r>
      <w:r w:rsidR="004536AC" w:rsidRPr="002351A4">
        <w:rPr>
          <w:rFonts w:ascii="Arial" w:eastAsia="Times New Roman" w:hAnsi="Arial" w:cs="Arial"/>
          <w:kern w:val="0"/>
          <w:lang w:eastAsia="en-GB"/>
          <w14:ligatures w14:val="none"/>
        </w:rPr>
        <w:t>early,</w:t>
      </w:r>
      <w:r w:rsidRPr="002351A4">
        <w:rPr>
          <w:rFonts w:ascii="Arial" w:eastAsia="Times New Roman" w:hAnsi="Arial" w:cs="Arial"/>
          <w:kern w:val="0"/>
          <w:lang w:eastAsia="en-GB"/>
          <w14:ligatures w14:val="none"/>
        </w:rPr>
        <w:t xml:space="preserve"> and corrective actions are implemented promptly, supporting successful project delivery and benefits realisation.</w:t>
      </w:r>
    </w:p>
    <w:p w14:paraId="04EE2928" w14:textId="329FB556" w:rsidR="004B1296" w:rsidRPr="00D57350" w:rsidRDefault="004B1296" w:rsidP="004B1296">
      <w:pPr>
        <w:shd w:val="clear" w:color="auto" w:fill="FFFFFF"/>
        <w:spacing w:before="480" w:after="240" w:line="450" w:lineRule="atLeast"/>
        <w:outlineLvl w:val="2"/>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8" w:name="_Toc243730103"/>
      <w:r w:rsidRPr="00D57350">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Risk Management </w:t>
      </w:r>
      <w:bookmarkEnd w:id="48"/>
      <w:r w:rsidR="009321F5">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 analysis in summary</w:t>
      </w:r>
    </w:p>
    <w:p w14:paraId="6CBB1480" w14:textId="51C794B7" w:rsidR="00156548" w:rsidRPr="00D57350" w:rsidRDefault="00156548" w:rsidP="00156548">
      <w:pPr>
        <w:rPr>
          <w:rFonts w:ascii="Arial" w:hAnsi="Arial" w:cs="Arial"/>
          <w:lang w:eastAsia="en-GB"/>
        </w:rPr>
      </w:pPr>
    </w:p>
    <w:p w14:paraId="3FAD9163" w14:textId="1813CD64" w:rsidR="004B1296" w:rsidRPr="00D57350" w:rsidRDefault="004B1296" w:rsidP="002351A4">
      <w:pPr>
        <w:spacing w:line="276" w:lineRule="auto"/>
        <w:rPr>
          <w:rFonts w:ascii="Arial" w:hAnsi="Arial" w:cs="Arial"/>
          <w:lang w:eastAsia="en-GB"/>
        </w:rPr>
      </w:pPr>
      <w:r w:rsidRPr="00D57350">
        <w:rPr>
          <w:rFonts w:ascii="Arial" w:hAnsi="Arial" w:cs="Arial"/>
          <w:lang w:eastAsia="en-GB"/>
        </w:rPr>
        <w:t>The project faces six principal risks relating to HMRC API changes, user adoption, market competition, data security, resource availability, and regulatory reform. The highest-impact risks are changes to HMRC requirements, data security breaches, and regulatory changes, as these could significantly affect compliance and project delivery. Mitigation measures include continuous monitoring, flexible system design, staff training, robust security controls, and contingency resource planning. Regular risk reviews will help ensure risks are identified early and managed effectively throughout the project lifecycle.</w:t>
      </w:r>
      <w:r w:rsidR="00D71FCA">
        <w:rPr>
          <w:rFonts w:ascii="Arial" w:hAnsi="Arial" w:cs="Arial"/>
          <w:lang w:eastAsia="en-GB"/>
        </w:rPr>
        <w:t xml:space="preserve"> Presented below table 13 explains the concept</w:t>
      </w:r>
      <w:r w:rsidR="00B97DA6">
        <w:rPr>
          <w:rFonts w:ascii="Arial" w:hAnsi="Arial" w:cs="Arial"/>
          <w:lang w:eastAsia="en-GB"/>
        </w:rPr>
        <w:t xml:space="preserve"> in more detail.</w:t>
      </w:r>
    </w:p>
    <w:p w14:paraId="20EB6901" w14:textId="77777777" w:rsidR="004B1296" w:rsidRPr="00D57350" w:rsidRDefault="004B1296" w:rsidP="002351A4">
      <w:pPr>
        <w:spacing w:line="276" w:lineRule="auto"/>
        <w:rPr>
          <w:rStyle w:val="Heading2Char"/>
          <w:rFonts w:ascii="Arial" w:hAnsi="Arial" w:cs="Arial"/>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D5B03F" w14:textId="6E4A5210" w:rsidR="002351A4" w:rsidRPr="00EF6186" w:rsidRDefault="001910D7" w:rsidP="00EF6186">
      <w:pPr>
        <w:shd w:val="clear" w:color="auto" w:fill="FFFFFF"/>
        <w:spacing w:before="240" w:after="240" w:line="420" w:lineRule="atLeast"/>
        <w:rPr>
          <w:rStyle w:val="Heading2Char"/>
          <w:rFonts w:ascii="Arial" w:eastAsia="Times New Roman" w:hAnsi="Arial" w:cs="Arial"/>
          <w:color w:val="0F1115"/>
          <w:kern w:val="0"/>
          <w:sz w:val="24"/>
          <w:szCs w:val="24"/>
          <w:lang w:eastAsia="en-GB"/>
          <w14:ligatures w14:val="none"/>
        </w:rPr>
      </w:pPr>
      <w:r w:rsidRPr="001910D7">
        <w:rPr>
          <w:rStyle w:val="Heading2Char"/>
          <w:rFonts w:ascii="Arial" w:hAnsi="Arial" w:cs="Arial"/>
          <w:noProof/>
        </w:rPr>
        <w:lastRenderedPageBreak/>
        <w:drawing>
          <wp:anchor distT="0" distB="0" distL="114300" distR="114300" simplePos="0" relativeHeight="251661824" behindDoc="1" locked="0" layoutInCell="1" allowOverlap="1" wp14:anchorId="4CE9EE01" wp14:editId="4D6C00B6">
            <wp:simplePos x="0" y="0"/>
            <wp:positionH relativeFrom="margin">
              <wp:posOffset>-578224</wp:posOffset>
            </wp:positionH>
            <wp:positionV relativeFrom="paragraph">
              <wp:posOffset>383316</wp:posOffset>
            </wp:positionV>
            <wp:extent cx="6924268" cy="8471124"/>
            <wp:effectExtent l="0" t="0" r="0" b="6350"/>
            <wp:wrapTight wrapText="bothSides">
              <wp:wrapPolygon edited="0">
                <wp:start x="0" y="0"/>
                <wp:lineTo x="0" y="21568"/>
                <wp:lineTo x="21513" y="21568"/>
                <wp:lineTo x="21513" y="0"/>
                <wp:lineTo x="0" y="0"/>
              </wp:wrapPolygon>
            </wp:wrapTight>
            <wp:docPr id="181939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394406" name=""/>
                    <pic:cNvPicPr/>
                  </pic:nvPicPr>
                  <pic:blipFill>
                    <a:blip r:embed="rId49">
                      <a:extLst>
                        <a:ext uri="{28A0092B-C50C-407E-A947-70E740481C1C}">
                          <a14:useLocalDpi xmlns:a14="http://schemas.microsoft.com/office/drawing/2010/main" val="0"/>
                        </a:ext>
                      </a:extLst>
                    </a:blip>
                    <a:stretch>
                      <a:fillRect/>
                    </a:stretch>
                  </pic:blipFill>
                  <pic:spPr>
                    <a:xfrm>
                      <a:off x="0" y="0"/>
                      <a:ext cx="6924268" cy="8471124"/>
                    </a:xfrm>
                    <a:prstGeom prst="rect">
                      <a:avLst/>
                    </a:prstGeom>
                  </pic:spPr>
                </pic:pic>
              </a:graphicData>
            </a:graphic>
            <wp14:sizeRelH relativeFrom="margin">
              <wp14:pctWidth>0</wp14:pctWidth>
            </wp14:sizeRelH>
            <wp14:sizeRelV relativeFrom="margin">
              <wp14:pctHeight>0</wp14:pctHeight>
            </wp14:sizeRelV>
          </wp:anchor>
        </w:drawing>
      </w:r>
      <w:r w:rsidR="00252092">
        <w:rPr>
          <w:noProof/>
        </w:rPr>
        <mc:AlternateContent>
          <mc:Choice Requires="wps">
            <w:drawing>
              <wp:anchor distT="0" distB="0" distL="114300" distR="114300" simplePos="0" relativeHeight="251660800" behindDoc="1" locked="0" layoutInCell="1" allowOverlap="1" wp14:anchorId="24C88AF7" wp14:editId="10B307BD">
                <wp:simplePos x="0" y="0"/>
                <wp:positionH relativeFrom="column">
                  <wp:posOffset>-443865</wp:posOffset>
                </wp:positionH>
                <wp:positionV relativeFrom="paragraph">
                  <wp:posOffset>0</wp:posOffset>
                </wp:positionV>
                <wp:extent cx="6520815" cy="457200"/>
                <wp:effectExtent l="0" t="0" r="0" b="0"/>
                <wp:wrapTight wrapText="bothSides">
                  <wp:wrapPolygon edited="0">
                    <wp:start x="0" y="0"/>
                    <wp:lineTo x="0" y="20700"/>
                    <wp:lineTo x="21518" y="20700"/>
                    <wp:lineTo x="21518" y="0"/>
                    <wp:lineTo x="0" y="0"/>
                  </wp:wrapPolygon>
                </wp:wrapTight>
                <wp:docPr id="794580402" name="Text Box 1"/>
                <wp:cNvGraphicFramePr/>
                <a:graphic xmlns:a="http://schemas.openxmlformats.org/drawingml/2006/main">
                  <a:graphicData uri="http://schemas.microsoft.com/office/word/2010/wordprocessingShape">
                    <wps:wsp>
                      <wps:cNvSpPr txBox="1"/>
                      <wps:spPr>
                        <a:xfrm>
                          <a:off x="0" y="0"/>
                          <a:ext cx="6520815" cy="457200"/>
                        </a:xfrm>
                        <a:prstGeom prst="rect">
                          <a:avLst/>
                        </a:prstGeom>
                        <a:solidFill>
                          <a:prstClr val="white"/>
                        </a:solidFill>
                        <a:ln>
                          <a:noFill/>
                        </a:ln>
                      </wps:spPr>
                      <wps:txbx>
                        <w:txbxContent>
                          <w:p w14:paraId="2AC12355" w14:textId="180B0328" w:rsidR="00252092" w:rsidRDefault="00F167DA" w:rsidP="00252092">
                            <w:pPr>
                              <w:pStyle w:val="Caption"/>
                              <w:keepNext/>
                              <w:jc w:val="center"/>
                              <w:rPr>
                                <w:rFonts w:ascii="Arial" w:hAnsi="Arial" w:cs="Arial"/>
                                <w:b/>
                                <w:bCs/>
                                <w:color w:val="7030A0"/>
                                <w:sz w:val="20"/>
                                <w:szCs w:val="20"/>
                              </w:rPr>
                            </w:pPr>
                            <w:r>
                              <w:rPr>
                                <w:rFonts w:ascii="Arial" w:hAnsi="Arial" w:cs="Arial"/>
                                <w:b/>
                                <w:bCs/>
                                <w:color w:val="7030A0"/>
                                <w:sz w:val="20"/>
                                <w:szCs w:val="20"/>
                              </w:rPr>
                              <w:t xml:space="preserve">Table </w:t>
                            </w:r>
                            <w:r w:rsidR="00AD1068">
                              <w:rPr>
                                <w:rFonts w:ascii="Arial" w:hAnsi="Arial" w:cs="Arial"/>
                                <w:b/>
                                <w:bCs/>
                                <w:color w:val="7030A0"/>
                                <w:sz w:val="20"/>
                                <w:szCs w:val="20"/>
                              </w:rPr>
                              <w:t xml:space="preserve">13: </w:t>
                            </w:r>
                            <w:r w:rsidRPr="00252092">
                              <w:rPr>
                                <w:rFonts w:ascii="Arial" w:hAnsi="Arial" w:cs="Arial"/>
                                <w:b/>
                                <w:bCs/>
                                <w:color w:val="7030A0"/>
                                <w:sz w:val="20"/>
                                <w:szCs w:val="20"/>
                              </w:rPr>
                              <w:t>Risk</w:t>
                            </w:r>
                            <w:r w:rsidR="00252092" w:rsidRPr="00252092">
                              <w:rPr>
                                <w:rFonts w:ascii="Arial" w:hAnsi="Arial" w:cs="Arial"/>
                                <w:b/>
                                <w:bCs/>
                                <w:color w:val="7030A0"/>
                                <w:sz w:val="20"/>
                                <w:szCs w:val="20"/>
                              </w:rPr>
                              <w:t xml:space="preserve"> Analysis summary Now Accounting</w:t>
                            </w:r>
                          </w:p>
                          <w:p w14:paraId="1EA134CB" w14:textId="4DE12076" w:rsidR="001910D7" w:rsidRPr="001910D7" w:rsidRDefault="001910D7" w:rsidP="001910D7">
                            <w:r>
                              <w:rPr>
                                <w:noProof/>
                              </w:rPr>
                              <w:drawing>
                                <wp:inline distT="0" distB="0" distL="0" distR="0" wp14:anchorId="50A73119" wp14:editId="39136AF1">
                                  <wp:extent cx="371475" cy="457200"/>
                                  <wp:effectExtent l="0" t="0" r="9525" b="0"/>
                                  <wp:docPr id="93129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33861" name=""/>
                                          <pic:cNvPicPr/>
                                        </pic:nvPicPr>
                                        <pic:blipFill>
                                          <a:blip r:embed="rId50"/>
                                          <a:stretch>
                                            <a:fillRect/>
                                          </a:stretch>
                                        </pic:blipFill>
                                        <pic:spPr>
                                          <a:xfrm>
                                            <a:off x="0" y="0"/>
                                            <a:ext cx="371475" cy="457200"/>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4C88AF7" id="_x0000_s1030" type="#_x0000_t202" style="position:absolute;margin-left:-34.95pt;margin-top:0;width:513.45pt;height:36pt;z-index:-25165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" stroked="f">
                <v:textbox inset="0,0,0,0">
                  <w:txbxContent>
                    <w:p w14:paraId="2AC12355" w14:textId="180B0328" w:rsidR="00252092" w:rsidRDefault="00F167DA" w:rsidP="00252092">
                      <w:pPr>
                        <w:pStyle w:val="Caption"/>
                        <w:keepNext/>
                        <w:jc w:val="center"/>
                        <w:rPr>
                          <w:rFonts w:ascii="Arial" w:hAnsi="Arial" w:cs="Arial"/>
                          <w:b/>
                          <w:bCs/>
                          <w:color w:val="7030A0"/>
                          <w:sz w:val="20"/>
                          <w:szCs w:val="20"/>
                        </w:rPr>
                      </w:pPr>
                      <w:r>
                        <w:rPr>
                          <w:rFonts w:ascii="Arial" w:hAnsi="Arial" w:cs="Arial"/>
                          <w:b/>
                          <w:bCs/>
                          <w:color w:val="7030A0"/>
                          <w:sz w:val="20"/>
                          <w:szCs w:val="20"/>
                        </w:rPr>
                        <w:t xml:space="preserve">Table </w:t>
                      </w:r>
                      <w:r w:rsidR="00AD1068">
                        <w:rPr>
                          <w:rFonts w:ascii="Arial" w:hAnsi="Arial" w:cs="Arial"/>
                          <w:b/>
                          <w:bCs/>
                          <w:color w:val="7030A0"/>
                          <w:sz w:val="20"/>
                          <w:szCs w:val="20"/>
                        </w:rPr>
                        <w:t xml:space="preserve">13: </w:t>
                      </w:r>
                      <w:r w:rsidRPr="00252092">
                        <w:rPr>
                          <w:rFonts w:ascii="Arial" w:hAnsi="Arial" w:cs="Arial"/>
                          <w:b/>
                          <w:bCs/>
                          <w:color w:val="7030A0"/>
                          <w:sz w:val="20"/>
                          <w:szCs w:val="20"/>
                        </w:rPr>
                        <w:t>Risk</w:t>
                      </w:r>
                      <w:r w:rsidR="00252092" w:rsidRPr="00252092">
                        <w:rPr>
                          <w:rFonts w:ascii="Arial" w:hAnsi="Arial" w:cs="Arial"/>
                          <w:b/>
                          <w:bCs/>
                          <w:color w:val="7030A0"/>
                          <w:sz w:val="20"/>
                          <w:szCs w:val="20"/>
                        </w:rPr>
                        <w:t xml:space="preserve"> Analysis summary Now Accounting</w:t>
                      </w:r>
                    </w:p>
                    <w:p w14:paraId="1EA134CB" w14:textId="4DE12076" w:rsidR="001910D7" w:rsidRPr="001910D7" w:rsidRDefault="001910D7" w:rsidP="001910D7">
                      <w:r>
                        <w:rPr>
                          <w:noProof/>
                        </w:rPr>
                        <w:drawing>
                          <wp:inline distT="0" distB="0" distL="0" distR="0" wp14:anchorId="50A73119" wp14:editId="39136AF1">
                            <wp:extent cx="371475" cy="457200"/>
                            <wp:effectExtent l="0" t="0" r="9525" b="0"/>
                            <wp:docPr id="93129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33861" name=""/>
                                    <pic:cNvPicPr/>
                                  </pic:nvPicPr>
                                  <pic:blipFill>
                                    <a:blip r:embed="rId50"/>
                                    <a:stretch>
                                      <a:fillRect/>
                                    </a:stretch>
                                  </pic:blipFill>
                                  <pic:spPr>
                                    <a:xfrm>
                                      <a:off x="0" y="0"/>
                                      <a:ext cx="371475" cy="457200"/>
                                    </a:xfrm>
                                    <a:prstGeom prst="rect">
                                      <a:avLst/>
                                    </a:prstGeom>
                                  </pic:spPr>
                                </pic:pic>
                              </a:graphicData>
                            </a:graphic>
                          </wp:inline>
                        </w:drawing>
                      </w:r>
                    </w:p>
                  </w:txbxContent>
                </v:textbox>
                <w10:wrap type="tight"/>
              </v:shape>
            </w:pict>
          </mc:Fallback>
        </mc:AlternateContent>
      </w:r>
      <w:bookmarkStart w:id="49" w:name="_Toc243730104"/>
    </w:p>
    <w:p w14:paraId="27F21A24" w14:textId="3CD34C0A" w:rsidR="0089711F" w:rsidRPr="004570ED" w:rsidRDefault="0089711F" w:rsidP="004570ED">
      <w:pPr>
        <w:pStyle w:val="Heading1"/>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70ED">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8.5 Reporting Structure</w:t>
      </w:r>
      <w:bookmarkEnd w:id="49"/>
    </w:p>
    <w:p w14:paraId="0E29B6EB" w14:textId="77777777" w:rsidR="00FD4F9B" w:rsidRPr="00FD4F9B" w:rsidRDefault="00FD4F9B" w:rsidP="00FD4F9B"/>
    <w:p w14:paraId="7802EA0A" w14:textId="77777777" w:rsidR="001910D7" w:rsidRDefault="00111792" w:rsidP="001910D7">
      <w:pPr>
        <w:keepNext/>
      </w:pPr>
      <w:bookmarkStart w:id="50" w:name="_Toc243730105"/>
      <w:bookmarkStart w:id="51" w:name="_Toc243906368"/>
      <w:bookmarkStart w:id="52" w:name="_Toc243918289"/>
      <w:r w:rsidRPr="00D57350">
        <w:rPr>
          <w:rStyle w:val="Heading2Char"/>
          <w:rFonts w:ascii="Arial" w:hAnsi="Arial" w:cs="Arial"/>
          <w:b/>
          <w:bCs/>
          <w:noProof/>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412EDB6" wp14:editId="6985839C">
            <wp:extent cx="5731510" cy="3994785"/>
            <wp:effectExtent l="0" t="0" r="2540" b="5715"/>
            <wp:docPr id="975923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923594" name=""/>
                    <pic:cNvPicPr/>
                  </pic:nvPicPr>
                  <pic:blipFill>
                    <a:blip r:embed="rId51"/>
                    <a:stretch>
                      <a:fillRect/>
                    </a:stretch>
                  </pic:blipFill>
                  <pic:spPr>
                    <a:xfrm>
                      <a:off x="0" y="0"/>
                      <a:ext cx="5731510" cy="3994785"/>
                    </a:xfrm>
                    <a:prstGeom prst="rect">
                      <a:avLst/>
                    </a:prstGeom>
                  </pic:spPr>
                </pic:pic>
              </a:graphicData>
            </a:graphic>
          </wp:inline>
        </w:drawing>
      </w:r>
      <w:bookmarkEnd w:id="50"/>
      <w:bookmarkEnd w:id="51"/>
      <w:bookmarkEnd w:id="52"/>
    </w:p>
    <w:p w14:paraId="4BAE2E45" w14:textId="42489015" w:rsidR="00111792" w:rsidRPr="001910D7" w:rsidRDefault="001910D7" w:rsidP="001910D7">
      <w:pPr>
        <w:pStyle w:val="Caption"/>
        <w:keepNext/>
        <w:jc w:val="center"/>
        <w:rPr>
          <w:b/>
          <w:bCs/>
          <w:color w:val="7030A0"/>
          <w:sz w:val="20"/>
          <w:szCs w:val="20"/>
        </w:rPr>
      </w:pPr>
      <w:r w:rsidRPr="001910D7">
        <w:rPr>
          <w:rFonts w:ascii="Arial" w:hAnsi="Arial" w:cs="Arial"/>
          <w:b/>
          <w:bCs/>
          <w:color w:val="7030A0"/>
          <w:sz w:val="20"/>
          <w:szCs w:val="20"/>
        </w:rPr>
        <w:t>Figure</w:t>
      </w:r>
      <w:r w:rsidR="00A33A8D">
        <w:rPr>
          <w:rFonts w:ascii="Arial" w:hAnsi="Arial" w:cs="Arial"/>
          <w:b/>
          <w:bCs/>
          <w:color w:val="7030A0"/>
          <w:sz w:val="20"/>
          <w:szCs w:val="20"/>
        </w:rPr>
        <w:t xml:space="preserve"> 17:</w:t>
      </w:r>
      <w:r w:rsidRPr="001910D7">
        <w:rPr>
          <w:rFonts w:ascii="Arial" w:hAnsi="Arial" w:cs="Arial"/>
          <w:b/>
          <w:bCs/>
          <w:color w:val="7030A0"/>
          <w:sz w:val="20"/>
          <w:szCs w:val="20"/>
        </w:rPr>
        <w:t xml:space="preserve"> Reporting Structure</w:t>
      </w:r>
    </w:p>
    <w:p w14:paraId="4ECAA551" w14:textId="77777777" w:rsidR="00766ABD" w:rsidRPr="00D57350" w:rsidRDefault="00766ABD" w:rsidP="00766ABD">
      <w:pPr>
        <w:shd w:val="clear" w:color="auto" w:fill="FFFFFF"/>
        <w:spacing w:before="480" w:after="240" w:line="450" w:lineRule="atLeast"/>
        <w:outlineLvl w:val="2"/>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3" w:name="_Toc243730106"/>
      <w:bookmarkStart w:id="54" w:name="_Toc243906369"/>
      <w:r w:rsidRPr="00D57350">
        <w:rPr>
          <w:rFonts w:ascii="Arial" w:eastAsiaTheme="majorEastAsia" w:hAnsi="Arial" w:cs="Arial"/>
          <w:b/>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Brief Analysis</w:t>
      </w:r>
      <w:bookmarkEnd w:id="53"/>
      <w:bookmarkEnd w:id="54"/>
    </w:p>
    <w:p w14:paraId="5A19E981" w14:textId="38D756B6" w:rsidR="005C617D" w:rsidRPr="005C617D" w:rsidRDefault="005C617D" w:rsidP="005C617D">
      <w:pPr>
        <w:pStyle w:val="Caption"/>
        <w:keepNext/>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illustrated in </w:t>
      </w:r>
      <w:r w:rsidRPr="005C617D">
        <w:rPr>
          <w:rFonts w:ascii="Arial" w:hAnsi="Arial" w:cs="Arial"/>
          <w:bCs/>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17</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5605">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above </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Pr="005C617D">
        <w:rPr>
          <w:rFonts w:ascii="Arial" w:hAnsi="Arial" w:cs="Arial"/>
          <w:bCs/>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14</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95605">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below, </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reporting structure establishes a clear governance framework for monitoring project performance, managing risks, and supporting informed decision-making throughout the project lifecycle. </w:t>
      </w:r>
      <w:r w:rsidRPr="005C617D">
        <w:rPr>
          <w:rFonts w:ascii="Arial" w:hAnsi="Arial" w:cs="Arial"/>
          <w:bCs/>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Weekly Highlight Reports</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 regular updates on project progress, emerging risks, key issues, and upcoming activities, enabling stakeholders to maintain visibility of project status. </w:t>
      </w:r>
      <w:r w:rsidRPr="005C617D">
        <w:rPr>
          <w:rFonts w:ascii="Arial" w:hAnsi="Arial" w:cs="Arial"/>
          <w:bCs/>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Exception Reports</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prepared when significant issues, variances, or risks arise that require review and direction from the Project Board.</w:t>
      </w:r>
    </w:p>
    <w:p w14:paraId="6439E72F" w14:textId="7EFA4A30" w:rsidR="00EF6186" w:rsidRPr="00103D20" w:rsidRDefault="005C617D" w:rsidP="00103D20">
      <w:pPr>
        <w:pStyle w:val="Caption"/>
        <w:keepNext/>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addition, </w:t>
      </w:r>
      <w:r w:rsidRPr="005C617D">
        <w:rPr>
          <w:rFonts w:ascii="Arial" w:hAnsi="Arial" w:cs="Arial"/>
          <w:bCs/>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Phase End Reports</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 the outcomes of each project stage, capturing achievements, lessons learned, and readiness to proceed to the next phase. </w:t>
      </w:r>
      <w:r w:rsidRPr="005C617D">
        <w:rPr>
          <w:rFonts w:ascii="Arial" w:hAnsi="Arial" w:cs="Arial"/>
          <w:bCs/>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Reports</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monitor budget expenditure, cost performance, and forecasted spending to ensure effective financial control. Furthermore, </w:t>
      </w:r>
      <w:r w:rsidRPr="005C617D">
        <w:rPr>
          <w:rFonts w:ascii="Arial" w:hAnsi="Arial" w:cs="Arial"/>
          <w:bCs/>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HMRC Compliance Reports</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 assurance that the solution continues to meet regulatory requirements and remains compatible with Making Tax Digital (MTD) standards. Collectively, these reporting mechanisms promote effective governance, </w:t>
      </w:r>
      <w:r w:rsidRPr="005C617D">
        <w:rPr>
          <w:rFonts w:ascii="Arial" w:hAnsi="Arial" w:cs="Arial"/>
          <w:i w:val="0"/>
          <w:iCs w:val="0"/>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transparency, accountability, and stakeholder oversight, contributing to the successful delivery of the project.</w:t>
      </w:r>
    </w:p>
    <w:p w14:paraId="45A3D216" w14:textId="4A77FA87" w:rsidR="007778FF" w:rsidRPr="00103D20" w:rsidRDefault="00A33A8D" w:rsidP="00103D20">
      <w:pPr>
        <w:pStyle w:val="Caption"/>
        <w:keepNext/>
        <w:jc w:val="center"/>
        <w:rPr>
          <w:b/>
          <w:bCs/>
          <w:color w:val="7030A0"/>
          <w:sz w:val="20"/>
          <w:szCs w:val="20"/>
        </w:rPr>
      </w:pPr>
      <w:r>
        <w:rPr>
          <w:rFonts w:ascii="Arial" w:hAnsi="Arial" w:cs="Arial"/>
          <w:b/>
          <w:bCs/>
          <w:color w:val="7030A0"/>
          <w:sz w:val="20"/>
          <w:szCs w:val="20"/>
        </w:rPr>
        <w:t>Table 14</w:t>
      </w:r>
      <w:r w:rsidR="007778FF" w:rsidRPr="00CA22FC">
        <w:rPr>
          <w:rFonts w:ascii="Arial" w:hAnsi="Arial" w:cs="Arial"/>
          <w:b/>
          <w:bCs/>
          <w:color w:val="7030A0"/>
          <w:sz w:val="20"/>
          <w:szCs w:val="20"/>
        </w:rPr>
        <w:t>: Reporting Proces</w:t>
      </w:r>
    </w:p>
    <w:p w14:paraId="4D46E2B6" w14:textId="1FF7E198" w:rsidR="00F511E1" w:rsidRDefault="00CA22FC" w:rsidP="00CA22FC">
      <w:pPr>
        <w:keepNext/>
        <w:shd w:val="clear" w:color="auto" w:fill="FFFFFF"/>
        <w:spacing w:before="480" w:after="240" w:line="450" w:lineRule="atLeast"/>
        <w:outlineLvl w:val="2"/>
      </w:pPr>
      <w:bookmarkStart w:id="55" w:name="_Toc243918291"/>
      <w:r w:rsidRPr="00CA22FC">
        <w:rPr>
          <w:rStyle w:val="Heading2Char"/>
          <w:rFonts w:ascii="Arial" w:hAnsi="Arial" w:cs="Arial"/>
          <w:noProof/>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5136" behindDoc="1" locked="0" layoutInCell="1" allowOverlap="1" wp14:anchorId="5BADA8B5" wp14:editId="54D69FE2">
            <wp:simplePos x="0" y="0"/>
            <wp:positionH relativeFrom="margin">
              <wp:align>right</wp:align>
            </wp:positionH>
            <wp:positionV relativeFrom="paragraph">
              <wp:posOffset>0</wp:posOffset>
            </wp:positionV>
            <wp:extent cx="5741042" cy="4910455"/>
            <wp:effectExtent l="0" t="0" r="0" b="4445"/>
            <wp:wrapTight wrapText="bothSides">
              <wp:wrapPolygon edited="0">
                <wp:start x="0" y="0"/>
                <wp:lineTo x="0" y="21536"/>
                <wp:lineTo x="21502" y="21536"/>
                <wp:lineTo x="21502" y="0"/>
                <wp:lineTo x="0" y="0"/>
              </wp:wrapPolygon>
            </wp:wrapTight>
            <wp:docPr id="1842915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15696" name=""/>
                    <pic:cNvPicPr/>
                  </pic:nvPicPr>
                  <pic:blipFill>
                    <a:blip r:embed="rId52">
                      <a:extLst>
                        <a:ext uri="{28A0092B-C50C-407E-A947-70E740481C1C}">
                          <a14:useLocalDpi xmlns:a14="http://schemas.microsoft.com/office/drawing/2010/main" val="0"/>
                        </a:ext>
                      </a:extLst>
                    </a:blip>
                    <a:stretch>
                      <a:fillRect/>
                    </a:stretch>
                  </pic:blipFill>
                  <pic:spPr>
                    <a:xfrm>
                      <a:off x="0" y="0"/>
                      <a:ext cx="5741042" cy="4910455"/>
                    </a:xfrm>
                    <a:prstGeom prst="rect">
                      <a:avLst/>
                    </a:prstGeom>
                  </pic:spPr>
                </pic:pic>
              </a:graphicData>
            </a:graphic>
          </wp:anchor>
        </w:drawing>
      </w:r>
      <w:bookmarkEnd w:id="55"/>
    </w:p>
    <w:p w14:paraId="37619CA0" w14:textId="77777777" w:rsidR="00103D20" w:rsidRDefault="00103D20" w:rsidP="00CA22FC">
      <w:pPr>
        <w:keepNext/>
        <w:shd w:val="clear" w:color="auto" w:fill="FFFFFF"/>
        <w:spacing w:before="480" w:after="240" w:line="450" w:lineRule="atLeast"/>
        <w:outlineLvl w:val="2"/>
      </w:pPr>
    </w:p>
    <w:p w14:paraId="5F82EF17" w14:textId="77777777" w:rsidR="00103D20" w:rsidRDefault="00103D20" w:rsidP="00CA22FC">
      <w:pPr>
        <w:keepNext/>
        <w:shd w:val="clear" w:color="auto" w:fill="FFFFFF"/>
        <w:spacing w:before="480" w:after="240" w:line="450" w:lineRule="atLeast"/>
        <w:outlineLvl w:val="2"/>
      </w:pPr>
    </w:p>
    <w:p w14:paraId="55FE4206" w14:textId="77777777" w:rsidR="00103D20" w:rsidRDefault="00103D20" w:rsidP="00CA22FC">
      <w:pPr>
        <w:keepNext/>
        <w:shd w:val="clear" w:color="auto" w:fill="FFFFFF"/>
        <w:spacing w:before="480" w:after="240" w:line="450" w:lineRule="atLeast"/>
        <w:outlineLvl w:val="2"/>
      </w:pPr>
    </w:p>
    <w:p w14:paraId="0B9B6C4B" w14:textId="77777777" w:rsidR="00F511E1" w:rsidRDefault="00F511E1" w:rsidP="00CA22FC">
      <w:pPr>
        <w:keepNext/>
        <w:shd w:val="clear" w:color="auto" w:fill="FFFFFF"/>
        <w:spacing w:before="480" w:after="240" w:line="450" w:lineRule="atLeast"/>
        <w:outlineLvl w:val="2"/>
      </w:pPr>
    </w:p>
    <w:p w14:paraId="3ED640F0" w14:textId="77777777" w:rsidR="0089711F" w:rsidRPr="004570ED" w:rsidRDefault="0089711F" w:rsidP="00BB505D">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6" w:name="_Toc243730107"/>
      <w:r w:rsidRPr="004570ED">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9. Conclusion</w:t>
      </w:r>
      <w:bookmarkEnd w:id="56"/>
    </w:p>
    <w:p w14:paraId="3C86009E" w14:textId="77777777" w:rsidR="0089711F" w:rsidRPr="00D57350" w:rsidRDefault="0089711F" w:rsidP="002351A4">
      <w:pPr>
        <w:shd w:val="clear" w:color="auto" w:fill="FFFFFF"/>
        <w:spacing w:before="240" w:after="240" w:line="276" w:lineRule="auto"/>
        <w:rPr>
          <w:rFonts w:ascii="Arial" w:eastAsia="Times New Roman" w:hAnsi="Arial" w:cs="Arial"/>
          <w:color w:val="0F1115"/>
          <w:kern w:val="0"/>
          <w:lang w:eastAsia="en-GB"/>
          <w14:ligatures w14:val="none"/>
        </w:rPr>
      </w:pPr>
      <w:r w:rsidRPr="00D57350">
        <w:rPr>
          <w:rFonts w:ascii="Arial" w:eastAsia="Times New Roman" w:hAnsi="Arial" w:cs="Arial"/>
          <w:color w:val="0F1115"/>
          <w:kern w:val="0"/>
          <w:lang w:eastAsia="en-GB"/>
          <w14:ligatures w14:val="none"/>
        </w:rPr>
        <w:t>This Project Initiation and Planning Report demonstrates that the proposed accounting software development project is strategically aligned, financially justified, and operationally feasible. The project directly responds to the market demand created by the UK's Making Tax Digital reforms, providing SMEs with a practical solution for digital bookkeeping, VAT compliance, and annual accounts preparation. HMRC's final evaluation confirms that businesses using fully functional software achieved measurable benefits in time savings, error reduction, and productivity gains (</w:t>
      </w:r>
      <w:hyperlink r:id="rId53" w:tgtFrame="_blank" w:history="1">
        <w:r w:rsidRPr="00D57350">
          <w:rPr>
            <w:rFonts w:ascii="Arial" w:eastAsia="Times New Roman" w:hAnsi="Arial" w:cs="Arial"/>
            <w:color w:val="3964FE"/>
            <w:kern w:val="0"/>
            <w:bdr w:val="single" w:sz="12" w:space="0" w:color="auto" w:frame="1"/>
            <w:lang w:eastAsia="en-GB"/>
            <w14:ligatures w14:val="none"/>
          </w:rPr>
          <w:t>GOV.UK</w:t>
        </w:r>
      </w:hyperlink>
      <w:r w:rsidRPr="00D57350">
        <w:rPr>
          <w:rFonts w:ascii="Arial" w:eastAsia="Times New Roman" w:hAnsi="Arial" w:cs="Arial"/>
          <w:color w:val="0F1115"/>
          <w:kern w:val="0"/>
          <w:lang w:eastAsia="en-GB"/>
          <w14:ligatures w14:val="none"/>
        </w:rPr>
        <w:t>, 2025a).</w:t>
      </w:r>
    </w:p>
    <w:p w14:paraId="7BD28789" w14:textId="77777777" w:rsidR="0089711F" w:rsidRPr="00D57350" w:rsidRDefault="0089711F" w:rsidP="002351A4">
      <w:pPr>
        <w:shd w:val="clear" w:color="auto" w:fill="FFFFFF"/>
        <w:spacing w:before="240" w:after="240" w:line="276" w:lineRule="auto"/>
        <w:rPr>
          <w:rFonts w:ascii="Arial" w:eastAsia="Times New Roman" w:hAnsi="Arial" w:cs="Arial"/>
          <w:color w:val="0F1115"/>
          <w:kern w:val="0"/>
          <w:lang w:eastAsia="en-GB"/>
          <w14:ligatures w14:val="none"/>
        </w:rPr>
      </w:pPr>
      <w:r w:rsidRPr="00D57350">
        <w:rPr>
          <w:rFonts w:ascii="Arial" w:eastAsia="Times New Roman" w:hAnsi="Arial" w:cs="Arial"/>
          <w:color w:val="0F1115"/>
          <w:kern w:val="0"/>
          <w:lang w:eastAsia="en-GB"/>
          <w14:ligatures w14:val="none"/>
        </w:rPr>
        <w:t>The project addresses genuine organisational needs and offers substantial benefits that outweigh the required investment. With a projected return on investment of 156% over three years and a payback period of 21 months, the financial case is compelling. The project is positioned within the broader context of government project delivery, which emphasises that projects must be designed to deliver outcomes, not just outputs, looking beyond immediate deliverables to the real-world changes they enable (Government Project Delivery, 2024; Government Project Delivery, 2025).</w:t>
      </w:r>
    </w:p>
    <w:p w14:paraId="56A68050" w14:textId="77777777" w:rsidR="0089711F" w:rsidRPr="00D57350" w:rsidRDefault="0089711F" w:rsidP="002351A4">
      <w:pPr>
        <w:shd w:val="clear" w:color="auto" w:fill="FFFFFF"/>
        <w:spacing w:before="240" w:after="240" w:line="276" w:lineRule="auto"/>
        <w:rPr>
          <w:rFonts w:ascii="Arial" w:eastAsia="Times New Roman" w:hAnsi="Arial" w:cs="Arial"/>
          <w:color w:val="0F1115"/>
          <w:kern w:val="0"/>
          <w:lang w:eastAsia="en-GB"/>
          <w14:ligatures w14:val="none"/>
        </w:rPr>
      </w:pPr>
      <w:r w:rsidRPr="00D57350">
        <w:rPr>
          <w:rFonts w:ascii="Arial" w:eastAsia="Times New Roman" w:hAnsi="Arial" w:cs="Arial"/>
          <w:color w:val="0F1115"/>
          <w:kern w:val="0"/>
          <w:lang w:eastAsia="en-GB"/>
          <w14:ligatures w14:val="none"/>
        </w:rPr>
        <w:t>Research demonstrates that organisations prioritising power skills—including communication, collaborative leadership, and strategic thinking—experience significantly better project outcomes, with 72% of their projects successfully meeting business goals compared to lower-performing counterparts (Project Management Institute, 2022; Project Management Institute, 2023a; Project Management Institute, 2023b). Effective benefits realisation management ensures that anticipated positive outcomes are not only delivered but also sustained beyond project closure, aligning projects with strategic goals and measuring actual outcomes rather than just technical success (Project Management Institute, 2026; Merideth and Zwikael, 2024).</w:t>
      </w:r>
    </w:p>
    <w:p w14:paraId="494BD838" w14:textId="77777777" w:rsidR="00857ADE" w:rsidRPr="00D57350" w:rsidRDefault="00857ADE" w:rsidP="00BB505D">
      <w:pPr>
        <w:rPr>
          <w:rFonts w:ascii="Arial" w:hAnsi="Arial" w:cs="Arial"/>
          <w:lang w:eastAsia="en-GB"/>
        </w:rPr>
      </w:pPr>
    </w:p>
    <w:p w14:paraId="0AB7F23C" w14:textId="77777777" w:rsidR="009F508C" w:rsidRPr="00D57350" w:rsidRDefault="009F508C" w:rsidP="00BB505D">
      <w:pPr>
        <w:rPr>
          <w:rFonts w:ascii="Arial" w:hAnsi="Arial" w:cs="Arial"/>
          <w:lang w:eastAsia="en-GB"/>
        </w:rPr>
      </w:pPr>
    </w:p>
    <w:p w14:paraId="701940D1" w14:textId="77777777" w:rsidR="009F508C" w:rsidRPr="00D57350" w:rsidRDefault="009F508C" w:rsidP="00BB505D">
      <w:pPr>
        <w:rPr>
          <w:rFonts w:ascii="Arial" w:hAnsi="Arial" w:cs="Arial"/>
          <w:lang w:eastAsia="en-GB"/>
        </w:rPr>
      </w:pPr>
    </w:p>
    <w:p w14:paraId="72125FB5" w14:textId="77777777" w:rsidR="009F508C" w:rsidRPr="00D57350" w:rsidRDefault="009F508C" w:rsidP="00BB505D">
      <w:pPr>
        <w:rPr>
          <w:rFonts w:ascii="Arial" w:hAnsi="Arial" w:cs="Arial"/>
          <w:lang w:eastAsia="en-GB"/>
        </w:rPr>
      </w:pPr>
    </w:p>
    <w:p w14:paraId="6C679FEC" w14:textId="77777777" w:rsidR="009F508C" w:rsidRPr="00D57350" w:rsidRDefault="009F508C" w:rsidP="00BB505D">
      <w:pPr>
        <w:rPr>
          <w:rFonts w:ascii="Arial" w:hAnsi="Arial" w:cs="Arial"/>
          <w:lang w:eastAsia="en-GB"/>
        </w:rPr>
      </w:pPr>
    </w:p>
    <w:p w14:paraId="658F28B1" w14:textId="77777777" w:rsidR="009F508C" w:rsidRDefault="009F508C" w:rsidP="00BB505D">
      <w:pPr>
        <w:rPr>
          <w:rFonts w:ascii="Arial" w:hAnsi="Arial" w:cs="Arial"/>
          <w:lang w:eastAsia="en-GB"/>
        </w:rPr>
      </w:pPr>
    </w:p>
    <w:p w14:paraId="400007E1" w14:textId="77777777" w:rsidR="002351A4" w:rsidRDefault="002351A4" w:rsidP="00BB505D">
      <w:pPr>
        <w:rPr>
          <w:rFonts w:ascii="Arial" w:hAnsi="Arial" w:cs="Arial"/>
          <w:lang w:eastAsia="en-GB"/>
        </w:rPr>
      </w:pPr>
    </w:p>
    <w:p w14:paraId="7C606F04" w14:textId="77777777" w:rsidR="0087430D" w:rsidRPr="00D57350" w:rsidRDefault="0087430D" w:rsidP="00BB505D">
      <w:pPr>
        <w:rPr>
          <w:rFonts w:ascii="Arial" w:hAnsi="Arial" w:cs="Arial"/>
          <w:lang w:eastAsia="en-GB"/>
        </w:rPr>
      </w:pPr>
    </w:p>
    <w:p w14:paraId="7044D88E" w14:textId="34A05965" w:rsidR="0087430D" w:rsidRPr="00EF6186" w:rsidRDefault="00BB505D" w:rsidP="00BB505D">
      <w:pPr>
        <w:pStyle w:val="Heading1"/>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7" w:name="_Toc243730108"/>
      <w:r w:rsidRPr="00EF6186">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10 </w:t>
      </w:r>
      <w:r w:rsidR="0089711F" w:rsidRPr="00EF6186">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r w:rsidR="0087430D" w:rsidRPr="00EF6186">
        <w:rPr>
          <w:rFonts w:ascii="Arial" w:eastAsia="Times New Roman" w:hAnsi="Arial" w:cs="Arial"/>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bookmarkEnd w:id="57"/>
    </w:p>
    <w:p w14:paraId="47A8F29E"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ACCA (2023) </w:t>
      </w:r>
      <w:r w:rsidRPr="007778FF">
        <w:rPr>
          <w:rFonts w:ascii="Arial" w:hAnsi="Arial" w:cs="Arial"/>
          <w:i/>
          <w:iCs/>
          <w:lang w:eastAsia="en-GB"/>
        </w:rPr>
        <w:t>Digital Transformation in Finance and Accounting</w:t>
      </w:r>
      <w:r w:rsidRPr="007778FF">
        <w:rPr>
          <w:rFonts w:ascii="Arial" w:hAnsi="Arial" w:cs="Arial"/>
          <w:lang w:eastAsia="en-GB"/>
        </w:rPr>
        <w:t xml:space="preserve">. Available at: </w:t>
      </w:r>
      <w:hyperlink r:id="rId54" w:tgtFrame="_blank" w:history="1">
        <w:r w:rsidRPr="007778FF">
          <w:rPr>
            <w:rStyle w:val="Hyperlink"/>
            <w:rFonts w:ascii="Arial" w:eastAsia="Times New Roman" w:hAnsi="Arial" w:cs="Arial"/>
            <w:kern w:val="0"/>
            <w:lang w:eastAsia="en-GB"/>
            <w14:ligatures w14:val="none"/>
          </w:rPr>
          <w:t>https://www.accaglobal.com</w:t>
        </w:r>
      </w:hyperlink>
      <w:r w:rsidRPr="007778FF">
        <w:rPr>
          <w:rFonts w:ascii="Arial" w:hAnsi="Arial" w:cs="Arial"/>
          <w:lang w:eastAsia="en-GB"/>
        </w:rPr>
        <w:t xml:space="preserve"> (Accessed: 6 October 2026).</w:t>
      </w:r>
    </w:p>
    <w:p w14:paraId="37708595"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ACCA (2024) </w:t>
      </w:r>
      <w:r w:rsidRPr="007778FF">
        <w:rPr>
          <w:rFonts w:ascii="Arial" w:hAnsi="Arial" w:cs="Arial"/>
          <w:i/>
          <w:iCs/>
          <w:lang w:eastAsia="en-GB"/>
        </w:rPr>
        <w:t>MTD – Preparation is the Key to Successful Implementation</w:t>
      </w:r>
      <w:r w:rsidRPr="007778FF">
        <w:rPr>
          <w:rFonts w:ascii="Arial" w:hAnsi="Arial" w:cs="Arial"/>
          <w:lang w:eastAsia="en-GB"/>
        </w:rPr>
        <w:t xml:space="preserve">. Available at: </w:t>
      </w:r>
      <w:hyperlink r:id="rId55" w:tgtFrame="_blank" w:history="1">
        <w:r w:rsidRPr="007778FF">
          <w:rPr>
            <w:rStyle w:val="Hyperlink"/>
            <w:rFonts w:ascii="Arial" w:eastAsia="Times New Roman" w:hAnsi="Arial" w:cs="Arial"/>
            <w:kern w:val="0"/>
            <w:lang w:eastAsia="en-GB"/>
            <w14:ligatures w14:val="none"/>
          </w:rPr>
          <w:t>https://www.accaglobal.com</w:t>
        </w:r>
      </w:hyperlink>
      <w:r w:rsidRPr="007778FF">
        <w:rPr>
          <w:rFonts w:ascii="Arial" w:hAnsi="Arial" w:cs="Arial"/>
          <w:lang w:eastAsia="en-GB"/>
        </w:rPr>
        <w:t xml:space="preserve"> (Accessed: 6 October 2026).</w:t>
      </w:r>
    </w:p>
    <w:p w14:paraId="72C186AF"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Accountancy Age (2025) 'No Plans for MTD for Corporation Tax, Says HMRC', </w:t>
      </w:r>
      <w:r w:rsidRPr="007778FF">
        <w:rPr>
          <w:rFonts w:ascii="Arial" w:hAnsi="Arial" w:cs="Arial"/>
          <w:i/>
          <w:iCs/>
          <w:lang w:eastAsia="en-GB"/>
        </w:rPr>
        <w:t>Accountancy Age</w:t>
      </w:r>
      <w:r w:rsidRPr="007778FF">
        <w:rPr>
          <w:rFonts w:ascii="Arial" w:hAnsi="Arial" w:cs="Arial"/>
          <w:lang w:eastAsia="en-GB"/>
        </w:rPr>
        <w:t xml:space="preserve">, 22 July. Available at: </w:t>
      </w:r>
      <w:hyperlink r:id="rId56" w:tgtFrame="_blank" w:history="1">
        <w:r w:rsidRPr="007778FF">
          <w:rPr>
            <w:rStyle w:val="Hyperlink"/>
            <w:rFonts w:ascii="Arial" w:eastAsia="Times New Roman" w:hAnsi="Arial" w:cs="Arial"/>
            <w:kern w:val="0"/>
            <w:lang w:eastAsia="en-GB"/>
            <w14:ligatures w14:val="none"/>
          </w:rPr>
          <w:t>https://accountancyage.com/2025/07/22/no-plans-for-mtd-for-corporation-tax-says-hmrc/</w:t>
        </w:r>
      </w:hyperlink>
      <w:r w:rsidRPr="007778FF">
        <w:rPr>
          <w:rFonts w:ascii="Arial" w:hAnsi="Arial" w:cs="Arial"/>
          <w:lang w:eastAsia="en-GB"/>
        </w:rPr>
        <w:t xml:space="preserve"> (Accessed: 7 October 2026).</w:t>
      </w:r>
    </w:p>
    <w:p w14:paraId="0558D473"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Alamin, A., Yeoh, W. and Warren, M. (2023) 'Cloud accounting adoption and digital transformation in SMEs: A systematic review', </w:t>
      </w:r>
      <w:r w:rsidRPr="007778FF">
        <w:rPr>
          <w:rFonts w:ascii="Arial" w:hAnsi="Arial" w:cs="Arial"/>
          <w:i/>
          <w:iCs/>
          <w:lang w:eastAsia="en-GB"/>
        </w:rPr>
        <w:t>Journal of Accounting and Organizational Change</w:t>
      </w:r>
      <w:r w:rsidRPr="007778FF">
        <w:rPr>
          <w:rFonts w:ascii="Arial" w:hAnsi="Arial" w:cs="Arial"/>
          <w:lang w:eastAsia="en-GB"/>
        </w:rPr>
        <w:t>, 19(3), pp. 415–432.</w:t>
      </w:r>
    </w:p>
    <w:p w14:paraId="3BDAF068"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Alexander, D., Britton, A. and Jorissen, A. (2022) </w:t>
      </w:r>
      <w:r w:rsidRPr="007778FF">
        <w:rPr>
          <w:rFonts w:ascii="Arial" w:hAnsi="Arial" w:cs="Arial"/>
          <w:i/>
          <w:iCs/>
          <w:lang w:eastAsia="en-GB"/>
        </w:rPr>
        <w:t>International Financial Reporting and Analysis</w:t>
      </w:r>
      <w:r w:rsidRPr="007778FF">
        <w:rPr>
          <w:rFonts w:ascii="Arial" w:hAnsi="Arial" w:cs="Arial"/>
          <w:lang w:eastAsia="en-GB"/>
        </w:rPr>
        <w:t>. 8th edn. Andover: Cengage Learning.</w:t>
      </w:r>
    </w:p>
    <w:p w14:paraId="59459B33"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Anbari, F.T. (2003) 'Earned value project management method and extensions', </w:t>
      </w:r>
      <w:r w:rsidRPr="007778FF">
        <w:rPr>
          <w:rFonts w:ascii="Arial" w:hAnsi="Arial" w:cs="Arial"/>
          <w:i/>
          <w:iCs/>
          <w:lang w:eastAsia="en-GB"/>
        </w:rPr>
        <w:t>Project Management Journal</w:t>
      </w:r>
      <w:r w:rsidRPr="007778FF">
        <w:rPr>
          <w:rFonts w:ascii="Arial" w:hAnsi="Arial" w:cs="Arial"/>
          <w:lang w:eastAsia="en-GB"/>
        </w:rPr>
        <w:t>, 34(4), pp. 12–23.</w:t>
      </w:r>
    </w:p>
    <w:p w14:paraId="5E5FD010"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Berni, A. and Borgianni, Y. (2021) ‘From the Definition of User Experience to a Framework to Classify its Applications in Design’, </w:t>
      </w:r>
      <w:r w:rsidRPr="007778FF">
        <w:rPr>
          <w:rStyle w:val="Emphasis"/>
          <w:rFonts w:ascii="Arial" w:hAnsi="Arial" w:cs="Arial"/>
          <w:sz w:val="24"/>
          <w:szCs w:val="24"/>
        </w:rPr>
        <w:t>Proceedings of the Design Society</w:t>
      </w:r>
      <w:r w:rsidRPr="007778FF">
        <w:rPr>
          <w:rFonts w:ascii="Arial" w:hAnsi="Arial" w:cs="Arial"/>
          <w:sz w:val="24"/>
          <w:szCs w:val="24"/>
        </w:rPr>
        <w:t xml:space="preserve">, 1, pp. 1627-1636. Available at: https://doi.org/10.1017/pds.2021.424 </w:t>
      </w:r>
      <w:hyperlink r:id="rId57" w:history="1">
        <w:r w:rsidRPr="007778FF">
          <w:rPr>
            <w:rStyle w:val="Hyperlink"/>
            <w:rFonts w:ascii="Arial" w:hAnsi="Arial" w:cs="Arial"/>
            <w:sz w:val="24"/>
            <w:szCs w:val="24"/>
          </w:rPr>
          <w:t>[cambridge.org]</w:t>
        </w:r>
      </w:hyperlink>
      <w:r w:rsidRPr="007778FF">
        <w:rPr>
          <w:rFonts w:ascii="Arial" w:hAnsi="Arial" w:cs="Arial"/>
          <w:sz w:val="24"/>
          <w:szCs w:val="24"/>
        </w:rPr>
        <w:t xml:space="preserve">, </w:t>
      </w:r>
      <w:hyperlink r:id="rId58" w:history="1">
        <w:r w:rsidRPr="007778FF">
          <w:rPr>
            <w:rStyle w:val="Hyperlink"/>
            <w:rFonts w:ascii="Arial" w:hAnsi="Arial" w:cs="Arial"/>
            <w:sz w:val="24"/>
            <w:szCs w:val="24"/>
          </w:rPr>
          <w:t>[cambridge.org]</w:t>
        </w:r>
      </w:hyperlink>
    </w:p>
    <w:p w14:paraId="1CBDDC2B"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Binsar, F. (2026) 'Project management approaches and project success: A comparative analysis', </w:t>
      </w:r>
      <w:r w:rsidRPr="007778FF">
        <w:rPr>
          <w:rFonts w:ascii="Arial" w:hAnsi="Arial" w:cs="Arial"/>
          <w:i/>
          <w:iCs/>
          <w:lang w:eastAsia="en-GB"/>
        </w:rPr>
        <w:t>International Journal of Project Management</w:t>
      </w:r>
      <w:r w:rsidRPr="007778FF">
        <w:rPr>
          <w:rFonts w:ascii="Arial" w:hAnsi="Arial" w:cs="Arial"/>
          <w:lang w:eastAsia="en-GB"/>
        </w:rPr>
        <w:t>, 44(1), pp. 1–15.</w:t>
      </w:r>
    </w:p>
    <w:p w14:paraId="3AB415BE"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Bisikirskienė, L., Čeponienė, L., Vilutis, G. and Nečionytė, A. (2025) ‘Software Project Risk Identification Based on Scrum Artifacts’, </w:t>
      </w:r>
      <w:r w:rsidRPr="007778FF">
        <w:rPr>
          <w:rStyle w:val="Emphasis"/>
          <w:rFonts w:ascii="Arial" w:hAnsi="Arial" w:cs="Arial"/>
          <w:sz w:val="24"/>
          <w:szCs w:val="24"/>
        </w:rPr>
        <w:t>Applied Sciences</w:t>
      </w:r>
      <w:r w:rsidRPr="007778FF">
        <w:rPr>
          <w:rFonts w:ascii="Arial" w:hAnsi="Arial" w:cs="Arial"/>
          <w:sz w:val="24"/>
          <w:szCs w:val="24"/>
        </w:rPr>
        <w:t xml:space="preserve">, 15(2), 824. Available at: https://doi.org/10.3390/app15020824. </w:t>
      </w:r>
      <w:hyperlink r:id="rId59" w:history="1">
        <w:r w:rsidRPr="007778FF">
          <w:rPr>
            <w:rStyle w:val="Hyperlink"/>
            <w:rFonts w:ascii="Arial" w:hAnsi="Arial" w:cs="Arial"/>
            <w:sz w:val="24"/>
            <w:szCs w:val="24"/>
          </w:rPr>
          <w:t>[mdpi.com]</w:t>
        </w:r>
      </w:hyperlink>
    </w:p>
    <w:p w14:paraId="29B2F5BD"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Carujo, S., Anunciação, P.F. and Santos, J.R. (2022) ‘The Project Management Approach: A Critical Success Factor in Digital Transformation Initiatives’, </w:t>
      </w:r>
      <w:r w:rsidRPr="007778FF">
        <w:rPr>
          <w:rStyle w:val="Emphasis"/>
          <w:rFonts w:ascii="Arial" w:hAnsi="Arial" w:cs="Arial"/>
          <w:sz w:val="24"/>
          <w:szCs w:val="24"/>
        </w:rPr>
        <w:t>Economics and Culture</w:t>
      </w:r>
      <w:r w:rsidRPr="007778FF">
        <w:rPr>
          <w:rFonts w:ascii="Arial" w:hAnsi="Arial" w:cs="Arial"/>
          <w:sz w:val="24"/>
          <w:szCs w:val="24"/>
        </w:rPr>
        <w:t xml:space="preserve">, 19(1), pp. 57-68. Available at: https://doi.org/10.2478/jec-2022-0006. </w:t>
      </w:r>
      <w:hyperlink r:id="rId60" w:history="1">
        <w:r w:rsidRPr="007778FF">
          <w:rPr>
            <w:rStyle w:val="Hyperlink"/>
            <w:rFonts w:ascii="Arial" w:hAnsi="Arial" w:cs="Arial"/>
            <w:sz w:val="24"/>
            <w:szCs w:val="24"/>
          </w:rPr>
          <w:t>[researchgate.net]</w:t>
        </w:r>
      </w:hyperlink>
    </w:p>
    <w:p w14:paraId="518A13B9"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Companies House (2024) </w:t>
      </w:r>
      <w:r w:rsidRPr="007778FF">
        <w:rPr>
          <w:rFonts w:ascii="Arial" w:hAnsi="Arial" w:cs="Arial"/>
          <w:i/>
          <w:iCs/>
          <w:lang w:eastAsia="en-GB"/>
        </w:rPr>
        <w:t>Changes to UK Company Filing Requirements</w:t>
      </w:r>
      <w:r w:rsidRPr="007778FF">
        <w:rPr>
          <w:rFonts w:ascii="Arial" w:hAnsi="Arial" w:cs="Arial"/>
          <w:lang w:eastAsia="en-GB"/>
        </w:rPr>
        <w:t xml:space="preserve">. Available at: </w:t>
      </w:r>
      <w:hyperlink r:id="rId61" w:tgtFrame="_blank" w:history="1">
        <w:r w:rsidRPr="007778FF">
          <w:rPr>
            <w:rStyle w:val="Hyperlink"/>
            <w:rFonts w:ascii="Arial" w:eastAsia="Times New Roman" w:hAnsi="Arial" w:cs="Arial"/>
            <w:kern w:val="0"/>
            <w:lang w:eastAsia="en-GB"/>
            <w14:ligatures w14:val="none"/>
          </w:rPr>
          <w:t>https://www.gov.uk/government/organisations/companies-house</w:t>
        </w:r>
      </w:hyperlink>
      <w:r w:rsidRPr="007778FF">
        <w:rPr>
          <w:rFonts w:ascii="Arial" w:hAnsi="Arial" w:cs="Arial"/>
          <w:lang w:eastAsia="en-GB"/>
        </w:rPr>
        <w:t xml:space="preserve"> (Accessed: 8 October 2026).</w:t>
      </w:r>
    </w:p>
    <w:p w14:paraId="392385A9"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Eskerod, P. and Jepsen, A.L. (2026) </w:t>
      </w:r>
      <w:r w:rsidRPr="007778FF">
        <w:rPr>
          <w:rFonts w:ascii="Arial" w:hAnsi="Arial" w:cs="Arial"/>
          <w:i/>
          <w:iCs/>
          <w:lang w:eastAsia="en-GB"/>
        </w:rPr>
        <w:t>Project Stakeholder Engagement: Analysis, Involvement, and Communication</w:t>
      </w:r>
      <w:r w:rsidRPr="007778FF">
        <w:rPr>
          <w:rFonts w:ascii="Arial" w:hAnsi="Arial" w:cs="Arial"/>
          <w:lang w:eastAsia="en-GB"/>
        </w:rPr>
        <w:t xml:space="preserve">. Abingdon: Routledge. Available at: </w:t>
      </w:r>
      <w:hyperlink r:id="rId62" w:tgtFrame="_blank" w:history="1">
        <w:r w:rsidRPr="007778FF">
          <w:rPr>
            <w:rStyle w:val="Hyperlink"/>
            <w:rFonts w:ascii="Arial" w:eastAsia="Times New Roman" w:hAnsi="Arial" w:cs="Arial"/>
            <w:kern w:val="0"/>
            <w:lang w:eastAsia="en-GB"/>
            <w14:ligatures w14:val="none"/>
          </w:rPr>
          <w:t>https://www.taylorfrancis.com/books/mono/10.4324/9781003712695/project-stakeholder-engagement-pernille-eskerod-anna-lund-jepsen</w:t>
        </w:r>
      </w:hyperlink>
      <w:r w:rsidRPr="007778FF">
        <w:rPr>
          <w:rFonts w:ascii="Arial" w:hAnsi="Arial" w:cs="Arial"/>
          <w:lang w:eastAsia="en-GB"/>
        </w:rPr>
        <w:t xml:space="preserve"> (Accessed: 8 October 2026).</w:t>
      </w:r>
    </w:p>
    <w:p w14:paraId="22CB7BFD"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lastRenderedPageBreak/>
        <w:t xml:space="preserve">Gemino, A., Horner Reich, B. and Serrador, P.M. (2021) 'Agile, traditional and hybrid approaches to project success: Is hybrid a poor second choice?', </w:t>
      </w:r>
      <w:r w:rsidRPr="007778FF">
        <w:rPr>
          <w:rFonts w:ascii="Arial" w:hAnsi="Arial" w:cs="Arial"/>
          <w:i/>
          <w:iCs/>
          <w:lang w:eastAsia="en-GB"/>
        </w:rPr>
        <w:t>Project Management Journal</w:t>
      </w:r>
      <w:r w:rsidRPr="007778FF">
        <w:rPr>
          <w:rFonts w:ascii="Arial" w:hAnsi="Arial" w:cs="Arial"/>
          <w:lang w:eastAsia="en-GB"/>
        </w:rPr>
        <w:t>, 52(2), pp. 161–175.</w:t>
      </w:r>
    </w:p>
    <w:p w14:paraId="73605958"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Gemünden, H.G., Lehner, P. and Kock, A. (2021) 'The project-oriented organization and its contribution to innovation', </w:t>
      </w:r>
      <w:r w:rsidRPr="007778FF">
        <w:rPr>
          <w:rFonts w:ascii="Arial" w:hAnsi="Arial" w:cs="Arial"/>
          <w:i/>
          <w:iCs/>
          <w:lang w:eastAsia="en-GB"/>
        </w:rPr>
        <w:t>International Journal of Project Management</w:t>
      </w:r>
      <w:r w:rsidRPr="007778FF">
        <w:rPr>
          <w:rFonts w:ascii="Arial" w:hAnsi="Arial" w:cs="Arial"/>
          <w:lang w:eastAsia="en-GB"/>
        </w:rPr>
        <w:t>, 39(2), pp. 147–160.</w:t>
      </w:r>
    </w:p>
    <w:p w14:paraId="52508D43"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Gordon, S., Crager, J., Howry, C., Barsdorf, A.I. and others (2022) ‘Best Practice Recommendations: User Acceptance Testing for Systems Designed to Collect Clinical Outcome Assessment Data Electronically’, </w:t>
      </w:r>
      <w:r w:rsidRPr="007778FF">
        <w:rPr>
          <w:rStyle w:val="Emphasis"/>
          <w:rFonts w:ascii="Arial" w:hAnsi="Arial" w:cs="Arial"/>
          <w:sz w:val="24"/>
          <w:szCs w:val="24"/>
        </w:rPr>
        <w:t>Therapeutic Innovation &amp; Regulatory Science</w:t>
      </w:r>
      <w:r w:rsidRPr="007778FF">
        <w:rPr>
          <w:rFonts w:ascii="Arial" w:hAnsi="Arial" w:cs="Arial"/>
          <w:sz w:val="24"/>
          <w:szCs w:val="24"/>
        </w:rPr>
        <w:t xml:space="preserve">, 56(3), pp. 442-453. Available at: https://doi.org/10.1007/s43441-021-00363-z </w:t>
      </w:r>
      <w:hyperlink r:id="rId63" w:history="1">
        <w:r w:rsidRPr="007778FF">
          <w:rPr>
            <w:rStyle w:val="Hyperlink"/>
            <w:rFonts w:ascii="Arial" w:hAnsi="Arial" w:cs="Arial"/>
            <w:sz w:val="24"/>
            <w:szCs w:val="24"/>
          </w:rPr>
          <w:t>[pmc.ncbi.nlm.nih.gov]</w:t>
        </w:r>
      </w:hyperlink>
      <w:r w:rsidRPr="007778FF">
        <w:rPr>
          <w:rFonts w:ascii="Arial" w:hAnsi="Arial" w:cs="Arial"/>
          <w:sz w:val="24"/>
          <w:szCs w:val="24"/>
        </w:rPr>
        <w:t xml:space="preserve">, </w:t>
      </w:r>
      <w:hyperlink r:id="rId64" w:history="1">
        <w:r w:rsidRPr="007778FF">
          <w:rPr>
            <w:rStyle w:val="Hyperlink"/>
            <w:rFonts w:ascii="Arial" w:hAnsi="Arial" w:cs="Arial"/>
            <w:sz w:val="24"/>
            <w:szCs w:val="24"/>
          </w:rPr>
          <w:t>[link.springer.com]</w:t>
        </w:r>
      </w:hyperlink>
    </w:p>
    <w:p w14:paraId="77482CC3" w14:textId="77777777" w:rsidR="00950B41" w:rsidRPr="007778FF" w:rsidRDefault="00950B41" w:rsidP="007778FF">
      <w:pPr>
        <w:pStyle w:val="ListParagraph"/>
        <w:numPr>
          <w:ilvl w:val="0"/>
          <w:numId w:val="18"/>
        </w:numPr>
        <w:rPr>
          <w:rFonts w:ascii="Arial" w:hAnsi="Arial" w:cs="Arial"/>
          <w:lang w:eastAsia="en-GB"/>
        </w:rPr>
      </w:pPr>
      <w:hyperlink r:id="rId65" w:tgtFrame="_blank" w:history="1">
        <w:r w:rsidRPr="007778FF">
          <w:rPr>
            <w:rStyle w:val="Hyperlink"/>
            <w:rFonts w:ascii="Arial" w:eastAsia="Times New Roman" w:hAnsi="Arial" w:cs="Arial"/>
            <w:kern w:val="0"/>
            <w:lang w:eastAsia="en-GB"/>
            <w14:ligatures w14:val="none"/>
          </w:rPr>
          <w:t>GOV.UK</w:t>
        </w:r>
      </w:hyperlink>
      <w:r w:rsidRPr="007778FF">
        <w:rPr>
          <w:rFonts w:ascii="Arial" w:hAnsi="Arial" w:cs="Arial"/>
          <w:lang w:eastAsia="en-GB"/>
        </w:rPr>
        <w:t xml:space="preserve"> (2025) </w:t>
      </w:r>
      <w:r w:rsidRPr="007778FF">
        <w:rPr>
          <w:rFonts w:ascii="Arial" w:hAnsi="Arial" w:cs="Arial"/>
          <w:i/>
          <w:iCs/>
          <w:lang w:eastAsia="en-GB"/>
        </w:rPr>
        <w:t>Making Tax Digital for VAT: Final Evaluation</w:t>
      </w:r>
      <w:r w:rsidRPr="007778FF">
        <w:rPr>
          <w:rFonts w:ascii="Arial" w:hAnsi="Arial" w:cs="Arial"/>
          <w:lang w:eastAsia="en-GB"/>
        </w:rPr>
        <w:t xml:space="preserve">. Available at: </w:t>
      </w:r>
      <w:hyperlink r:id="rId66" w:tgtFrame="_blank" w:history="1">
        <w:r w:rsidRPr="007778FF">
          <w:rPr>
            <w:rStyle w:val="Hyperlink"/>
            <w:rFonts w:ascii="Arial" w:eastAsia="Times New Roman" w:hAnsi="Arial" w:cs="Arial"/>
            <w:kern w:val="0"/>
            <w:lang w:eastAsia="en-GB"/>
            <w14:ligatures w14:val="none"/>
          </w:rPr>
          <w:t>https://www.gov.uk/government/publications/making-tax-digital-for-vat-final-evaluation</w:t>
        </w:r>
      </w:hyperlink>
      <w:r w:rsidRPr="007778FF">
        <w:rPr>
          <w:rFonts w:ascii="Arial" w:hAnsi="Arial" w:cs="Arial"/>
          <w:lang w:eastAsia="en-GB"/>
        </w:rPr>
        <w:t xml:space="preserve"> (Accessed: 5 October 2026).</w:t>
      </w:r>
    </w:p>
    <w:p w14:paraId="26EA247C" w14:textId="77777777" w:rsidR="00950B41" w:rsidRPr="007778FF" w:rsidRDefault="00950B41" w:rsidP="007778FF">
      <w:pPr>
        <w:pStyle w:val="ListParagraph"/>
        <w:numPr>
          <w:ilvl w:val="0"/>
          <w:numId w:val="18"/>
        </w:numPr>
        <w:rPr>
          <w:rFonts w:ascii="Arial" w:hAnsi="Arial" w:cs="Arial"/>
          <w:lang w:eastAsia="en-GB"/>
        </w:rPr>
      </w:pPr>
      <w:hyperlink r:id="rId67" w:tgtFrame="_blank" w:history="1">
        <w:r w:rsidRPr="007778FF">
          <w:rPr>
            <w:rStyle w:val="Hyperlink"/>
            <w:rFonts w:ascii="Arial" w:eastAsia="Times New Roman" w:hAnsi="Arial" w:cs="Arial"/>
            <w:kern w:val="0"/>
            <w:lang w:eastAsia="en-GB"/>
            <w14:ligatures w14:val="none"/>
          </w:rPr>
          <w:t>GOV.UK</w:t>
        </w:r>
      </w:hyperlink>
      <w:r w:rsidRPr="007778FF">
        <w:rPr>
          <w:rFonts w:ascii="Arial" w:hAnsi="Arial" w:cs="Arial"/>
          <w:lang w:eastAsia="en-GB"/>
        </w:rPr>
        <w:t xml:space="preserve"> (2026a) </w:t>
      </w:r>
      <w:r w:rsidRPr="007778FF">
        <w:rPr>
          <w:rFonts w:ascii="Arial" w:hAnsi="Arial" w:cs="Arial"/>
          <w:i/>
          <w:iCs/>
          <w:lang w:eastAsia="en-GB"/>
        </w:rPr>
        <w:t>VAT Tertiary Legislation: Making Tax Digital for VAT</w:t>
      </w:r>
      <w:r w:rsidRPr="007778FF">
        <w:rPr>
          <w:rFonts w:ascii="Arial" w:hAnsi="Arial" w:cs="Arial"/>
          <w:lang w:eastAsia="en-GB"/>
        </w:rPr>
        <w:t xml:space="preserve">. Available at: </w:t>
      </w:r>
      <w:hyperlink r:id="rId68" w:tgtFrame="_blank" w:history="1">
        <w:r w:rsidRPr="007778FF">
          <w:rPr>
            <w:rStyle w:val="Hyperlink"/>
            <w:rFonts w:ascii="Arial" w:eastAsia="Times New Roman" w:hAnsi="Arial" w:cs="Arial"/>
            <w:kern w:val="0"/>
            <w:lang w:eastAsia="en-GB"/>
            <w14:ligatures w14:val="none"/>
          </w:rPr>
          <w:t>https://www.gov.uk/guidance/vat-tertiary-legislation/making-tax-digital-for-vat</w:t>
        </w:r>
      </w:hyperlink>
      <w:r w:rsidRPr="007778FF">
        <w:rPr>
          <w:rFonts w:ascii="Arial" w:hAnsi="Arial" w:cs="Arial"/>
          <w:lang w:eastAsia="en-GB"/>
        </w:rPr>
        <w:t xml:space="preserve"> (Accessed: 5 October 2026).</w:t>
      </w:r>
    </w:p>
    <w:p w14:paraId="7F867565" w14:textId="77777777" w:rsidR="00950B41" w:rsidRPr="007778FF" w:rsidRDefault="00950B41" w:rsidP="007778FF">
      <w:pPr>
        <w:pStyle w:val="ListParagraph"/>
        <w:numPr>
          <w:ilvl w:val="0"/>
          <w:numId w:val="18"/>
        </w:numPr>
        <w:rPr>
          <w:rFonts w:ascii="Arial" w:hAnsi="Arial" w:cs="Arial"/>
          <w:lang w:eastAsia="en-GB"/>
        </w:rPr>
      </w:pPr>
      <w:hyperlink r:id="rId69" w:tgtFrame="_blank" w:history="1">
        <w:r w:rsidRPr="007778FF">
          <w:rPr>
            <w:rStyle w:val="Hyperlink"/>
            <w:rFonts w:ascii="Arial" w:eastAsia="Times New Roman" w:hAnsi="Arial" w:cs="Arial"/>
            <w:kern w:val="0"/>
            <w:lang w:eastAsia="en-GB"/>
            <w14:ligatures w14:val="none"/>
          </w:rPr>
          <w:t>GOV.UK</w:t>
        </w:r>
      </w:hyperlink>
      <w:r w:rsidRPr="007778FF">
        <w:rPr>
          <w:rFonts w:ascii="Arial" w:hAnsi="Arial" w:cs="Arial"/>
          <w:lang w:eastAsia="en-GB"/>
        </w:rPr>
        <w:t xml:space="preserve"> (2026b) </w:t>
      </w:r>
      <w:r w:rsidRPr="007778FF">
        <w:rPr>
          <w:rFonts w:ascii="Arial" w:hAnsi="Arial" w:cs="Arial"/>
          <w:i/>
          <w:iCs/>
          <w:lang w:eastAsia="en-GB"/>
        </w:rPr>
        <w:t>VAT (MTD) End-to-End Service Guide</w:t>
      </w:r>
      <w:r w:rsidRPr="007778FF">
        <w:rPr>
          <w:rFonts w:ascii="Arial" w:hAnsi="Arial" w:cs="Arial"/>
          <w:lang w:eastAsia="en-GB"/>
        </w:rPr>
        <w:t xml:space="preserve">. Available at: </w:t>
      </w:r>
      <w:hyperlink r:id="rId70" w:tgtFrame="_blank" w:history="1">
        <w:r w:rsidRPr="007778FF">
          <w:rPr>
            <w:rStyle w:val="Hyperlink"/>
            <w:rFonts w:ascii="Arial" w:eastAsia="Times New Roman" w:hAnsi="Arial" w:cs="Arial"/>
            <w:kern w:val="0"/>
            <w:lang w:eastAsia="en-GB"/>
            <w14:ligatures w14:val="none"/>
          </w:rPr>
          <w:t>https://developer.service.hmrc.gov.uk/guides/vat-mtd-end-to-end-service-guide/</w:t>
        </w:r>
      </w:hyperlink>
      <w:r w:rsidRPr="007778FF">
        <w:rPr>
          <w:rFonts w:ascii="Arial" w:hAnsi="Arial" w:cs="Arial"/>
          <w:lang w:eastAsia="en-GB"/>
        </w:rPr>
        <w:t xml:space="preserve"> (Accessed: 5 October 2026).</w:t>
      </w:r>
    </w:p>
    <w:p w14:paraId="6452A76A" w14:textId="77777777" w:rsidR="00950B41" w:rsidRPr="007778FF" w:rsidRDefault="00950B41" w:rsidP="007778FF">
      <w:pPr>
        <w:pStyle w:val="ListParagraph"/>
        <w:numPr>
          <w:ilvl w:val="0"/>
          <w:numId w:val="18"/>
        </w:numPr>
        <w:rPr>
          <w:rFonts w:ascii="Arial" w:hAnsi="Arial" w:cs="Arial"/>
          <w:lang w:eastAsia="en-GB"/>
        </w:rPr>
      </w:pPr>
      <w:hyperlink r:id="rId71" w:tgtFrame="_blank" w:history="1">
        <w:r w:rsidRPr="007778FF">
          <w:rPr>
            <w:rStyle w:val="Hyperlink"/>
            <w:rFonts w:ascii="Arial" w:eastAsia="Times New Roman" w:hAnsi="Arial" w:cs="Arial"/>
            <w:kern w:val="0"/>
            <w:lang w:eastAsia="en-GB"/>
            <w14:ligatures w14:val="none"/>
          </w:rPr>
          <w:t>GOV.UK</w:t>
        </w:r>
      </w:hyperlink>
      <w:r w:rsidRPr="007778FF">
        <w:rPr>
          <w:rFonts w:ascii="Arial" w:hAnsi="Arial" w:cs="Arial"/>
          <w:lang w:eastAsia="en-GB"/>
        </w:rPr>
        <w:t xml:space="preserve"> (2026c) </w:t>
      </w:r>
      <w:r w:rsidRPr="007778FF">
        <w:rPr>
          <w:rFonts w:ascii="Arial" w:hAnsi="Arial" w:cs="Arial"/>
          <w:i/>
          <w:iCs/>
          <w:lang w:eastAsia="en-GB"/>
        </w:rPr>
        <w:t>Filing Your Companies House Accounts</w:t>
      </w:r>
      <w:r w:rsidRPr="007778FF">
        <w:rPr>
          <w:rFonts w:ascii="Arial" w:hAnsi="Arial" w:cs="Arial"/>
          <w:lang w:eastAsia="en-GB"/>
        </w:rPr>
        <w:t xml:space="preserve">. Available at: </w:t>
      </w:r>
      <w:hyperlink r:id="rId72" w:tgtFrame="_blank" w:history="1">
        <w:r w:rsidRPr="007778FF">
          <w:rPr>
            <w:rStyle w:val="Hyperlink"/>
            <w:rFonts w:ascii="Arial" w:eastAsia="Times New Roman" w:hAnsi="Arial" w:cs="Arial"/>
            <w:kern w:val="0"/>
            <w:lang w:eastAsia="en-GB"/>
            <w14:ligatures w14:val="none"/>
          </w:rPr>
          <w:t>https://www.gov.uk/government/publications/life-of-a-company-annual-requirements</w:t>
        </w:r>
      </w:hyperlink>
      <w:r w:rsidRPr="007778FF">
        <w:rPr>
          <w:rFonts w:ascii="Arial" w:hAnsi="Arial" w:cs="Arial"/>
          <w:lang w:eastAsia="en-GB"/>
        </w:rPr>
        <w:t xml:space="preserve"> (Accessed: 8 October 2026).</w:t>
      </w:r>
    </w:p>
    <w:p w14:paraId="51ED73EF"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Government Project Delivery (2024) </w:t>
      </w:r>
      <w:r w:rsidRPr="007778FF">
        <w:rPr>
          <w:rFonts w:ascii="Arial" w:hAnsi="Arial" w:cs="Arial"/>
          <w:i/>
          <w:iCs/>
          <w:lang w:eastAsia="en-GB"/>
        </w:rPr>
        <w:t>The Teal Book: Chapter 3 Portfolios, Programmes and Projects</w:t>
      </w:r>
      <w:r w:rsidRPr="007778FF">
        <w:rPr>
          <w:rFonts w:ascii="Arial" w:hAnsi="Arial" w:cs="Arial"/>
          <w:lang w:eastAsia="en-GB"/>
        </w:rPr>
        <w:t xml:space="preserve">. Available at: </w:t>
      </w:r>
      <w:hyperlink r:id="rId73" w:tgtFrame="_blank" w:history="1">
        <w:r w:rsidRPr="007778FF">
          <w:rPr>
            <w:rStyle w:val="Hyperlink"/>
            <w:rFonts w:ascii="Arial" w:eastAsia="Times New Roman" w:hAnsi="Arial" w:cs="Arial"/>
            <w:kern w:val="0"/>
            <w:lang w:eastAsia="en-GB"/>
            <w14:ligatures w14:val="none"/>
          </w:rPr>
          <w:t>https://projectdelivery.gov.uk/teal-book/home/part-a-project-delivery-in-government/chapter-3-portfolios-programmes-and-projects/</w:t>
        </w:r>
      </w:hyperlink>
      <w:r w:rsidRPr="007778FF">
        <w:rPr>
          <w:rFonts w:ascii="Arial" w:hAnsi="Arial" w:cs="Arial"/>
          <w:lang w:eastAsia="en-GB"/>
        </w:rPr>
        <w:t xml:space="preserve"> (Accessed: 9 October 2026).</w:t>
      </w:r>
    </w:p>
    <w:p w14:paraId="1D857D48"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Government Project Delivery (2025) </w:t>
      </w:r>
      <w:r w:rsidRPr="007778FF">
        <w:rPr>
          <w:rFonts w:ascii="Arial" w:hAnsi="Arial" w:cs="Arial"/>
          <w:i/>
          <w:iCs/>
          <w:lang w:eastAsia="en-GB"/>
        </w:rPr>
        <w:t>Project Delivery Framework</w:t>
      </w:r>
      <w:r w:rsidRPr="007778FF">
        <w:rPr>
          <w:rFonts w:ascii="Arial" w:hAnsi="Arial" w:cs="Arial"/>
          <w:lang w:eastAsia="en-GB"/>
        </w:rPr>
        <w:t xml:space="preserve">. Available at: </w:t>
      </w:r>
      <w:hyperlink r:id="rId74" w:tgtFrame="_blank" w:history="1">
        <w:r w:rsidRPr="007778FF">
          <w:rPr>
            <w:rStyle w:val="Hyperlink"/>
            <w:rFonts w:ascii="Arial" w:eastAsia="Times New Roman" w:hAnsi="Arial" w:cs="Arial"/>
            <w:kern w:val="0"/>
            <w:lang w:eastAsia="en-GB"/>
            <w14:ligatures w14:val="none"/>
          </w:rPr>
          <w:t>https://projectdelivery.gov.uk</w:t>
        </w:r>
      </w:hyperlink>
      <w:r w:rsidRPr="007778FF">
        <w:rPr>
          <w:rFonts w:ascii="Arial" w:hAnsi="Arial" w:cs="Arial"/>
          <w:lang w:eastAsia="en-GB"/>
        </w:rPr>
        <w:t xml:space="preserve"> (Accessed: 9 October 2026).</w:t>
      </w:r>
    </w:p>
    <w:p w14:paraId="2523E463"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Guimaraes, T., Paranjape, K. and Timmerman, T. (2021) ‘Looking at the User Side of Software Engineering for Project Success’, </w:t>
      </w:r>
      <w:r w:rsidRPr="007778FF">
        <w:rPr>
          <w:rStyle w:val="Emphasis"/>
          <w:rFonts w:ascii="Arial" w:hAnsi="Arial" w:cs="Arial"/>
          <w:sz w:val="24"/>
          <w:szCs w:val="24"/>
        </w:rPr>
        <w:t>SAM Advanced Management Journal</w:t>
      </w:r>
      <w:r w:rsidRPr="007778FF">
        <w:rPr>
          <w:rFonts w:ascii="Arial" w:hAnsi="Arial" w:cs="Arial"/>
          <w:sz w:val="24"/>
          <w:szCs w:val="24"/>
        </w:rPr>
        <w:t xml:space="preserve">, 86(2), pp. 15-31. Available at: http://doi.org/10.52770/BAFM5902 </w:t>
      </w:r>
      <w:hyperlink r:id="rId75" w:history="1">
        <w:r w:rsidRPr="007778FF">
          <w:rPr>
            <w:rStyle w:val="Hyperlink"/>
            <w:rFonts w:ascii="Arial" w:hAnsi="Arial" w:cs="Arial"/>
            <w:sz w:val="24"/>
            <w:szCs w:val="24"/>
          </w:rPr>
          <w:t>[journal.sa...tional.org]</w:t>
        </w:r>
      </w:hyperlink>
    </w:p>
    <w:p w14:paraId="6CFD6A67"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Herroelen, W. and Leus, R. (2001) 'On the merits and pitfalls of critical chain scheduling', </w:t>
      </w:r>
      <w:r w:rsidRPr="007778FF">
        <w:rPr>
          <w:rFonts w:ascii="Arial" w:hAnsi="Arial" w:cs="Arial"/>
          <w:i/>
          <w:iCs/>
          <w:lang w:eastAsia="en-GB"/>
        </w:rPr>
        <w:t>Journal of Operations Management</w:t>
      </w:r>
      <w:r w:rsidRPr="007778FF">
        <w:rPr>
          <w:rFonts w:ascii="Arial" w:hAnsi="Arial" w:cs="Arial"/>
          <w:lang w:eastAsia="en-GB"/>
        </w:rPr>
        <w:t>, 19(5), pp. 559–577.</w:t>
      </w:r>
    </w:p>
    <w:p w14:paraId="50E7D359"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Hietala, H. and Päävirinta, T. (2021) ‘Benefits Realisation in Post-Implementation Development of ERP Systems: A Case Study’, </w:t>
      </w:r>
      <w:r w:rsidRPr="007778FF">
        <w:rPr>
          <w:rStyle w:val="Emphasis"/>
          <w:rFonts w:ascii="Arial" w:hAnsi="Arial" w:cs="Arial"/>
          <w:sz w:val="24"/>
          <w:szCs w:val="24"/>
        </w:rPr>
        <w:t>Procedia Computer Science</w:t>
      </w:r>
      <w:r w:rsidRPr="007778FF">
        <w:rPr>
          <w:rFonts w:ascii="Arial" w:hAnsi="Arial" w:cs="Arial"/>
          <w:sz w:val="24"/>
          <w:szCs w:val="24"/>
        </w:rPr>
        <w:t xml:space="preserve">, 181, pp. 419-426. Available at: https://doi.org/10.1016/j.procs.2021.01.186 </w:t>
      </w:r>
      <w:hyperlink r:id="rId76" w:history="1">
        <w:r w:rsidRPr="007778FF">
          <w:rPr>
            <w:rStyle w:val="Hyperlink"/>
            <w:rFonts w:ascii="Arial" w:hAnsi="Arial" w:cs="Arial"/>
            <w:sz w:val="24"/>
            <w:szCs w:val="24"/>
          </w:rPr>
          <w:t>[diva-portal.org]</w:t>
        </w:r>
      </w:hyperlink>
    </w:p>
    <w:p w14:paraId="68A3E6C1"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HKICPA (2010) </w:t>
      </w:r>
      <w:r w:rsidRPr="007778FF">
        <w:rPr>
          <w:rFonts w:ascii="Arial" w:hAnsi="Arial" w:cs="Arial"/>
          <w:i/>
          <w:iCs/>
          <w:lang w:eastAsia="en-GB"/>
        </w:rPr>
        <w:t>Financial Management and Project Appraisal</w:t>
      </w:r>
      <w:r w:rsidRPr="007778FF">
        <w:rPr>
          <w:rFonts w:ascii="Arial" w:hAnsi="Arial" w:cs="Arial"/>
          <w:lang w:eastAsia="en-GB"/>
        </w:rPr>
        <w:t>. Hong Kong: Hong Kong Institute of Certified Public Accountants.</w:t>
      </w:r>
    </w:p>
    <w:p w14:paraId="72D869C1"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lastRenderedPageBreak/>
        <w:t xml:space="preserve">HMRC (2025) </w:t>
      </w:r>
      <w:r w:rsidRPr="007778FF">
        <w:rPr>
          <w:rFonts w:ascii="Arial" w:hAnsi="Arial" w:cs="Arial"/>
          <w:i/>
          <w:iCs/>
          <w:lang w:eastAsia="en-GB"/>
        </w:rPr>
        <w:t>Making Tax Digital Programme</w:t>
      </w:r>
      <w:r w:rsidRPr="007778FF">
        <w:rPr>
          <w:rFonts w:ascii="Arial" w:hAnsi="Arial" w:cs="Arial"/>
          <w:lang w:eastAsia="en-GB"/>
        </w:rPr>
        <w:t xml:space="preserve">. Available at: </w:t>
      </w:r>
      <w:hyperlink r:id="rId77" w:tgtFrame="_blank" w:history="1">
        <w:r w:rsidRPr="007778FF">
          <w:rPr>
            <w:rStyle w:val="Hyperlink"/>
            <w:rFonts w:ascii="Arial" w:eastAsia="Times New Roman" w:hAnsi="Arial" w:cs="Arial"/>
            <w:kern w:val="0"/>
            <w:lang w:eastAsia="en-GB"/>
            <w14:ligatures w14:val="none"/>
          </w:rPr>
          <w:t>https://www.gov.uk/government/collections/making-tax-digital</w:t>
        </w:r>
      </w:hyperlink>
      <w:r w:rsidRPr="007778FF">
        <w:rPr>
          <w:rFonts w:ascii="Arial" w:hAnsi="Arial" w:cs="Arial"/>
          <w:lang w:eastAsia="en-GB"/>
        </w:rPr>
        <w:t xml:space="preserve"> (Accessed: 5 October 2026).</w:t>
      </w:r>
    </w:p>
    <w:p w14:paraId="735E03AD"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HMRC (2026a) </w:t>
      </w:r>
      <w:r w:rsidRPr="007778FF">
        <w:rPr>
          <w:rFonts w:ascii="Arial" w:hAnsi="Arial" w:cs="Arial"/>
          <w:i/>
          <w:iCs/>
          <w:lang w:eastAsia="en-GB"/>
        </w:rPr>
        <w:t>VAEC0200: Making Tax Digital for Business (MTD) – How to Deal with MTD Customers</w:t>
      </w:r>
      <w:r w:rsidRPr="007778FF">
        <w:rPr>
          <w:rFonts w:ascii="Arial" w:hAnsi="Arial" w:cs="Arial"/>
          <w:lang w:eastAsia="en-GB"/>
        </w:rPr>
        <w:t xml:space="preserve">. Available at: </w:t>
      </w:r>
      <w:hyperlink r:id="rId78" w:tgtFrame="_blank" w:history="1">
        <w:r w:rsidRPr="007778FF">
          <w:rPr>
            <w:rStyle w:val="Hyperlink"/>
            <w:rFonts w:ascii="Arial" w:eastAsia="Times New Roman" w:hAnsi="Arial" w:cs="Arial"/>
            <w:kern w:val="0"/>
            <w:lang w:eastAsia="en-GB"/>
            <w14:ligatures w14:val="none"/>
          </w:rPr>
          <w:t>https://www.gov.uk/hmrc-internal-manuals/vat-assessments-and-error-correction/vae0200</w:t>
        </w:r>
      </w:hyperlink>
      <w:r w:rsidRPr="007778FF">
        <w:rPr>
          <w:rFonts w:ascii="Arial" w:hAnsi="Arial" w:cs="Arial"/>
          <w:lang w:eastAsia="en-GB"/>
        </w:rPr>
        <w:t xml:space="preserve"> (Accessed: 6 October 2026).</w:t>
      </w:r>
    </w:p>
    <w:p w14:paraId="78BFF9B5"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HMRC (2026b) </w:t>
      </w:r>
      <w:r w:rsidRPr="007778FF">
        <w:rPr>
          <w:rFonts w:ascii="Arial" w:hAnsi="Arial" w:cs="Arial"/>
          <w:i/>
          <w:iCs/>
          <w:lang w:eastAsia="en-GB"/>
        </w:rPr>
        <w:t>Making Tax Digital Research and Evaluation</w:t>
      </w:r>
      <w:r w:rsidRPr="007778FF">
        <w:rPr>
          <w:rFonts w:ascii="Arial" w:hAnsi="Arial" w:cs="Arial"/>
          <w:lang w:eastAsia="en-GB"/>
        </w:rPr>
        <w:t xml:space="preserve">. Available at: </w:t>
      </w:r>
      <w:hyperlink r:id="rId79" w:tgtFrame="_blank" w:history="1">
        <w:r w:rsidRPr="007778FF">
          <w:rPr>
            <w:rStyle w:val="Hyperlink"/>
            <w:rFonts w:ascii="Arial" w:eastAsia="Times New Roman" w:hAnsi="Arial" w:cs="Arial"/>
            <w:kern w:val="0"/>
            <w:lang w:eastAsia="en-GB"/>
            <w14:ligatures w14:val="none"/>
          </w:rPr>
          <w:t>https://www.gov.uk/government/collections/making-tax-digital</w:t>
        </w:r>
      </w:hyperlink>
      <w:r w:rsidRPr="007778FF">
        <w:rPr>
          <w:rFonts w:ascii="Arial" w:hAnsi="Arial" w:cs="Arial"/>
          <w:lang w:eastAsia="en-GB"/>
        </w:rPr>
        <w:t xml:space="preserve"> (Accessed: 6 October 2026).</w:t>
      </w:r>
    </w:p>
    <w:p w14:paraId="77DB8A50"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ICAEW (2026) </w:t>
      </w:r>
      <w:r w:rsidRPr="007778FF">
        <w:rPr>
          <w:rFonts w:ascii="Arial" w:hAnsi="Arial" w:cs="Arial"/>
          <w:i/>
          <w:iCs/>
          <w:lang w:eastAsia="en-GB"/>
        </w:rPr>
        <w:t>Preparing and Filing Accounts Under UK GAAP</w:t>
      </w:r>
      <w:r w:rsidRPr="007778FF">
        <w:rPr>
          <w:rFonts w:ascii="Arial" w:hAnsi="Arial" w:cs="Arial"/>
          <w:lang w:eastAsia="en-GB"/>
        </w:rPr>
        <w:t xml:space="preserve">. Available at: </w:t>
      </w:r>
      <w:hyperlink r:id="rId80" w:tgtFrame="_blank" w:history="1">
        <w:r w:rsidRPr="007778FF">
          <w:rPr>
            <w:rStyle w:val="Hyperlink"/>
            <w:rFonts w:ascii="Arial" w:eastAsia="Times New Roman" w:hAnsi="Arial" w:cs="Arial"/>
            <w:kern w:val="0"/>
            <w:lang w:eastAsia="en-GB"/>
            <w14:ligatures w14:val="none"/>
          </w:rPr>
          <w:t>https://www.icaew.com</w:t>
        </w:r>
      </w:hyperlink>
      <w:r w:rsidRPr="007778FF">
        <w:rPr>
          <w:rFonts w:ascii="Arial" w:hAnsi="Arial" w:cs="Arial"/>
          <w:lang w:eastAsia="en-GB"/>
        </w:rPr>
        <w:t xml:space="preserve"> (Accessed: 8 October 2026).</w:t>
      </w:r>
    </w:p>
    <w:p w14:paraId="3C561F1E"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ICAI (2024) </w:t>
      </w:r>
      <w:r w:rsidRPr="007778FF">
        <w:rPr>
          <w:rFonts w:ascii="Arial" w:hAnsi="Arial" w:cs="Arial"/>
          <w:i/>
          <w:iCs/>
          <w:lang w:eastAsia="en-GB"/>
        </w:rPr>
        <w:t>Cost Accounting and Budgetary Control</w:t>
      </w:r>
      <w:r w:rsidRPr="007778FF">
        <w:rPr>
          <w:rFonts w:ascii="Arial" w:hAnsi="Arial" w:cs="Arial"/>
          <w:lang w:eastAsia="en-GB"/>
        </w:rPr>
        <w:t>. New Delhi: Institute of Chartered Accountants of India.</w:t>
      </w:r>
    </w:p>
    <w:p w14:paraId="4EF485B5"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IFRS Foundation (2024) </w:t>
      </w:r>
      <w:r w:rsidRPr="007778FF">
        <w:rPr>
          <w:rFonts w:ascii="Arial" w:hAnsi="Arial" w:cs="Arial"/>
          <w:i/>
          <w:iCs/>
          <w:lang w:eastAsia="en-GB"/>
        </w:rPr>
        <w:t>International Financial Reporting Standards Overview</w:t>
      </w:r>
      <w:r w:rsidRPr="007778FF">
        <w:rPr>
          <w:rFonts w:ascii="Arial" w:hAnsi="Arial" w:cs="Arial"/>
          <w:lang w:eastAsia="en-GB"/>
        </w:rPr>
        <w:t xml:space="preserve">. Available at: </w:t>
      </w:r>
      <w:hyperlink r:id="rId81" w:tgtFrame="_blank" w:history="1">
        <w:r w:rsidRPr="007778FF">
          <w:rPr>
            <w:rStyle w:val="Hyperlink"/>
            <w:rFonts w:ascii="Arial" w:eastAsia="Times New Roman" w:hAnsi="Arial" w:cs="Arial"/>
            <w:kern w:val="0"/>
            <w:lang w:eastAsia="en-GB"/>
            <w14:ligatures w14:val="none"/>
          </w:rPr>
          <w:t>https://www.ifrs.org</w:t>
        </w:r>
      </w:hyperlink>
      <w:r w:rsidRPr="007778FF">
        <w:rPr>
          <w:rFonts w:ascii="Arial" w:hAnsi="Arial" w:cs="Arial"/>
          <w:lang w:eastAsia="en-GB"/>
        </w:rPr>
        <w:t xml:space="preserve"> (Accessed: 9 October 2026).</w:t>
      </w:r>
    </w:p>
    <w:p w14:paraId="15BA595B"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Intuit QuickBooks (2024) </w:t>
      </w:r>
      <w:r w:rsidRPr="007778FF">
        <w:rPr>
          <w:rFonts w:ascii="Arial" w:hAnsi="Arial" w:cs="Arial"/>
          <w:i/>
          <w:iCs/>
          <w:lang w:eastAsia="en-GB"/>
        </w:rPr>
        <w:t>Accounting Automation and Practice Efficiency</w:t>
      </w:r>
      <w:r w:rsidRPr="007778FF">
        <w:rPr>
          <w:rFonts w:ascii="Arial" w:hAnsi="Arial" w:cs="Arial"/>
          <w:lang w:eastAsia="en-GB"/>
        </w:rPr>
        <w:t xml:space="preserve">. Available at: </w:t>
      </w:r>
      <w:hyperlink r:id="rId82" w:tgtFrame="_blank" w:history="1">
        <w:r w:rsidRPr="007778FF">
          <w:rPr>
            <w:rStyle w:val="Hyperlink"/>
            <w:rFonts w:ascii="Arial" w:eastAsia="Times New Roman" w:hAnsi="Arial" w:cs="Arial"/>
            <w:kern w:val="0"/>
            <w:lang w:eastAsia="en-GB"/>
            <w14:ligatures w14:val="none"/>
          </w:rPr>
          <w:t>https://quickbooks.intuit.com/uk</w:t>
        </w:r>
      </w:hyperlink>
      <w:r w:rsidRPr="007778FF">
        <w:rPr>
          <w:rFonts w:ascii="Arial" w:hAnsi="Arial" w:cs="Arial"/>
          <w:lang w:eastAsia="en-GB"/>
        </w:rPr>
        <w:t xml:space="preserve"> (Accessed: 9 October 2026).</w:t>
      </w:r>
    </w:p>
    <w:p w14:paraId="2902C16A"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Jones, R. (2017) </w:t>
      </w:r>
      <w:r w:rsidRPr="007778FF">
        <w:rPr>
          <w:rFonts w:ascii="Arial" w:hAnsi="Arial" w:cs="Arial"/>
          <w:i/>
          <w:iCs/>
          <w:lang w:eastAsia="en-GB"/>
        </w:rPr>
        <w:t>Project Stakeholder Management</w:t>
      </w:r>
      <w:r w:rsidRPr="007778FF">
        <w:rPr>
          <w:rFonts w:ascii="Arial" w:hAnsi="Arial" w:cs="Arial"/>
          <w:lang w:eastAsia="en-GB"/>
        </w:rPr>
        <w:t>. London: Kogan Page.</w:t>
      </w:r>
    </w:p>
    <w:p w14:paraId="69C2D2AD"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Kuatov, A. and Hamada, M.A. (2021) ‘Risk Management in Software Development and Software Engineering Projects’, </w:t>
      </w:r>
      <w:r w:rsidRPr="007778FF">
        <w:rPr>
          <w:rStyle w:val="Emphasis"/>
          <w:rFonts w:ascii="Arial" w:hAnsi="Arial" w:cs="Arial"/>
          <w:sz w:val="24"/>
          <w:szCs w:val="24"/>
        </w:rPr>
        <w:t>International Journal of Advances in Engineering and Management (IJAEM)</w:t>
      </w:r>
      <w:r w:rsidRPr="007778FF">
        <w:rPr>
          <w:rFonts w:ascii="Arial" w:hAnsi="Arial" w:cs="Arial"/>
          <w:sz w:val="24"/>
          <w:szCs w:val="24"/>
        </w:rPr>
        <w:t xml:space="preserve">, 3(6), pp. 993-998. Available at: https://ijaem.net/issue_dcp/Risk%20Management%20in%20Software%20Development%20and%20Software%20Engineering%20Projects.pdf. </w:t>
      </w:r>
      <w:hyperlink r:id="rId83" w:history="1">
        <w:r w:rsidRPr="007778FF">
          <w:rPr>
            <w:rStyle w:val="Hyperlink"/>
            <w:rFonts w:ascii="Arial" w:hAnsi="Arial" w:cs="Arial"/>
            <w:sz w:val="24"/>
            <w:szCs w:val="24"/>
          </w:rPr>
          <w:t>[ijaem.net]</w:t>
        </w:r>
      </w:hyperlink>
    </w:p>
    <w:p w14:paraId="72192883"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Lima, P.F.A., Marcelino-Sádaba, S. and Verbano, C. (2021) ‘Successful Implementation of Project Risk Management in Small and Medium Enterprises: A Cross-Case Analysis’, </w:t>
      </w:r>
      <w:r w:rsidRPr="007778FF">
        <w:rPr>
          <w:rStyle w:val="Emphasis"/>
          <w:rFonts w:ascii="Arial" w:hAnsi="Arial" w:cs="Arial"/>
          <w:sz w:val="24"/>
          <w:szCs w:val="24"/>
        </w:rPr>
        <w:t>International Journal of Managing Projects in Business</w:t>
      </w:r>
      <w:r w:rsidRPr="007778FF">
        <w:rPr>
          <w:rFonts w:ascii="Arial" w:hAnsi="Arial" w:cs="Arial"/>
          <w:sz w:val="24"/>
          <w:szCs w:val="24"/>
        </w:rPr>
        <w:t xml:space="preserve">, 14(4), pp. 1023-1045. Available at: https://doi.org/10.1108/IJMPB-06-2020-0203. </w:t>
      </w:r>
      <w:hyperlink r:id="rId84" w:history="1">
        <w:r w:rsidRPr="007778FF">
          <w:rPr>
            <w:rStyle w:val="Hyperlink"/>
            <w:rFonts w:ascii="Arial" w:hAnsi="Arial" w:cs="Arial"/>
            <w:sz w:val="24"/>
            <w:szCs w:val="24"/>
          </w:rPr>
          <w:t>[emerald.com]</w:t>
        </w:r>
      </w:hyperlink>
    </w:p>
    <w:p w14:paraId="4A34187C"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Lipke, W. (2019) 'Earned schedule: A breakthrough extension to earned value management', </w:t>
      </w:r>
      <w:r w:rsidRPr="007778FF">
        <w:rPr>
          <w:rFonts w:ascii="Arial" w:hAnsi="Arial" w:cs="Arial"/>
          <w:i/>
          <w:iCs/>
          <w:lang w:eastAsia="en-GB"/>
        </w:rPr>
        <w:t>Project Management Journal</w:t>
      </w:r>
      <w:r w:rsidRPr="007778FF">
        <w:rPr>
          <w:rFonts w:ascii="Arial" w:hAnsi="Arial" w:cs="Arial"/>
          <w:lang w:eastAsia="en-GB"/>
        </w:rPr>
        <w:t>, 50(3), pp. 1–12.</w:t>
      </w:r>
    </w:p>
    <w:p w14:paraId="4B9C204B"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Martinsuo, M. (2022) 'Benefit management in project management and project-based organisations: A review and research agenda', </w:t>
      </w:r>
      <w:r w:rsidRPr="007778FF">
        <w:rPr>
          <w:rFonts w:ascii="Arial" w:hAnsi="Arial" w:cs="Arial"/>
          <w:i/>
          <w:iCs/>
          <w:lang w:eastAsia="en-GB"/>
        </w:rPr>
        <w:t>International Journal of Project Management</w:t>
      </w:r>
      <w:r w:rsidRPr="007778FF">
        <w:rPr>
          <w:rFonts w:ascii="Arial" w:hAnsi="Arial" w:cs="Arial"/>
          <w:lang w:eastAsia="en-GB"/>
        </w:rPr>
        <w:t>, 40(2), pp. 193–209.</w:t>
      </w:r>
    </w:p>
    <w:p w14:paraId="3F8FAF85"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Merideth, J.R. and Zwikael, O. (2024) 'Business case development and project justification', </w:t>
      </w:r>
      <w:r w:rsidRPr="007778FF">
        <w:rPr>
          <w:rFonts w:ascii="Arial" w:hAnsi="Arial" w:cs="Arial"/>
          <w:i/>
          <w:iCs/>
          <w:lang w:eastAsia="en-GB"/>
        </w:rPr>
        <w:t>Project Management Journal</w:t>
      </w:r>
      <w:r w:rsidRPr="007778FF">
        <w:rPr>
          <w:rFonts w:ascii="Arial" w:hAnsi="Arial" w:cs="Arial"/>
          <w:lang w:eastAsia="en-GB"/>
        </w:rPr>
        <w:t>, 55(1), pp. 1–16.</w:t>
      </w:r>
    </w:p>
    <w:p w14:paraId="064D45BB"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Mnaseer, A. (2026) 'The impact of scope creep on project performance and success', </w:t>
      </w:r>
      <w:r w:rsidRPr="007778FF">
        <w:rPr>
          <w:rFonts w:ascii="Arial" w:hAnsi="Arial" w:cs="Arial"/>
          <w:i/>
          <w:iCs/>
          <w:lang w:eastAsia="en-GB"/>
        </w:rPr>
        <w:t>International Journal of Project Organisation and Management</w:t>
      </w:r>
      <w:r w:rsidRPr="007778FF">
        <w:rPr>
          <w:rFonts w:ascii="Arial" w:hAnsi="Arial" w:cs="Arial"/>
          <w:lang w:eastAsia="en-GB"/>
        </w:rPr>
        <w:t>, 18(1), pp. 45–61.</w:t>
      </w:r>
    </w:p>
    <w:p w14:paraId="5D78C430"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Moll, J. and Yigitbasioglu, O. (2022) 'The role of internet-related technologies in shaping the work of accountants: New directions for accounting research', </w:t>
      </w:r>
      <w:r w:rsidRPr="007778FF">
        <w:rPr>
          <w:rFonts w:ascii="Arial" w:hAnsi="Arial" w:cs="Arial"/>
          <w:i/>
          <w:iCs/>
          <w:lang w:eastAsia="en-GB"/>
        </w:rPr>
        <w:t>British Accounting Review</w:t>
      </w:r>
      <w:r w:rsidRPr="007778FF">
        <w:rPr>
          <w:rFonts w:ascii="Arial" w:hAnsi="Arial" w:cs="Arial"/>
          <w:lang w:eastAsia="en-GB"/>
        </w:rPr>
        <w:t>, 54(1), 100833.</w:t>
      </w:r>
    </w:p>
    <w:p w14:paraId="7D0B5A8C"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lastRenderedPageBreak/>
        <w:t xml:space="preserve">Oh, K., Kho, H., Choi, Y. and Lee, S. (2022) ‘Determinants for Successful Digital Transformation’, </w:t>
      </w:r>
      <w:r w:rsidRPr="007778FF">
        <w:rPr>
          <w:rStyle w:val="Emphasis"/>
          <w:rFonts w:ascii="Arial" w:hAnsi="Arial" w:cs="Arial"/>
          <w:sz w:val="24"/>
          <w:szCs w:val="24"/>
        </w:rPr>
        <w:t>Sustainability</w:t>
      </w:r>
      <w:r w:rsidRPr="007778FF">
        <w:rPr>
          <w:rFonts w:ascii="Arial" w:hAnsi="Arial" w:cs="Arial"/>
          <w:sz w:val="24"/>
          <w:szCs w:val="24"/>
        </w:rPr>
        <w:t xml:space="preserve">, 14(3), 1215. Available at: https://doi.org/10.3390/su14031215. </w:t>
      </w:r>
      <w:hyperlink r:id="rId85" w:history="1">
        <w:r w:rsidRPr="007778FF">
          <w:rPr>
            <w:rStyle w:val="Hyperlink"/>
            <w:rFonts w:ascii="Arial" w:hAnsi="Arial" w:cs="Arial"/>
            <w:sz w:val="24"/>
            <w:szCs w:val="24"/>
          </w:rPr>
          <w:t>[mdpi.com]</w:t>
        </w:r>
      </w:hyperlink>
    </w:p>
    <w:p w14:paraId="379DA964"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Opdenakker, S., Maes, K. and De Haes, S. (2021) ‘Benefits Management for Digital Transformation Programs: A Case Study’, </w:t>
      </w:r>
      <w:r w:rsidRPr="007778FF">
        <w:rPr>
          <w:rStyle w:val="Emphasis"/>
          <w:rFonts w:ascii="Arial" w:hAnsi="Arial" w:cs="Arial"/>
          <w:sz w:val="24"/>
          <w:szCs w:val="24"/>
        </w:rPr>
        <w:t>ISACA Journal</w:t>
      </w:r>
      <w:r w:rsidRPr="007778FF">
        <w:rPr>
          <w:rFonts w:ascii="Arial" w:hAnsi="Arial" w:cs="Arial"/>
          <w:sz w:val="24"/>
          <w:szCs w:val="24"/>
        </w:rPr>
        <w:t xml:space="preserve">, Vol. 6. Available at: https://www.isaca.org/resources/isaca-journal/issues/2021/volume-6/benefits-management-for-digital-transformation-programs </w:t>
      </w:r>
      <w:hyperlink r:id="rId86" w:history="1">
        <w:r w:rsidRPr="007778FF">
          <w:rPr>
            <w:rStyle w:val="Hyperlink"/>
            <w:rFonts w:ascii="Arial" w:hAnsi="Arial" w:cs="Arial"/>
            <w:sz w:val="24"/>
            <w:szCs w:val="24"/>
          </w:rPr>
          <w:t>[isaca.org]</w:t>
        </w:r>
      </w:hyperlink>
    </w:p>
    <w:p w14:paraId="367836F9"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Pillai, N.S.R. and Hemamalini, R.R. (2022) ‘Hybrid User Acceptance Test Procedure to Improve the Software Quality’, </w:t>
      </w:r>
      <w:r w:rsidRPr="007778FF">
        <w:rPr>
          <w:rStyle w:val="Emphasis"/>
          <w:rFonts w:ascii="Arial" w:hAnsi="Arial" w:cs="Arial"/>
          <w:sz w:val="24"/>
          <w:szCs w:val="24"/>
        </w:rPr>
        <w:t>International Arab Journal of Information Technology</w:t>
      </w:r>
      <w:r w:rsidRPr="007778FF">
        <w:rPr>
          <w:rFonts w:ascii="Arial" w:hAnsi="Arial" w:cs="Arial"/>
          <w:sz w:val="24"/>
          <w:szCs w:val="24"/>
        </w:rPr>
        <w:t xml:space="preserve">, 19(6). Available at: https://iajit.org/portal/images/Year2022/No.6/20887.pdf </w:t>
      </w:r>
      <w:hyperlink r:id="rId87" w:history="1">
        <w:r w:rsidRPr="007778FF">
          <w:rPr>
            <w:rStyle w:val="Hyperlink"/>
            <w:rFonts w:ascii="Arial" w:hAnsi="Arial" w:cs="Arial"/>
            <w:sz w:val="24"/>
            <w:szCs w:val="24"/>
          </w:rPr>
          <w:t>[iajit.org]</w:t>
        </w:r>
      </w:hyperlink>
    </w:p>
    <w:p w14:paraId="3CE1B989"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Pilliang, M. and Munawar (2022) </w:t>
      </w:r>
      <w:r w:rsidRPr="007778FF">
        <w:rPr>
          <w:rStyle w:val="Emphasis"/>
          <w:rFonts w:ascii="Arial" w:hAnsi="Arial" w:cs="Arial"/>
          <w:sz w:val="24"/>
          <w:szCs w:val="24"/>
        </w:rPr>
        <w:t>Risk Management in Software Development Projects: A Systematic Literature Review</w:t>
      </w:r>
      <w:r w:rsidRPr="007778FF">
        <w:rPr>
          <w:rFonts w:ascii="Arial" w:hAnsi="Arial" w:cs="Arial"/>
          <w:sz w:val="24"/>
          <w:szCs w:val="24"/>
        </w:rPr>
        <w:t xml:space="preserve">. </w:t>
      </w:r>
    </w:p>
    <w:p w14:paraId="3A9796C2"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Project Management Institute (2022) </w:t>
      </w:r>
      <w:r w:rsidRPr="007778FF">
        <w:rPr>
          <w:rFonts w:ascii="Arial" w:hAnsi="Arial" w:cs="Arial"/>
          <w:i/>
          <w:iCs/>
          <w:lang w:eastAsia="en-GB"/>
        </w:rPr>
        <w:t>Power Skills and Project Success</w:t>
      </w:r>
      <w:r w:rsidRPr="007778FF">
        <w:rPr>
          <w:rFonts w:ascii="Arial" w:hAnsi="Arial" w:cs="Arial"/>
          <w:lang w:eastAsia="en-GB"/>
        </w:rPr>
        <w:t xml:space="preserve">. Available at: </w:t>
      </w:r>
      <w:hyperlink r:id="rId88" w:tgtFrame="_blank" w:history="1">
        <w:r w:rsidRPr="007778FF">
          <w:rPr>
            <w:rStyle w:val="Hyperlink"/>
            <w:rFonts w:ascii="Arial" w:eastAsia="Times New Roman" w:hAnsi="Arial" w:cs="Arial"/>
            <w:kern w:val="0"/>
            <w:lang w:eastAsia="en-GB"/>
            <w14:ligatures w14:val="none"/>
          </w:rPr>
          <w:t>https://www.pmi.org</w:t>
        </w:r>
      </w:hyperlink>
      <w:r w:rsidRPr="007778FF">
        <w:rPr>
          <w:rFonts w:ascii="Arial" w:hAnsi="Arial" w:cs="Arial"/>
          <w:lang w:eastAsia="en-GB"/>
        </w:rPr>
        <w:t xml:space="preserve"> (Accessed: 10 October 2026).</w:t>
      </w:r>
    </w:p>
    <w:p w14:paraId="647F7015"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Project Management Institute (2023a) </w:t>
      </w:r>
      <w:r w:rsidRPr="007778FF">
        <w:rPr>
          <w:rFonts w:ascii="Arial" w:hAnsi="Arial" w:cs="Arial"/>
          <w:i/>
          <w:iCs/>
          <w:lang w:eastAsia="en-GB"/>
        </w:rPr>
        <w:t>Pulse of the Profession 2023</w:t>
      </w:r>
      <w:r w:rsidRPr="007778FF">
        <w:rPr>
          <w:rFonts w:ascii="Arial" w:hAnsi="Arial" w:cs="Arial"/>
          <w:lang w:eastAsia="en-GB"/>
        </w:rPr>
        <w:t xml:space="preserve">. Available at: </w:t>
      </w:r>
      <w:hyperlink r:id="rId89" w:tgtFrame="_blank" w:history="1">
        <w:r w:rsidRPr="007778FF">
          <w:rPr>
            <w:rStyle w:val="Hyperlink"/>
            <w:rFonts w:ascii="Arial" w:eastAsia="Times New Roman" w:hAnsi="Arial" w:cs="Arial"/>
            <w:kern w:val="0"/>
            <w:lang w:eastAsia="en-GB"/>
            <w14:ligatures w14:val="none"/>
          </w:rPr>
          <w:t>https://www.pmi.org</w:t>
        </w:r>
      </w:hyperlink>
      <w:r w:rsidRPr="007778FF">
        <w:rPr>
          <w:rFonts w:ascii="Arial" w:hAnsi="Arial" w:cs="Arial"/>
          <w:lang w:eastAsia="en-GB"/>
        </w:rPr>
        <w:t xml:space="preserve"> (Accessed: 10 October 2026).</w:t>
      </w:r>
    </w:p>
    <w:p w14:paraId="07FBCD25"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Project Management Institute (2023b) </w:t>
      </w:r>
      <w:r w:rsidRPr="007778FF">
        <w:rPr>
          <w:rFonts w:ascii="Arial" w:hAnsi="Arial" w:cs="Arial"/>
          <w:i/>
          <w:iCs/>
          <w:lang w:eastAsia="en-GB"/>
        </w:rPr>
        <w:t>Benefits Realisation Management</w:t>
      </w:r>
      <w:r w:rsidRPr="007778FF">
        <w:rPr>
          <w:rFonts w:ascii="Arial" w:hAnsi="Arial" w:cs="Arial"/>
          <w:lang w:eastAsia="en-GB"/>
        </w:rPr>
        <w:t xml:space="preserve">. Available at: </w:t>
      </w:r>
      <w:hyperlink r:id="rId90" w:tgtFrame="_blank" w:history="1">
        <w:r w:rsidRPr="007778FF">
          <w:rPr>
            <w:rStyle w:val="Hyperlink"/>
            <w:rFonts w:ascii="Arial" w:eastAsia="Times New Roman" w:hAnsi="Arial" w:cs="Arial"/>
            <w:kern w:val="0"/>
            <w:lang w:eastAsia="en-GB"/>
            <w14:ligatures w14:val="none"/>
          </w:rPr>
          <w:t>https://www.pmi.org</w:t>
        </w:r>
      </w:hyperlink>
      <w:r w:rsidRPr="007778FF">
        <w:rPr>
          <w:rFonts w:ascii="Arial" w:hAnsi="Arial" w:cs="Arial"/>
          <w:lang w:eastAsia="en-GB"/>
        </w:rPr>
        <w:t xml:space="preserve"> (Accessed: 10 October 2026).</w:t>
      </w:r>
    </w:p>
    <w:p w14:paraId="61F9AD0D"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Project Management Institute (2026) </w:t>
      </w:r>
      <w:r w:rsidRPr="007778FF">
        <w:rPr>
          <w:rFonts w:ascii="Arial" w:hAnsi="Arial" w:cs="Arial"/>
          <w:i/>
          <w:iCs/>
          <w:lang w:eastAsia="en-GB"/>
        </w:rPr>
        <w:t>Benefits Realisation Management Framework</w:t>
      </w:r>
      <w:r w:rsidRPr="007778FF">
        <w:rPr>
          <w:rFonts w:ascii="Arial" w:hAnsi="Arial" w:cs="Arial"/>
          <w:lang w:eastAsia="en-GB"/>
        </w:rPr>
        <w:t xml:space="preserve">. Available at: </w:t>
      </w:r>
      <w:hyperlink r:id="rId91" w:tgtFrame="_blank" w:history="1">
        <w:r w:rsidRPr="007778FF">
          <w:rPr>
            <w:rStyle w:val="Hyperlink"/>
            <w:rFonts w:ascii="Arial" w:eastAsia="Times New Roman" w:hAnsi="Arial" w:cs="Arial"/>
            <w:kern w:val="0"/>
            <w:lang w:eastAsia="en-GB"/>
            <w14:ligatures w14:val="none"/>
          </w:rPr>
          <w:t>https://www.pmi.org</w:t>
        </w:r>
      </w:hyperlink>
      <w:r w:rsidRPr="007778FF">
        <w:rPr>
          <w:rFonts w:ascii="Arial" w:hAnsi="Arial" w:cs="Arial"/>
          <w:lang w:eastAsia="en-GB"/>
        </w:rPr>
        <w:t xml:space="preserve"> (Accessed: 10 October 2026).</w:t>
      </w:r>
    </w:p>
    <w:p w14:paraId="4270B6CC"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Project Management Institute (PMI) (2021) </w:t>
      </w:r>
      <w:r w:rsidRPr="007778FF">
        <w:rPr>
          <w:rStyle w:val="Emphasis"/>
          <w:rFonts w:ascii="Arial" w:hAnsi="Arial" w:cs="Arial"/>
          <w:sz w:val="24"/>
          <w:szCs w:val="24"/>
        </w:rPr>
        <w:t>A Guide to the Project Management Body of Knowledge (PMBOK® Guide), Seventh Edition</w:t>
      </w:r>
      <w:r w:rsidRPr="007778FF">
        <w:rPr>
          <w:rFonts w:ascii="Arial" w:hAnsi="Arial" w:cs="Arial"/>
          <w:sz w:val="24"/>
          <w:szCs w:val="24"/>
        </w:rPr>
        <w:t xml:space="preserve">. Newtown Square, PA: PMI. Available at: https://thedesignsense.com/internship_programs/bim/reference_documents/PMBOK_7th_Edition.pdf </w:t>
      </w:r>
      <w:hyperlink r:id="rId92" w:history="1">
        <w:r w:rsidRPr="007778FF">
          <w:rPr>
            <w:rStyle w:val="Hyperlink"/>
            <w:rFonts w:ascii="Arial" w:hAnsi="Arial" w:cs="Arial"/>
            <w:sz w:val="24"/>
            <w:szCs w:val="24"/>
          </w:rPr>
          <w:t>[thedesignsense.com]</w:t>
        </w:r>
      </w:hyperlink>
    </w:p>
    <w:p w14:paraId="7921793C"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QuickBooks (2024) </w:t>
      </w:r>
      <w:r w:rsidRPr="007778FF">
        <w:rPr>
          <w:rFonts w:ascii="Arial" w:hAnsi="Arial" w:cs="Arial"/>
          <w:i/>
          <w:iCs/>
          <w:lang w:eastAsia="en-GB"/>
        </w:rPr>
        <w:t>Small Business Accounting Automation</w:t>
      </w:r>
      <w:r w:rsidRPr="007778FF">
        <w:rPr>
          <w:rFonts w:ascii="Arial" w:hAnsi="Arial" w:cs="Arial"/>
          <w:lang w:eastAsia="en-GB"/>
        </w:rPr>
        <w:t xml:space="preserve">. Available at: </w:t>
      </w:r>
      <w:hyperlink r:id="rId93" w:tgtFrame="_blank" w:history="1">
        <w:r w:rsidRPr="007778FF">
          <w:rPr>
            <w:rStyle w:val="Hyperlink"/>
            <w:rFonts w:ascii="Arial" w:eastAsia="Times New Roman" w:hAnsi="Arial" w:cs="Arial"/>
            <w:kern w:val="0"/>
            <w:lang w:eastAsia="en-GB"/>
            <w14:ligatures w14:val="none"/>
          </w:rPr>
          <w:t>https://quickbooks.intuit.com/uk</w:t>
        </w:r>
      </w:hyperlink>
      <w:r w:rsidRPr="007778FF">
        <w:rPr>
          <w:rFonts w:ascii="Arial" w:hAnsi="Arial" w:cs="Arial"/>
          <w:lang w:eastAsia="en-GB"/>
        </w:rPr>
        <w:t xml:space="preserve"> (Accessed: 9 October 2026).</w:t>
      </w:r>
    </w:p>
    <w:p w14:paraId="1434FDCB"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Rychlik, A., Semko, O., Bedrii, D., Marshak, O. and Nesterenko, A. (2024) ‘Information System for Management of Information Risks in Digital Transformation Projects’, in </w:t>
      </w:r>
      <w:r w:rsidRPr="007778FF">
        <w:rPr>
          <w:rStyle w:val="Emphasis"/>
          <w:rFonts w:ascii="Arial" w:hAnsi="Arial" w:cs="Arial"/>
          <w:sz w:val="24"/>
          <w:szCs w:val="24"/>
        </w:rPr>
        <w:t>Information Technology to Enhance E-Learning and Other Applications (ITEST 2024)</w:t>
      </w:r>
      <w:r w:rsidRPr="007778FF">
        <w:rPr>
          <w:rFonts w:ascii="Arial" w:hAnsi="Arial" w:cs="Arial"/>
          <w:sz w:val="24"/>
          <w:szCs w:val="24"/>
        </w:rPr>
        <w:t xml:space="preserve">. Cham: Springer, pp. 3-17. Available at: https://doi.org/10.1007/978-3-031-71804-5_1. </w:t>
      </w:r>
      <w:hyperlink r:id="rId94" w:history="1">
        <w:r w:rsidRPr="007778FF">
          <w:rPr>
            <w:rStyle w:val="Hyperlink"/>
            <w:rFonts w:ascii="Arial" w:hAnsi="Arial" w:cs="Arial"/>
            <w:sz w:val="24"/>
            <w:szCs w:val="24"/>
          </w:rPr>
          <w:t>[link.springer.com]</w:t>
        </w:r>
      </w:hyperlink>
    </w:p>
    <w:p w14:paraId="4FF90620"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Sage (2024) </w:t>
      </w:r>
      <w:r w:rsidRPr="007778FF">
        <w:rPr>
          <w:rFonts w:ascii="Arial" w:hAnsi="Arial" w:cs="Arial"/>
          <w:i/>
          <w:iCs/>
          <w:lang w:eastAsia="en-GB"/>
        </w:rPr>
        <w:t>The Future of Digital Accounting and Compliance</w:t>
      </w:r>
      <w:r w:rsidRPr="007778FF">
        <w:rPr>
          <w:rFonts w:ascii="Arial" w:hAnsi="Arial" w:cs="Arial"/>
          <w:lang w:eastAsia="en-GB"/>
        </w:rPr>
        <w:t xml:space="preserve">. Available at: </w:t>
      </w:r>
      <w:hyperlink r:id="rId95" w:tgtFrame="_blank" w:history="1">
        <w:r w:rsidRPr="007778FF">
          <w:rPr>
            <w:rStyle w:val="Hyperlink"/>
            <w:rFonts w:ascii="Arial" w:eastAsia="Times New Roman" w:hAnsi="Arial" w:cs="Arial"/>
            <w:kern w:val="0"/>
            <w:lang w:eastAsia="en-GB"/>
            <w14:ligatures w14:val="none"/>
          </w:rPr>
          <w:t>https://www.sage.com/en-gb</w:t>
        </w:r>
      </w:hyperlink>
      <w:r w:rsidRPr="007778FF">
        <w:rPr>
          <w:rFonts w:ascii="Arial" w:hAnsi="Arial" w:cs="Arial"/>
          <w:lang w:eastAsia="en-GB"/>
        </w:rPr>
        <w:t xml:space="preserve"> (Accessed: 9 October 2026).</w:t>
      </w:r>
    </w:p>
    <w:p w14:paraId="1F6CC801"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Sankaran, S., Müller, R. and Drouin, N. (2025) 'Stakeholder modelling in complex projects', </w:t>
      </w:r>
      <w:r w:rsidRPr="007778FF">
        <w:rPr>
          <w:rFonts w:ascii="Arial" w:hAnsi="Arial" w:cs="Arial"/>
          <w:i/>
          <w:iCs/>
          <w:lang w:eastAsia="en-GB"/>
        </w:rPr>
        <w:t>International Journal of Project Management</w:t>
      </w:r>
      <w:r w:rsidRPr="007778FF">
        <w:rPr>
          <w:rFonts w:ascii="Arial" w:hAnsi="Arial" w:cs="Arial"/>
          <w:lang w:eastAsia="en-GB"/>
        </w:rPr>
        <w:t>, 43(2), pp. 1–18.</w:t>
      </w:r>
    </w:p>
    <w:p w14:paraId="2B4181B1"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Semaan, J., Underwood, J. and Hyde, J. (2021) ‘An Investigation of Work-Based Education and Training Needs for Effective BIM Adoption and Implementation’, </w:t>
      </w:r>
      <w:r w:rsidRPr="007778FF">
        <w:rPr>
          <w:rStyle w:val="Emphasis"/>
          <w:rFonts w:ascii="Arial" w:hAnsi="Arial" w:cs="Arial"/>
          <w:sz w:val="24"/>
          <w:szCs w:val="24"/>
        </w:rPr>
        <w:t>Applied Sciences</w:t>
      </w:r>
      <w:r w:rsidRPr="007778FF">
        <w:rPr>
          <w:rFonts w:ascii="Arial" w:hAnsi="Arial" w:cs="Arial"/>
          <w:sz w:val="24"/>
          <w:szCs w:val="24"/>
        </w:rPr>
        <w:t xml:space="preserve">, 11(18), 8646. Available at: https://doi.org/10.3390/app11188646 </w:t>
      </w:r>
      <w:hyperlink r:id="rId96" w:history="1">
        <w:r w:rsidRPr="007778FF">
          <w:rPr>
            <w:rStyle w:val="Hyperlink"/>
            <w:rFonts w:ascii="Arial" w:hAnsi="Arial" w:cs="Arial"/>
            <w:sz w:val="24"/>
            <w:szCs w:val="24"/>
          </w:rPr>
          <w:t>[mdpi.com]</w:t>
        </w:r>
      </w:hyperlink>
      <w:r w:rsidRPr="007778FF">
        <w:rPr>
          <w:rFonts w:ascii="Arial" w:hAnsi="Arial" w:cs="Arial"/>
          <w:sz w:val="24"/>
          <w:szCs w:val="24"/>
        </w:rPr>
        <w:t xml:space="preserve">, </w:t>
      </w:r>
      <w:hyperlink r:id="rId97" w:history="1">
        <w:r w:rsidRPr="007778FF">
          <w:rPr>
            <w:rStyle w:val="Hyperlink"/>
            <w:rFonts w:ascii="Arial" w:hAnsi="Arial" w:cs="Arial"/>
            <w:sz w:val="24"/>
            <w:szCs w:val="24"/>
          </w:rPr>
          <w:t>[researchgate.net]</w:t>
        </w:r>
      </w:hyperlink>
    </w:p>
    <w:p w14:paraId="0B19270A"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lastRenderedPageBreak/>
        <w:t xml:space="preserve">Serra, C.E.M. and Kunc, M. (2022) 'Benefits realisation management and value creation in projects: A systematic review', </w:t>
      </w:r>
      <w:r w:rsidRPr="007778FF">
        <w:rPr>
          <w:rFonts w:ascii="Arial" w:hAnsi="Arial" w:cs="Arial"/>
          <w:i/>
          <w:iCs/>
          <w:lang w:eastAsia="en-GB"/>
        </w:rPr>
        <w:t>International Journal of Project Management</w:t>
      </w:r>
      <w:r w:rsidRPr="007778FF">
        <w:rPr>
          <w:rFonts w:ascii="Arial" w:hAnsi="Arial" w:cs="Arial"/>
          <w:lang w:eastAsia="en-GB"/>
        </w:rPr>
        <w:t>, 40(7), pp. 704–718.</w:t>
      </w:r>
    </w:p>
    <w:p w14:paraId="5EFB65E6"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Shirish, A. and Batuekueno, L. (2021) ‘Technology Renewal, User Resistance, User Adoption: Status Quo Bias Theory Revisited’, </w:t>
      </w:r>
      <w:r w:rsidRPr="007778FF">
        <w:rPr>
          <w:rStyle w:val="Emphasis"/>
          <w:rFonts w:ascii="Arial" w:hAnsi="Arial" w:cs="Arial"/>
          <w:sz w:val="24"/>
          <w:szCs w:val="24"/>
        </w:rPr>
        <w:t>Journal of Organizational Change Management</w:t>
      </w:r>
      <w:r w:rsidRPr="007778FF">
        <w:rPr>
          <w:rFonts w:ascii="Arial" w:hAnsi="Arial" w:cs="Arial"/>
          <w:sz w:val="24"/>
          <w:szCs w:val="24"/>
        </w:rPr>
        <w:t xml:space="preserve">, 34(5), pp. 874-893. Available at: https://doi.org/10.1108/JOCM-10-2020-0332 </w:t>
      </w:r>
      <w:hyperlink r:id="rId98" w:history="1">
        <w:r w:rsidRPr="007778FF">
          <w:rPr>
            <w:rStyle w:val="Hyperlink"/>
            <w:rFonts w:ascii="Arial" w:hAnsi="Arial" w:cs="Arial"/>
            <w:sz w:val="24"/>
            <w:szCs w:val="24"/>
          </w:rPr>
          <w:t>[emerald.com]</w:t>
        </w:r>
      </w:hyperlink>
    </w:p>
    <w:p w14:paraId="6D811C64"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Troise, C., Corvello, V., Ghobadian, A. and O'Regan, N. (2022) 'How can SMEs successfully navigate digital transformation?', </w:t>
      </w:r>
      <w:r w:rsidRPr="007778FF">
        <w:rPr>
          <w:rFonts w:ascii="Arial" w:hAnsi="Arial" w:cs="Arial"/>
          <w:i/>
          <w:iCs/>
          <w:lang w:eastAsia="en-GB"/>
        </w:rPr>
        <w:t>Technological Forecasting and Social Change</w:t>
      </w:r>
      <w:r w:rsidRPr="007778FF">
        <w:rPr>
          <w:rFonts w:ascii="Arial" w:hAnsi="Arial" w:cs="Arial"/>
          <w:lang w:eastAsia="en-GB"/>
        </w:rPr>
        <w:t>, 184, 121978.</w:t>
      </w:r>
    </w:p>
    <w:p w14:paraId="0D2B217E"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Turner, J.R. (2025) </w:t>
      </w:r>
      <w:r w:rsidRPr="007778FF">
        <w:rPr>
          <w:rFonts w:ascii="Arial" w:hAnsi="Arial" w:cs="Arial"/>
          <w:i/>
          <w:iCs/>
          <w:lang w:eastAsia="en-GB"/>
        </w:rPr>
        <w:t>The Handbook of Project-Based Management</w:t>
      </w:r>
      <w:r w:rsidRPr="007778FF">
        <w:rPr>
          <w:rFonts w:ascii="Arial" w:hAnsi="Arial" w:cs="Arial"/>
          <w:lang w:eastAsia="en-GB"/>
        </w:rPr>
        <w:t>. 5th edn. London: McGraw-Hill.</w:t>
      </w:r>
    </w:p>
    <w:p w14:paraId="4AB0874F"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Umstead, C.N., Unertl, K.M., Lorenzi, N.M. and Novak, L.L. (2021) ‘Enabling Adoption and Use of New Health Information Technology During Implementation’, </w:t>
      </w:r>
      <w:r w:rsidRPr="007778FF">
        <w:rPr>
          <w:rStyle w:val="Emphasis"/>
          <w:rFonts w:ascii="Arial" w:hAnsi="Arial" w:cs="Arial"/>
          <w:sz w:val="24"/>
          <w:szCs w:val="24"/>
        </w:rPr>
        <w:t>Journal of the American Medical Informatics Association</w:t>
      </w:r>
      <w:r w:rsidRPr="007778FF">
        <w:rPr>
          <w:rFonts w:ascii="Arial" w:hAnsi="Arial" w:cs="Arial"/>
          <w:sz w:val="24"/>
          <w:szCs w:val="24"/>
        </w:rPr>
        <w:t xml:space="preserve">, 28(7), pp. 1543-1547. Available at: https://doi.org/10.1093/jamia/ocab044 </w:t>
      </w:r>
      <w:hyperlink r:id="rId99" w:history="1">
        <w:r w:rsidRPr="007778FF">
          <w:rPr>
            <w:rStyle w:val="Hyperlink"/>
            <w:rFonts w:ascii="Arial" w:hAnsi="Arial" w:cs="Arial"/>
            <w:sz w:val="24"/>
            <w:szCs w:val="24"/>
          </w:rPr>
          <w:t>[pmc.ncbi.nlm.nih.gov]</w:t>
        </w:r>
      </w:hyperlink>
    </w:p>
    <w:p w14:paraId="7143C5CD"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Vincent, N.E., Rowbottom, N. and Georgiou, O. (2023) 'Digital technologies and management accounting transformation: A review and future research agenda', </w:t>
      </w:r>
      <w:r w:rsidRPr="007778FF">
        <w:rPr>
          <w:rFonts w:ascii="Arial" w:hAnsi="Arial" w:cs="Arial"/>
          <w:i/>
          <w:iCs/>
          <w:lang w:eastAsia="en-GB"/>
        </w:rPr>
        <w:t>Accounting, Auditing and Accountability Journal</w:t>
      </w:r>
      <w:r w:rsidRPr="007778FF">
        <w:rPr>
          <w:rFonts w:ascii="Arial" w:hAnsi="Arial" w:cs="Arial"/>
          <w:lang w:eastAsia="en-GB"/>
        </w:rPr>
        <w:t>, 36(6), pp. 1506–1531.</w:t>
      </w:r>
    </w:p>
    <w:p w14:paraId="50083D16"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Waterworth, T. and Gavin, D. (2024) </w:t>
      </w:r>
      <w:r w:rsidRPr="007778FF">
        <w:rPr>
          <w:rFonts w:ascii="Arial" w:hAnsi="Arial" w:cs="Arial"/>
          <w:i/>
          <w:iCs/>
          <w:lang w:eastAsia="en-GB"/>
        </w:rPr>
        <w:t>Project Executing and Control</w:t>
      </w:r>
      <w:r w:rsidRPr="007778FF">
        <w:rPr>
          <w:rFonts w:ascii="Arial" w:hAnsi="Arial" w:cs="Arial"/>
          <w:lang w:eastAsia="en-GB"/>
        </w:rPr>
        <w:t>. Abingdon: Routledge.</w:t>
      </w:r>
    </w:p>
    <w:p w14:paraId="671C5952" w14:textId="77777777" w:rsidR="00950B41" w:rsidRPr="007778FF" w:rsidRDefault="00950B41" w:rsidP="007778FF">
      <w:pPr>
        <w:pStyle w:val="NormalWeb"/>
        <w:numPr>
          <w:ilvl w:val="0"/>
          <w:numId w:val="18"/>
        </w:numPr>
        <w:spacing w:line="300" w:lineRule="atLeast"/>
        <w:rPr>
          <w:rFonts w:ascii="Arial" w:hAnsi="Arial" w:cs="Arial"/>
          <w:sz w:val="24"/>
          <w:szCs w:val="24"/>
        </w:rPr>
      </w:pPr>
      <w:r w:rsidRPr="007778FF">
        <w:rPr>
          <w:rFonts w:ascii="Arial" w:hAnsi="Arial" w:cs="Arial"/>
          <w:sz w:val="24"/>
          <w:szCs w:val="24"/>
        </w:rPr>
        <w:t xml:space="preserve">Willumsen, P.L., Oehmen, J. and Selim, H.M.R. (2024) ‘Project Risk Management in Practice: The Actuality of Project Risk Management in Organizations’, </w:t>
      </w:r>
      <w:r w:rsidRPr="007778FF">
        <w:rPr>
          <w:rStyle w:val="Emphasis"/>
          <w:rFonts w:ascii="Arial" w:hAnsi="Arial" w:cs="Arial"/>
          <w:sz w:val="24"/>
          <w:szCs w:val="24"/>
        </w:rPr>
        <w:t>International Journal of Managing Projects in Business</w:t>
      </w:r>
      <w:r w:rsidRPr="007778FF">
        <w:rPr>
          <w:rFonts w:ascii="Arial" w:hAnsi="Arial" w:cs="Arial"/>
          <w:sz w:val="24"/>
          <w:szCs w:val="24"/>
        </w:rPr>
        <w:t xml:space="preserve">, 17(4-5), pp. 593-617. Available at: https://doi.org/10.1108/IJMPB-01-2024-0020. </w:t>
      </w:r>
      <w:hyperlink r:id="rId100" w:history="1">
        <w:r w:rsidRPr="007778FF">
          <w:rPr>
            <w:rStyle w:val="Hyperlink"/>
            <w:rFonts w:ascii="Arial" w:hAnsi="Arial" w:cs="Arial"/>
            <w:sz w:val="24"/>
            <w:szCs w:val="24"/>
          </w:rPr>
          <w:t>[emerald.com]</w:t>
        </w:r>
      </w:hyperlink>
    </w:p>
    <w:p w14:paraId="459B80F2"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Wong, K., et al. (2022) 'Communication planning in project management', </w:t>
      </w:r>
      <w:r w:rsidRPr="007778FF">
        <w:rPr>
          <w:rFonts w:ascii="Arial" w:hAnsi="Arial" w:cs="Arial"/>
          <w:i/>
          <w:iCs/>
          <w:lang w:eastAsia="en-GB"/>
        </w:rPr>
        <w:t>International Journal of Project Management</w:t>
      </w:r>
      <w:r w:rsidRPr="007778FF">
        <w:rPr>
          <w:rFonts w:ascii="Arial" w:hAnsi="Arial" w:cs="Arial"/>
          <w:lang w:eastAsia="en-GB"/>
        </w:rPr>
        <w:t>, 40(5), pp. 1–14.</w:t>
      </w:r>
    </w:p>
    <w:p w14:paraId="79AE9BCD"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Xero (2024) </w:t>
      </w:r>
      <w:r w:rsidRPr="007778FF">
        <w:rPr>
          <w:rFonts w:ascii="Arial" w:hAnsi="Arial" w:cs="Arial"/>
          <w:i/>
          <w:iCs/>
          <w:lang w:eastAsia="en-GB"/>
        </w:rPr>
        <w:t>Cloud Accounting Trends and SME Digitalisation Report</w:t>
      </w:r>
      <w:r w:rsidRPr="007778FF">
        <w:rPr>
          <w:rFonts w:ascii="Arial" w:hAnsi="Arial" w:cs="Arial"/>
          <w:lang w:eastAsia="en-GB"/>
        </w:rPr>
        <w:t xml:space="preserve">. Available at: </w:t>
      </w:r>
      <w:hyperlink r:id="rId101" w:tgtFrame="_blank" w:history="1">
        <w:r w:rsidRPr="007778FF">
          <w:rPr>
            <w:rStyle w:val="Hyperlink"/>
            <w:rFonts w:ascii="Arial" w:eastAsia="Times New Roman" w:hAnsi="Arial" w:cs="Arial"/>
            <w:kern w:val="0"/>
            <w:lang w:eastAsia="en-GB"/>
            <w14:ligatures w14:val="none"/>
          </w:rPr>
          <w:t>https://www.xero.com/uk/</w:t>
        </w:r>
      </w:hyperlink>
      <w:r w:rsidRPr="007778FF">
        <w:rPr>
          <w:rFonts w:ascii="Arial" w:hAnsi="Arial" w:cs="Arial"/>
          <w:lang w:eastAsia="en-GB"/>
        </w:rPr>
        <w:t xml:space="preserve"> (Accessed: 7 October 2026).</w:t>
      </w:r>
    </w:p>
    <w:p w14:paraId="3A9C0A26"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val="sv-SE" w:eastAsia="en-GB"/>
        </w:rPr>
        <w:t xml:space="preserve">Xero (2026c) </w:t>
      </w:r>
      <w:r w:rsidRPr="007778FF">
        <w:rPr>
          <w:rFonts w:ascii="Arial" w:hAnsi="Arial" w:cs="Arial"/>
          <w:i/>
          <w:iCs/>
          <w:lang w:val="sv-SE" w:eastAsia="en-GB"/>
        </w:rPr>
        <w:t>Xero Partner Programme</w:t>
      </w:r>
      <w:r w:rsidRPr="007778FF">
        <w:rPr>
          <w:rFonts w:ascii="Arial" w:hAnsi="Arial" w:cs="Arial"/>
          <w:lang w:val="sv-SE" w:eastAsia="en-GB"/>
        </w:rPr>
        <w:t xml:space="preserve">. </w:t>
      </w:r>
      <w:r w:rsidRPr="007778FF">
        <w:rPr>
          <w:rFonts w:ascii="Arial" w:hAnsi="Arial" w:cs="Arial"/>
          <w:lang w:eastAsia="en-GB"/>
        </w:rPr>
        <w:t xml:space="preserve">Available at: </w:t>
      </w:r>
      <w:hyperlink r:id="rId102" w:tgtFrame="_blank" w:history="1">
        <w:r w:rsidRPr="007778FF">
          <w:rPr>
            <w:rStyle w:val="Hyperlink"/>
            <w:rFonts w:ascii="Arial" w:eastAsia="Times New Roman" w:hAnsi="Arial" w:cs="Arial"/>
            <w:kern w:val="0"/>
            <w:lang w:eastAsia="en-GB"/>
            <w14:ligatures w14:val="none"/>
          </w:rPr>
          <w:t>https://www.xero.com/uk/partner-programs/</w:t>
        </w:r>
      </w:hyperlink>
      <w:r w:rsidRPr="007778FF">
        <w:rPr>
          <w:rFonts w:ascii="Arial" w:hAnsi="Arial" w:cs="Arial"/>
          <w:lang w:eastAsia="en-GB"/>
        </w:rPr>
        <w:t xml:space="preserve"> (Accessed: 7 October 2026).</w:t>
      </w:r>
    </w:p>
    <w:p w14:paraId="0F3E2541"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Xero (2026d) </w:t>
      </w:r>
      <w:r w:rsidRPr="007778FF">
        <w:rPr>
          <w:rFonts w:ascii="Arial" w:hAnsi="Arial" w:cs="Arial"/>
          <w:i/>
          <w:iCs/>
          <w:lang w:eastAsia="en-GB"/>
        </w:rPr>
        <w:t>Xero Education and Certification</w:t>
      </w:r>
      <w:r w:rsidRPr="007778FF">
        <w:rPr>
          <w:rFonts w:ascii="Arial" w:hAnsi="Arial" w:cs="Arial"/>
          <w:lang w:eastAsia="en-GB"/>
        </w:rPr>
        <w:t xml:space="preserve">. Available at: </w:t>
      </w:r>
      <w:hyperlink r:id="rId103" w:tgtFrame="_blank" w:history="1">
        <w:r w:rsidRPr="007778FF">
          <w:rPr>
            <w:rStyle w:val="Hyperlink"/>
            <w:rFonts w:ascii="Arial" w:eastAsia="Times New Roman" w:hAnsi="Arial" w:cs="Arial"/>
            <w:kern w:val="0"/>
            <w:lang w:eastAsia="en-GB"/>
            <w14:ligatures w14:val="none"/>
          </w:rPr>
          <w:t>https://www.xero.com/uk/</w:t>
        </w:r>
      </w:hyperlink>
      <w:r w:rsidRPr="007778FF">
        <w:rPr>
          <w:rFonts w:ascii="Arial" w:hAnsi="Arial" w:cs="Arial"/>
          <w:lang w:eastAsia="en-GB"/>
        </w:rPr>
        <w:t xml:space="preserve"> (Accessed: 7 October 2026).</w:t>
      </w:r>
    </w:p>
    <w:p w14:paraId="5E27F319" w14:textId="77777777" w:rsidR="00950B41" w:rsidRPr="007778FF" w:rsidRDefault="00950B41" w:rsidP="007778FF">
      <w:pPr>
        <w:pStyle w:val="ListParagraph"/>
        <w:numPr>
          <w:ilvl w:val="0"/>
          <w:numId w:val="18"/>
        </w:numPr>
        <w:rPr>
          <w:rFonts w:ascii="Arial" w:hAnsi="Arial" w:cs="Arial"/>
          <w:lang w:eastAsia="en-GB"/>
        </w:rPr>
      </w:pPr>
      <w:r w:rsidRPr="007778FF">
        <w:rPr>
          <w:rFonts w:ascii="Arial" w:hAnsi="Arial" w:cs="Arial"/>
          <w:lang w:eastAsia="en-GB"/>
        </w:rPr>
        <w:t xml:space="preserve">Xiong, Y., et al. (2026) 'Communication strategies in agile and traditional projects', </w:t>
      </w:r>
      <w:r w:rsidRPr="007778FF">
        <w:rPr>
          <w:rFonts w:ascii="Arial" w:hAnsi="Arial" w:cs="Arial"/>
          <w:i/>
          <w:iCs/>
          <w:lang w:eastAsia="en-GB"/>
        </w:rPr>
        <w:t>Project Management Journal</w:t>
      </w:r>
      <w:r w:rsidRPr="007778FF">
        <w:rPr>
          <w:rFonts w:ascii="Arial" w:hAnsi="Arial" w:cs="Arial"/>
          <w:lang w:eastAsia="en-GB"/>
        </w:rPr>
        <w:t>, 57(1), pp. 1–17.</w:t>
      </w:r>
    </w:p>
    <w:p w14:paraId="2077D6CB" w14:textId="77777777" w:rsidR="00857922" w:rsidRPr="007778FF" w:rsidRDefault="00857922" w:rsidP="007778FF">
      <w:pPr>
        <w:pStyle w:val="ListParagraph"/>
        <w:rPr>
          <w:rFonts w:ascii="Arial" w:hAnsi="Arial" w:cs="Arial"/>
          <w:lang w:eastAsia="en-GB"/>
        </w:rPr>
      </w:pPr>
    </w:p>
    <w:p w14:paraId="59FD1C51" w14:textId="77777777" w:rsidR="00C9547C" w:rsidRPr="007778FF" w:rsidRDefault="00C9547C" w:rsidP="00820328">
      <w:pPr>
        <w:rPr>
          <w:rFonts w:ascii="Arial" w:hAnsi="Arial" w:cs="Arial"/>
          <w:lang w:eastAsia="en-GB"/>
        </w:rPr>
      </w:pPr>
    </w:p>
    <w:sectPr w:rsidR="00C9547C" w:rsidRPr="007778FF" w:rsidSect="00D3362F">
      <w:footerReference w:type="defaul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E2168" w14:textId="77777777" w:rsidR="00B52737" w:rsidRDefault="00B52737" w:rsidP="00E9652D">
      <w:pPr>
        <w:spacing w:after="0" w:line="240" w:lineRule="auto"/>
      </w:pPr>
      <w:r>
        <w:separator/>
      </w:r>
    </w:p>
  </w:endnote>
  <w:endnote w:type="continuationSeparator" w:id="0">
    <w:p w14:paraId="0B55377B" w14:textId="77777777" w:rsidR="00B52737" w:rsidRDefault="00B52737" w:rsidP="00E96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4387153"/>
      <w:docPartObj>
        <w:docPartGallery w:val="Page Numbers (Bottom of Page)"/>
        <w:docPartUnique/>
      </w:docPartObj>
    </w:sdtPr>
    <w:sdtEndPr>
      <w:rPr>
        <w:noProof/>
      </w:rPr>
    </w:sdtEndPr>
    <w:sdtContent>
      <w:p w14:paraId="3E1C22CD" w14:textId="1F089C36" w:rsidR="0067704A" w:rsidRDefault="006770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E8711A" w14:textId="77777777" w:rsidR="0067704A" w:rsidRDefault="00677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04C31" w14:textId="77777777" w:rsidR="00B52737" w:rsidRDefault="00B52737" w:rsidP="00E9652D">
      <w:pPr>
        <w:spacing w:after="0" w:line="240" w:lineRule="auto"/>
      </w:pPr>
      <w:r>
        <w:separator/>
      </w:r>
    </w:p>
  </w:footnote>
  <w:footnote w:type="continuationSeparator" w:id="0">
    <w:p w14:paraId="3A3CC76F" w14:textId="77777777" w:rsidR="00B52737" w:rsidRDefault="00B52737" w:rsidP="00E965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477B"/>
    <w:multiLevelType w:val="multilevel"/>
    <w:tmpl w:val="F2E85F8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0C177ADA"/>
    <w:multiLevelType w:val="hybridMultilevel"/>
    <w:tmpl w:val="3E06F70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68D5A5D"/>
    <w:multiLevelType w:val="multilevel"/>
    <w:tmpl w:val="C4601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1E67C6"/>
    <w:multiLevelType w:val="multilevel"/>
    <w:tmpl w:val="D2A47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B11430"/>
    <w:multiLevelType w:val="multilevel"/>
    <w:tmpl w:val="47B69EC0"/>
    <w:lvl w:ilvl="0">
      <w:start w:val="4"/>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2DB942EE"/>
    <w:multiLevelType w:val="hybridMultilevel"/>
    <w:tmpl w:val="F196A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5C78A2"/>
    <w:multiLevelType w:val="hybridMultilevel"/>
    <w:tmpl w:val="540CB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8F570F"/>
    <w:multiLevelType w:val="hybridMultilevel"/>
    <w:tmpl w:val="2E98E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67B5F"/>
    <w:multiLevelType w:val="hybridMultilevel"/>
    <w:tmpl w:val="59AEF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412521"/>
    <w:multiLevelType w:val="hybridMultilevel"/>
    <w:tmpl w:val="5C9C4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72623C"/>
    <w:multiLevelType w:val="hybridMultilevel"/>
    <w:tmpl w:val="DF64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117FE8"/>
    <w:multiLevelType w:val="hybridMultilevel"/>
    <w:tmpl w:val="D94CE286"/>
    <w:lvl w:ilvl="0" w:tplc="D6CAA9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487F7C"/>
    <w:multiLevelType w:val="multilevel"/>
    <w:tmpl w:val="28B0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4771D5"/>
    <w:multiLevelType w:val="multilevel"/>
    <w:tmpl w:val="B10CC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EC542A"/>
    <w:multiLevelType w:val="multilevel"/>
    <w:tmpl w:val="21C84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2163C0"/>
    <w:multiLevelType w:val="multilevel"/>
    <w:tmpl w:val="04404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2C6FBF"/>
    <w:multiLevelType w:val="hybridMultilevel"/>
    <w:tmpl w:val="65E6B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B73857"/>
    <w:multiLevelType w:val="multilevel"/>
    <w:tmpl w:val="42D09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317B9F"/>
    <w:multiLevelType w:val="multilevel"/>
    <w:tmpl w:val="9F1EB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1069170">
    <w:abstractNumId w:val="2"/>
  </w:num>
  <w:num w:numId="2" w16cid:durableId="683939052">
    <w:abstractNumId w:val="12"/>
  </w:num>
  <w:num w:numId="3" w16cid:durableId="1953241916">
    <w:abstractNumId w:val="13"/>
  </w:num>
  <w:num w:numId="4" w16cid:durableId="2121803760">
    <w:abstractNumId w:val="17"/>
  </w:num>
  <w:num w:numId="5" w16cid:durableId="1421678045">
    <w:abstractNumId w:val="14"/>
  </w:num>
  <w:num w:numId="6" w16cid:durableId="1496338390">
    <w:abstractNumId w:val="15"/>
  </w:num>
  <w:num w:numId="7" w16cid:durableId="1616911254">
    <w:abstractNumId w:val="16"/>
  </w:num>
  <w:num w:numId="8" w16cid:durableId="423187100">
    <w:abstractNumId w:val="0"/>
  </w:num>
  <w:num w:numId="9" w16cid:durableId="1134062405">
    <w:abstractNumId w:val="3"/>
  </w:num>
  <w:num w:numId="10" w16cid:durableId="930313646">
    <w:abstractNumId w:val="18"/>
  </w:num>
  <w:num w:numId="11" w16cid:durableId="1299873708">
    <w:abstractNumId w:val="5"/>
  </w:num>
  <w:num w:numId="12" w16cid:durableId="1415977586">
    <w:abstractNumId w:val="8"/>
  </w:num>
  <w:num w:numId="13" w16cid:durableId="1566644939">
    <w:abstractNumId w:val="4"/>
  </w:num>
  <w:num w:numId="14" w16cid:durableId="1885754952">
    <w:abstractNumId w:val="7"/>
  </w:num>
  <w:num w:numId="15" w16cid:durableId="1044938589">
    <w:abstractNumId w:val="11"/>
  </w:num>
  <w:num w:numId="16" w16cid:durableId="1432358059">
    <w:abstractNumId w:val="1"/>
  </w:num>
  <w:num w:numId="17" w16cid:durableId="1734040620">
    <w:abstractNumId w:val="9"/>
  </w:num>
  <w:num w:numId="18" w16cid:durableId="612712026">
    <w:abstractNumId w:val="6"/>
  </w:num>
  <w:num w:numId="19" w16cid:durableId="12668403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11F"/>
    <w:rsid w:val="000023C1"/>
    <w:rsid w:val="0000333B"/>
    <w:rsid w:val="00010A33"/>
    <w:rsid w:val="00017EA3"/>
    <w:rsid w:val="00031A50"/>
    <w:rsid w:val="00036F84"/>
    <w:rsid w:val="00040D7B"/>
    <w:rsid w:val="0004767A"/>
    <w:rsid w:val="0006269B"/>
    <w:rsid w:val="00071C3A"/>
    <w:rsid w:val="0007528F"/>
    <w:rsid w:val="0009221E"/>
    <w:rsid w:val="00097325"/>
    <w:rsid w:val="000C32B0"/>
    <w:rsid w:val="000C33DE"/>
    <w:rsid w:val="000C3FB0"/>
    <w:rsid w:val="000D637F"/>
    <w:rsid w:val="000E0EB0"/>
    <w:rsid w:val="000E3D79"/>
    <w:rsid w:val="000F2154"/>
    <w:rsid w:val="00103D20"/>
    <w:rsid w:val="001049E8"/>
    <w:rsid w:val="00111792"/>
    <w:rsid w:val="00116FC0"/>
    <w:rsid w:val="00125220"/>
    <w:rsid w:val="001308D1"/>
    <w:rsid w:val="00144CD8"/>
    <w:rsid w:val="00156548"/>
    <w:rsid w:val="001570AC"/>
    <w:rsid w:val="00162E9E"/>
    <w:rsid w:val="00164E12"/>
    <w:rsid w:val="00171F4C"/>
    <w:rsid w:val="0017264D"/>
    <w:rsid w:val="0017375F"/>
    <w:rsid w:val="0017512D"/>
    <w:rsid w:val="00182F49"/>
    <w:rsid w:val="00185D7C"/>
    <w:rsid w:val="001864A5"/>
    <w:rsid w:val="00186FEB"/>
    <w:rsid w:val="001910D7"/>
    <w:rsid w:val="001A31A3"/>
    <w:rsid w:val="001A457F"/>
    <w:rsid w:val="001A5237"/>
    <w:rsid w:val="001B030C"/>
    <w:rsid w:val="001B53EE"/>
    <w:rsid w:val="001B5786"/>
    <w:rsid w:val="001C3C21"/>
    <w:rsid w:val="001C4C1B"/>
    <w:rsid w:val="001E73FB"/>
    <w:rsid w:val="002025DE"/>
    <w:rsid w:val="002050A6"/>
    <w:rsid w:val="00214364"/>
    <w:rsid w:val="00216791"/>
    <w:rsid w:val="00223040"/>
    <w:rsid w:val="002351A4"/>
    <w:rsid w:val="002379E7"/>
    <w:rsid w:val="00252092"/>
    <w:rsid w:val="0025592A"/>
    <w:rsid w:val="00257EDF"/>
    <w:rsid w:val="00267109"/>
    <w:rsid w:val="002836E9"/>
    <w:rsid w:val="00297D13"/>
    <w:rsid w:val="002B0225"/>
    <w:rsid w:val="002B2E6D"/>
    <w:rsid w:val="002C7069"/>
    <w:rsid w:val="002D0EE8"/>
    <w:rsid w:val="002D476A"/>
    <w:rsid w:val="002E442B"/>
    <w:rsid w:val="003028BA"/>
    <w:rsid w:val="00312BA2"/>
    <w:rsid w:val="003165D3"/>
    <w:rsid w:val="00320E56"/>
    <w:rsid w:val="00321BA8"/>
    <w:rsid w:val="003266AE"/>
    <w:rsid w:val="00330B3F"/>
    <w:rsid w:val="00337654"/>
    <w:rsid w:val="003431AB"/>
    <w:rsid w:val="00350AFF"/>
    <w:rsid w:val="00352FEB"/>
    <w:rsid w:val="00354ACF"/>
    <w:rsid w:val="00364B49"/>
    <w:rsid w:val="00371FA9"/>
    <w:rsid w:val="003B4EDA"/>
    <w:rsid w:val="003C21F2"/>
    <w:rsid w:val="003C31FE"/>
    <w:rsid w:val="003C76A2"/>
    <w:rsid w:val="003D60D6"/>
    <w:rsid w:val="003E141B"/>
    <w:rsid w:val="003E53FE"/>
    <w:rsid w:val="003E6E3E"/>
    <w:rsid w:val="003F2517"/>
    <w:rsid w:val="003F43B0"/>
    <w:rsid w:val="003F536F"/>
    <w:rsid w:val="003F6AA7"/>
    <w:rsid w:val="0040646E"/>
    <w:rsid w:val="0041132D"/>
    <w:rsid w:val="00416C85"/>
    <w:rsid w:val="004215C0"/>
    <w:rsid w:val="00421891"/>
    <w:rsid w:val="00426B28"/>
    <w:rsid w:val="00426E72"/>
    <w:rsid w:val="00446197"/>
    <w:rsid w:val="00453194"/>
    <w:rsid w:val="004536AC"/>
    <w:rsid w:val="004570ED"/>
    <w:rsid w:val="00466C76"/>
    <w:rsid w:val="00470037"/>
    <w:rsid w:val="00472CE7"/>
    <w:rsid w:val="00487A89"/>
    <w:rsid w:val="004A54B7"/>
    <w:rsid w:val="004B1296"/>
    <w:rsid w:val="004B3D1E"/>
    <w:rsid w:val="004C00FA"/>
    <w:rsid w:val="004C5832"/>
    <w:rsid w:val="004C77E6"/>
    <w:rsid w:val="004D496B"/>
    <w:rsid w:val="004D7C43"/>
    <w:rsid w:val="004E6B97"/>
    <w:rsid w:val="004F0105"/>
    <w:rsid w:val="004F3267"/>
    <w:rsid w:val="005070F8"/>
    <w:rsid w:val="0052349B"/>
    <w:rsid w:val="0052619E"/>
    <w:rsid w:val="00526B2D"/>
    <w:rsid w:val="00536536"/>
    <w:rsid w:val="00542D3B"/>
    <w:rsid w:val="00557319"/>
    <w:rsid w:val="005659FB"/>
    <w:rsid w:val="00585CD0"/>
    <w:rsid w:val="00590E1A"/>
    <w:rsid w:val="00590F86"/>
    <w:rsid w:val="00593F5F"/>
    <w:rsid w:val="0059550E"/>
    <w:rsid w:val="00595605"/>
    <w:rsid w:val="005A0B43"/>
    <w:rsid w:val="005A53AD"/>
    <w:rsid w:val="005A5AD5"/>
    <w:rsid w:val="005A6DAD"/>
    <w:rsid w:val="005A7043"/>
    <w:rsid w:val="005B0257"/>
    <w:rsid w:val="005C617D"/>
    <w:rsid w:val="005C7153"/>
    <w:rsid w:val="005D245E"/>
    <w:rsid w:val="005D5BED"/>
    <w:rsid w:val="005E278B"/>
    <w:rsid w:val="005E44EB"/>
    <w:rsid w:val="005E727E"/>
    <w:rsid w:val="005F0034"/>
    <w:rsid w:val="005F232B"/>
    <w:rsid w:val="005F30FD"/>
    <w:rsid w:val="006023CE"/>
    <w:rsid w:val="00627694"/>
    <w:rsid w:val="00632BCE"/>
    <w:rsid w:val="0064347D"/>
    <w:rsid w:val="006435C4"/>
    <w:rsid w:val="00654594"/>
    <w:rsid w:val="00661D1E"/>
    <w:rsid w:val="006620B7"/>
    <w:rsid w:val="00666D12"/>
    <w:rsid w:val="00673064"/>
    <w:rsid w:val="0067398C"/>
    <w:rsid w:val="00673FDB"/>
    <w:rsid w:val="0067704A"/>
    <w:rsid w:val="00681186"/>
    <w:rsid w:val="00681E3C"/>
    <w:rsid w:val="006829E9"/>
    <w:rsid w:val="00697FAF"/>
    <w:rsid w:val="006A3067"/>
    <w:rsid w:val="006A6B65"/>
    <w:rsid w:val="006B1B64"/>
    <w:rsid w:val="006B662C"/>
    <w:rsid w:val="006C1BD0"/>
    <w:rsid w:val="006C527F"/>
    <w:rsid w:val="006E0B5D"/>
    <w:rsid w:val="007005D3"/>
    <w:rsid w:val="00701332"/>
    <w:rsid w:val="007147F0"/>
    <w:rsid w:val="007230AF"/>
    <w:rsid w:val="00725E33"/>
    <w:rsid w:val="00742AA9"/>
    <w:rsid w:val="00747568"/>
    <w:rsid w:val="00757E08"/>
    <w:rsid w:val="007604E0"/>
    <w:rsid w:val="00760E94"/>
    <w:rsid w:val="00764022"/>
    <w:rsid w:val="0076415D"/>
    <w:rsid w:val="00765700"/>
    <w:rsid w:val="00765C3B"/>
    <w:rsid w:val="00766ABD"/>
    <w:rsid w:val="007703C5"/>
    <w:rsid w:val="007777E0"/>
    <w:rsid w:val="007778F8"/>
    <w:rsid w:val="007778FF"/>
    <w:rsid w:val="007802A9"/>
    <w:rsid w:val="00782C13"/>
    <w:rsid w:val="00795722"/>
    <w:rsid w:val="007A01FC"/>
    <w:rsid w:val="007A5D77"/>
    <w:rsid w:val="007B051E"/>
    <w:rsid w:val="007B7FBE"/>
    <w:rsid w:val="007C012C"/>
    <w:rsid w:val="007C5457"/>
    <w:rsid w:val="007C6959"/>
    <w:rsid w:val="007E10B5"/>
    <w:rsid w:val="007E2BFA"/>
    <w:rsid w:val="007E3B11"/>
    <w:rsid w:val="007E55D0"/>
    <w:rsid w:val="007F6A5C"/>
    <w:rsid w:val="0080076E"/>
    <w:rsid w:val="008015A9"/>
    <w:rsid w:val="00805DB1"/>
    <w:rsid w:val="00814539"/>
    <w:rsid w:val="00820328"/>
    <w:rsid w:val="00830F4A"/>
    <w:rsid w:val="00837459"/>
    <w:rsid w:val="00837D75"/>
    <w:rsid w:val="00854155"/>
    <w:rsid w:val="00857922"/>
    <w:rsid w:val="00857ADE"/>
    <w:rsid w:val="008621D9"/>
    <w:rsid w:val="00866ADB"/>
    <w:rsid w:val="0087430D"/>
    <w:rsid w:val="008769D0"/>
    <w:rsid w:val="0087755F"/>
    <w:rsid w:val="00882E85"/>
    <w:rsid w:val="0089711F"/>
    <w:rsid w:val="008A7680"/>
    <w:rsid w:val="008B0E9E"/>
    <w:rsid w:val="008B4478"/>
    <w:rsid w:val="008B78E2"/>
    <w:rsid w:val="008C08C2"/>
    <w:rsid w:val="008D04A5"/>
    <w:rsid w:val="008E09C3"/>
    <w:rsid w:val="008E6402"/>
    <w:rsid w:val="008E6465"/>
    <w:rsid w:val="008F0CB0"/>
    <w:rsid w:val="009002D3"/>
    <w:rsid w:val="0090097C"/>
    <w:rsid w:val="00902C9B"/>
    <w:rsid w:val="009038DF"/>
    <w:rsid w:val="00905833"/>
    <w:rsid w:val="009213FF"/>
    <w:rsid w:val="009261A7"/>
    <w:rsid w:val="009313C0"/>
    <w:rsid w:val="009321F5"/>
    <w:rsid w:val="00950B41"/>
    <w:rsid w:val="00955E4D"/>
    <w:rsid w:val="0096156C"/>
    <w:rsid w:val="00961B4C"/>
    <w:rsid w:val="00963DF4"/>
    <w:rsid w:val="00965B3F"/>
    <w:rsid w:val="00967222"/>
    <w:rsid w:val="009741B3"/>
    <w:rsid w:val="00976027"/>
    <w:rsid w:val="00980282"/>
    <w:rsid w:val="0098440A"/>
    <w:rsid w:val="0098534D"/>
    <w:rsid w:val="009914C5"/>
    <w:rsid w:val="00997DBB"/>
    <w:rsid w:val="009A0D8C"/>
    <w:rsid w:val="009A31C3"/>
    <w:rsid w:val="009B2DDF"/>
    <w:rsid w:val="009B59AC"/>
    <w:rsid w:val="009D2BA2"/>
    <w:rsid w:val="009D4087"/>
    <w:rsid w:val="009D6C4B"/>
    <w:rsid w:val="009E5193"/>
    <w:rsid w:val="009E6177"/>
    <w:rsid w:val="009F3BE0"/>
    <w:rsid w:val="009F508C"/>
    <w:rsid w:val="009F538E"/>
    <w:rsid w:val="00A16368"/>
    <w:rsid w:val="00A24F5D"/>
    <w:rsid w:val="00A33A8D"/>
    <w:rsid w:val="00A356B2"/>
    <w:rsid w:val="00A411E2"/>
    <w:rsid w:val="00A4397B"/>
    <w:rsid w:val="00A6098B"/>
    <w:rsid w:val="00A63217"/>
    <w:rsid w:val="00A70D53"/>
    <w:rsid w:val="00A843F3"/>
    <w:rsid w:val="00A920B0"/>
    <w:rsid w:val="00AA0DBC"/>
    <w:rsid w:val="00AA2AC9"/>
    <w:rsid w:val="00AA2EF3"/>
    <w:rsid w:val="00AB623A"/>
    <w:rsid w:val="00AC076D"/>
    <w:rsid w:val="00AC367B"/>
    <w:rsid w:val="00AC3D8F"/>
    <w:rsid w:val="00AD1068"/>
    <w:rsid w:val="00AD3B45"/>
    <w:rsid w:val="00B0260D"/>
    <w:rsid w:val="00B141EF"/>
    <w:rsid w:val="00B25DAB"/>
    <w:rsid w:val="00B33D8B"/>
    <w:rsid w:val="00B471DF"/>
    <w:rsid w:val="00B52737"/>
    <w:rsid w:val="00B5397A"/>
    <w:rsid w:val="00B54CF3"/>
    <w:rsid w:val="00B57644"/>
    <w:rsid w:val="00B633C2"/>
    <w:rsid w:val="00B64608"/>
    <w:rsid w:val="00B6756A"/>
    <w:rsid w:val="00B76A7B"/>
    <w:rsid w:val="00B81738"/>
    <w:rsid w:val="00B94B6E"/>
    <w:rsid w:val="00B96645"/>
    <w:rsid w:val="00B97DA6"/>
    <w:rsid w:val="00BA0FF8"/>
    <w:rsid w:val="00BA73C1"/>
    <w:rsid w:val="00BB4EB5"/>
    <w:rsid w:val="00BB505D"/>
    <w:rsid w:val="00BB553B"/>
    <w:rsid w:val="00BB7224"/>
    <w:rsid w:val="00BC2A87"/>
    <w:rsid w:val="00BD64E1"/>
    <w:rsid w:val="00BE1A0B"/>
    <w:rsid w:val="00BE488F"/>
    <w:rsid w:val="00C153AF"/>
    <w:rsid w:val="00C168C5"/>
    <w:rsid w:val="00C20101"/>
    <w:rsid w:val="00C350BA"/>
    <w:rsid w:val="00C42439"/>
    <w:rsid w:val="00C4439B"/>
    <w:rsid w:val="00C54101"/>
    <w:rsid w:val="00C54EBC"/>
    <w:rsid w:val="00C678E2"/>
    <w:rsid w:val="00C70E52"/>
    <w:rsid w:val="00C71DD3"/>
    <w:rsid w:val="00C82268"/>
    <w:rsid w:val="00C9547C"/>
    <w:rsid w:val="00CA22FC"/>
    <w:rsid w:val="00CA68F5"/>
    <w:rsid w:val="00CB0719"/>
    <w:rsid w:val="00CB6F26"/>
    <w:rsid w:val="00CB7BA0"/>
    <w:rsid w:val="00CC256F"/>
    <w:rsid w:val="00CE022B"/>
    <w:rsid w:val="00CE592B"/>
    <w:rsid w:val="00CE680D"/>
    <w:rsid w:val="00CE71E4"/>
    <w:rsid w:val="00CF4E21"/>
    <w:rsid w:val="00CF73C7"/>
    <w:rsid w:val="00D01B26"/>
    <w:rsid w:val="00D03F85"/>
    <w:rsid w:val="00D10616"/>
    <w:rsid w:val="00D3362F"/>
    <w:rsid w:val="00D357FB"/>
    <w:rsid w:val="00D43557"/>
    <w:rsid w:val="00D5639E"/>
    <w:rsid w:val="00D57350"/>
    <w:rsid w:val="00D60235"/>
    <w:rsid w:val="00D70588"/>
    <w:rsid w:val="00D71453"/>
    <w:rsid w:val="00D71FCA"/>
    <w:rsid w:val="00D8255A"/>
    <w:rsid w:val="00D90D4A"/>
    <w:rsid w:val="00D920B6"/>
    <w:rsid w:val="00D93ED2"/>
    <w:rsid w:val="00DA5779"/>
    <w:rsid w:val="00DA5CAE"/>
    <w:rsid w:val="00DB4A51"/>
    <w:rsid w:val="00DC0ECB"/>
    <w:rsid w:val="00DC2752"/>
    <w:rsid w:val="00DC43A3"/>
    <w:rsid w:val="00DD2888"/>
    <w:rsid w:val="00DD7696"/>
    <w:rsid w:val="00DE7DE2"/>
    <w:rsid w:val="00DF565A"/>
    <w:rsid w:val="00E0223D"/>
    <w:rsid w:val="00E06F37"/>
    <w:rsid w:val="00E074A8"/>
    <w:rsid w:val="00E07B34"/>
    <w:rsid w:val="00E07FD1"/>
    <w:rsid w:val="00E133D2"/>
    <w:rsid w:val="00E1681D"/>
    <w:rsid w:val="00E209D3"/>
    <w:rsid w:val="00E20EFA"/>
    <w:rsid w:val="00E24743"/>
    <w:rsid w:val="00E260DA"/>
    <w:rsid w:val="00E261D2"/>
    <w:rsid w:val="00E30FBE"/>
    <w:rsid w:val="00E310FB"/>
    <w:rsid w:val="00E52834"/>
    <w:rsid w:val="00E60D79"/>
    <w:rsid w:val="00E62F73"/>
    <w:rsid w:val="00E63706"/>
    <w:rsid w:val="00E6615E"/>
    <w:rsid w:val="00E66B96"/>
    <w:rsid w:val="00E74646"/>
    <w:rsid w:val="00E76B32"/>
    <w:rsid w:val="00E76C76"/>
    <w:rsid w:val="00E7759E"/>
    <w:rsid w:val="00E95D42"/>
    <w:rsid w:val="00E9652D"/>
    <w:rsid w:val="00EA1091"/>
    <w:rsid w:val="00EA2F43"/>
    <w:rsid w:val="00EA70B7"/>
    <w:rsid w:val="00EB2AD4"/>
    <w:rsid w:val="00EB4DE1"/>
    <w:rsid w:val="00EC147B"/>
    <w:rsid w:val="00ED0080"/>
    <w:rsid w:val="00ED3332"/>
    <w:rsid w:val="00EF232D"/>
    <w:rsid w:val="00EF6186"/>
    <w:rsid w:val="00F043C2"/>
    <w:rsid w:val="00F04AE9"/>
    <w:rsid w:val="00F05ACE"/>
    <w:rsid w:val="00F05CA0"/>
    <w:rsid w:val="00F14678"/>
    <w:rsid w:val="00F1545B"/>
    <w:rsid w:val="00F167DA"/>
    <w:rsid w:val="00F2144E"/>
    <w:rsid w:val="00F21BFC"/>
    <w:rsid w:val="00F31AD3"/>
    <w:rsid w:val="00F37422"/>
    <w:rsid w:val="00F511E1"/>
    <w:rsid w:val="00F52818"/>
    <w:rsid w:val="00F647FD"/>
    <w:rsid w:val="00F64B1D"/>
    <w:rsid w:val="00F65484"/>
    <w:rsid w:val="00F71B9D"/>
    <w:rsid w:val="00F81FAF"/>
    <w:rsid w:val="00F8640C"/>
    <w:rsid w:val="00FC0134"/>
    <w:rsid w:val="00FC236B"/>
    <w:rsid w:val="00FD4F9B"/>
    <w:rsid w:val="00FE312B"/>
    <w:rsid w:val="00FE3A76"/>
    <w:rsid w:val="00FE5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89F27"/>
  <w15:chartTrackingRefBased/>
  <w15:docId w15:val="{9EED542E-2844-4F29-A9A9-41BFB9E40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1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71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71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71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71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71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71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71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71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1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71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71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71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71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71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71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71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711F"/>
    <w:rPr>
      <w:rFonts w:eastAsiaTheme="majorEastAsia" w:cstheme="majorBidi"/>
      <w:color w:val="272727" w:themeColor="text1" w:themeTint="D8"/>
    </w:rPr>
  </w:style>
  <w:style w:type="paragraph" w:styleId="Title">
    <w:name w:val="Title"/>
    <w:basedOn w:val="Normal"/>
    <w:next w:val="Normal"/>
    <w:link w:val="TitleChar"/>
    <w:uiPriority w:val="10"/>
    <w:qFormat/>
    <w:rsid w:val="008971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1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71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7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711F"/>
    <w:pPr>
      <w:spacing w:before="160"/>
      <w:jc w:val="center"/>
    </w:pPr>
    <w:rPr>
      <w:i/>
      <w:iCs/>
      <w:color w:val="404040" w:themeColor="text1" w:themeTint="BF"/>
    </w:rPr>
  </w:style>
  <w:style w:type="character" w:customStyle="1" w:styleId="QuoteChar">
    <w:name w:val="Quote Char"/>
    <w:basedOn w:val="DefaultParagraphFont"/>
    <w:link w:val="Quote"/>
    <w:uiPriority w:val="29"/>
    <w:rsid w:val="0089711F"/>
    <w:rPr>
      <w:i/>
      <w:iCs/>
      <w:color w:val="404040" w:themeColor="text1" w:themeTint="BF"/>
    </w:rPr>
  </w:style>
  <w:style w:type="paragraph" w:styleId="ListParagraph">
    <w:name w:val="List Paragraph"/>
    <w:basedOn w:val="Normal"/>
    <w:uiPriority w:val="34"/>
    <w:qFormat/>
    <w:rsid w:val="0089711F"/>
    <w:pPr>
      <w:ind w:left="720"/>
      <w:contextualSpacing/>
    </w:pPr>
  </w:style>
  <w:style w:type="character" w:styleId="IntenseEmphasis">
    <w:name w:val="Intense Emphasis"/>
    <w:basedOn w:val="DefaultParagraphFont"/>
    <w:uiPriority w:val="21"/>
    <w:qFormat/>
    <w:rsid w:val="0089711F"/>
    <w:rPr>
      <w:i/>
      <w:iCs/>
      <w:color w:val="0F4761" w:themeColor="accent1" w:themeShade="BF"/>
    </w:rPr>
  </w:style>
  <w:style w:type="paragraph" w:styleId="IntenseQuote">
    <w:name w:val="Intense Quote"/>
    <w:basedOn w:val="Normal"/>
    <w:next w:val="Normal"/>
    <w:link w:val="IntenseQuoteChar"/>
    <w:uiPriority w:val="30"/>
    <w:qFormat/>
    <w:rsid w:val="008971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711F"/>
    <w:rPr>
      <w:i/>
      <w:iCs/>
      <w:color w:val="0F4761" w:themeColor="accent1" w:themeShade="BF"/>
    </w:rPr>
  </w:style>
  <w:style w:type="character" w:styleId="IntenseReference">
    <w:name w:val="Intense Reference"/>
    <w:basedOn w:val="DefaultParagraphFont"/>
    <w:uiPriority w:val="32"/>
    <w:qFormat/>
    <w:rsid w:val="0089711F"/>
    <w:rPr>
      <w:b/>
      <w:bCs/>
      <w:smallCaps/>
      <w:color w:val="0F4761" w:themeColor="accent1" w:themeShade="BF"/>
      <w:spacing w:val="5"/>
    </w:rPr>
  </w:style>
  <w:style w:type="numbering" w:customStyle="1" w:styleId="NoList1">
    <w:name w:val="No List1"/>
    <w:next w:val="NoList"/>
    <w:uiPriority w:val="99"/>
    <w:semiHidden/>
    <w:unhideWhenUsed/>
    <w:rsid w:val="0089711F"/>
  </w:style>
  <w:style w:type="paragraph" w:customStyle="1" w:styleId="msonormal0">
    <w:name w:val="msonormal"/>
    <w:basedOn w:val="Normal"/>
    <w:rsid w:val="0089711F"/>
    <w:pPr>
      <w:spacing w:before="100" w:beforeAutospacing="1" w:after="100" w:afterAutospacing="1" w:line="240" w:lineRule="auto"/>
    </w:pPr>
    <w:rPr>
      <w:rFonts w:ascii="Lucida Sans" w:eastAsia="Times New Roman" w:hAnsi="Lucida Sans" w:cs="Lucida Sans"/>
      <w:kern w:val="0"/>
      <w:sz w:val="20"/>
      <w:szCs w:val="20"/>
      <w:lang w:eastAsia="en-GB"/>
      <w14:ligatures w14:val="none"/>
    </w:rPr>
  </w:style>
  <w:style w:type="paragraph" w:customStyle="1" w:styleId="ds-markdown-paragraph">
    <w:name w:val="ds-markdown-paragraph"/>
    <w:basedOn w:val="Normal"/>
    <w:rsid w:val="0089711F"/>
    <w:pPr>
      <w:spacing w:before="100" w:beforeAutospacing="1" w:after="100" w:afterAutospacing="1" w:line="240" w:lineRule="auto"/>
    </w:pPr>
    <w:rPr>
      <w:rFonts w:ascii="Lucida Sans" w:eastAsia="Times New Roman" w:hAnsi="Lucida Sans" w:cs="Lucida Sans"/>
      <w:kern w:val="0"/>
      <w:sz w:val="20"/>
      <w:szCs w:val="20"/>
      <w:lang w:eastAsia="en-GB"/>
      <w14:ligatures w14:val="none"/>
    </w:rPr>
  </w:style>
  <w:style w:type="character" w:styleId="Strong">
    <w:name w:val="Strong"/>
    <w:basedOn w:val="DefaultParagraphFont"/>
    <w:uiPriority w:val="22"/>
    <w:qFormat/>
    <w:rsid w:val="0089711F"/>
    <w:rPr>
      <w:b/>
      <w:bCs/>
    </w:rPr>
  </w:style>
  <w:style w:type="character" w:styleId="Hyperlink">
    <w:name w:val="Hyperlink"/>
    <w:basedOn w:val="DefaultParagraphFont"/>
    <w:uiPriority w:val="99"/>
    <w:unhideWhenUsed/>
    <w:rsid w:val="0089711F"/>
    <w:rPr>
      <w:color w:val="0000FF"/>
      <w:u w:val="single"/>
    </w:rPr>
  </w:style>
  <w:style w:type="character" w:styleId="FollowedHyperlink">
    <w:name w:val="FollowedHyperlink"/>
    <w:basedOn w:val="DefaultParagraphFont"/>
    <w:uiPriority w:val="99"/>
    <w:semiHidden/>
    <w:unhideWhenUsed/>
    <w:rsid w:val="0089711F"/>
    <w:rPr>
      <w:color w:val="800080"/>
      <w:u w:val="single"/>
    </w:rPr>
  </w:style>
  <w:style w:type="character" w:styleId="Emphasis">
    <w:name w:val="Emphasis"/>
    <w:basedOn w:val="DefaultParagraphFont"/>
    <w:uiPriority w:val="20"/>
    <w:qFormat/>
    <w:rsid w:val="0089711F"/>
    <w:rPr>
      <w:i/>
      <w:iCs/>
    </w:rPr>
  </w:style>
  <w:style w:type="paragraph" w:styleId="NormalWeb">
    <w:name w:val="Normal (Web)"/>
    <w:basedOn w:val="Normal"/>
    <w:uiPriority w:val="99"/>
    <w:semiHidden/>
    <w:unhideWhenUsed/>
    <w:rsid w:val="0087755F"/>
    <w:pPr>
      <w:spacing w:before="100" w:beforeAutospacing="1" w:after="100" w:afterAutospacing="1" w:line="240" w:lineRule="auto"/>
    </w:pPr>
    <w:rPr>
      <w:rFonts w:ascii="Lucida Sans" w:eastAsia="Times New Roman" w:hAnsi="Lucida Sans" w:cs="Lucida Sans"/>
      <w:kern w:val="0"/>
      <w:sz w:val="20"/>
      <w:szCs w:val="20"/>
      <w:lang w:eastAsia="en-GB"/>
      <w14:ligatures w14:val="none"/>
    </w:rPr>
  </w:style>
  <w:style w:type="character" w:styleId="UnresolvedMention">
    <w:name w:val="Unresolved Mention"/>
    <w:basedOn w:val="DefaultParagraphFont"/>
    <w:uiPriority w:val="99"/>
    <w:semiHidden/>
    <w:unhideWhenUsed/>
    <w:rsid w:val="00C9547C"/>
    <w:rPr>
      <w:color w:val="605E5C"/>
      <w:shd w:val="clear" w:color="auto" w:fill="E1DFDD"/>
    </w:rPr>
  </w:style>
  <w:style w:type="paragraph" w:styleId="TOCHeading">
    <w:name w:val="TOC Heading"/>
    <w:basedOn w:val="Heading1"/>
    <w:next w:val="Normal"/>
    <w:uiPriority w:val="39"/>
    <w:unhideWhenUsed/>
    <w:qFormat/>
    <w:rsid w:val="005A0B4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A0B43"/>
    <w:pPr>
      <w:tabs>
        <w:tab w:val="left" w:pos="440"/>
        <w:tab w:val="right" w:leader="dot" w:pos="9016"/>
      </w:tabs>
      <w:spacing w:after="100" w:line="259" w:lineRule="auto"/>
    </w:pPr>
    <w:rPr>
      <w:rFonts w:ascii="Arial" w:hAnsi="Arial" w:cs="Arial"/>
      <w:b/>
      <w:bCs/>
      <w:noProof/>
      <w:kern w:val="0"/>
      <w14:ligatures w14:val="none"/>
    </w:rPr>
  </w:style>
  <w:style w:type="paragraph" w:styleId="TOC2">
    <w:name w:val="toc 2"/>
    <w:basedOn w:val="Normal"/>
    <w:next w:val="Normal"/>
    <w:autoRedefine/>
    <w:uiPriority w:val="39"/>
    <w:unhideWhenUsed/>
    <w:rsid w:val="005A0B43"/>
    <w:pPr>
      <w:spacing w:after="100" w:line="259" w:lineRule="auto"/>
      <w:ind w:left="220"/>
    </w:pPr>
    <w:rPr>
      <w:rFonts w:ascii="Arial" w:hAnsi="Arial" w:cs="Arial"/>
      <w:kern w:val="0"/>
      <w14:ligatures w14:val="none"/>
    </w:rPr>
  </w:style>
  <w:style w:type="paragraph" w:styleId="TOC3">
    <w:name w:val="toc 3"/>
    <w:basedOn w:val="Normal"/>
    <w:next w:val="Normal"/>
    <w:autoRedefine/>
    <w:uiPriority w:val="39"/>
    <w:unhideWhenUsed/>
    <w:rsid w:val="005A0B43"/>
    <w:pPr>
      <w:spacing w:after="100" w:line="259" w:lineRule="auto"/>
      <w:ind w:left="440"/>
    </w:pPr>
    <w:rPr>
      <w:rFonts w:ascii="Arial" w:eastAsiaTheme="minorEastAsia" w:hAnsi="Arial" w:cs="Times New Roman"/>
      <w:kern w:val="0"/>
      <w:lang w:val="en-US"/>
      <w14:ligatures w14:val="none"/>
    </w:rPr>
  </w:style>
  <w:style w:type="paragraph" w:styleId="TOC4">
    <w:name w:val="toc 4"/>
    <w:basedOn w:val="Normal"/>
    <w:next w:val="Normal"/>
    <w:autoRedefine/>
    <w:uiPriority w:val="39"/>
    <w:unhideWhenUsed/>
    <w:rsid w:val="009F508C"/>
    <w:pPr>
      <w:spacing w:after="100"/>
      <w:ind w:left="720"/>
    </w:pPr>
    <w:rPr>
      <w:rFonts w:eastAsiaTheme="minorEastAsia"/>
      <w:lang w:eastAsia="en-GB"/>
    </w:rPr>
  </w:style>
  <w:style w:type="paragraph" w:styleId="TOC5">
    <w:name w:val="toc 5"/>
    <w:basedOn w:val="Normal"/>
    <w:next w:val="Normal"/>
    <w:autoRedefine/>
    <w:uiPriority w:val="39"/>
    <w:unhideWhenUsed/>
    <w:rsid w:val="009F508C"/>
    <w:pPr>
      <w:spacing w:after="100"/>
      <w:ind w:left="960"/>
    </w:pPr>
    <w:rPr>
      <w:rFonts w:eastAsiaTheme="minorEastAsia"/>
      <w:lang w:eastAsia="en-GB"/>
    </w:rPr>
  </w:style>
  <w:style w:type="paragraph" w:styleId="TOC6">
    <w:name w:val="toc 6"/>
    <w:basedOn w:val="Normal"/>
    <w:next w:val="Normal"/>
    <w:autoRedefine/>
    <w:uiPriority w:val="39"/>
    <w:unhideWhenUsed/>
    <w:rsid w:val="009F508C"/>
    <w:pPr>
      <w:spacing w:after="100"/>
      <w:ind w:left="1200"/>
    </w:pPr>
    <w:rPr>
      <w:rFonts w:eastAsiaTheme="minorEastAsia"/>
      <w:lang w:eastAsia="en-GB"/>
    </w:rPr>
  </w:style>
  <w:style w:type="paragraph" w:styleId="TOC7">
    <w:name w:val="toc 7"/>
    <w:basedOn w:val="Normal"/>
    <w:next w:val="Normal"/>
    <w:autoRedefine/>
    <w:uiPriority w:val="39"/>
    <w:unhideWhenUsed/>
    <w:rsid w:val="009F508C"/>
    <w:pPr>
      <w:spacing w:after="100"/>
      <w:ind w:left="1440"/>
    </w:pPr>
    <w:rPr>
      <w:rFonts w:eastAsiaTheme="minorEastAsia"/>
      <w:lang w:eastAsia="en-GB"/>
    </w:rPr>
  </w:style>
  <w:style w:type="paragraph" w:styleId="TOC8">
    <w:name w:val="toc 8"/>
    <w:basedOn w:val="Normal"/>
    <w:next w:val="Normal"/>
    <w:autoRedefine/>
    <w:uiPriority w:val="39"/>
    <w:unhideWhenUsed/>
    <w:rsid w:val="009F508C"/>
    <w:pPr>
      <w:spacing w:after="100"/>
      <w:ind w:left="1680"/>
    </w:pPr>
    <w:rPr>
      <w:rFonts w:eastAsiaTheme="minorEastAsia"/>
      <w:lang w:eastAsia="en-GB"/>
    </w:rPr>
  </w:style>
  <w:style w:type="paragraph" w:styleId="TOC9">
    <w:name w:val="toc 9"/>
    <w:basedOn w:val="Normal"/>
    <w:next w:val="Normal"/>
    <w:autoRedefine/>
    <w:uiPriority w:val="39"/>
    <w:unhideWhenUsed/>
    <w:rsid w:val="009F508C"/>
    <w:pPr>
      <w:spacing w:after="100"/>
      <w:ind w:left="1920"/>
    </w:pPr>
    <w:rPr>
      <w:rFonts w:eastAsiaTheme="minorEastAsia"/>
      <w:lang w:eastAsia="en-GB"/>
    </w:rPr>
  </w:style>
  <w:style w:type="paragraph" w:styleId="NoSpacing">
    <w:name w:val="No Spacing"/>
    <w:uiPriority w:val="1"/>
    <w:qFormat/>
    <w:rsid w:val="00882E85"/>
    <w:pPr>
      <w:spacing w:after="0" w:line="240" w:lineRule="auto"/>
    </w:pPr>
  </w:style>
  <w:style w:type="table" w:styleId="TableGrid">
    <w:name w:val="Table Grid"/>
    <w:basedOn w:val="TableNormal"/>
    <w:uiPriority w:val="39"/>
    <w:rsid w:val="00507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basedOn w:val="TOC2"/>
    <w:qFormat/>
    <w:rsid w:val="00010A33"/>
    <w:pPr>
      <w:tabs>
        <w:tab w:val="right" w:leader="dot" w:pos="9016"/>
      </w:tabs>
    </w:pPr>
    <w:rPr>
      <w:noProof/>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Caption">
    <w:name w:val="caption"/>
    <w:basedOn w:val="Normal"/>
    <w:next w:val="Normal"/>
    <w:uiPriority w:val="35"/>
    <w:unhideWhenUsed/>
    <w:qFormat/>
    <w:rsid w:val="00E9652D"/>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96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52D"/>
  </w:style>
  <w:style w:type="paragraph" w:styleId="Footer">
    <w:name w:val="footer"/>
    <w:basedOn w:val="Normal"/>
    <w:link w:val="FooterChar"/>
    <w:uiPriority w:val="99"/>
    <w:unhideWhenUsed/>
    <w:rsid w:val="00E96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3731575">
      <w:bodyDiv w:val="1"/>
      <w:marLeft w:val="0"/>
      <w:marRight w:val="0"/>
      <w:marTop w:val="0"/>
      <w:marBottom w:val="0"/>
      <w:divBdr>
        <w:top w:val="none" w:sz="0" w:space="0" w:color="auto"/>
        <w:left w:val="none" w:sz="0" w:space="0" w:color="auto"/>
        <w:bottom w:val="none" w:sz="0" w:space="0" w:color="auto"/>
        <w:right w:val="none" w:sz="0" w:space="0" w:color="auto"/>
      </w:divBdr>
    </w:div>
    <w:div w:id="167071698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pmc.ncbi.nlm.nih.gov/articles/PMC8964567/" TargetMode="External"/><Relationship Id="rId68" Type="http://schemas.openxmlformats.org/officeDocument/2006/relationships/hyperlink" Target="https://www.gov.uk/guidance/vat-tertiary-legislation/making-tax-digital-for-vat" TargetMode="External"/><Relationship Id="rId84" Type="http://schemas.openxmlformats.org/officeDocument/2006/relationships/hyperlink" Target="https://www.emerald.com/ijmpb/article/14/4/1023/139547/Successful-implementation-of-project-risk" TargetMode="External"/><Relationship Id="rId89" Type="http://schemas.openxmlformats.org/officeDocument/2006/relationships/hyperlink" Target="https://www.pmi.org/"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gov.uk/" TargetMode="External"/><Relationship Id="rId58" Type="http://schemas.openxmlformats.org/officeDocument/2006/relationships/hyperlink" Target="https://www.cambridge.org/core/services/aop-cambridge-core/content/view/BDA17A8DA7C4B70DF0B339B29A7C33FC/S2732527X21004247a.pdf/from-the-definition-of-user-experience-to-a-framework-to-classify-its-applications-in-design.pdf" TargetMode="External"/><Relationship Id="rId74" Type="http://schemas.openxmlformats.org/officeDocument/2006/relationships/hyperlink" Target="https://projectdelivery.gov.uk/" TargetMode="External"/><Relationship Id="rId79" Type="http://schemas.openxmlformats.org/officeDocument/2006/relationships/hyperlink" Target="https://www.gov.uk/government/collections/making-tax-digital" TargetMode="External"/><Relationship Id="rId102" Type="http://schemas.openxmlformats.org/officeDocument/2006/relationships/hyperlink" Target="https://www.xero.com/uk/partner-programs/" TargetMode="External"/><Relationship Id="rId5" Type="http://schemas.openxmlformats.org/officeDocument/2006/relationships/webSettings" Target="webSettings.xml"/><Relationship Id="rId90" Type="http://schemas.openxmlformats.org/officeDocument/2006/relationships/hyperlink" Target="https://www.pmi.org/" TargetMode="External"/><Relationship Id="rId95" Type="http://schemas.openxmlformats.org/officeDocument/2006/relationships/hyperlink" Target="https://www.sage.com/en-gb"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hyperlink" Target="https://link.springer.com/content/pdf/10.1007/s43441-021-00363-z.pdf" TargetMode="External"/><Relationship Id="rId69" Type="http://schemas.openxmlformats.org/officeDocument/2006/relationships/hyperlink" Target="https://gov.uk/" TargetMode="External"/><Relationship Id="rId80" Type="http://schemas.openxmlformats.org/officeDocument/2006/relationships/hyperlink" Target="https://www.icaew.com/" TargetMode="External"/><Relationship Id="rId85" Type="http://schemas.openxmlformats.org/officeDocument/2006/relationships/hyperlink" Target="https://www.mdpi.com/2071-1050/14/3/1215"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https://www.mdpi.com/2076-3417/15/2/824" TargetMode="External"/><Relationship Id="rId103" Type="http://schemas.openxmlformats.org/officeDocument/2006/relationships/hyperlink" Target="https://www.xero.com/uk/"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www.accaglobal.com/" TargetMode="External"/><Relationship Id="rId62" Type="http://schemas.openxmlformats.org/officeDocument/2006/relationships/hyperlink" Target="https://www.taylorfrancis.com/books/mono/10.4324/9781003712695/project-stakeholder-engagement-pernille-eskerod-anna-lund-jepsen" TargetMode="External"/><Relationship Id="rId70" Type="http://schemas.openxmlformats.org/officeDocument/2006/relationships/hyperlink" Target="https://developer.service.hmrc.gov.uk/guides/vat-mtd-end-to-end-service-guide/" TargetMode="External"/><Relationship Id="rId75" Type="http://schemas.openxmlformats.org/officeDocument/2006/relationships/hyperlink" Target="https://journal.samnational.org/archive/vol86ed02/vol86ed02r02/" TargetMode="External"/><Relationship Id="rId83" Type="http://schemas.openxmlformats.org/officeDocument/2006/relationships/hyperlink" Target="https://ijaem.net/issue_dcp/Risk%20Management%20in%20Software%20Development%20and%20Software%20Engineering%20Projects.pdf" TargetMode="External"/><Relationship Id="rId88" Type="http://schemas.openxmlformats.org/officeDocument/2006/relationships/hyperlink" Target="https://www.pmi.org/" TargetMode="External"/><Relationship Id="rId91" Type="http://schemas.openxmlformats.org/officeDocument/2006/relationships/hyperlink" Target="https://www.pmi.org/" TargetMode="External"/><Relationship Id="rId96" Type="http://schemas.openxmlformats.org/officeDocument/2006/relationships/hyperlink" Target="https://www.mdpi.com/2076-3417/11/18/864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hyperlink" Target="https://www.cambridge.org/core/journals/proceedings-of-the-design-society/article/from-the-definition-of-user-experience-to-a-framework-to-classify-its-applications-in-design/BDA17A8DA7C4B70DF0B339B29A7C33FC" TargetMode="External"/><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www.researchgate.net/publication/361606272_The_Project_Management_Approach_A_Critical_Success_Factor_in_Digital_Transformation_Initiatives/fulltext/636053df12cbac6a3e14263e/The-Project-Management-Approach-A-Critical-Success-Factor-in-Digital-Transformation-Initiatives.pdf" TargetMode="External"/><Relationship Id="rId65" Type="http://schemas.openxmlformats.org/officeDocument/2006/relationships/hyperlink" Target="https://gov.uk/" TargetMode="External"/><Relationship Id="rId73" Type="http://schemas.openxmlformats.org/officeDocument/2006/relationships/hyperlink" Target="https://projectdelivery.gov.uk/teal-book/home/part-a-project-delivery-in-government/chapter-3-portfolios-programmes-and-projects/" TargetMode="External"/><Relationship Id="rId78" Type="http://schemas.openxmlformats.org/officeDocument/2006/relationships/hyperlink" Target="https://www.gov.uk/hmrc-internal-manuals/vat-assessments-and-error-correction/vae0200" TargetMode="External"/><Relationship Id="rId81" Type="http://schemas.openxmlformats.org/officeDocument/2006/relationships/hyperlink" Target="https://www.ifrs.org/" TargetMode="External"/><Relationship Id="rId86" Type="http://schemas.openxmlformats.org/officeDocument/2006/relationships/hyperlink" Target="https://www.isaca.org/resources/isaca-journal/issues/2021/volume-6/benefits-management-for-digital-transformation-programs" TargetMode="External"/><Relationship Id="rId94" Type="http://schemas.openxmlformats.org/officeDocument/2006/relationships/hyperlink" Target="https://link.springer.com/content/pdf/10.1007/978-3-031-71804-5_1" TargetMode="External"/><Relationship Id="rId99" Type="http://schemas.openxmlformats.org/officeDocument/2006/relationships/hyperlink" Target="https://pmc.ncbi.nlm.nih.gov/articles/PMC8279782/" TargetMode="External"/><Relationship Id="rId101" Type="http://schemas.openxmlformats.org/officeDocument/2006/relationships/hyperlink" Target="https://www.xero.com/uk/"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2.png"/><Relationship Id="rId55" Type="http://schemas.openxmlformats.org/officeDocument/2006/relationships/hyperlink" Target="https://www.accaglobal.com/" TargetMode="External"/><Relationship Id="rId76" Type="http://schemas.openxmlformats.org/officeDocument/2006/relationships/hyperlink" Target="https://www.diva-portal.org/smash/get/diva2:1531331/FULLTEXT01.pdf" TargetMode="External"/><Relationship Id="rId97" Type="http://schemas.openxmlformats.org/officeDocument/2006/relationships/hyperlink" Target="https://www.researchgate.net/publication/354681325_An_Investigation_of_Work-Based_Education_and_Training_Needs_for_Effective_BIM_Adoption_and_Implementation_An_Organisational_Upskilling_Model/fulltext/61460876519a1a381f6c09cc/An-Investigation-of-Work-Based-Education-and-Training-Needs-for-Effective-BIM-Adoption-and-Implementation-An-Organisational-Upskilling-Model.pdf"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gov.uk/" TargetMode="External"/><Relationship Id="rId92" Type="http://schemas.openxmlformats.org/officeDocument/2006/relationships/hyperlink" Target="https://thedesignsense.com/internship_programs/bim/reference_documents/PMBOK_7th_Edition.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eg"/><Relationship Id="rId40" Type="http://schemas.openxmlformats.org/officeDocument/2006/relationships/hyperlink" Target="https://gov.uk/" TargetMode="External"/><Relationship Id="rId45" Type="http://schemas.openxmlformats.org/officeDocument/2006/relationships/image" Target="media/image37.png"/><Relationship Id="rId66" Type="http://schemas.openxmlformats.org/officeDocument/2006/relationships/hyperlink" Target="https://www.gov.uk/government/publications/making-tax-digital-for-vat-final-evaluation" TargetMode="External"/><Relationship Id="rId87" Type="http://schemas.openxmlformats.org/officeDocument/2006/relationships/hyperlink" Target="https://iajit.org/portal/images/Year2022/No.6/20887.pdf" TargetMode="External"/><Relationship Id="rId61" Type="http://schemas.openxmlformats.org/officeDocument/2006/relationships/hyperlink" Target="https://www.gov.uk/government/organisations/companies-house" TargetMode="External"/><Relationship Id="rId82" Type="http://schemas.openxmlformats.org/officeDocument/2006/relationships/hyperlink" Target="https://quickbooks.intuit.com/uk"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accountancyage.com/2025/07/22/no-plans-for-mtd-for-corporation-tax-says-hmrc/" TargetMode="External"/><Relationship Id="rId77" Type="http://schemas.openxmlformats.org/officeDocument/2006/relationships/hyperlink" Target="https://www.gov.uk/government/collections/making-tax-digital" TargetMode="External"/><Relationship Id="rId100" Type="http://schemas.openxmlformats.org/officeDocument/2006/relationships/hyperlink" Target="https://www.emerald.com/ijmpb/article/17/4-5/593/1237715/Project-risk-management-in-practice-the-actuality"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hyperlink" Target="https://www.gov.uk/government/publications/life-of-a-company-annual-requirements" TargetMode="External"/><Relationship Id="rId93" Type="http://schemas.openxmlformats.org/officeDocument/2006/relationships/hyperlink" Target="https://quickbooks.intuit.com/uk" TargetMode="External"/><Relationship Id="rId98" Type="http://schemas.openxmlformats.org/officeDocument/2006/relationships/hyperlink" Target="https://www.emerald.com/jocm/article/34/5/874/236228/Technology-renewal-user-resistance-user-adoption"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8.png"/><Relationship Id="rId67" Type="http://schemas.openxmlformats.org/officeDocument/2006/relationships/hyperlink" Target="http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F6B98C-71FD-4C57-86D2-6249F7359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48</Pages>
  <Words>7064</Words>
  <Characters>40269</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Jerroms</Company>
  <LinksUpToDate>false</LinksUpToDate>
  <CharactersWithSpaces>47239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Sahar</dc:creator>
  <cp:keywords/>
  <dc:description/>
  <cp:lastModifiedBy>Aamir Sahar</cp:lastModifiedBy>
  <cp:revision>21</cp:revision>
  <dcterms:created xsi:type="dcterms:W3CDTF">2026-10-27T10:09:00Z</dcterms:created>
  <dcterms:modified xsi:type="dcterms:W3CDTF">2026-10-27T10:40:00Z</dcterms:modified>
</cp:coreProperties>
</file>