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1E474D" w14:textId="5223402F" w:rsidR="00886CC5" w:rsidRPr="005C1752" w:rsidRDefault="00886CC5" w:rsidP="00886CC5">
      <w:pPr>
        <w:pStyle w:val="paragraph"/>
        <w:spacing w:before="0" w:beforeAutospacing="0" w:after="0" w:afterAutospacing="0"/>
        <w:jc w:val="center"/>
        <w:textAlignment w:val="baseline"/>
        <w:rPr>
          <w:rStyle w:val="normaltextrun"/>
          <w:rFonts w:ascii="Arial" w:hAnsi="Arial" w:cs="Arial"/>
          <w:b/>
          <w:bCs/>
          <w:color w:val="000000"/>
          <w:sz w:val="40"/>
          <w:szCs w:val="40"/>
        </w:rPr>
      </w:pPr>
      <w:r>
        <w:rPr>
          <w:noProof/>
        </w:rPr>
        <w:drawing>
          <wp:inline distT="0" distB="0" distL="0" distR="0" wp14:anchorId="2B42C102" wp14:editId="3E931F1B">
            <wp:extent cx="3517265" cy="1005658"/>
            <wp:effectExtent l="0" t="0" r="0" b="0"/>
            <wp:docPr id="1439594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17265" cy="1005658"/>
                    </a:xfrm>
                    <a:prstGeom prst="rect">
                      <a:avLst/>
                    </a:prstGeom>
                    <a:noFill/>
                  </pic:spPr>
                </pic:pic>
              </a:graphicData>
            </a:graphic>
          </wp:inline>
        </w:drawing>
      </w:r>
      <w:r w:rsidRPr="005C1752">
        <w:rPr>
          <w:rStyle w:val="normaltextrun"/>
          <w:rFonts w:ascii="Arial" w:hAnsi="Arial" w:cs="Arial"/>
          <w:b/>
          <w:bCs/>
          <w:color w:val="000000"/>
          <w:sz w:val="40"/>
          <w:szCs w:val="40"/>
        </w:rPr>
        <w:t>Name: Chizoma Awoyemi</w:t>
      </w:r>
    </w:p>
    <w:p w14:paraId="58A23062" w14:textId="77777777" w:rsidR="00886CC5" w:rsidRPr="005C1752" w:rsidRDefault="00886CC5" w:rsidP="00886CC5">
      <w:pPr>
        <w:pStyle w:val="paragraph"/>
        <w:spacing w:before="0" w:beforeAutospacing="0" w:after="0" w:afterAutospacing="0"/>
        <w:jc w:val="center"/>
        <w:textAlignment w:val="baseline"/>
        <w:rPr>
          <w:rStyle w:val="normaltextrun"/>
          <w:rFonts w:ascii="Arial" w:hAnsi="Arial" w:cs="Arial"/>
          <w:b/>
          <w:bCs/>
          <w:color w:val="000000"/>
          <w:sz w:val="40"/>
          <w:szCs w:val="40"/>
        </w:rPr>
      </w:pPr>
      <w:r w:rsidRPr="005C1752">
        <w:rPr>
          <w:rStyle w:val="normaltextrun"/>
          <w:rFonts w:ascii="Arial" w:hAnsi="Arial" w:cs="Arial"/>
          <w:b/>
          <w:bCs/>
          <w:color w:val="000000"/>
          <w:sz w:val="40"/>
          <w:szCs w:val="40"/>
        </w:rPr>
        <w:t>Student ID: 2223400</w:t>
      </w:r>
    </w:p>
    <w:p w14:paraId="61271084" w14:textId="77777777" w:rsidR="00886CC5" w:rsidRPr="005C1752" w:rsidRDefault="00886CC5" w:rsidP="00886CC5">
      <w:pPr>
        <w:pStyle w:val="paragraph"/>
        <w:spacing w:before="0" w:beforeAutospacing="0" w:after="0" w:afterAutospacing="0"/>
        <w:textAlignment w:val="baseline"/>
        <w:rPr>
          <w:rStyle w:val="normaltextrun"/>
          <w:rFonts w:ascii="Arial" w:hAnsi="Arial" w:cs="Arial"/>
          <w:b/>
          <w:bCs/>
          <w:color w:val="000000"/>
          <w:sz w:val="40"/>
          <w:szCs w:val="40"/>
        </w:rPr>
      </w:pPr>
    </w:p>
    <w:p w14:paraId="32B18DE4" w14:textId="77777777" w:rsidR="00886CC5" w:rsidRPr="005C1752" w:rsidRDefault="00886CC5" w:rsidP="00886CC5">
      <w:pPr>
        <w:pStyle w:val="paragraph"/>
        <w:spacing w:before="0" w:beforeAutospacing="0" w:after="0" w:afterAutospacing="0"/>
        <w:jc w:val="center"/>
        <w:textAlignment w:val="baseline"/>
        <w:rPr>
          <w:rStyle w:val="eop"/>
          <w:rFonts w:ascii="Arial" w:hAnsi="Arial" w:cs="Arial"/>
          <w:b/>
          <w:bCs/>
          <w:color w:val="000000"/>
          <w:sz w:val="40"/>
          <w:szCs w:val="40"/>
          <w:bdr w:val="none" w:sz="0" w:space="0" w:color="auto" w:frame="1"/>
          <w:shd w:val="clear" w:color="auto" w:fill="C6C6C6"/>
        </w:rPr>
      </w:pPr>
      <w:r w:rsidRPr="005C1752">
        <w:rPr>
          <w:rStyle w:val="normaltextrun"/>
          <w:rFonts w:ascii="Arial" w:hAnsi="Arial" w:cs="Arial"/>
          <w:b/>
          <w:bCs/>
          <w:color w:val="000000"/>
          <w:sz w:val="40"/>
          <w:szCs w:val="40"/>
        </w:rPr>
        <w:t>Module Code: LCHS7003</w:t>
      </w:r>
      <w:r w:rsidRPr="005C1752">
        <w:rPr>
          <w:rStyle w:val="eop"/>
          <w:rFonts w:ascii="Arial" w:hAnsi="Arial" w:cs="Arial"/>
          <w:b/>
          <w:bCs/>
          <w:color w:val="000000"/>
          <w:sz w:val="40"/>
          <w:szCs w:val="40"/>
          <w:bdr w:val="none" w:sz="0" w:space="0" w:color="auto" w:frame="1"/>
          <w:shd w:val="clear" w:color="auto" w:fill="C6C6C6"/>
        </w:rPr>
        <w:t> </w:t>
      </w:r>
    </w:p>
    <w:p w14:paraId="609D39EB" w14:textId="77777777" w:rsidR="00886CC5" w:rsidRPr="005C1752" w:rsidRDefault="00886CC5" w:rsidP="00886CC5">
      <w:pPr>
        <w:pStyle w:val="paragraph"/>
        <w:spacing w:before="0" w:beforeAutospacing="0" w:after="0" w:afterAutospacing="0"/>
        <w:jc w:val="center"/>
        <w:textAlignment w:val="baseline"/>
        <w:rPr>
          <w:rFonts w:ascii="Arial" w:hAnsi="Arial" w:cs="Arial"/>
          <w:b/>
          <w:bCs/>
          <w:sz w:val="40"/>
          <w:szCs w:val="40"/>
        </w:rPr>
      </w:pPr>
    </w:p>
    <w:p w14:paraId="0AC3E143" w14:textId="77777777" w:rsidR="00886CC5" w:rsidRPr="005C1752" w:rsidRDefault="00886CC5" w:rsidP="00886CC5">
      <w:pPr>
        <w:pStyle w:val="paragraph"/>
        <w:spacing w:before="0" w:beforeAutospacing="0" w:after="0" w:afterAutospacing="0"/>
        <w:jc w:val="center"/>
        <w:textAlignment w:val="baseline"/>
        <w:rPr>
          <w:rStyle w:val="eop"/>
          <w:rFonts w:ascii="Arial" w:hAnsi="Arial" w:cs="Arial"/>
          <w:b/>
          <w:bCs/>
          <w:color w:val="000000"/>
          <w:sz w:val="40"/>
          <w:szCs w:val="40"/>
          <w:bdr w:val="none" w:sz="0" w:space="0" w:color="auto" w:frame="1"/>
          <w:shd w:val="clear" w:color="auto" w:fill="C6C6C6"/>
        </w:rPr>
      </w:pPr>
      <w:r w:rsidRPr="005C1752">
        <w:rPr>
          <w:rStyle w:val="normaltextrun"/>
          <w:rFonts w:ascii="Arial" w:hAnsi="Arial" w:cs="Arial"/>
          <w:b/>
          <w:bCs/>
          <w:color w:val="000000"/>
          <w:sz w:val="40"/>
          <w:szCs w:val="40"/>
        </w:rPr>
        <w:t>Module: Community Care and Management of Longer – Term Conditions</w:t>
      </w:r>
      <w:r w:rsidRPr="005C1752">
        <w:rPr>
          <w:rStyle w:val="eop"/>
          <w:rFonts w:ascii="Arial" w:hAnsi="Arial" w:cs="Arial"/>
          <w:b/>
          <w:bCs/>
          <w:color w:val="000000"/>
          <w:sz w:val="40"/>
          <w:szCs w:val="40"/>
          <w:bdr w:val="none" w:sz="0" w:space="0" w:color="auto" w:frame="1"/>
          <w:shd w:val="clear" w:color="auto" w:fill="C6C6C6"/>
        </w:rPr>
        <w:t> </w:t>
      </w:r>
    </w:p>
    <w:p w14:paraId="17A5889B" w14:textId="77777777" w:rsidR="00886CC5" w:rsidRPr="005C1752" w:rsidRDefault="00886CC5" w:rsidP="00886CC5">
      <w:pPr>
        <w:pStyle w:val="paragraph"/>
        <w:spacing w:before="0" w:beforeAutospacing="0" w:after="0" w:afterAutospacing="0"/>
        <w:jc w:val="center"/>
        <w:textAlignment w:val="baseline"/>
        <w:rPr>
          <w:rFonts w:ascii="Arial" w:hAnsi="Arial" w:cs="Arial"/>
          <w:b/>
          <w:bCs/>
          <w:sz w:val="40"/>
          <w:szCs w:val="40"/>
        </w:rPr>
      </w:pPr>
    </w:p>
    <w:p w14:paraId="44765DCD" w14:textId="77777777" w:rsidR="00886CC5" w:rsidRPr="005C1752" w:rsidRDefault="00886CC5" w:rsidP="00886CC5">
      <w:pPr>
        <w:pStyle w:val="paragraph"/>
        <w:spacing w:before="0" w:beforeAutospacing="0" w:after="0" w:afterAutospacing="0"/>
        <w:jc w:val="center"/>
        <w:textAlignment w:val="baseline"/>
        <w:rPr>
          <w:rStyle w:val="normaltextrun"/>
          <w:rFonts w:ascii="Arial" w:hAnsi="Arial" w:cs="Arial"/>
          <w:b/>
          <w:bCs/>
          <w:color w:val="000000"/>
          <w:sz w:val="40"/>
          <w:szCs w:val="40"/>
        </w:rPr>
      </w:pPr>
      <w:r w:rsidRPr="005C1752">
        <w:rPr>
          <w:rStyle w:val="normaltextrun"/>
          <w:rFonts w:ascii="Arial" w:hAnsi="Arial" w:cs="Arial"/>
          <w:b/>
          <w:bCs/>
          <w:color w:val="000000"/>
          <w:sz w:val="40"/>
          <w:szCs w:val="40"/>
        </w:rPr>
        <w:t> Component 1</w:t>
      </w:r>
    </w:p>
    <w:p w14:paraId="0BF963DB" w14:textId="77777777" w:rsidR="00886CC5" w:rsidRDefault="00886CC5" w:rsidP="00886CC5">
      <w:pPr>
        <w:pStyle w:val="paragraph"/>
        <w:spacing w:before="0" w:beforeAutospacing="0" w:after="0" w:afterAutospacing="0"/>
        <w:jc w:val="center"/>
        <w:textAlignment w:val="baseline"/>
        <w:rPr>
          <w:rFonts w:ascii="Arial" w:hAnsi="Arial" w:cs="Arial"/>
          <w:sz w:val="40"/>
          <w:szCs w:val="40"/>
        </w:rPr>
      </w:pPr>
    </w:p>
    <w:p w14:paraId="79788EFD" w14:textId="77777777" w:rsidR="00886CC5" w:rsidRDefault="00886CC5" w:rsidP="00886CC5">
      <w:pPr>
        <w:pStyle w:val="paragraph"/>
        <w:spacing w:before="0" w:beforeAutospacing="0" w:after="0" w:afterAutospacing="0"/>
        <w:jc w:val="center"/>
        <w:textAlignment w:val="baseline"/>
        <w:rPr>
          <w:rFonts w:ascii="Arial" w:hAnsi="Arial" w:cs="Arial"/>
          <w:sz w:val="40"/>
          <w:szCs w:val="40"/>
        </w:rPr>
      </w:pPr>
    </w:p>
    <w:p w14:paraId="21127639" w14:textId="77777777" w:rsidR="00886CC5" w:rsidRPr="007A02BB" w:rsidRDefault="00886CC5" w:rsidP="00886CC5">
      <w:pPr>
        <w:pStyle w:val="paragraph"/>
        <w:spacing w:before="0" w:beforeAutospacing="0" w:after="0" w:afterAutospacing="0"/>
        <w:textAlignment w:val="baseline"/>
        <w:rPr>
          <w:rFonts w:ascii="Arial" w:hAnsi="Arial" w:cs="Arial"/>
          <w:sz w:val="40"/>
          <w:szCs w:val="40"/>
        </w:rPr>
      </w:pPr>
    </w:p>
    <w:p w14:paraId="5C4E3B5A" w14:textId="77777777" w:rsidR="00886CC5" w:rsidRDefault="00886CC5" w:rsidP="00886CC5">
      <w:pPr>
        <w:pStyle w:val="paragraph"/>
        <w:spacing w:before="0" w:beforeAutospacing="0" w:after="0" w:afterAutospacing="0"/>
        <w:jc w:val="center"/>
        <w:textAlignment w:val="baseline"/>
        <w:rPr>
          <w:rStyle w:val="eop"/>
          <w:rFonts w:ascii="Arial" w:hAnsi="Arial" w:cs="Arial"/>
          <w:color w:val="000000"/>
          <w:sz w:val="40"/>
          <w:szCs w:val="40"/>
          <w:bdr w:val="none" w:sz="0" w:space="0" w:color="auto" w:frame="1"/>
          <w:shd w:val="clear" w:color="auto" w:fill="C6C6C6"/>
        </w:rPr>
      </w:pPr>
      <w:r w:rsidRPr="007A02BB">
        <w:rPr>
          <w:rStyle w:val="normaltextrun"/>
          <w:rFonts w:ascii="Arial" w:hAnsi="Arial" w:cs="Arial"/>
          <w:color w:val="000000"/>
          <w:sz w:val="40"/>
          <w:szCs w:val="40"/>
        </w:rPr>
        <w:t>Lecturer: Dr Aishat Bakre</w:t>
      </w:r>
      <w:r w:rsidRPr="007A02BB">
        <w:rPr>
          <w:rStyle w:val="eop"/>
          <w:rFonts w:ascii="Arial" w:hAnsi="Arial" w:cs="Arial"/>
          <w:color w:val="000000"/>
          <w:sz w:val="40"/>
          <w:szCs w:val="40"/>
          <w:bdr w:val="none" w:sz="0" w:space="0" w:color="auto" w:frame="1"/>
          <w:shd w:val="clear" w:color="auto" w:fill="C6C6C6"/>
        </w:rPr>
        <w:t> </w:t>
      </w:r>
    </w:p>
    <w:p w14:paraId="3DF81D77" w14:textId="77777777" w:rsidR="00886CC5" w:rsidRPr="007A02BB" w:rsidRDefault="00886CC5" w:rsidP="00886CC5">
      <w:pPr>
        <w:pStyle w:val="paragraph"/>
        <w:spacing w:before="0" w:beforeAutospacing="0" w:after="0" w:afterAutospacing="0"/>
        <w:jc w:val="center"/>
        <w:textAlignment w:val="baseline"/>
        <w:rPr>
          <w:rFonts w:ascii="Arial" w:hAnsi="Arial" w:cs="Arial"/>
          <w:sz w:val="40"/>
          <w:szCs w:val="40"/>
        </w:rPr>
      </w:pPr>
    </w:p>
    <w:sdt>
      <w:sdtPr>
        <w:rPr>
          <w:rFonts w:ascii="Arial" w:eastAsiaTheme="minorHAnsi" w:hAnsi="Arial" w:cs="Arial"/>
          <w:color w:val="auto"/>
          <w:sz w:val="24"/>
          <w:szCs w:val="24"/>
        </w:rPr>
        <w:id w:val="-2047290570"/>
        <w:docPartObj>
          <w:docPartGallery w:val="Table of Contents"/>
          <w:docPartUnique/>
        </w:docPartObj>
      </w:sdtPr>
      <w:sdtEndPr>
        <w:rPr>
          <w:b/>
          <w:bCs/>
          <w:noProof/>
        </w:rPr>
      </w:sdtEndPr>
      <w:sdtContent>
        <w:p w14:paraId="4534E17B" w14:textId="77777777" w:rsidR="00886CC5" w:rsidRPr="00166090" w:rsidRDefault="00886CC5" w:rsidP="00886CC5">
          <w:pPr>
            <w:pStyle w:val="TOCHeading"/>
            <w:rPr>
              <w:rFonts w:ascii="Arial" w:hAnsi="Arial" w:cs="Arial"/>
            </w:rPr>
          </w:pPr>
          <w:r w:rsidRPr="00166090">
            <w:rPr>
              <w:rFonts w:ascii="Arial" w:hAnsi="Arial" w:cs="Arial"/>
            </w:rPr>
            <w:t>Table of Contents</w:t>
          </w:r>
        </w:p>
        <w:p w14:paraId="3E0FFDBF" w14:textId="4A3D34A3" w:rsidR="00E07A79" w:rsidRDefault="00886CC5">
          <w:pPr>
            <w:pStyle w:val="TOC2"/>
            <w:tabs>
              <w:tab w:val="right" w:leader="dot" w:pos="5529"/>
            </w:tabs>
            <w:rPr>
              <w:rFonts w:eastAsiaTheme="minorEastAsia"/>
              <w:noProof/>
              <w:lang w:eastAsia="en-GB"/>
            </w:rPr>
          </w:pPr>
          <w:r w:rsidRPr="00166090">
            <w:rPr>
              <w:rFonts w:ascii="Arial" w:hAnsi="Arial" w:cs="Arial"/>
            </w:rPr>
            <w:fldChar w:fldCharType="begin"/>
          </w:r>
          <w:r w:rsidRPr="00166090">
            <w:rPr>
              <w:rFonts w:ascii="Arial" w:hAnsi="Arial" w:cs="Arial"/>
            </w:rPr>
            <w:instrText xml:space="preserve"> TOC \o "1-3" \h \z \u </w:instrText>
          </w:r>
          <w:r w:rsidRPr="00166090">
            <w:rPr>
              <w:rFonts w:ascii="Arial" w:hAnsi="Arial" w:cs="Arial"/>
            </w:rPr>
            <w:fldChar w:fldCharType="separate"/>
          </w:r>
          <w:hyperlink w:anchor="_Toc233410960" w:history="1">
            <w:r w:rsidR="00E07A79" w:rsidRPr="00656A29">
              <w:rPr>
                <w:rStyle w:val="Hyperlink"/>
                <w:rFonts w:ascii="Arial" w:hAnsi="Arial" w:cs="Arial"/>
                <w:noProof/>
                <w:lang w:eastAsia="en-GB"/>
              </w:rPr>
              <w:t>Definition</w:t>
            </w:r>
            <w:r w:rsidR="00E07A79">
              <w:rPr>
                <w:noProof/>
                <w:webHidden/>
              </w:rPr>
              <w:tab/>
            </w:r>
            <w:r w:rsidR="00E07A79">
              <w:rPr>
                <w:noProof/>
                <w:webHidden/>
              </w:rPr>
              <w:fldChar w:fldCharType="begin"/>
            </w:r>
            <w:r w:rsidR="00E07A79">
              <w:rPr>
                <w:noProof/>
                <w:webHidden/>
              </w:rPr>
              <w:instrText xml:space="preserve"> PAGEREF _Toc233410960 \h </w:instrText>
            </w:r>
            <w:r w:rsidR="00E07A79">
              <w:rPr>
                <w:noProof/>
                <w:webHidden/>
              </w:rPr>
            </w:r>
            <w:r w:rsidR="00E07A79">
              <w:rPr>
                <w:noProof/>
                <w:webHidden/>
              </w:rPr>
              <w:fldChar w:fldCharType="separate"/>
            </w:r>
            <w:r w:rsidR="00E07A79">
              <w:rPr>
                <w:noProof/>
                <w:webHidden/>
              </w:rPr>
              <w:t>5</w:t>
            </w:r>
            <w:r w:rsidR="00E07A79">
              <w:rPr>
                <w:noProof/>
                <w:webHidden/>
              </w:rPr>
              <w:fldChar w:fldCharType="end"/>
            </w:r>
          </w:hyperlink>
        </w:p>
        <w:p w14:paraId="6D6771BF" w14:textId="4E30C88D" w:rsidR="00E07A79" w:rsidRDefault="00E07A79">
          <w:pPr>
            <w:pStyle w:val="TOC1"/>
            <w:tabs>
              <w:tab w:val="right" w:leader="dot" w:pos="5529"/>
            </w:tabs>
            <w:rPr>
              <w:rFonts w:eastAsiaTheme="minorEastAsia"/>
              <w:noProof/>
              <w:lang w:eastAsia="en-GB"/>
            </w:rPr>
          </w:pPr>
          <w:hyperlink w:anchor="_Toc233410962" w:history="1">
            <w:r w:rsidRPr="00656A29">
              <w:rPr>
                <w:rStyle w:val="Hyperlink"/>
                <w:rFonts w:ascii="Arial" w:eastAsia="Times New Roman" w:hAnsi="Arial" w:cs="Arial"/>
                <w:noProof/>
                <w:lang w:eastAsia="en-GB"/>
              </w:rPr>
              <w:t>Burden and Prevalence</w:t>
            </w:r>
            <w:r>
              <w:rPr>
                <w:noProof/>
                <w:webHidden/>
              </w:rPr>
              <w:tab/>
            </w:r>
            <w:r>
              <w:rPr>
                <w:noProof/>
                <w:webHidden/>
              </w:rPr>
              <w:fldChar w:fldCharType="begin"/>
            </w:r>
            <w:r>
              <w:rPr>
                <w:noProof/>
                <w:webHidden/>
              </w:rPr>
              <w:instrText xml:space="preserve"> PAGEREF _Toc233410962 \h </w:instrText>
            </w:r>
            <w:r>
              <w:rPr>
                <w:noProof/>
                <w:webHidden/>
              </w:rPr>
            </w:r>
            <w:r>
              <w:rPr>
                <w:noProof/>
                <w:webHidden/>
              </w:rPr>
              <w:fldChar w:fldCharType="separate"/>
            </w:r>
            <w:r>
              <w:rPr>
                <w:noProof/>
                <w:webHidden/>
              </w:rPr>
              <w:t>6</w:t>
            </w:r>
            <w:r>
              <w:rPr>
                <w:noProof/>
                <w:webHidden/>
              </w:rPr>
              <w:fldChar w:fldCharType="end"/>
            </w:r>
          </w:hyperlink>
        </w:p>
        <w:p w14:paraId="3483A71F" w14:textId="21FA6A59" w:rsidR="00E07A79" w:rsidRDefault="00E07A79">
          <w:pPr>
            <w:pStyle w:val="TOC2"/>
            <w:tabs>
              <w:tab w:val="right" w:leader="dot" w:pos="5529"/>
            </w:tabs>
            <w:rPr>
              <w:rFonts w:eastAsiaTheme="minorEastAsia"/>
              <w:noProof/>
              <w:lang w:eastAsia="en-GB"/>
            </w:rPr>
          </w:pPr>
          <w:hyperlink w:anchor="_Toc233410963" w:history="1">
            <w:r w:rsidRPr="00656A29">
              <w:rPr>
                <w:rStyle w:val="Hyperlink"/>
                <w:rFonts w:ascii="Arial" w:hAnsi="Arial" w:cs="Arial"/>
                <w:noProof/>
              </w:rPr>
              <w:t>Risk Factors and Aetiology</w:t>
            </w:r>
            <w:r>
              <w:rPr>
                <w:noProof/>
                <w:webHidden/>
              </w:rPr>
              <w:tab/>
            </w:r>
            <w:r>
              <w:rPr>
                <w:noProof/>
                <w:webHidden/>
              </w:rPr>
              <w:fldChar w:fldCharType="begin"/>
            </w:r>
            <w:r>
              <w:rPr>
                <w:noProof/>
                <w:webHidden/>
              </w:rPr>
              <w:instrText xml:space="preserve"> PAGEREF _Toc233410963 \h </w:instrText>
            </w:r>
            <w:r>
              <w:rPr>
                <w:noProof/>
                <w:webHidden/>
              </w:rPr>
            </w:r>
            <w:r>
              <w:rPr>
                <w:noProof/>
                <w:webHidden/>
              </w:rPr>
              <w:fldChar w:fldCharType="separate"/>
            </w:r>
            <w:r>
              <w:rPr>
                <w:noProof/>
                <w:webHidden/>
              </w:rPr>
              <w:t>7</w:t>
            </w:r>
            <w:r>
              <w:rPr>
                <w:noProof/>
                <w:webHidden/>
              </w:rPr>
              <w:fldChar w:fldCharType="end"/>
            </w:r>
          </w:hyperlink>
        </w:p>
        <w:p w14:paraId="39AF181E" w14:textId="7800F166" w:rsidR="00E07A79" w:rsidRDefault="00E07A79">
          <w:pPr>
            <w:pStyle w:val="TOC2"/>
            <w:tabs>
              <w:tab w:val="right" w:leader="dot" w:pos="5529"/>
            </w:tabs>
            <w:rPr>
              <w:rFonts w:eastAsiaTheme="minorEastAsia"/>
              <w:noProof/>
              <w:lang w:eastAsia="en-GB"/>
            </w:rPr>
          </w:pPr>
          <w:hyperlink w:anchor="_Toc233410964" w:history="1">
            <w:r w:rsidRPr="00656A29">
              <w:rPr>
                <w:rStyle w:val="Hyperlink"/>
                <w:rFonts w:ascii="Arial" w:hAnsi="Arial" w:cs="Arial"/>
                <w:noProof/>
              </w:rPr>
              <w:t>Physical Implication</w:t>
            </w:r>
            <w:r>
              <w:rPr>
                <w:noProof/>
                <w:webHidden/>
              </w:rPr>
              <w:tab/>
            </w:r>
            <w:r>
              <w:rPr>
                <w:noProof/>
                <w:webHidden/>
              </w:rPr>
              <w:fldChar w:fldCharType="begin"/>
            </w:r>
            <w:r>
              <w:rPr>
                <w:noProof/>
                <w:webHidden/>
              </w:rPr>
              <w:instrText xml:space="preserve"> PAGEREF _Toc233410964 \h </w:instrText>
            </w:r>
            <w:r>
              <w:rPr>
                <w:noProof/>
                <w:webHidden/>
              </w:rPr>
            </w:r>
            <w:r>
              <w:rPr>
                <w:noProof/>
                <w:webHidden/>
              </w:rPr>
              <w:fldChar w:fldCharType="separate"/>
            </w:r>
            <w:r>
              <w:rPr>
                <w:noProof/>
                <w:webHidden/>
              </w:rPr>
              <w:t>11</w:t>
            </w:r>
            <w:r>
              <w:rPr>
                <w:noProof/>
                <w:webHidden/>
              </w:rPr>
              <w:fldChar w:fldCharType="end"/>
            </w:r>
          </w:hyperlink>
        </w:p>
        <w:p w14:paraId="0D3D1829" w14:textId="5F1D07E6" w:rsidR="00E07A79" w:rsidRDefault="00E07A79">
          <w:pPr>
            <w:pStyle w:val="TOC2"/>
            <w:tabs>
              <w:tab w:val="right" w:leader="dot" w:pos="5529"/>
            </w:tabs>
            <w:rPr>
              <w:rFonts w:eastAsiaTheme="minorEastAsia"/>
              <w:noProof/>
              <w:lang w:eastAsia="en-GB"/>
            </w:rPr>
          </w:pPr>
          <w:hyperlink w:anchor="_Toc233410965" w:history="1">
            <w:r w:rsidRPr="00656A29">
              <w:rPr>
                <w:rStyle w:val="Hyperlink"/>
                <w:rFonts w:ascii="Arial" w:eastAsia="Times New Roman" w:hAnsi="Arial" w:cs="Arial"/>
                <w:noProof/>
                <w:lang w:eastAsia="en-GB"/>
              </w:rPr>
              <w:t>Psychological Impact</w:t>
            </w:r>
            <w:r>
              <w:rPr>
                <w:noProof/>
                <w:webHidden/>
              </w:rPr>
              <w:tab/>
            </w:r>
            <w:r>
              <w:rPr>
                <w:noProof/>
                <w:webHidden/>
              </w:rPr>
              <w:fldChar w:fldCharType="begin"/>
            </w:r>
            <w:r>
              <w:rPr>
                <w:noProof/>
                <w:webHidden/>
              </w:rPr>
              <w:instrText xml:space="preserve"> PAGEREF _Toc233410965 \h </w:instrText>
            </w:r>
            <w:r>
              <w:rPr>
                <w:noProof/>
                <w:webHidden/>
              </w:rPr>
            </w:r>
            <w:r>
              <w:rPr>
                <w:noProof/>
                <w:webHidden/>
              </w:rPr>
              <w:fldChar w:fldCharType="separate"/>
            </w:r>
            <w:r>
              <w:rPr>
                <w:noProof/>
                <w:webHidden/>
              </w:rPr>
              <w:t>12</w:t>
            </w:r>
            <w:r>
              <w:rPr>
                <w:noProof/>
                <w:webHidden/>
              </w:rPr>
              <w:fldChar w:fldCharType="end"/>
            </w:r>
          </w:hyperlink>
        </w:p>
        <w:p w14:paraId="7BD48787" w14:textId="55DD8526" w:rsidR="00E07A79" w:rsidRDefault="00E07A79">
          <w:pPr>
            <w:pStyle w:val="TOC2"/>
            <w:tabs>
              <w:tab w:val="right" w:leader="dot" w:pos="5529"/>
            </w:tabs>
            <w:rPr>
              <w:rFonts w:eastAsiaTheme="minorEastAsia"/>
              <w:noProof/>
              <w:lang w:eastAsia="en-GB"/>
            </w:rPr>
          </w:pPr>
          <w:hyperlink w:anchor="_Toc233410966" w:history="1">
            <w:r w:rsidRPr="00656A29">
              <w:rPr>
                <w:rStyle w:val="Hyperlink"/>
                <w:rFonts w:ascii="Arial" w:eastAsia="Times New Roman" w:hAnsi="Arial" w:cs="Arial"/>
                <w:noProof/>
                <w:lang w:eastAsia="en-GB"/>
              </w:rPr>
              <w:t>Social Implication</w:t>
            </w:r>
            <w:r>
              <w:rPr>
                <w:noProof/>
                <w:webHidden/>
              </w:rPr>
              <w:tab/>
            </w:r>
            <w:r>
              <w:rPr>
                <w:noProof/>
                <w:webHidden/>
              </w:rPr>
              <w:fldChar w:fldCharType="begin"/>
            </w:r>
            <w:r>
              <w:rPr>
                <w:noProof/>
                <w:webHidden/>
              </w:rPr>
              <w:instrText xml:space="preserve"> PAGEREF _Toc233410966 \h </w:instrText>
            </w:r>
            <w:r>
              <w:rPr>
                <w:noProof/>
                <w:webHidden/>
              </w:rPr>
            </w:r>
            <w:r>
              <w:rPr>
                <w:noProof/>
                <w:webHidden/>
              </w:rPr>
              <w:fldChar w:fldCharType="separate"/>
            </w:r>
            <w:r>
              <w:rPr>
                <w:noProof/>
                <w:webHidden/>
              </w:rPr>
              <w:t>13</w:t>
            </w:r>
            <w:r>
              <w:rPr>
                <w:noProof/>
                <w:webHidden/>
              </w:rPr>
              <w:fldChar w:fldCharType="end"/>
            </w:r>
          </w:hyperlink>
        </w:p>
        <w:p w14:paraId="23602D72" w14:textId="626EB9F0" w:rsidR="00E07A79" w:rsidRDefault="00E07A79">
          <w:pPr>
            <w:pStyle w:val="TOC2"/>
            <w:tabs>
              <w:tab w:val="right" w:leader="dot" w:pos="5529"/>
            </w:tabs>
            <w:rPr>
              <w:rFonts w:eastAsiaTheme="minorEastAsia"/>
              <w:noProof/>
              <w:lang w:eastAsia="en-GB"/>
            </w:rPr>
          </w:pPr>
          <w:hyperlink w:anchor="_Toc233410967" w:history="1">
            <w:r w:rsidRPr="00656A29">
              <w:rPr>
                <w:rStyle w:val="Hyperlink"/>
                <w:rFonts w:ascii="Arial" w:hAnsi="Arial" w:cs="Arial"/>
                <w:noProof/>
              </w:rPr>
              <w:t>Family Implication</w:t>
            </w:r>
            <w:r>
              <w:rPr>
                <w:noProof/>
                <w:webHidden/>
              </w:rPr>
              <w:tab/>
            </w:r>
            <w:r>
              <w:rPr>
                <w:noProof/>
                <w:webHidden/>
              </w:rPr>
              <w:fldChar w:fldCharType="begin"/>
            </w:r>
            <w:r>
              <w:rPr>
                <w:noProof/>
                <w:webHidden/>
              </w:rPr>
              <w:instrText xml:space="preserve"> PAGEREF _Toc233410967 \h </w:instrText>
            </w:r>
            <w:r>
              <w:rPr>
                <w:noProof/>
                <w:webHidden/>
              </w:rPr>
            </w:r>
            <w:r>
              <w:rPr>
                <w:noProof/>
                <w:webHidden/>
              </w:rPr>
              <w:fldChar w:fldCharType="separate"/>
            </w:r>
            <w:r>
              <w:rPr>
                <w:noProof/>
                <w:webHidden/>
              </w:rPr>
              <w:t>14</w:t>
            </w:r>
            <w:r>
              <w:rPr>
                <w:noProof/>
                <w:webHidden/>
              </w:rPr>
              <w:fldChar w:fldCharType="end"/>
            </w:r>
          </w:hyperlink>
        </w:p>
        <w:p w14:paraId="3BBC3B5E" w14:textId="4EA0CF2C" w:rsidR="00E07A79" w:rsidRDefault="00E07A79">
          <w:pPr>
            <w:pStyle w:val="TOC2"/>
            <w:tabs>
              <w:tab w:val="right" w:leader="dot" w:pos="5529"/>
            </w:tabs>
            <w:rPr>
              <w:rFonts w:eastAsiaTheme="minorEastAsia"/>
              <w:noProof/>
              <w:lang w:eastAsia="en-GB"/>
            </w:rPr>
          </w:pPr>
          <w:hyperlink w:anchor="_Toc233410968" w:history="1">
            <w:r w:rsidRPr="00656A29">
              <w:rPr>
                <w:rStyle w:val="Hyperlink"/>
                <w:rFonts w:ascii="Arial" w:hAnsi="Arial" w:cs="Arial"/>
                <w:noProof/>
              </w:rPr>
              <w:t>Evidence- Based Treatments in UK (NHS)</w:t>
            </w:r>
            <w:r>
              <w:rPr>
                <w:noProof/>
                <w:webHidden/>
              </w:rPr>
              <w:tab/>
            </w:r>
            <w:r>
              <w:rPr>
                <w:noProof/>
                <w:webHidden/>
              </w:rPr>
              <w:fldChar w:fldCharType="begin"/>
            </w:r>
            <w:r>
              <w:rPr>
                <w:noProof/>
                <w:webHidden/>
              </w:rPr>
              <w:instrText xml:space="preserve"> PAGEREF _Toc233410968 \h </w:instrText>
            </w:r>
            <w:r>
              <w:rPr>
                <w:noProof/>
                <w:webHidden/>
              </w:rPr>
            </w:r>
            <w:r>
              <w:rPr>
                <w:noProof/>
                <w:webHidden/>
              </w:rPr>
              <w:fldChar w:fldCharType="separate"/>
            </w:r>
            <w:r>
              <w:rPr>
                <w:noProof/>
                <w:webHidden/>
              </w:rPr>
              <w:t>15</w:t>
            </w:r>
            <w:r>
              <w:rPr>
                <w:noProof/>
                <w:webHidden/>
              </w:rPr>
              <w:fldChar w:fldCharType="end"/>
            </w:r>
          </w:hyperlink>
        </w:p>
        <w:p w14:paraId="3F3E4D88" w14:textId="3BBBB171" w:rsidR="00E07A79" w:rsidRDefault="00E07A79">
          <w:pPr>
            <w:pStyle w:val="TOC2"/>
            <w:tabs>
              <w:tab w:val="right" w:leader="dot" w:pos="5529"/>
            </w:tabs>
            <w:rPr>
              <w:rFonts w:eastAsiaTheme="minorEastAsia"/>
              <w:noProof/>
              <w:lang w:eastAsia="en-GB"/>
            </w:rPr>
          </w:pPr>
          <w:hyperlink w:anchor="_Toc233410969" w:history="1">
            <w:r w:rsidRPr="00656A29">
              <w:rPr>
                <w:rStyle w:val="Hyperlink"/>
                <w:rFonts w:ascii="Arial" w:hAnsi="Arial" w:cs="Arial"/>
                <w:noProof/>
              </w:rPr>
              <w:t>Pharmacological treatment</w:t>
            </w:r>
            <w:r>
              <w:rPr>
                <w:noProof/>
                <w:webHidden/>
              </w:rPr>
              <w:tab/>
            </w:r>
            <w:r>
              <w:rPr>
                <w:noProof/>
                <w:webHidden/>
              </w:rPr>
              <w:fldChar w:fldCharType="begin"/>
            </w:r>
            <w:r>
              <w:rPr>
                <w:noProof/>
                <w:webHidden/>
              </w:rPr>
              <w:instrText xml:space="preserve"> PAGEREF _Toc233410969 \h </w:instrText>
            </w:r>
            <w:r>
              <w:rPr>
                <w:noProof/>
                <w:webHidden/>
              </w:rPr>
            </w:r>
            <w:r>
              <w:rPr>
                <w:noProof/>
                <w:webHidden/>
              </w:rPr>
              <w:fldChar w:fldCharType="separate"/>
            </w:r>
            <w:r>
              <w:rPr>
                <w:noProof/>
                <w:webHidden/>
              </w:rPr>
              <w:t>16</w:t>
            </w:r>
            <w:r>
              <w:rPr>
                <w:noProof/>
                <w:webHidden/>
              </w:rPr>
              <w:fldChar w:fldCharType="end"/>
            </w:r>
          </w:hyperlink>
        </w:p>
        <w:p w14:paraId="54311FB7" w14:textId="697C0953" w:rsidR="00E07A79" w:rsidRDefault="00E07A79">
          <w:pPr>
            <w:pStyle w:val="TOC2"/>
            <w:tabs>
              <w:tab w:val="right" w:leader="dot" w:pos="5529"/>
            </w:tabs>
            <w:rPr>
              <w:rFonts w:eastAsiaTheme="minorEastAsia"/>
              <w:noProof/>
              <w:lang w:eastAsia="en-GB"/>
            </w:rPr>
          </w:pPr>
          <w:hyperlink w:anchor="_Toc233410970" w:history="1">
            <w:r w:rsidRPr="00656A29">
              <w:rPr>
                <w:rStyle w:val="Hyperlink"/>
                <w:rFonts w:ascii="Arial" w:eastAsia="Times New Roman" w:hAnsi="Arial" w:cs="Arial"/>
                <w:noProof/>
                <w:lang w:eastAsia="en-GB"/>
              </w:rPr>
              <w:t>Theoretical Perspectives and Frameworks</w:t>
            </w:r>
            <w:r>
              <w:rPr>
                <w:noProof/>
                <w:webHidden/>
              </w:rPr>
              <w:tab/>
            </w:r>
            <w:r>
              <w:rPr>
                <w:noProof/>
                <w:webHidden/>
              </w:rPr>
              <w:fldChar w:fldCharType="begin"/>
            </w:r>
            <w:r>
              <w:rPr>
                <w:noProof/>
                <w:webHidden/>
              </w:rPr>
              <w:instrText xml:space="preserve"> PAGEREF _Toc233410970 \h </w:instrText>
            </w:r>
            <w:r>
              <w:rPr>
                <w:noProof/>
                <w:webHidden/>
              </w:rPr>
            </w:r>
            <w:r>
              <w:rPr>
                <w:noProof/>
                <w:webHidden/>
              </w:rPr>
              <w:fldChar w:fldCharType="separate"/>
            </w:r>
            <w:r>
              <w:rPr>
                <w:noProof/>
                <w:webHidden/>
              </w:rPr>
              <w:t>17</w:t>
            </w:r>
            <w:r>
              <w:rPr>
                <w:noProof/>
                <w:webHidden/>
              </w:rPr>
              <w:fldChar w:fldCharType="end"/>
            </w:r>
          </w:hyperlink>
        </w:p>
        <w:p w14:paraId="7B9A89FE" w14:textId="5193A8AF" w:rsidR="00E07A79" w:rsidRDefault="00E07A79">
          <w:pPr>
            <w:pStyle w:val="TOC2"/>
            <w:tabs>
              <w:tab w:val="right" w:leader="dot" w:pos="5529"/>
            </w:tabs>
            <w:rPr>
              <w:rFonts w:eastAsiaTheme="minorEastAsia"/>
              <w:noProof/>
              <w:lang w:eastAsia="en-GB"/>
            </w:rPr>
          </w:pPr>
          <w:hyperlink w:anchor="_Toc233410971" w:history="1">
            <w:r w:rsidRPr="00656A29">
              <w:rPr>
                <w:rStyle w:val="Hyperlink"/>
                <w:rFonts w:ascii="Arial" w:hAnsi="Arial" w:cs="Arial"/>
                <w:noProof/>
              </w:rPr>
              <w:t>Policy Global and UK</w:t>
            </w:r>
            <w:r>
              <w:rPr>
                <w:noProof/>
                <w:webHidden/>
              </w:rPr>
              <w:tab/>
            </w:r>
            <w:r>
              <w:rPr>
                <w:noProof/>
                <w:webHidden/>
              </w:rPr>
              <w:fldChar w:fldCharType="begin"/>
            </w:r>
            <w:r>
              <w:rPr>
                <w:noProof/>
                <w:webHidden/>
              </w:rPr>
              <w:instrText xml:space="preserve"> PAGEREF _Toc233410971 \h </w:instrText>
            </w:r>
            <w:r>
              <w:rPr>
                <w:noProof/>
                <w:webHidden/>
              </w:rPr>
            </w:r>
            <w:r>
              <w:rPr>
                <w:noProof/>
                <w:webHidden/>
              </w:rPr>
              <w:fldChar w:fldCharType="separate"/>
            </w:r>
            <w:r>
              <w:rPr>
                <w:noProof/>
                <w:webHidden/>
              </w:rPr>
              <w:t>19</w:t>
            </w:r>
            <w:r>
              <w:rPr>
                <w:noProof/>
                <w:webHidden/>
              </w:rPr>
              <w:fldChar w:fldCharType="end"/>
            </w:r>
          </w:hyperlink>
        </w:p>
        <w:p w14:paraId="72ACBF4B" w14:textId="2EE36E7D" w:rsidR="00E07A79" w:rsidRDefault="00E07A79">
          <w:pPr>
            <w:pStyle w:val="TOC2"/>
            <w:tabs>
              <w:tab w:val="right" w:leader="dot" w:pos="5529"/>
            </w:tabs>
            <w:rPr>
              <w:rFonts w:eastAsiaTheme="minorEastAsia"/>
              <w:noProof/>
              <w:lang w:eastAsia="en-GB"/>
            </w:rPr>
          </w:pPr>
          <w:hyperlink w:anchor="_Toc233410972" w:history="1">
            <w:r w:rsidRPr="00656A29">
              <w:rPr>
                <w:rStyle w:val="Hyperlink"/>
                <w:rFonts w:ascii="Arial" w:hAnsi="Arial" w:cs="Arial"/>
                <w:noProof/>
              </w:rPr>
              <w:t>Political Global and UK</w:t>
            </w:r>
            <w:r>
              <w:rPr>
                <w:noProof/>
                <w:webHidden/>
              </w:rPr>
              <w:tab/>
            </w:r>
            <w:r>
              <w:rPr>
                <w:noProof/>
                <w:webHidden/>
              </w:rPr>
              <w:fldChar w:fldCharType="begin"/>
            </w:r>
            <w:r>
              <w:rPr>
                <w:noProof/>
                <w:webHidden/>
              </w:rPr>
              <w:instrText xml:space="preserve"> PAGEREF _Toc233410972 \h </w:instrText>
            </w:r>
            <w:r>
              <w:rPr>
                <w:noProof/>
                <w:webHidden/>
              </w:rPr>
            </w:r>
            <w:r>
              <w:rPr>
                <w:noProof/>
                <w:webHidden/>
              </w:rPr>
              <w:fldChar w:fldCharType="separate"/>
            </w:r>
            <w:r>
              <w:rPr>
                <w:noProof/>
                <w:webHidden/>
              </w:rPr>
              <w:t>19</w:t>
            </w:r>
            <w:r>
              <w:rPr>
                <w:noProof/>
                <w:webHidden/>
              </w:rPr>
              <w:fldChar w:fldCharType="end"/>
            </w:r>
          </w:hyperlink>
        </w:p>
        <w:p w14:paraId="6833A158" w14:textId="6F4FB51C" w:rsidR="00E07A79" w:rsidRDefault="00E07A79">
          <w:pPr>
            <w:pStyle w:val="TOC1"/>
            <w:tabs>
              <w:tab w:val="right" w:leader="dot" w:pos="5529"/>
            </w:tabs>
            <w:rPr>
              <w:rFonts w:eastAsiaTheme="minorEastAsia"/>
              <w:noProof/>
              <w:lang w:eastAsia="en-GB"/>
            </w:rPr>
          </w:pPr>
          <w:hyperlink w:anchor="_Toc233410973" w:history="1">
            <w:r w:rsidRPr="00656A29">
              <w:rPr>
                <w:rStyle w:val="Hyperlink"/>
                <w:rFonts w:ascii="Arial" w:eastAsia="Times New Roman" w:hAnsi="Arial" w:cs="Arial"/>
                <w:noProof/>
                <w:lang w:eastAsia="en-GB"/>
              </w:rPr>
              <w:t>Recommendation</w:t>
            </w:r>
            <w:r>
              <w:rPr>
                <w:noProof/>
                <w:webHidden/>
              </w:rPr>
              <w:tab/>
            </w:r>
            <w:r>
              <w:rPr>
                <w:noProof/>
                <w:webHidden/>
              </w:rPr>
              <w:fldChar w:fldCharType="begin"/>
            </w:r>
            <w:r>
              <w:rPr>
                <w:noProof/>
                <w:webHidden/>
              </w:rPr>
              <w:instrText xml:space="preserve"> PAGEREF _Toc233410973 \h </w:instrText>
            </w:r>
            <w:r>
              <w:rPr>
                <w:noProof/>
                <w:webHidden/>
              </w:rPr>
            </w:r>
            <w:r>
              <w:rPr>
                <w:noProof/>
                <w:webHidden/>
              </w:rPr>
              <w:fldChar w:fldCharType="separate"/>
            </w:r>
            <w:r>
              <w:rPr>
                <w:noProof/>
                <w:webHidden/>
              </w:rPr>
              <w:t>20</w:t>
            </w:r>
            <w:r>
              <w:rPr>
                <w:noProof/>
                <w:webHidden/>
              </w:rPr>
              <w:fldChar w:fldCharType="end"/>
            </w:r>
          </w:hyperlink>
        </w:p>
        <w:p w14:paraId="1FC1ABF9" w14:textId="46ABFF3E" w:rsidR="00E07A79" w:rsidRDefault="00E07A79">
          <w:pPr>
            <w:pStyle w:val="TOC1"/>
            <w:tabs>
              <w:tab w:val="right" w:leader="dot" w:pos="5529"/>
            </w:tabs>
            <w:rPr>
              <w:rFonts w:eastAsiaTheme="minorEastAsia"/>
              <w:noProof/>
              <w:lang w:eastAsia="en-GB"/>
            </w:rPr>
          </w:pPr>
          <w:hyperlink w:anchor="_Toc233410974" w:history="1">
            <w:r w:rsidRPr="00656A29">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_Toc233410974 \h </w:instrText>
            </w:r>
            <w:r>
              <w:rPr>
                <w:noProof/>
                <w:webHidden/>
              </w:rPr>
            </w:r>
            <w:r>
              <w:rPr>
                <w:noProof/>
                <w:webHidden/>
              </w:rPr>
              <w:fldChar w:fldCharType="separate"/>
            </w:r>
            <w:r>
              <w:rPr>
                <w:noProof/>
                <w:webHidden/>
              </w:rPr>
              <w:t>21</w:t>
            </w:r>
            <w:r>
              <w:rPr>
                <w:noProof/>
                <w:webHidden/>
              </w:rPr>
              <w:fldChar w:fldCharType="end"/>
            </w:r>
          </w:hyperlink>
        </w:p>
        <w:p w14:paraId="01701032" w14:textId="63EF44B9" w:rsidR="00886CC5" w:rsidRDefault="00886CC5" w:rsidP="00886CC5">
          <w:pPr>
            <w:rPr>
              <w:rFonts w:ascii="Arial" w:hAnsi="Arial" w:cs="Arial"/>
              <w:b/>
              <w:bCs/>
              <w:noProof/>
            </w:rPr>
          </w:pPr>
          <w:r w:rsidRPr="00166090">
            <w:rPr>
              <w:rFonts w:ascii="Arial" w:hAnsi="Arial" w:cs="Arial"/>
              <w:b/>
              <w:bCs/>
              <w:noProof/>
            </w:rPr>
            <w:fldChar w:fldCharType="end"/>
          </w:r>
        </w:p>
      </w:sdtContent>
    </w:sdt>
    <w:p w14:paraId="0E476497" w14:textId="77777777" w:rsidR="00886CC5" w:rsidRPr="00B60BBA" w:rsidRDefault="00886CC5" w:rsidP="00886CC5">
      <w:pPr>
        <w:spacing w:before="100" w:beforeAutospacing="1" w:after="120"/>
        <w:ind w:right="-57"/>
        <w:jc w:val="center"/>
        <w:rPr>
          <w:rFonts w:ascii="Arial" w:hAnsi="Arial" w:cs="Arial"/>
        </w:rPr>
      </w:pPr>
      <w:r w:rsidRPr="00166090">
        <w:rPr>
          <w:rFonts w:ascii="Arial" w:hAnsi="Arial" w:cs="Arial"/>
          <w:noProof/>
        </w:rPr>
        <w:lastRenderedPageBreak/>
        <w:drawing>
          <wp:inline distT="0" distB="0" distL="0" distR="0" wp14:anchorId="63EAC002" wp14:editId="3FD4EDAF">
            <wp:extent cx="3978275" cy="2988127"/>
            <wp:effectExtent l="0" t="0" r="3175" b="3175"/>
            <wp:docPr id="1124564120" name="Picture 4" descr="Diabetes type - infographic - Health Screening and Vaccine Clin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abetes type - infographic - Health Screening and Vaccine Clinic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78275" cy="2988127"/>
                    </a:xfrm>
                    <a:prstGeom prst="rect">
                      <a:avLst/>
                    </a:prstGeom>
                    <a:noFill/>
                    <a:ln>
                      <a:noFill/>
                    </a:ln>
                  </pic:spPr>
                </pic:pic>
              </a:graphicData>
            </a:graphic>
          </wp:inline>
        </w:drawing>
      </w:r>
      <w:r w:rsidRPr="004D4E9D">
        <w:rPr>
          <w:rFonts w:ascii="Arial" w:hAnsi="Arial" w:cs="Arial"/>
          <w:b/>
          <w:bCs/>
        </w:rPr>
        <w:t>Title:  Managing Type 2 Diabetes in the UK</w:t>
      </w:r>
    </w:p>
    <w:p w14:paraId="6FAC1B70" w14:textId="77777777" w:rsidR="00886CC5" w:rsidRPr="00780C23" w:rsidRDefault="00886CC5" w:rsidP="00886CC5">
      <w:pPr>
        <w:pStyle w:val="Heading2"/>
        <w:spacing w:after="120"/>
        <w:ind w:right="-170"/>
        <w:rPr>
          <w:rFonts w:ascii="Arial" w:hAnsi="Arial" w:cs="Arial"/>
          <w:sz w:val="22"/>
          <w:szCs w:val="22"/>
          <w:lang w:eastAsia="en-GB"/>
        </w:rPr>
      </w:pPr>
      <w:bookmarkStart w:id="0" w:name="_Toc233410960"/>
      <w:r w:rsidRPr="00780C23">
        <w:rPr>
          <w:rFonts w:ascii="Arial" w:hAnsi="Arial" w:cs="Arial"/>
          <w:sz w:val="22"/>
          <w:szCs w:val="22"/>
          <w:lang w:eastAsia="en-GB"/>
        </w:rPr>
        <w:lastRenderedPageBreak/>
        <w:t>Definition</w:t>
      </w:r>
      <w:bookmarkEnd w:id="0"/>
      <w:r w:rsidRPr="00780C23">
        <w:rPr>
          <w:rFonts w:ascii="Arial" w:hAnsi="Arial" w:cs="Arial"/>
          <w:sz w:val="22"/>
          <w:szCs w:val="22"/>
          <w:lang w:eastAsia="en-GB"/>
        </w:rPr>
        <w:t xml:space="preserve"> </w:t>
      </w:r>
    </w:p>
    <w:p w14:paraId="38A58F6D" w14:textId="77777777" w:rsidR="00886CC5" w:rsidRDefault="00886CC5" w:rsidP="00886CC5">
      <w:pPr>
        <w:pStyle w:val="Heading2"/>
        <w:rPr>
          <w:rFonts w:ascii="Arial" w:eastAsia="Times New Roman" w:hAnsi="Arial" w:cs="Arial"/>
          <w:color w:val="000000" w:themeColor="text1"/>
          <w:sz w:val="22"/>
          <w:szCs w:val="22"/>
          <w:lang w:eastAsia="en-GB"/>
        </w:rPr>
      </w:pPr>
      <w:bookmarkStart w:id="1" w:name="_Toc233410961"/>
      <w:r w:rsidRPr="00780C23">
        <w:rPr>
          <w:rStyle w:val="Heading1Char"/>
          <w:rFonts w:ascii="Arial" w:hAnsi="Arial" w:cs="Arial"/>
          <w:color w:val="auto"/>
          <w:sz w:val="22"/>
          <w:szCs w:val="22"/>
          <w:lang w:eastAsia="en-GB"/>
        </w:rPr>
        <w:t>Type 2 diabetes (T2D) is a long-term metabolic problem that gets worse over time. It is marked by insulin resistance and relative insulin deficiency, which leads to persistent high blood sugar (ADA, 2023). It is not the same as Type 1 diabetes, which is caused by an autoimmune disease, or gestational diabetes, which is discovered during pregnancy (IDF, 2022). In T2D, peripheral tissues, especially muscle and fat, react less well to insulin. Also, pancreatic B-cell function may decrease over time, which raises the risk of heart disease if blood sugar levels are not controlled (WHO, 2022). The condition requires ongoing management to prevent complications and maintain quality of life (National Institute for Health and Care Excellence, 2023).</w:t>
      </w:r>
      <w:bookmarkStart w:id="2" w:name="_Toc232202518"/>
      <w:r w:rsidRPr="00780C23">
        <w:rPr>
          <w:rFonts w:ascii="Arial" w:eastAsia="Times New Roman" w:hAnsi="Arial" w:cs="Arial"/>
          <w:color w:val="auto"/>
          <w:sz w:val="22"/>
          <w:szCs w:val="22"/>
          <w:lang w:eastAsia="en-GB"/>
        </w:rPr>
        <w:t xml:space="preserve"> </w:t>
      </w:r>
      <w:r w:rsidRPr="00780C23">
        <w:rPr>
          <w:rFonts w:ascii="Arial" w:eastAsia="Times New Roman" w:hAnsi="Arial" w:cs="Arial"/>
          <w:color w:val="000000" w:themeColor="text1"/>
          <w:sz w:val="22"/>
          <w:szCs w:val="22"/>
          <w:lang w:eastAsia="en-GB"/>
        </w:rPr>
        <w:t>This edition has been intended for users and professionals of health and care services in the UK. It provides a brief evidence-based overview of Type 2 diabetes (T2D) including its definition, burden in the world and in the UK, risk factors, effects on individuals and families, NHS treatments, theoretical models, policy context and recommendations for person-centred care, self-management and end-of-life issues where relevant.</w:t>
      </w:r>
      <w:bookmarkEnd w:id="1"/>
      <w:bookmarkEnd w:id="2"/>
    </w:p>
    <w:p w14:paraId="16C502C2" w14:textId="77777777" w:rsidR="00886CC5" w:rsidRPr="00886CC5" w:rsidRDefault="00886CC5" w:rsidP="00886CC5">
      <w:pPr>
        <w:rPr>
          <w:lang w:eastAsia="en-GB"/>
        </w:rPr>
      </w:pPr>
    </w:p>
    <w:p w14:paraId="3C6EA384" w14:textId="32A009FE" w:rsidR="00886CC5" w:rsidRPr="00780C23" w:rsidRDefault="00886CC5" w:rsidP="00886CC5">
      <w:pPr>
        <w:pStyle w:val="Heading1"/>
        <w:rPr>
          <w:rFonts w:ascii="Arial" w:eastAsia="Times New Roman" w:hAnsi="Arial" w:cs="Arial"/>
          <w:sz w:val="22"/>
          <w:szCs w:val="22"/>
          <w:lang w:eastAsia="en-GB"/>
        </w:rPr>
      </w:pPr>
      <w:bookmarkStart w:id="3" w:name="_Toc233410962"/>
      <w:r w:rsidRPr="00780C23">
        <w:rPr>
          <w:rFonts w:ascii="Arial" w:eastAsia="Times New Roman" w:hAnsi="Arial" w:cs="Arial"/>
          <w:sz w:val="22"/>
          <w:szCs w:val="22"/>
          <w:lang w:eastAsia="en-GB"/>
        </w:rPr>
        <w:lastRenderedPageBreak/>
        <w:t>Burden and Prevalence</w:t>
      </w:r>
      <w:bookmarkEnd w:id="3"/>
    </w:p>
    <w:p w14:paraId="7B83D019" w14:textId="77777777" w:rsidR="00886CC5" w:rsidRPr="00780C23" w:rsidRDefault="00886CC5" w:rsidP="00886CC5">
      <w:pPr>
        <w:spacing w:after="0" w:line="240" w:lineRule="auto"/>
        <w:rPr>
          <w:rFonts w:ascii="Arial" w:eastAsia="Times New Roman" w:hAnsi="Arial" w:cs="Arial"/>
          <w:kern w:val="0"/>
          <w:sz w:val="22"/>
          <w:szCs w:val="22"/>
          <w:lang w:eastAsia="en-GB"/>
          <w14:ligatures w14:val="none"/>
        </w:rPr>
      </w:pPr>
      <w:r w:rsidRPr="00780C23">
        <w:rPr>
          <w:rFonts w:ascii="Arial" w:hAnsi="Arial" w:cs="Arial"/>
          <w:noProof/>
          <w:sz w:val="22"/>
          <w:szCs w:val="22"/>
        </w:rPr>
        <w:drawing>
          <wp:anchor distT="0" distB="0" distL="114300" distR="114300" simplePos="0" relativeHeight="251659264" behindDoc="0" locked="0" layoutInCell="1" allowOverlap="1" wp14:anchorId="75E177C8" wp14:editId="65BD3667">
            <wp:simplePos x="0" y="0"/>
            <wp:positionH relativeFrom="column">
              <wp:posOffset>-164465</wp:posOffset>
            </wp:positionH>
            <wp:positionV relativeFrom="paragraph">
              <wp:posOffset>123190</wp:posOffset>
            </wp:positionV>
            <wp:extent cx="1753235" cy="2479675"/>
            <wp:effectExtent l="0" t="0" r="0" b="0"/>
            <wp:wrapSquare wrapText="bothSides"/>
            <wp:docPr id="2" name="Picture 1" descr="World Diabetes Day – Infographic - Nutritionist Resou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orld Diabetes Day – Infographic - Nutritionist Resour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53235" cy="24796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80C23">
        <w:rPr>
          <w:rFonts w:ascii="Arial" w:eastAsia="Times New Roman" w:hAnsi="Arial" w:cs="Arial"/>
          <w:kern w:val="0"/>
          <w:sz w:val="22"/>
          <w:szCs w:val="22"/>
          <w:lang w:eastAsia="en-GB"/>
          <w14:ligatures w14:val="none"/>
        </w:rPr>
        <w:t xml:space="preserve">Globally, over 550 million people will have Type 2 </w:t>
      </w:r>
      <w:proofErr w:type="spellStart"/>
      <w:r w:rsidRPr="00780C23">
        <w:rPr>
          <w:rFonts w:ascii="Arial" w:eastAsia="Times New Roman" w:hAnsi="Arial" w:cs="Arial"/>
          <w:kern w:val="0"/>
          <w:sz w:val="22"/>
          <w:szCs w:val="22"/>
          <w:lang w:eastAsia="en-GB"/>
          <w14:ligatures w14:val="none"/>
        </w:rPr>
        <w:t>daibetes</w:t>
      </w:r>
      <w:proofErr w:type="spellEnd"/>
      <w:r w:rsidRPr="00780C23">
        <w:rPr>
          <w:rFonts w:ascii="Arial" w:eastAsia="Times New Roman" w:hAnsi="Arial" w:cs="Arial"/>
          <w:kern w:val="0"/>
          <w:sz w:val="22"/>
          <w:szCs w:val="22"/>
          <w:lang w:eastAsia="en-GB"/>
          <w14:ligatures w14:val="none"/>
        </w:rPr>
        <w:t xml:space="preserve"> by 2030, according to the International Diabetes Federation (IDF, </w:t>
      </w:r>
      <w:r w:rsidRPr="00780C23">
        <w:rPr>
          <w:rFonts w:ascii="Arial" w:eastAsia="Times New Roman" w:hAnsi="Arial" w:cs="Arial"/>
          <w:color w:val="EE0000"/>
          <w:kern w:val="0"/>
          <w:sz w:val="22"/>
          <w:szCs w:val="22"/>
          <w:lang w:eastAsia="en-GB"/>
          <w14:ligatures w14:val="none"/>
        </w:rPr>
        <w:t>xxx</w:t>
      </w:r>
      <w:r w:rsidRPr="00780C23">
        <w:rPr>
          <w:rFonts w:ascii="Arial" w:eastAsia="Times New Roman" w:hAnsi="Arial" w:cs="Arial"/>
          <w:kern w:val="0"/>
          <w:sz w:val="22"/>
          <w:szCs w:val="22"/>
          <w:lang w:eastAsia="en-GB"/>
          <w14:ligatures w14:val="none"/>
        </w:rPr>
        <w:t>). Limited access to care and weaker supply lines for medicines and monitoring make the burden even heavier in places with low and middle incomes (IDF, 2020). About 85 to 95% of people with diabetes in the UK have T2D, according to surveys. This number is higher in older adults and people from South Asian and Black African/Caribbean groups (NICE, 2023). These huge costs, both directly to the NHS and indirectly through lost work time and productivity, show how important it is to avoid and manage chronic diseases well (NHS Long Term Plan, 2019). Regional differences in outcomes are shown by data on deprivation and racial and ethnicity trends (NHS Digital, 2022).</w:t>
      </w:r>
    </w:p>
    <w:p w14:paraId="0AD3446C" w14:textId="77777777" w:rsidR="00886CC5" w:rsidRPr="00780C23" w:rsidRDefault="00886CC5" w:rsidP="00886CC5">
      <w:pPr>
        <w:spacing w:after="0" w:line="240" w:lineRule="auto"/>
        <w:rPr>
          <w:rFonts w:ascii="Arial" w:eastAsia="Times New Roman" w:hAnsi="Arial" w:cs="Arial"/>
          <w:kern w:val="0"/>
          <w:sz w:val="22"/>
          <w:szCs w:val="22"/>
          <w:lang w:eastAsia="en-GB"/>
          <w14:ligatures w14:val="none"/>
        </w:rPr>
      </w:pPr>
    </w:p>
    <w:p w14:paraId="65F4A817" w14:textId="77777777" w:rsidR="00886CC5" w:rsidRPr="00780C23" w:rsidRDefault="00886CC5" w:rsidP="00886CC5">
      <w:pPr>
        <w:spacing w:after="0" w:line="240" w:lineRule="auto"/>
        <w:rPr>
          <w:rFonts w:ascii="Arial" w:eastAsia="Times New Roman" w:hAnsi="Arial" w:cs="Arial"/>
          <w:color w:val="E97132" w:themeColor="accent2"/>
          <w:kern w:val="0"/>
          <w:sz w:val="22"/>
          <w:szCs w:val="22"/>
          <w:lang w:eastAsia="en-GB"/>
          <w14:ligatures w14:val="none"/>
        </w:rPr>
      </w:pPr>
      <w:r w:rsidRPr="00780C23">
        <w:rPr>
          <w:rFonts w:ascii="Arial" w:eastAsia="Times New Roman" w:hAnsi="Arial" w:cs="Arial"/>
          <w:kern w:val="0"/>
          <w:sz w:val="22"/>
          <w:szCs w:val="22"/>
          <w:lang w:eastAsia="en-GB"/>
          <w14:ligatures w14:val="none"/>
        </w:rPr>
        <w:t xml:space="preserve">Most people with diabetes around the world have T2D. The International Disease Federation (IDF) and World Health Organisation (WHO) both stress that the disease is becoming more common because people are living longer, becoming overweight, and eating a lot of refined carbs and calories (IDF, 2022; WHO, 2022). 330 million people around the world have T2D diabetes, based on the diagnostic criteria and the health organization (IDF, 2022). About 6% to 14% of the world's adult population </w:t>
      </w:r>
      <w:r w:rsidRPr="00780C23">
        <w:rPr>
          <w:rFonts w:ascii="Arial" w:eastAsia="Times New Roman" w:hAnsi="Arial" w:cs="Arial"/>
          <w:kern w:val="0"/>
          <w:sz w:val="22"/>
          <w:szCs w:val="22"/>
          <w:lang w:eastAsia="en-GB"/>
          <w14:ligatures w14:val="none"/>
        </w:rPr>
        <w:lastRenderedPageBreak/>
        <w:t>has diabetes, which accounts for about 90% of all diabetes cases. Rates are steadily rising (Khan et al., 2020).</w:t>
      </w:r>
    </w:p>
    <w:p w14:paraId="1701F758" w14:textId="77777777" w:rsidR="00886CC5" w:rsidRPr="00780C23" w:rsidRDefault="00886CC5" w:rsidP="00886CC5">
      <w:pPr>
        <w:pStyle w:val="Heading2"/>
        <w:ind w:left="720"/>
        <w:rPr>
          <w:rFonts w:ascii="Arial" w:hAnsi="Arial" w:cs="Arial"/>
          <w:sz w:val="22"/>
          <w:szCs w:val="22"/>
        </w:rPr>
      </w:pPr>
      <w:r>
        <w:t xml:space="preserve"> </w:t>
      </w:r>
      <w:bookmarkStart w:id="4" w:name="_Toc233410963"/>
      <w:r w:rsidRPr="00780C23">
        <w:rPr>
          <w:rFonts w:ascii="Arial" w:hAnsi="Arial" w:cs="Arial"/>
          <w:sz w:val="22"/>
          <w:szCs w:val="22"/>
        </w:rPr>
        <w:t>Risk Factors and Aetiology</w:t>
      </w:r>
      <w:bookmarkEnd w:id="4"/>
    </w:p>
    <w:p w14:paraId="417AAA35" w14:textId="77777777" w:rsidR="00886CC5" w:rsidRPr="00780C23" w:rsidRDefault="00886CC5" w:rsidP="00886CC5">
      <w:pPr>
        <w:pStyle w:val="paragraph"/>
        <w:spacing w:before="0" w:beforeAutospacing="0" w:after="0" w:afterAutospacing="0"/>
        <w:textAlignment w:val="baseline"/>
        <w:rPr>
          <w:rFonts w:ascii="Arial" w:hAnsi="Arial" w:cs="Arial"/>
          <w:sz w:val="22"/>
          <w:szCs w:val="22"/>
        </w:rPr>
      </w:pPr>
    </w:p>
    <w:p w14:paraId="19E098C9" w14:textId="326E38B4" w:rsidR="00886CC5" w:rsidRDefault="00886CC5" w:rsidP="00886CC5">
      <w:pPr>
        <w:pStyle w:val="paragraph"/>
        <w:spacing w:before="0" w:beforeAutospacing="0" w:after="0" w:afterAutospacing="0"/>
        <w:textAlignment w:val="baseline"/>
        <w:rPr>
          <w:rStyle w:val="eop"/>
          <w:rFonts w:ascii="Arial" w:hAnsi="Arial" w:cs="Arial"/>
          <w:sz w:val="22"/>
          <w:szCs w:val="22"/>
          <w:bdr w:val="none" w:sz="0" w:space="0" w:color="auto" w:frame="1"/>
          <w:shd w:val="clear" w:color="auto" w:fill="C6C6C6"/>
        </w:rPr>
      </w:pPr>
      <w:r w:rsidRPr="00780C23">
        <w:rPr>
          <w:rStyle w:val="normaltextrun"/>
          <w:rFonts w:ascii="Arial" w:hAnsi="Arial" w:cs="Arial"/>
          <w:sz w:val="22"/>
          <w:szCs w:val="22"/>
        </w:rPr>
        <w:t>According to Saeedi et al. (2019), a complex interaction between modifiable socio-environmental factors and non-modifiable genetic backgrounds is responsible for the continued sharp rise in T2DM. It is essential to comprehend the complex risk factors and pathophysiological mechanisms </w:t>
      </w:r>
      <w:proofErr w:type="gramStart"/>
      <w:r w:rsidRPr="00780C23">
        <w:rPr>
          <w:rStyle w:val="normaltextrun"/>
          <w:rFonts w:ascii="Arial" w:hAnsi="Arial" w:cs="Arial"/>
          <w:sz w:val="22"/>
          <w:szCs w:val="22"/>
        </w:rPr>
        <w:t>in order to</w:t>
      </w:r>
      <w:proofErr w:type="gramEnd"/>
      <w:r w:rsidRPr="00780C23">
        <w:rPr>
          <w:rStyle w:val="normaltextrun"/>
          <w:rFonts w:ascii="Arial" w:hAnsi="Arial" w:cs="Arial"/>
          <w:sz w:val="22"/>
          <w:szCs w:val="22"/>
        </w:rPr>
        <w:t> implement therapeutic and preventative clinical interventions.</w:t>
      </w:r>
    </w:p>
    <w:p w14:paraId="58520F37" w14:textId="77777777" w:rsidR="00886CC5" w:rsidRPr="00780C23" w:rsidRDefault="00886CC5" w:rsidP="00886CC5">
      <w:pPr>
        <w:pStyle w:val="paragraph"/>
        <w:spacing w:before="0" w:beforeAutospacing="0" w:after="0" w:afterAutospacing="0"/>
        <w:textAlignment w:val="baseline"/>
        <w:rPr>
          <w:rFonts w:ascii="Arial" w:hAnsi="Arial" w:cs="Arial"/>
          <w:sz w:val="22"/>
          <w:szCs w:val="22"/>
        </w:rPr>
      </w:pPr>
    </w:p>
    <w:p w14:paraId="5F1E93A9" w14:textId="35810A20" w:rsidR="00886CC5" w:rsidRDefault="00886CC5" w:rsidP="00886CC5">
      <w:pPr>
        <w:pStyle w:val="paragraph"/>
        <w:spacing w:before="0" w:beforeAutospacing="0" w:after="0" w:afterAutospacing="0"/>
        <w:textAlignment w:val="baseline"/>
        <w:rPr>
          <w:rStyle w:val="eop"/>
          <w:rFonts w:ascii="Arial" w:hAnsi="Arial" w:cs="Arial"/>
          <w:color w:val="000000"/>
          <w:sz w:val="22"/>
          <w:szCs w:val="22"/>
          <w:bdr w:val="none" w:sz="0" w:space="0" w:color="auto" w:frame="1"/>
          <w:shd w:val="clear" w:color="auto" w:fill="C6C6C6"/>
        </w:rPr>
      </w:pPr>
      <w:r w:rsidRPr="00780C23">
        <w:rPr>
          <w:rStyle w:val="normaltextrun"/>
          <w:rFonts w:ascii="Arial" w:hAnsi="Arial" w:cs="Arial"/>
          <w:b/>
          <w:bCs/>
          <w:color w:val="000000"/>
          <w:sz w:val="22"/>
          <w:szCs w:val="22"/>
        </w:rPr>
        <w:t>Risk Factors for Type 2 Diabetes</w:t>
      </w:r>
    </w:p>
    <w:p w14:paraId="33139CB4" w14:textId="77777777" w:rsidR="00886CC5" w:rsidRPr="00780C23" w:rsidRDefault="00886CC5" w:rsidP="00886CC5">
      <w:pPr>
        <w:pStyle w:val="paragraph"/>
        <w:spacing w:before="0" w:beforeAutospacing="0" w:after="0" w:afterAutospacing="0"/>
        <w:textAlignment w:val="baseline"/>
        <w:rPr>
          <w:rFonts w:ascii="Arial" w:hAnsi="Arial" w:cs="Arial"/>
          <w:b/>
          <w:bCs/>
          <w:color w:val="000000"/>
          <w:sz w:val="22"/>
          <w:szCs w:val="22"/>
        </w:rPr>
      </w:pPr>
    </w:p>
    <w:p w14:paraId="126F64DC" w14:textId="239F68B7" w:rsidR="00886CC5" w:rsidRPr="00780C23" w:rsidRDefault="00886CC5" w:rsidP="00886CC5">
      <w:pPr>
        <w:pStyle w:val="paragraph"/>
        <w:spacing w:before="0" w:beforeAutospacing="0" w:after="0" w:afterAutospacing="0"/>
        <w:textAlignment w:val="baseline"/>
        <w:rPr>
          <w:rFonts w:ascii="Arial" w:hAnsi="Arial" w:cs="Arial"/>
          <w:sz w:val="22"/>
          <w:szCs w:val="22"/>
        </w:rPr>
      </w:pPr>
      <w:r w:rsidRPr="00780C23">
        <w:rPr>
          <w:rStyle w:val="normaltextrun"/>
          <w:rFonts w:ascii="Arial" w:hAnsi="Arial" w:cs="Arial"/>
          <w:sz w:val="22"/>
          <w:szCs w:val="22"/>
        </w:rPr>
        <w:t>Different categories of modifiable lifestyle habits, underlying medical conditions, and unchangeable demographic variables determine the clinical susceptibility to type 2 diabetes.</w:t>
      </w:r>
    </w:p>
    <w:p w14:paraId="567CF9A1" w14:textId="3428FDDA" w:rsidR="00886CC5" w:rsidRPr="00780C23" w:rsidRDefault="00886CC5" w:rsidP="00886CC5">
      <w:pPr>
        <w:pStyle w:val="paragraph"/>
        <w:spacing w:before="0" w:beforeAutospacing="0" w:after="0" w:afterAutospacing="0"/>
        <w:textAlignment w:val="baseline"/>
        <w:rPr>
          <w:rFonts w:ascii="Arial" w:hAnsi="Arial" w:cs="Arial"/>
          <w:sz w:val="22"/>
          <w:szCs w:val="22"/>
        </w:rPr>
      </w:pPr>
    </w:p>
    <w:p w14:paraId="138167B0" w14:textId="2AE1D159" w:rsidR="00886CC5" w:rsidRPr="00780C23" w:rsidRDefault="00886CC5" w:rsidP="00886CC5">
      <w:pPr>
        <w:pStyle w:val="paragraph"/>
        <w:spacing w:before="0" w:beforeAutospacing="0" w:after="0" w:afterAutospacing="0"/>
        <w:textAlignment w:val="baseline"/>
        <w:rPr>
          <w:rFonts w:ascii="Arial" w:hAnsi="Arial" w:cs="Arial"/>
          <w:sz w:val="22"/>
          <w:szCs w:val="22"/>
        </w:rPr>
      </w:pPr>
      <w:r w:rsidRPr="00780C23">
        <w:rPr>
          <w:rStyle w:val="normaltextrun"/>
          <w:rFonts w:ascii="Arial" w:hAnsi="Arial" w:cs="Arial"/>
          <w:b/>
          <w:bCs/>
          <w:sz w:val="22"/>
          <w:szCs w:val="22"/>
        </w:rPr>
        <w:t>Modifiable Risk Factors</w:t>
      </w:r>
    </w:p>
    <w:p w14:paraId="66738860" w14:textId="77777777" w:rsidR="00886CC5" w:rsidRDefault="00886CC5" w:rsidP="00886CC5">
      <w:pPr>
        <w:pStyle w:val="paragraph"/>
        <w:spacing w:before="0" w:beforeAutospacing="0" w:after="0" w:afterAutospacing="0"/>
        <w:textAlignment w:val="baseline"/>
        <w:rPr>
          <w:rStyle w:val="normaltextrun"/>
          <w:rFonts w:ascii="Arial" w:hAnsi="Arial" w:cs="Arial"/>
          <w:sz w:val="22"/>
          <w:szCs w:val="22"/>
        </w:rPr>
      </w:pPr>
      <w:r w:rsidRPr="00780C23">
        <w:rPr>
          <w:rStyle w:val="normaltextrun"/>
          <w:rFonts w:ascii="Arial" w:hAnsi="Arial" w:cs="Arial"/>
          <w:b/>
          <w:bCs/>
          <w:sz w:val="22"/>
          <w:szCs w:val="22"/>
        </w:rPr>
        <w:t>Overweight and obesity:</w:t>
      </w:r>
      <w:r w:rsidRPr="00780C23">
        <w:rPr>
          <w:rStyle w:val="normaltextrun"/>
          <w:rFonts w:ascii="Arial" w:hAnsi="Arial" w:cs="Arial"/>
          <w:sz w:val="22"/>
          <w:szCs w:val="22"/>
        </w:rPr>
        <w:t xml:space="preserve"> A body mass index (BMI) of 30 kg or more is the most influential factor in metabolic dysfunction, and it is thought to be responsible for 80% to 85% of the overall risk </w:t>
      </w:r>
    </w:p>
    <w:p w14:paraId="7943C8FA" w14:textId="3E1E48F6" w:rsidR="00886CC5" w:rsidRPr="00780C23" w:rsidRDefault="00886CC5" w:rsidP="00886CC5">
      <w:pPr>
        <w:pStyle w:val="paragraph"/>
        <w:spacing w:before="0" w:beforeAutospacing="0" w:after="0" w:afterAutospacing="0"/>
        <w:textAlignment w:val="baseline"/>
        <w:rPr>
          <w:rFonts w:ascii="Arial" w:hAnsi="Arial" w:cs="Arial"/>
          <w:sz w:val="22"/>
          <w:szCs w:val="22"/>
        </w:rPr>
      </w:pPr>
      <w:r w:rsidRPr="00780C23">
        <w:rPr>
          <w:rStyle w:val="normaltextrun"/>
          <w:rFonts w:ascii="Arial" w:hAnsi="Arial" w:cs="Arial"/>
          <w:sz w:val="22"/>
          <w:szCs w:val="22"/>
        </w:rPr>
        <w:t>the abdomen is a much better indicator of insulin resistance than subcutaneous fat buildup.</w:t>
      </w:r>
    </w:p>
    <w:p w14:paraId="3882138F" w14:textId="636894B8" w:rsidR="00886CC5" w:rsidRPr="00780C23" w:rsidRDefault="00886CC5" w:rsidP="00886CC5">
      <w:pPr>
        <w:pStyle w:val="paragraph"/>
        <w:spacing w:before="0" w:beforeAutospacing="0" w:after="0" w:afterAutospacing="0"/>
        <w:textAlignment w:val="baseline"/>
        <w:rPr>
          <w:rFonts w:ascii="Arial" w:hAnsi="Arial" w:cs="Arial"/>
          <w:sz w:val="22"/>
          <w:szCs w:val="22"/>
        </w:rPr>
      </w:pPr>
      <w:r w:rsidRPr="00780C23">
        <w:rPr>
          <w:rStyle w:val="normaltextrun"/>
          <w:rFonts w:ascii="Arial" w:hAnsi="Arial" w:cs="Arial"/>
          <w:b/>
          <w:bCs/>
          <w:sz w:val="22"/>
          <w:szCs w:val="22"/>
        </w:rPr>
        <w:t>Physical Inactivity: </w:t>
      </w:r>
      <w:r w:rsidRPr="00780C23">
        <w:rPr>
          <w:rStyle w:val="normaltextrun"/>
          <w:rFonts w:ascii="Arial" w:hAnsi="Arial" w:cs="Arial"/>
          <w:sz w:val="22"/>
          <w:szCs w:val="22"/>
        </w:rPr>
        <w:t>Not moving around much makes cells less able to take in glucose and makes skeletal muscles less sensitive to insulin overall, regardless of body weight (Amanat et al. 2020).</w:t>
      </w:r>
    </w:p>
    <w:p w14:paraId="71352EC9" w14:textId="4DA119D3" w:rsidR="00886CC5" w:rsidRPr="00780C23" w:rsidRDefault="00886CC5" w:rsidP="00886CC5">
      <w:pPr>
        <w:pStyle w:val="paragraph"/>
        <w:spacing w:before="0" w:beforeAutospacing="0" w:after="0" w:afterAutospacing="0"/>
        <w:textAlignment w:val="baseline"/>
        <w:rPr>
          <w:rFonts w:ascii="Arial" w:hAnsi="Arial" w:cs="Arial"/>
          <w:sz w:val="22"/>
          <w:szCs w:val="22"/>
        </w:rPr>
      </w:pPr>
      <w:r w:rsidRPr="00780C23">
        <w:rPr>
          <w:rStyle w:val="normaltextrun"/>
          <w:rFonts w:ascii="Arial" w:hAnsi="Arial" w:cs="Arial"/>
          <w:b/>
          <w:bCs/>
          <w:sz w:val="22"/>
          <w:szCs w:val="22"/>
        </w:rPr>
        <w:t>Diet: </w:t>
      </w:r>
      <w:r w:rsidRPr="00780C23">
        <w:rPr>
          <w:rStyle w:val="normaltextrun"/>
          <w:rFonts w:ascii="Arial" w:hAnsi="Arial" w:cs="Arial"/>
          <w:sz w:val="22"/>
          <w:szCs w:val="22"/>
        </w:rPr>
        <w:t xml:space="preserve">Eating a lot of ultra-processed foods, simple carbohydrates, and sugary drinks on a regular basis </w:t>
      </w:r>
      <w:r w:rsidRPr="00780C23">
        <w:rPr>
          <w:rStyle w:val="normaltextrun"/>
          <w:rFonts w:ascii="Arial" w:hAnsi="Arial" w:cs="Arial"/>
          <w:sz w:val="22"/>
          <w:szCs w:val="22"/>
        </w:rPr>
        <w:lastRenderedPageBreak/>
        <w:t>raises the </w:t>
      </w:r>
      <w:proofErr w:type="spellStart"/>
      <w:r w:rsidRPr="00780C23">
        <w:rPr>
          <w:rStyle w:val="normaltextrun"/>
          <w:rFonts w:ascii="Arial" w:hAnsi="Arial" w:cs="Arial"/>
          <w:sz w:val="22"/>
          <w:szCs w:val="22"/>
        </w:rPr>
        <w:t>glycemic</w:t>
      </w:r>
      <w:proofErr w:type="spellEnd"/>
      <w:r w:rsidRPr="00780C23">
        <w:rPr>
          <w:rStyle w:val="normaltextrun"/>
          <w:rFonts w:ascii="Arial" w:hAnsi="Arial" w:cs="Arial"/>
          <w:sz w:val="22"/>
          <w:szCs w:val="22"/>
        </w:rPr>
        <w:t> index load and puts metabolic pathways under constant oxidative stress (Asif 2014).</w:t>
      </w:r>
    </w:p>
    <w:p w14:paraId="2050CD0F" w14:textId="49300E1A" w:rsidR="00886CC5" w:rsidRDefault="00886CC5" w:rsidP="00886CC5">
      <w:pPr>
        <w:pStyle w:val="paragraph"/>
        <w:spacing w:before="0" w:beforeAutospacing="0" w:after="0" w:afterAutospacing="0"/>
        <w:textAlignment w:val="baseline"/>
        <w:rPr>
          <w:rStyle w:val="eop"/>
          <w:rFonts w:ascii="Arial" w:hAnsi="Arial" w:cs="Arial"/>
          <w:sz w:val="22"/>
          <w:szCs w:val="22"/>
          <w:bdr w:val="none" w:sz="0" w:space="0" w:color="auto" w:frame="1"/>
          <w:shd w:val="clear" w:color="auto" w:fill="C6C6C6"/>
        </w:rPr>
      </w:pPr>
      <w:r w:rsidRPr="00780C23">
        <w:rPr>
          <w:rStyle w:val="normaltextrun"/>
          <w:rFonts w:ascii="Arial" w:hAnsi="Arial" w:cs="Arial"/>
          <w:b/>
          <w:bCs/>
          <w:sz w:val="22"/>
          <w:szCs w:val="22"/>
        </w:rPr>
        <w:t>Tobacco Smoking</w:t>
      </w:r>
      <w:r w:rsidRPr="00780C23">
        <w:rPr>
          <w:rStyle w:val="normaltextrun"/>
          <w:rFonts w:ascii="Arial" w:hAnsi="Arial" w:cs="Arial"/>
          <w:sz w:val="22"/>
          <w:szCs w:val="22"/>
        </w:rPr>
        <w:t>: Active smoking is its own risk factor because it directly increases systemic inflammation and makes the distribution of belly fat worse (Amanat et al. 2020).</w:t>
      </w:r>
    </w:p>
    <w:p w14:paraId="22E1BD83" w14:textId="77777777" w:rsidR="00886CC5" w:rsidRDefault="00886CC5" w:rsidP="00886CC5">
      <w:pPr>
        <w:pStyle w:val="paragraph"/>
        <w:spacing w:before="0" w:beforeAutospacing="0" w:after="0" w:afterAutospacing="0"/>
        <w:textAlignment w:val="baseline"/>
        <w:rPr>
          <w:rStyle w:val="eop"/>
          <w:rFonts w:ascii="Arial" w:hAnsi="Arial" w:cs="Arial"/>
          <w:sz w:val="22"/>
          <w:szCs w:val="22"/>
          <w:bdr w:val="none" w:sz="0" w:space="0" w:color="auto" w:frame="1"/>
          <w:shd w:val="clear" w:color="auto" w:fill="C6C6C6"/>
        </w:rPr>
      </w:pPr>
    </w:p>
    <w:p w14:paraId="09B2C6BE" w14:textId="5399C82C" w:rsidR="00886CC5" w:rsidRDefault="00886CC5" w:rsidP="00886CC5">
      <w:pPr>
        <w:pStyle w:val="paragraph"/>
        <w:spacing w:before="0" w:beforeAutospacing="0" w:after="0" w:afterAutospacing="0"/>
        <w:textAlignment w:val="baseline"/>
        <w:rPr>
          <w:rStyle w:val="eop"/>
          <w:rFonts w:ascii="Arial" w:hAnsi="Arial" w:cs="Arial"/>
          <w:color w:val="000000"/>
          <w:sz w:val="22"/>
          <w:szCs w:val="22"/>
          <w:bdr w:val="none" w:sz="0" w:space="0" w:color="auto" w:frame="1"/>
          <w:shd w:val="clear" w:color="auto" w:fill="C6C6C6"/>
        </w:rPr>
      </w:pPr>
      <w:r w:rsidRPr="00780C23">
        <w:rPr>
          <w:rStyle w:val="normaltextrun"/>
          <w:rFonts w:ascii="Arial" w:hAnsi="Arial" w:cs="Arial"/>
          <w:b/>
          <w:bCs/>
          <w:color w:val="000000"/>
          <w:sz w:val="22"/>
          <w:szCs w:val="22"/>
        </w:rPr>
        <w:t>Biomedical and Medical Co-morbidities</w:t>
      </w:r>
    </w:p>
    <w:p w14:paraId="2A7F2D02" w14:textId="77777777" w:rsidR="00886CC5" w:rsidRPr="00780C23" w:rsidRDefault="00886CC5" w:rsidP="00886CC5">
      <w:pPr>
        <w:pStyle w:val="paragraph"/>
        <w:spacing w:before="0" w:beforeAutospacing="0" w:after="0" w:afterAutospacing="0"/>
        <w:textAlignment w:val="baseline"/>
        <w:rPr>
          <w:rFonts w:ascii="Arial" w:hAnsi="Arial" w:cs="Arial"/>
          <w:sz w:val="22"/>
          <w:szCs w:val="22"/>
        </w:rPr>
      </w:pPr>
    </w:p>
    <w:p w14:paraId="6BEE723A" w14:textId="38688553" w:rsidR="00886CC5" w:rsidRPr="00780C23" w:rsidRDefault="00886CC5" w:rsidP="00886CC5">
      <w:pPr>
        <w:pStyle w:val="paragraph"/>
        <w:spacing w:before="0" w:beforeAutospacing="0" w:after="0" w:afterAutospacing="0"/>
        <w:textAlignment w:val="baseline"/>
        <w:rPr>
          <w:rFonts w:ascii="Arial" w:hAnsi="Arial" w:cs="Arial"/>
          <w:sz w:val="22"/>
          <w:szCs w:val="22"/>
        </w:rPr>
      </w:pPr>
      <w:r w:rsidRPr="00780C23">
        <w:rPr>
          <w:rStyle w:val="normaltextrun"/>
          <w:rFonts w:ascii="Arial" w:hAnsi="Arial" w:cs="Arial"/>
          <w:b/>
          <w:bCs/>
          <w:sz w:val="22"/>
          <w:szCs w:val="22"/>
        </w:rPr>
        <w:t>Prediabetes: </w:t>
      </w:r>
      <w:r w:rsidRPr="00780C23">
        <w:rPr>
          <w:rStyle w:val="normaltextrun"/>
          <w:rFonts w:ascii="Arial" w:hAnsi="Arial" w:cs="Arial"/>
          <w:sz w:val="22"/>
          <w:szCs w:val="22"/>
        </w:rPr>
        <w:t>Individuals displaying impaired fasting glucose or an HbA1c range between 42 and 47 mmol/mol (5.7% to 6.4%) demonstrate a severely heightened rate of progression toward overt T2DM (Lab Tests Online UK 2024).</w:t>
      </w:r>
    </w:p>
    <w:p w14:paraId="35A1065E" w14:textId="1CCF9A8B" w:rsidR="00886CC5" w:rsidRPr="00780C23" w:rsidRDefault="00886CC5" w:rsidP="00886CC5">
      <w:pPr>
        <w:pStyle w:val="paragraph"/>
        <w:spacing w:before="0" w:beforeAutospacing="0" w:after="0" w:afterAutospacing="0"/>
        <w:textAlignment w:val="baseline"/>
        <w:rPr>
          <w:rFonts w:ascii="Arial" w:hAnsi="Arial" w:cs="Arial"/>
          <w:sz w:val="22"/>
          <w:szCs w:val="22"/>
        </w:rPr>
      </w:pPr>
      <w:r w:rsidRPr="00780C23">
        <w:rPr>
          <w:rStyle w:val="normaltextrun"/>
          <w:rFonts w:ascii="Arial" w:hAnsi="Arial" w:cs="Arial"/>
          <w:b/>
          <w:bCs/>
          <w:sz w:val="22"/>
          <w:szCs w:val="22"/>
        </w:rPr>
        <w:t>Gestational Diabetes Mellitus (GDM</w:t>
      </w:r>
      <w:r w:rsidRPr="00780C23">
        <w:rPr>
          <w:rStyle w:val="normaltextrun"/>
          <w:rFonts w:ascii="Arial" w:hAnsi="Arial" w:cs="Arial"/>
          <w:sz w:val="22"/>
          <w:szCs w:val="22"/>
        </w:rPr>
        <w:t>): Women with a clinical history of transiently high blood glucose levels during pregnancy carry a seven-fold increased relative risk of developing permanent T2DM later in life (NICE CKS 2024).</w:t>
      </w:r>
    </w:p>
    <w:p w14:paraId="7D7E222E" w14:textId="63B7CC28" w:rsidR="00886CC5" w:rsidRPr="00780C23" w:rsidRDefault="00886CC5" w:rsidP="00886CC5">
      <w:pPr>
        <w:pStyle w:val="paragraph"/>
        <w:spacing w:before="0" w:beforeAutospacing="0" w:after="0" w:afterAutospacing="0"/>
        <w:textAlignment w:val="baseline"/>
        <w:rPr>
          <w:rFonts w:ascii="Arial" w:hAnsi="Arial" w:cs="Arial"/>
          <w:sz w:val="22"/>
          <w:szCs w:val="22"/>
        </w:rPr>
      </w:pPr>
      <w:r w:rsidRPr="00780C23">
        <w:rPr>
          <w:rStyle w:val="normaltextrun"/>
          <w:rFonts w:ascii="Arial" w:hAnsi="Arial" w:cs="Arial"/>
          <w:b/>
          <w:bCs/>
          <w:sz w:val="22"/>
          <w:szCs w:val="22"/>
        </w:rPr>
        <w:t>Polycystic Ovary Syndrome (PCOS): </w:t>
      </w:r>
      <w:r w:rsidRPr="00780C23">
        <w:rPr>
          <w:rStyle w:val="normaltextrun"/>
          <w:rFonts w:ascii="Arial" w:hAnsi="Arial" w:cs="Arial"/>
          <w:sz w:val="22"/>
          <w:szCs w:val="22"/>
        </w:rPr>
        <w:t>The metabolic architecture of PCOS inherently incorporates profound tissue-specific insulin resistance, which directly predisposes individuals to glucose intolerance (Galicia-Garcia et al. 2020).</w:t>
      </w:r>
    </w:p>
    <w:p w14:paraId="6AF23D56" w14:textId="6B84E0FA" w:rsidR="00886CC5" w:rsidRPr="00780C23" w:rsidRDefault="00886CC5" w:rsidP="00886CC5">
      <w:pPr>
        <w:pStyle w:val="paragraph"/>
        <w:spacing w:before="0" w:beforeAutospacing="0" w:after="0" w:afterAutospacing="0"/>
        <w:textAlignment w:val="baseline"/>
        <w:rPr>
          <w:rFonts w:ascii="Arial" w:hAnsi="Arial" w:cs="Arial"/>
          <w:sz w:val="22"/>
          <w:szCs w:val="22"/>
        </w:rPr>
      </w:pPr>
      <w:r w:rsidRPr="00780C23">
        <w:rPr>
          <w:rStyle w:val="normaltextrun"/>
          <w:rFonts w:ascii="Arial" w:hAnsi="Arial" w:cs="Arial"/>
          <w:b/>
          <w:bCs/>
          <w:sz w:val="22"/>
          <w:szCs w:val="22"/>
        </w:rPr>
        <w:t>Hypertension and Dyslipidaemia: </w:t>
      </w:r>
      <w:r w:rsidRPr="00780C23">
        <w:rPr>
          <w:rStyle w:val="normaltextrun"/>
          <w:rFonts w:ascii="Arial" w:hAnsi="Arial" w:cs="Arial"/>
          <w:sz w:val="22"/>
          <w:szCs w:val="22"/>
        </w:rPr>
        <w:t>High systemic blood pressure (</w:t>
      </w:r>
      <w:proofErr w:type="gramStart"/>
      <w:r w:rsidRPr="00780C23">
        <w:rPr>
          <w:rStyle w:val="normaltextrun"/>
          <w:rFonts w:ascii="Arial" w:hAnsi="Arial" w:cs="Arial"/>
          <w:sz w:val="22"/>
          <w:szCs w:val="22"/>
        </w:rPr>
        <w:t>\(</w:t>
      </w:r>
      <w:proofErr w:type="gramEnd"/>
      <w:r w:rsidRPr="00780C23">
        <w:rPr>
          <w:rStyle w:val="normaltextrun"/>
          <w:rFonts w:ascii="Arial" w:hAnsi="Arial" w:cs="Arial"/>
          <w:sz w:val="22"/>
          <w:szCs w:val="22"/>
        </w:rPr>
        <w:t>\</w:t>
      </w:r>
      <w:proofErr w:type="spellStart"/>
      <w:r w:rsidRPr="00780C23">
        <w:rPr>
          <w:rStyle w:val="normaltextrun"/>
          <w:rFonts w:ascii="Arial" w:hAnsi="Arial" w:cs="Arial"/>
          <w:sz w:val="22"/>
          <w:szCs w:val="22"/>
        </w:rPr>
        <w:t>ge</w:t>
      </w:r>
      <w:proofErr w:type="spellEnd"/>
      <w:r w:rsidRPr="00780C23">
        <w:rPr>
          <w:rStyle w:val="normaltextrun"/>
          <w:rFonts w:ascii="Arial" w:hAnsi="Arial" w:cs="Arial"/>
          <w:sz w:val="22"/>
          <w:szCs w:val="22"/>
        </w:rPr>
        <w:t> \) 140/90 mmHg) along with low HDL cholesterol or elevated triglycerides represent core features of metabolic syndrome that mirror underlying pancreatic stress (Amanat et al. 2020)</w:t>
      </w:r>
      <w:r w:rsidRPr="00780C23">
        <w:rPr>
          <w:rStyle w:val="normaltextrun"/>
          <w:rFonts w:ascii="Arial" w:hAnsi="Arial" w:cs="Arial"/>
          <w:b/>
          <w:bCs/>
          <w:sz w:val="22"/>
          <w:szCs w:val="22"/>
        </w:rPr>
        <w:t>.</w:t>
      </w:r>
    </w:p>
    <w:p w14:paraId="6A280B8B" w14:textId="21C707D9" w:rsidR="00886CC5" w:rsidRPr="00780C23" w:rsidRDefault="00886CC5" w:rsidP="00886CC5">
      <w:pPr>
        <w:pStyle w:val="paragraph"/>
        <w:spacing w:before="0" w:beforeAutospacing="0" w:after="0" w:afterAutospacing="0"/>
        <w:textAlignment w:val="baseline"/>
        <w:rPr>
          <w:rFonts w:ascii="Arial" w:hAnsi="Arial" w:cs="Arial"/>
          <w:sz w:val="22"/>
          <w:szCs w:val="22"/>
        </w:rPr>
      </w:pPr>
      <w:r w:rsidRPr="00780C23">
        <w:rPr>
          <w:rStyle w:val="normaltextrun"/>
          <w:rFonts w:ascii="Arial" w:hAnsi="Arial" w:cs="Arial"/>
          <w:b/>
          <w:bCs/>
          <w:color w:val="000000"/>
          <w:sz w:val="22"/>
          <w:szCs w:val="22"/>
        </w:rPr>
        <w:t>Non-Modifiable Risk Factors</w:t>
      </w:r>
    </w:p>
    <w:p w14:paraId="1D4FC4B7" w14:textId="49822B61" w:rsidR="00886CC5" w:rsidRPr="00780C23" w:rsidRDefault="00886CC5" w:rsidP="00886CC5">
      <w:pPr>
        <w:pStyle w:val="paragraph"/>
        <w:spacing w:before="0" w:beforeAutospacing="0" w:after="0" w:afterAutospacing="0"/>
        <w:textAlignment w:val="baseline"/>
        <w:rPr>
          <w:rFonts w:ascii="Arial" w:hAnsi="Arial" w:cs="Arial"/>
          <w:sz w:val="22"/>
          <w:szCs w:val="22"/>
        </w:rPr>
      </w:pPr>
      <w:r w:rsidRPr="00780C23">
        <w:rPr>
          <w:rStyle w:val="normaltextrun"/>
          <w:rFonts w:ascii="Arial" w:hAnsi="Arial" w:cs="Arial"/>
          <w:b/>
          <w:bCs/>
          <w:sz w:val="22"/>
          <w:szCs w:val="22"/>
        </w:rPr>
        <w:t>Genetic Predisposition: </w:t>
      </w:r>
      <w:r w:rsidRPr="00780C23">
        <w:rPr>
          <w:rStyle w:val="normaltextrun"/>
          <w:rFonts w:ascii="Arial" w:hAnsi="Arial" w:cs="Arial"/>
          <w:sz w:val="22"/>
          <w:szCs w:val="22"/>
        </w:rPr>
        <w:t>Personal risk is heavily influenced by family history. A person's lifetime risk increases by two to six times if they have one first-degree relative with diabetes, and it can reach 75% if both parents have the disease (NICE CKS 20</w:t>
      </w:r>
      <w:r w:rsidRPr="00780C23">
        <w:rPr>
          <w:rStyle w:val="normaltextrun"/>
          <w:rFonts w:ascii="Arial" w:hAnsi="Arial" w:cs="Arial"/>
          <w:b/>
          <w:bCs/>
          <w:sz w:val="22"/>
          <w:szCs w:val="22"/>
        </w:rPr>
        <w:t>24).</w:t>
      </w:r>
    </w:p>
    <w:p w14:paraId="183A6591" w14:textId="7089942D" w:rsidR="00886CC5" w:rsidRPr="00780C23" w:rsidRDefault="00886CC5" w:rsidP="00886CC5">
      <w:pPr>
        <w:pStyle w:val="paragraph"/>
        <w:spacing w:before="0" w:beforeAutospacing="0" w:after="0" w:afterAutospacing="0"/>
        <w:textAlignment w:val="baseline"/>
        <w:rPr>
          <w:rFonts w:ascii="Arial" w:hAnsi="Arial" w:cs="Arial"/>
          <w:sz w:val="22"/>
          <w:szCs w:val="22"/>
        </w:rPr>
      </w:pPr>
      <w:r w:rsidRPr="00780C23">
        <w:rPr>
          <w:rStyle w:val="normaltextrun"/>
          <w:rFonts w:ascii="Arial" w:hAnsi="Arial" w:cs="Arial"/>
          <w:b/>
          <w:bCs/>
          <w:sz w:val="22"/>
          <w:szCs w:val="22"/>
        </w:rPr>
        <w:lastRenderedPageBreak/>
        <w:t>Ethnicity and Race: </w:t>
      </w:r>
      <w:r w:rsidRPr="00780C23">
        <w:rPr>
          <w:rStyle w:val="normaltextrun"/>
          <w:rFonts w:ascii="Arial" w:hAnsi="Arial" w:cs="Arial"/>
          <w:sz w:val="22"/>
          <w:szCs w:val="22"/>
        </w:rPr>
        <w:t>Populations of South Asian, Black African, Afro-Caribbean, and Hispanic descent exhibit a 2- to 4-fold higher risk than white populations due to genetic differences and unique patterns of fat storage; they frequently present at a much lower BMI and younger age (Diabetes UK 2024).</w:t>
      </w:r>
    </w:p>
    <w:p w14:paraId="1357314A" w14:textId="1D2005C2" w:rsidR="00886CC5" w:rsidRDefault="00886CC5" w:rsidP="00886CC5">
      <w:pPr>
        <w:pStyle w:val="paragraph"/>
        <w:spacing w:before="0" w:beforeAutospacing="0" w:after="0" w:afterAutospacing="0"/>
        <w:textAlignment w:val="baseline"/>
        <w:rPr>
          <w:rStyle w:val="normaltextrun"/>
          <w:rFonts w:ascii="Arial" w:hAnsi="Arial" w:cs="Arial"/>
          <w:sz w:val="22"/>
          <w:szCs w:val="22"/>
        </w:rPr>
      </w:pPr>
      <w:r w:rsidRPr="00780C23">
        <w:rPr>
          <w:rStyle w:val="normaltextrun"/>
          <w:rFonts w:ascii="Arial" w:hAnsi="Arial" w:cs="Arial"/>
          <w:b/>
          <w:bCs/>
          <w:sz w:val="22"/>
          <w:szCs w:val="22"/>
        </w:rPr>
        <w:t>Ageing: </w:t>
      </w:r>
      <w:r w:rsidRPr="00780C23">
        <w:rPr>
          <w:rStyle w:val="normaltextrun"/>
          <w:rFonts w:ascii="Arial" w:hAnsi="Arial" w:cs="Arial"/>
          <w:sz w:val="22"/>
          <w:szCs w:val="22"/>
        </w:rPr>
        <w:t>Although the age of onset is declining globally due to an increase in childhood obesity, the historical baseline for clinical vulnerability typically rises after age 45 due to progressive cellular senescence (Harvard Health 2026).</w:t>
      </w:r>
    </w:p>
    <w:p w14:paraId="4C593EDF" w14:textId="77777777" w:rsidR="00886CC5" w:rsidRDefault="00886CC5" w:rsidP="00886CC5">
      <w:pPr>
        <w:pStyle w:val="paragraph"/>
        <w:spacing w:before="0" w:beforeAutospacing="0" w:after="0" w:afterAutospacing="0"/>
        <w:textAlignment w:val="baseline"/>
        <w:rPr>
          <w:rStyle w:val="eop"/>
          <w:rFonts w:ascii="Arial" w:hAnsi="Arial" w:cs="Arial"/>
          <w:sz w:val="22"/>
          <w:szCs w:val="22"/>
          <w:bdr w:val="none" w:sz="0" w:space="0" w:color="auto" w:frame="1"/>
          <w:shd w:val="clear" w:color="auto" w:fill="C6C6C6"/>
        </w:rPr>
      </w:pPr>
    </w:p>
    <w:p w14:paraId="09694D92" w14:textId="77777777" w:rsidR="00886CC5" w:rsidRDefault="00886CC5" w:rsidP="00886CC5">
      <w:pPr>
        <w:pStyle w:val="paragraph"/>
        <w:spacing w:before="0" w:beforeAutospacing="0" w:after="0" w:afterAutospacing="0"/>
        <w:textAlignment w:val="baseline"/>
        <w:rPr>
          <w:rStyle w:val="eop"/>
          <w:rFonts w:ascii="Arial" w:hAnsi="Arial" w:cs="Arial"/>
          <w:color w:val="000000"/>
          <w:sz w:val="22"/>
          <w:szCs w:val="22"/>
          <w:bdr w:val="none" w:sz="0" w:space="0" w:color="auto" w:frame="1"/>
          <w:shd w:val="clear" w:color="auto" w:fill="C6C6C6"/>
        </w:rPr>
      </w:pPr>
      <w:r w:rsidRPr="00780C23">
        <w:rPr>
          <w:rStyle w:val="normaltextrun"/>
          <w:rFonts w:ascii="Arial" w:hAnsi="Arial" w:cs="Arial"/>
          <w:b/>
          <w:bCs/>
          <w:color w:val="000000"/>
          <w:sz w:val="22"/>
          <w:szCs w:val="22"/>
        </w:rPr>
        <w:t>Aetiology and Pathophysiology</w:t>
      </w:r>
      <w:r w:rsidRPr="00780C23">
        <w:rPr>
          <w:rStyle w:val="eop"/>
          <w:rFonts w:ascii="Arial" w:hAnsi="Arial" w:cs="Arial"/>
          <w:color w:val="000000"/>
          <w:sz w:val="22"/>
          <w:szCs w:val="22"/>
          <w:bdr w:val="none" w:sz="0" w:space="0" w:color="auto" w:frame="1"/>
          <w:shd w:val="clear" w:color="auto" w:fill="C6C6C6"/>
        </w:rPr>
        <w:t> </w:t>
      </w:r>
    </w:p>
    <w:p w14:paraId="27D18AE5" w14:textId="77777777" w:rsidR="00886CC5" w:rsidRPr="005A5E06" w:rsidRDefault="00886CC5" w:rsidP="00886CC5">
      <w:pPr>
        <w:pStyle w:val="paragraph"/>
        <w:spacing w:before="0" w:beforeAutospacing="0" w:after="0" w:afterAutospacing="0"/>
        <w:textAlignment w:val="baseline"/>
        <w:rPr>
          <w:rFonts w:ascii="Arial" w:hAnsi="Arial" w:cs="Arial"/>
          <w:color w:val="000000"/>
          <w:sz w:val="22"/>
          <w:szCs w:val="22"/>
          <w:bdr w:val="none" w:sz="0" w:space="0" w:color="auto" w:frame="1"/>
          <w:shd w:val="clear" w:color="auto" w:fill="C6C6C6"/>
        </w:rPr>
      </w:pPr>
    </w:p>
    <w:p w14:paraId="2CCA3727" w14:textId="77777777" w:rsidR="00886CC5" w:rsidRPr="00780C23" w:rsidRDefault="00886CC5" w:rsidP="00886CC5">
      <w:pPr>
        <w:pStyle w:val="paragraph"/>
        <w:spacing w:before="0" w:beforeAutospacing="0" w:after="0" w:afterAutospacing="0"/>
        <w:textAlignment w:val="baseline"/>
        <w:rPr>
          <w:rFonts w:ascii="Arial" w:hAnsi="Arial" w:cs="Arial"/>
          <w:sz w:val="22"/>
          <w:szCs w:val="22"/>
        </w:rPr>
      </w:pPr>
      <w:r w:rsidRPr="00780C23">
        <w:rPr>
          <w:rStyle w:val="normaltextrun"/>
          <w:rFonts w:ascii="Arial" w:hAnsi="Arial" w:cs="Arial"/>
          <w:sz w:val="22"/>
          <w:szCs w:val="22"/>
        </w:rPr>
        <w:t>The fundamental cause of type 2 diabetes is a dynamic, compounding failure across several tissue feedback loops rather than a single structural flaw (Galicia-Garcia et al. 2020).</w:t>
      </w:r>
      <w:r w:rsidRPr="00780C23">
        <w:rPr>
          <w:rStyle w:val="eop"/>
          <w:rFonts w:ascii="Arial" w:hAnsi="Arial" w:cs="Arial"/>
          <w:sz w:val="22"/>
          <w:szCs w:val="22"/>
          <w:bdr w:val="none" w:sz="0" w:space="0" w:color="auto" w:frame="1"/>
          <w:shd w:val="clear" w:color="auto" w:fill="C6C6C6"/>
        </w:rPr>
        <w:t> </w:t>
      </w:r>
    </w:p>
    <w:p w14:paraId="64B2A357" w14:textId="77777777" w:rsidR="00886CC5" w:rsidRDefault="00886CC5" w:rsidP="00886CC5">
      <w:pPr>
        <w:pStyle w:val="paragraph"/>
        <w:spacing w:before="0" w:beforeAutospacing="0" w:after="0" w:afterAutospacing="0"/>
        <w:textAlignment w:val="baseline"/>
        <w:rPr>
          <w:rFonts w:ascii="Arial" w:hAnsi="Arial" w:cs="Arial"/>
          <w:sz w:val="22"/>
          <w:szCs w:val="22"/>
        </w:rPr>
      </w:pPr>
    </w:p>
    <w:p w14:paraId="34312815" w14:textId="16CDBF17" w:rsidR="00886CC5" w:rsidRPr="00CC69B9" w:rsidRDefault="00886CC5" w:rsidP="00886CC5">
      <w:pPr>
        <w:pStyle w:val="paragraph"/>
        <w:spacing w:before="0" w:beforeAutospacing="0" w:after="0" w:afterAutospacing="0"/>
        <w:ind w:left="1800"/>
        <w:textAlignment w:val="baseline"/>
        <w:rPr>
          <w:rStyle w:val="eop"/>
          <w:rFonts w:ascii="Arial" w:hAnsi="Arial" w:cs="Arial"/>
        </w:rPr>
      </w:pPr>
      <w:r>
        <w:rPr>
          <w:rStyle w:val="normaltextrun"/>
          <w:rFonts w:ascii="Arial" w:hAnsi="Arial" w:cs="Arial"/>
          <w:b/>
          <w:bCs/>
        </w:rPr>
        <w:t>The Origin of Insulin Resistance</w:t>
      </w:r>
    </w:p>
    <w:p w14:paraId="5CDB818C" w14:textId="77777777" w:rsidR="00886CC5" w:rsidRDefault="00886CC5" w:rsidP="00886CC5">
      <w:pPr>
        <w:pStyle w:val="paragraph"/>
        <w:spacing w:before="0" w:beforeAutospacing="0" w:after="0" w:afterAutospacing="0"/>
        <w:ind w:left="360"/>
        <w:textAlignment w:val="baseline"/>
        <w:rPr>
          <w:rFonts w:ascii="Arial" w:hAnsi="Arial" w:cs="Arial"/>
        </w:rPr>
      </w:pPr>
    </w:p>
    <w:p w14:paraId="6C05C27B" w14:textId="77777777" w:rsidR="00886CC5" w:rsidRDefault="00886CC5" w:rsidP="00886CC5">
      <w:pPr>
        <w:pStyle w:val="paragraph"/>
        <w:spacing w:before="0" w:beforeAutospacing="0" w:after="0" w:afterAutospacing="0"/>
        <w:ind w:left="1080"/>
        <w:textAlignment w:val="baseline"/>
        <w:rPr>
          <w:rStyle w:val="normaltextrun"/>
          <w:rFonts w:ascii="Arial" w:hAnsi="Arial" w:cs="Arial"/>
        </w:rPr>
      </w:pPr>
      <w:r>
        <w:rPr>
          <w:rStyle w:val="normaltextrun"/>
          <w:rFonts w:ascii="Arial" w:hAnsi="Arial" w:cs="Arial"/>
        </w:rPr>
        <w:t xml:space="preserve">Under basal conditions, insulin attaches to cell-surface receptors on skeletal muscle, liver, and adipose tissues, triggering an intracellular cascade that activates GLUT4 transporters to facilitate glucose internalization (BMJ Best Practice 2024). In the aetiology of T2DM, chronic overnutrition leads to an accumulation of circulating free fatty acids (FFAs) and pro-inflammatory adipokines, including TNF-alpha and IL-6, released from visceral fat stores (Asif 2014). These molecules activate intracellular stress </w:t>
      </w:r>
      <w:r>
        <w:rPr>
          <w:rStyle w:val="normaltextrun"/>
          <w:rFonts w:ascii="Arial" w:hAnsi="Arial" w:cs="Arial"/>
        </w:rPr>
        <w:lastRenderedPageBreak/>
        <w:t>pathways that interfere with receptor </w:t>
      </w:r>
      <w:proofErr w:type="spellStart"/>
      <w:r>
        <w:rPr>
          <w:rStyle w:val="normaltextrun"/>
          <w:rFonts w:ascii="Arial" w:hAnsi="Arial" w:cs="Arial"/>
        </w:rPr>
        <w:t>signaling</w:t>
      </w:r>
      <w:proofErr w:type="spellEnd"/>
      <w:r>
        <w:rPr>
          <w:rStyle w:val="normaltextrun"/>
          <w:rFonts w:ascii="Arial" w:hAnsi="Arial" w:cs="Arial"/>
        </w:rPr>
        <w:t>. As a result, the target cells cease to respond adequately to physiological levels of insulin (Harvard Health 2026).</w:t>
      </w:r>
    </w:p>
    <w:p w14:paraId="3402D4BB" w14:textId="6E28932B" w:rsidR="00886CC5" w:rsidRDefault="00886CC5" w:rsidP="00886CC5">
      <w:pPr>
        <w:pStyle w:val="paragraph"/>
        <w:spacing w:before="0" w:beforeAutospacing="0" w:after="0" w:afterAutospacing="0"/>
        <w:ind w:left="1080"/>
        <w:textAlignment w:val="baseline"/>
        <w:rPr>
          <w:rFonts w:ascii="Segoe UI" w:hAnsi="Segoe UI" w:cs="Segoe UI"/>
          <w:sz w:val="18"/>
          <w:szCs w:val="18"/>
        </w:rPr>
      </w:pPr>
    </w:p>
    <w:p w14:paraId="6BA7E113" w14:textId="25A2D335" w:rsidR="00886CC5" w:rsidRDefault="00886CC5" w:rsidP="00886CC5">
      <w:pPr>
        <w:pStyle w:val="paragraph"/>
        <w:spacing w:before="0" w:beforeAutospacing="0" w:after="0" w:afterAutospacing="0"/>
        <w:textAlignment w:val="baseline"/>
        <w:rPr>
          <w:rStyle w:val="eop"/>
          <w:rFonts w:ascii="Arial" w:hAnsi="Arial" w:cs="Arial"/>
          <w:bdr w:val="none" w:sz="0" w:space="0" w:color="auto" w:frame="1"/>
          <w:shd w:val="clear" w:color="auto" w:fill="C6C6C6"/>
        </w:rPr>
      </w:pPr>
      <w:r>
        <w:rPr>
          <w:rStyle w:val="normaltextrun"/>
          <w:rFonts w:ascii="Arial" w:hAnsi="Arial" w:cs="Arial"/>
          <w:b/>
          <w:bCs/>
        </w:rPr>
        <w:t>Compensatory Hyperinsulinemia and Bets-Cell</w:t>
      </w:r>
    </w:p>
    <w:p w14:paraId="22727942" w14:textId="77777777" w:rsidR="00886CC5" w:rsidRDefault="00886CC5" w:rsidP="00886CC5">
      <w:pPr>
        <w:pStyle w:val="paragraph"/>
        <w:spacing w:before="0" w:beforeAutospacing="0" w:after="0" w:afterAutospacing="0"/>
        <w:textAlignment w:val="baseline"/>
        <w:rPr>
          <w:rFonts w:ascii="Arial" w:hAnsi="Arial" w:cs="Arial"/>
        </w:rPr>
      </w:pPr>
    </w:p>
    <w:p w14:paraId="1CA2AD6C" w14:textId="728D5205" w:rsidR="00886CC5" w:rsidRDefault="00886CC5" w:rsidP="00886CC5">
      <w:pPr>
        <w:pStyle w:val="paragraph"/>
        <w:spacing w:before="0" w:beforeAutospacing="0" w:after="0" w:afterAutospacing="0"/>
        <w:ind w:left="720"/>
        <w:textAlignment w:val="baseline"/>
        <w:rPr>
          <w:rStyle w:val="eop"/>
          <w:rFonts w:ascii="Arial" w:hAnsi="Arial" w:cs="Arial"/>
        </w:rPr>
      </w:pPr>
      <w:r>
        <w:rPr>
          <w:rStyle w:val="normaltextrun"/>
          <w:rFonts w:ascii="Arial" w:hAnsi="Arial" w:cs="Arial"/>
        </w:rPr>
        <w:t>Dysfunction When peripheral cells exhibit insulin resistance, pancreatic islet beta-cells detect the elevated systemic glucose levels and respond by enhancing both insulin synthesis and secretion (Sun et al. 2020). This preliminary compensatory phase maintains blood glucose levels within a normal clinical range for extended periods, potentially lasting months or years. The extended workload causes significant endoplasmic reticulum stress and oxidative damage in the islet cells (Sun et al. 2020). Eventually, the beta-cells are unable to maintain this elevated secretory rate. The functional beta-cell mass experiences gradual apoptosis and structural depletion, shifting from a condition of relative insulin insufficiency to complete pancreatic failure (Sun et al. 2020).</w:t>
      </w:r>
    </w:p>
    <w:p w14:paraId="27E3D6E9" w14:textId="77777777" w:rsidR="00886CC5" w:rsidRDefault="00886CC5" w:rsidP="00886CC5">
      <w:pPr>
        <w:pStyle w:val="paragraph"/>
        <w:spacing w:before="0" w:beforeAutospacing="0" w:after="0" w:afterAutospacing="0"/>
        <w:ind w:left="720"/>
        <w:textAlignment w:val="baseline"/>
        <w:rPr>
          <w:rFonts w:ascii="Segoe UI" w:hAnsi="Segoe UI" w:cs="Segoe UI"/>
          <w:sz w:val="18"/>
          <w:szCs w:val="18"/>
        </w:rPr>
      </w:pPr>
    </w:p>
    <w:p w14:paraId="6AB877D7" w14:textId="32908BBE" w:rsidR="00886CC5" w:rsidRDefault="00886CC5" w:rsidP="00886CC5">
      <w:pPr>
        <w:pStyle w:val="paragraph"/>
        <w:spacing w:before="0" w:beforeAutospacing="0" w:after="0" w:afterAutospacing="0"/>
        <w:ind w:left="1440"/>
        <w:textAlignment w:val="baseline"/>
        <w:rPr>
          <w:rStyle w:val="eop"/>
          <w:rFonts w:ascii="Arial" w:hAnsi="Arial" w:cs="Arial"/>
          <w:bdr w:val="none" w:sz="0" w:space="0" w:color="auto" w:frame="1"/>
          <w:shd w:val="clear" w:color="auto" w:fill="C6C6C6"/>
        </w:rPr>
      </w:pPr>
      <w:r>
        <w:rPr>
          <w:rStyle w:val="normaltextrun"/>
          <w:rFonts w:ascii="Arial" w:hAnsi="Arial" w:cs="Arial"/>
          <w:b/>
          <w:bCs/>
        </w:rPr>
        <w:t>Hepatic Glucose Overproduction</w:t>
      </w:r>
    </w:p>
    <w:p w14:paraId="41DA7315" w14:textId="77777777" w:rsidR="00886CC5" w:rsidRDefault="00886CC5" w:rsidP="00886CC5">
      <w:pPr>
        <w:pStyle w:val="paragraph"/>
        <w:spacing w:before="0" w:beforeAutospacing="0" w:after="0" w:afterAutospacing="0"/>
        <w:ind w:left="1440"/>
        <w:textAlignment w:val="baseline"/>
        <w:rPr>
          <w:rFonts w:ascii="Arial" w:hAnsi="Arial" w:cs="Arial"/>
        </w:rPr>
      </w:pPr>
    </w:p>
    <w:p w14:paraId="747DCFC2" w14:textId="3A4ADF07" w:rsidR="00886CC5" w:rsidRPr="00CC69B9" w:rsidRDefault="00886CC5" w:rsidP="00886CC5">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xml:space="preserve">In a healthy condition, insulin functions as the principal biochemical signal directing the </w:t>
      </w:r>
      <w:r>
        <w:rPr>
          <w:rStyle w:val="normaltextrun"/>
          <w:rFonts w:ascii="Arial" w:hAnsi="Arial" w:cs="Arial"/>
        </w:rPr>
        <w:lastRenderedPageBreak/>
        <w:t>liver to inhibit gluconeogenesis and convert glucose into glycogen (BMJ Best Practice 2024). When hepatic tissue exhibits significant insulin resistance, the liver disregards this regulatory feedback mechanism. It persistently synthesizes and secretes glucose into the circulatory system, even in fasting conditions, exacerbating the baseline </w:t>
      </w:r>
      <w:proofErr w:type="spellStart"/>
      <w:r>
        <w:rPr>
          <w:rStyle w:val="normaltextrun"/>
          <w:rFonts w:ascii="Arial" w:hAnsi="Arial" w:cs="Arial"/>
        </w:rPr>
        <w:t>hyperglycemia</w:t>
      </w:r>
      <w:proofErr w:type="spellEnd"/>
      <w:r>
        <w:rPr>
          <w:rStyle w:val="normaltextrun"/>
          <w:rFonts w:ascii="Arial" w:hAnsi="Arial" w:cs="Arial"/>
        </w:rPr>
        <w:t> caused by peripheral tissue resistance (Galicia-Garcia et al. 2020).</w:t>
      </w:r>
    </w:p>
    <w:p w14:paraId="2BB6C319" w14:textId="77777777" w:rsidR="00886CC5" w:rsidRPr="00780C23" w:rsidRDefault="00886CC5" w:rsidP="00886CC5">
      <w:pPr>
        <w:rPr>
          <w:rFonts w:ascii="Arial" w:hAnsi="Arial" w:cs="Arial"/>
          <w:sz w:val="22"/>
          <w:szCs w:val="22"/>
        </w:rPr>
      </w:pPr>
    </w:p>
    <w:p w14:paraId="1D674E95" w14:textId="77777777" w:rsidR="00886CC5" w:rsidRPr="00780C23" w:rsidRDefault="00886CC5" w:rsidP="00886CC5">
      <w:pPr>
        <w:pStyle w:val="Heading2"/>
        <w:ind w:left="720"/>
        <w:rPr>
          <w:rFonts w:ascii="Arial" w:hAnsi="Arial" w:cs="Arial"/>
          <w:sz w:val="22"/>
          <w:szCs w:val="22"/>
        </w:rPr>
      </w:pPr>
      <w:bookmarkStart w:id="5" w:name="_Toc233410964"/>
      <w:r w:rsidRPr="00780C23">
        <w:rPr>
          <w:rFonts w:ascii="Arial" w:hAnsi="Arial" w:cs="Arial"/>
          <w:sz w:val="22"/>
          <w:szCs w:val="22"/>
        </w:rPr>
        <w:t>Physical Implication</w:t>
      </w:r>
      <w:bookmarkEnd w:id="5"/>
    </w:p>
    <w:p w14:paraId="1F3E5BF5" w14:textId="77777777" w:rsidR="00886CC5" w:rsidRPr="00780C23" w:rsidRDefault="00886CC5" w:rsidP="00886CC5">
      <w:pPr>
        <w:spacing w:after="0" w:line="240" w:lineRule="auto"/>
        <w:rPr>
          <w:rFonts w:ascii="Arial" w:eastAsia="Times New Roman" w:hAnsi="Arial" w:cs="Arial"/>
          <w:kern w:val="0"/>
          <w:sz w:val="22"/>
          <w:szCs w:val="22"/>
          <w:lang w:eastAsia="en-GB"/>
          <w14:ligatures w14:val="none"/>
        </w:rPr>
      </w:pPr>
    </w:p>
    <w:p w14:paraId="7A8300FE" w14:textId="6C5036B8" w:rsidR="00886CC5" w:rsidRDefault="00886CC5" w:rsidP="00886CC5">
      <w:pPr>
        <w:spacing w:after="0" w:line="240" w:lineRule="auto"/>
        <w:rPr>
          <w:rFonts w:ascii="Arial" w:eastAsia="Times New Roman" w:hAnsi="Arial" w:cs="Arial"/>
          <w:kern w:val="0"/>
          <w:sz w:val="22"/>
          <w:szCs w:val="22"/>
          <w:lang w:eastAsia="en-GB"/>
          <w14:ligatures w14:val="none"/>
        </w:rPr>
      </w:pPr>
      <w:r w:rsidRPr="00780C23">
        <w:rPr>
          <w:rFonts w:ascii="Arial" w:eastAsia="Times New Roman" w:hAnsi="Arial" w:cs="Arial"/>
          <w:kern w:val="0"/>
          <w:sz w:val="22"/>
          <w:szCs w:val="22"/>
          <w:lang w:eastAsia="en-GB"/>
          <w14:ligatures w14:val="none"/>
        </w:rPr>
        <w:t>T2D diabetes has many physical effects that are very bad for a person's health and well-being (American Diabetes Association, 2020). There is a chance of getting problems like heart attack, which can cause strokes (Chatterjee et al., 2017). Nerve damage called neuropathy can happen to people with Type 2 diabetes, eye problem, causing pain, tingling, or loss of feeling, especially in their limbs (Boulton et al., 2005). Not controlling your blood sugar well can hurt your kidneys, which is called diabetes nephropathy. If you do not   take care of it properly, it can lead to kidney failure (Mora-Fernandez et al., 2014). As the disease is often linked to obesity, weight gain is another common physical effect that makes treatment more difficult (Nolan et al., 2015).</w:t>
      </w:r>
    </w:p>
    <w:p w14:paraId="07491B38" w14:textId="77777777" w:rsidR="00886CC5" w:rsidRDefault="00886CC5" w:rsidP="00886CC5">
      <w:pPr>
        <w:spacing w:after="0" w:line="240" w:lineRule="auto"/>
        <w:rPr>
          <w:rFonts w:ascii="Arial" w:eastAsia="Times New Roman" w:hAnsi="Arial" w:cs="Arial"/>
          <w:kern w:val="0"/>
          <w:sz w:val="22"/>
          <w:szCs w:val="22"/>
          <w:lang w:eastAsia="en-GB"/>
          <w14:ligatures w14:val="none"/>
        </w:rPr>
      </w:pPr>
    </w:p>
    <w:p w14:paraId="6A556F4B" w14:textId="77777777" w:rsidR="00886CC5" w:rsidRPr="00886CC5" w:rsidRDefault="00886CC5" w:rsidP="00886CC5">
      <w:pPr>
        <w:spacing w:after="0" w:line="240" w:lineRule="auto"/>
        <w:rPr>
          <w:rFonts w:ascii="Arial" w:eastAsia="Times New Roman" w:hAnsi="Arial" w:cs="Arial"/>
          <w:kern w:val="0"/>
          <w:sz w:val="22"/>
          <w:szCs w:val="22"/>
          <w:lang w:eastAsia="en-GB"/>
          <w14:ligatures w14:val="none"/>
        </w:rPr>
      </w:pPr>
    </w:p>
    <w:p w14:paraId="13126BD5" w14:textId="77777777" w:rsidR="00886CC5" w:rsidRDefault="00886CC5" w:rsidP="00886CC5">
      <w:pPr>
        <w:pStyle w:val="Heading2"/>
        <w:rPr>
          <w:rFonts w:ascii="Arial" w:eastAsia="Times New Roman" w:hAnsi="Arial" w:cs="Arial"/>
          <w:sz w:val="22"/>
          <w:szCs w:val="22"/>
          <w:lang w:eastAsia="en-GB"/>
        </w:rPr>
      </w:pPr>
    </w:p>
    <w:p w14:paraId="54D0D3F0" w14:textId="4B0D7C61" w:rsidR="00886CC5" w:rsidRPr="00886CC5" w:rsidRDefault="00886CC5" w:rsidP="00886CC5">
      <w:pPr>
        <w:pStyle w:val="Heading2"/>
        <w:rPr>
          <w:rFonts w:ascii="Arial" w:eastAsia="Times New Roman" w:hAnsi="Arial" w:cs="Arial"/>
          <w:sz w:val="22"/>
          <w:szCs w:val="22"/>
          <w:lang w:eastAsia="en-GB"/>
        </w:rPr>
      </w:pPr>
      <w:bookmarkStart w:id="6" w:name="_Toc233410965"/>
      <w:r w:rsidRPr="00780C23">
        <w:rPr>
          <w:rFonts w:ascii="Arial" w:eastAsia="Times New Roman" w:hAnsi="Arial" w:cs="Arial"/>
          <w:sz w:val="22"/>
          <w:szCs w:val="22"/>
          <w:lang w:eastAsia="en-GB"/>
        </w:rPr>
        <w:t>Psychological Impact</w:t>
      </w:r>
      <w:bookmarkEnd w:id="6"/>
    </w:p>
    <w:p w14:paraId="6A5F6F1C" w14:textId="77777777" w:rsidR="00886CC5" w:rsidRPr="00780C23" w:rsidRDefault="00886CC5" w:rsidP="00886CC5">
      <w:pPr>
        <w:spacing w:after="0" w:line="240" w:lineRule="auto"/>
        <w:rPr>
          <w:rFonts w:ascii="Arial" w:eastAsia="Times New Roman" w:hAnsi="Arial" w:cs="Arial"/>
          <w:kern w:val="0"/>
          <w:sz w:val="22"/>
          <w:szCs w:val="22"/>
          <w:lang w:eastAsia="en-GB"/>
          <w14:ligatures w14:val="none"/>
        </w:rPr>
      </w:pPr>
      <w:r w:rsidRPr="00780C23">
        <w:rPr>
          <w:rFonts w:ascii="Arial" w:hAnsi="Arial" w:cs="Arial"/>
          <w:noProof/>
          <w:sz w:val="22"/>
          <w:szCs w:val="22"/>
        </w:rPr>
        <w:drawing>
          <wp:anchor distT="0" distB="0" distL="114300" distR="114300" simplePos="0" relativeHeight="251661312" behindDoc="0" locked="0" layoutInCell="1" allowOverlap="1" wp14:anchorId="6A367C9B" wp14:editId="5F69627D">
            <wp:simplePos x="0" y="0"/>
            <wp:positionH relativeFrom="column">
              <wp:posOffset>-274955</wp:posOffset>
            </wp:positionH>
            <wp:positionV relativeFrom="paragraph">
              <wp:posOffset>0</wp:posOffset>
            </wp:positionV>
            <wp:extent cx="2407920" cy="1354455"/>
            <wp:effectExtent l="0" t="0" r="0" b="0"/>
            <wp:wrapSquare wrapText="bothSides"/>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07920" cy="13544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80C23">
        <w:rPr>
          <w:rFonts w:ascii="Arial" w:eastAsia="Times New Roman" w:hAnsi="Arial" w:cs="Arial"/>
          <w:kern w:val="0"/>
          <w:sz w:val="22"/>
          <w:szCs w:val="22"/>
          <w:lang w:eastAsia="en-GB"/>
          <w14:ligatures w14:val="none"/>
        </w:rPr>
        <w:t xml:space="preserve">The psychological effects of T2D diabetes are serious and may impact mental health and quality of life in general (Fisher et al., 2016). The long-term nature of managing diabetes means that people with it often experience emotional problems like anxiety and sadness (Nouwen et al., 2011). When dealing with the daily challenges of checking blood sugar and taking medications as prescribed (Cameron and Leventhal, 2003), this mental load can make a person feel frustrated and powerless. As Gonzalez et al. (2016) say, the stigma surrounding diabetes can make mental health problems worse because people may be afraid of what other people will think of their living choices. People may avoid social relationships to avoid talking about their condition (Holt et al., 2016). Which can make them feel alone because they feel like they </w:t>
      </w:r>
      <w:proofErr w:type="gramStart"/>
      <w:r w:rsidRPr="00780C23">
        <w:rPr>
          <w:rFonts w:ascii="Arial" w:eastAsia="Times New Roman" w:hAnsi="Arial" w:cs="Arial"/>
          <w:kern w:val="0"/>
          <w:sz w:val="22"/>
          <w:szCs w:val="22"/>
          <w:lang w:eastAsia="en-GB"/>
          <w14:ligatures w14:val="none"/>
        </w:rPr>
        <w:t>have to</w:t>
      </w:r>
      <w:proofErr w:type="gramEnd"/>
      <w:r w:rsidRPr="00780C23">
        <w:rPr>
          <w:rFonts w:ascii="Arial" w:eastAsia="Times New Roman" w:hAnsi="Arial" w:cs="Arial"/>
          <w:kern w:val="0"/>
          <w:sz w:val="22"/>
          <w:szCs w:val="22"/>
          <w:lang w:eastAsia="en-GB"/>
          <w14:ligatures w14:val="none"/>
        </w:rPr>
        <w:t xml:space="preserve"> control their health.</w:t>
      </w:r>
    </w:p>
    <w:p w14:paraId="2C603B31" w14:textId="77777777" w:rsidR="00886CC5" w:rsidRDefault="00886CC5"/>
    <w:p w14:paraId="519A47D3" w14:textId="758CFD80" w:rsidR="00886CC5" w:rsidRPr="00886CC5" w:rsidRDefault="00886CC5" w:rsidP="00886CC5">
      <w:pPr>
        <w:pStyle w:val="Heading2"/>
        <w:rPr>
          <w:rFonts w:ascii="Arial" w:eastAsia="Times New Roman" w:hAnsi="Arial" w:cs="Arial"/>
          <w:sz w:val="22"/>
          <w:szCs w:val="22"/>
          <w:lang w:eastAsia="en-GB"/>
        </w:rPr>
      </w:pPr>
      <w:bookmarkStart w:id="7" w:name="_Toc233410966"/>
      <w:r w:rsidRPr="00780C23">
        <w:rPr>
          <w:rFonts w:ascii="Arial" w:eastAsia="Times New Roman" w:hAnsi="Arial" w:cs="Arial"/>
          <w:sz w:val="22"/>
          <w:szCs w:val="22"/>
          <w:lang w:eastAsia="en-GB"/>
        </w:rPr>
        <w:lastRenderedPageBreak/>
        <w:t>Social Implication</w:t>
      </w:r>
      <w:bookmarkEnd w:id="7"/>
    </w:p>
    <w:p w14:paraId="26C240CC" w14:textId="77777777" w:rsidR="00886CC5" w:rsidRPr="00780C23" w:rsidRDefault="00886CC5" w:rsidP="00886CC5">
      <w:pPr>
        <w:spacing w:after="0" w:line="240" w:lineRule="auto"/>
        <w:rPr>
          <w:rFonts w:ascii="Arial" w:eastAsia="Times New Roman" w:hAnsi="Arial" w:cs="Arial"/>
          <w:kern w:val="0"/>
          <w:sz w:val="22"/>
          <w:szCs w:val="22"/>
          <w:lang w:eastAsia="en-GB"/>
          <w14:ligatures w14:val="none"/>
        </w:rPr>
      </w:pPr>
      <w:r w:rsidRPr="00780C23">
        <w:rPr>
          <w:rFonts w:ascii="Arial" w:hAnsi="Arial" w:cs="Arial"/>
          <w:noProof/>
          <w:sz w:val="22"/>
          <w:szCs w:val="22"/>
        </w:rPr>
        <w:drawing>
          <wp:anchor distT="0" distB="0" distL="114300" distR="114300" simplePos="0" relativeHeight="251663360" behindDoc="0" locked="0" layoutInCell="1" allowOverlap="1" wp14:anchorId="7F4AACBC" wp14:editId="6ED1B5C2">
            <wp:simplePos x="0" y="0"/>
            <wp:positionH relativeFrom="column">
              <wp:posOffset>-150495</wp:posOffset>
            </wp:positionH>
            <wp:positionV relativeFrom="paragraph">
              <wp:posOffset>64713</wp:posOffset>
            </wp:positionV>
            <wp:extent cx="2486660" cy="2860675"/>
            <wp:effectExtent l="0" t="0" r="8890" b="0"/>
            <wp:wrapSquare wrapText="bothSides"/>
            <wp:docPr id="841096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86660" cy="2860675"/>
                    </a:xfrm>
                    <a:prstGeom prst="rect">
                      <a:avLst/>
                    </a:prstGeom>
                    <a:noFill/>
                    <a:ln>
                      <a:noFill/>
                    </a:ln>
                  </pic:spPr>
                </pic:pic>
              </a:graphicData>
            </a:graphic>
          </wp:anchor>
        </w:drawing>
      </w:r>
    </w:p>
    <w:p w14:paraId="053C8F1B" w14:textId="77777777" w:rsidR="00886CC5" w:rsidRPr="00780C23" w:rsidRDefault="00886CC5" w:rsidP="00886CC5">
      <w:pPr>
        <w:spacing w:after="0" w:line="240" w:lineRule="auto"/>
        <w:rPr>
          <w:rFonts w:ascii="Arial" w:eastAsia="Times New Roman" w:hAnsi="Arial" w:cs="Arial"/>
          <w:kern w:val="0"/>
          <w:sz w:val="22"/>
          <w:szCs w:val="22"/>
          <w:lang w:eastAsia="en-GB"/>
          <w14:ligatures w14:val="none"/>
        </w:rPr>
      </w:pPr>
      <w:r w:rsidRPr="00780C23">
        <w:rPr>
          <w:rFonts w:ascii="Arial" w:eastAsia="Times New Roman" w:hAnsi="Arial" w:cs="Arial"/>
          <w:kern w:val="0"/>
          <w:sz w:val="22"/>
          <w:szCs w:val="22"/>
          <w:lang w:eastAsia="en-GB"/>
          <w14:ligatures w14:val="none"/>
        </w:rPr>
        <w:t>T2D affects more than just the health of the person who has it; it also affects families, neighbourhoods, and healthcare systems (Gonzalez et al., 2016). As this long-term illness becomes more common, it can lead to stigma because people may have wrong ideas about their lifestyle decisions and how responsible they think they are (Holt et al., 2016). This shame can make it hard to talk about health openly, which can make it harder to get help and support (Cunningham et al., 2018). Diabetes costs a lot to manage because of the medicine, doctor visits, and possible complications. This puts a strain on family finances and causes worry and anxiety for carers (Duncan et al., 2014). Communities are also affected because more people with Type 2 diabetes can make them less productive and cost more to care for (Wang et al., 2016).</w:t>
      </w:r>
    </w:p>
    <w:p w14:paraId="0C6C443F" w14:textId="77777777" w:rsidR="00211BC5" w:rsidRPr="00780C23" w:rsidRDefault="00211BC5" w:rsidP="00211BC5">
      <w:pPr>
        <w:pStyle w:val="Heading2"/>
        <w:rPr>
          <w:rFonts w:ascii="Arial" w:hAnsi="Arial" w:cs="Arial"/>
          <w:sz w:val="22"/>
          <w:szCs w:val="22"/>
        </w:rPr>
      </w:pPr>
      <w:bookmarkStart w:id="8" w:name="_Toc233410967"/>
      <w:r w:rsidRPr="00780C23">
        <w:rPr>
          <w:rFonts w:ascii="Arial" w:hAnsi="Arial" w:cs="Arial"/>
          <w:sz w:val="22"/>
          <w:szCs w:val="22"/>
        </w:rPr>
        <w:lastRenderedPageBreak/>
        <w:t>Family Implication</w:t>
      </w:r>
      <w:bookmarkEnd w:id="8"/>
    </w:p>
    <w:p w14:paraId="3082C9D4" w14:textId="77777777" w:rsidR="00211BC5" w:rsidRPr="00780C23" w:rsidRDefault="00211BC5" w:rsidP="00211BC5">
      <w:pPr>
        <w:rPr>
          <w:rFonts w:ascii="Arial" w:hAnsi="Arial" w:cs="Arial"/>
          <w:sz w:val="22"/>
          <w:szCs w:val="22"/>
        </w:rPr>
      </w:pPr>
      <w:r w:rsidRPr="00780C23">
        <w:rPr>
          <w:rFonts w:ascii="Arial" w:hAnsi="Arial" w:cs="Arial"/>
          <w:noProof/>
          <w:sz w:val="22"/>
          <w:szCs w:val="22"/>
        </w:rPr>
        <w:drawing>
          <wp:anchor distT="0" distB="0" distL="114300" distR="114300" simplePos="0" relativeHeight="251665408" behindDoc="0" locked="0" layoutInCell="1" allowOverlap="1" wp14:anchorId="3353D81B" wp14:editId="53C07BFB">
            <wp:simplePos x="0" y="0"/>
            <wp:positionH relativeFrom="margin">
              <wp:align>left</wp:align>
            </wp:positionH>
            <wp:positionV relativeFrom="paragraph">
              <wp:posOffset>189577</wp:posOffset>
            </wp:positionV>
            <wp:extent cx="2032000" cy="2389505"/>
            <wp:effectExtent l="0" t="0" r="6350" b="0"/>
            <wp:wrapSquare wrapText="bothSides"/>
            <wp:docPr id="4120260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32000" cy="23895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90137A2" w14:textId="2485928C" w:rsidR="00886CC5" w:rsidRDefault="00211BC5" w:rsidP="00211BC5">
      <w:pPr>
        <w:rPr>
          <w:rFonts w:ascii="Arial" w:eastAsia="Times New Roman" w:hAnsi="Arial" w:cs="Arial"/>
          <w:kern w:val="0"/>
          <w:sz w:val="22"/>
          <w:szCs w:val="22"/>
          <w:lang w:eastAsia="en-GB"/>
          <w14:ligatures w14:val="none"/>
        </w:rPr>
      </w:pPr>
      <w:r w:rsidRPr="00780C23">
        <w:rPr>
          <w:rFonts w:ascii="Arial" w:eastAsia="Times New Roman" w:hAnsi="Arial" w:cs="Arial"/>
          <w:kern w:val="0"/>
          <w:sz w:val="22"/>
          <w:szCs w:val="22"/>
          <w:lang w:eastAsia="en-GB"/>
          <w14:ligatures w14:val="none"/>
        </w:rPr>
        <w:t>Type 2 diabetes has many effects on a family, including how people feel, what they do every day, and their general health (Whittemore et al., 2012). When a family member is diagnosed, people often turn their attention to making changes to their food and way of life (Holt et al., 2016). For example, meals might need to be changed so that healthier choices are available. This can affect family traditions and social events (Duncan et al., 2014). This could make family members angry or frustrated (Whittemore et al., 2012). T2D can make the whole family feel stressed out (Holt et al. 2016). Carers may feel stressed about how to deal with the condition and its problems (Duncan et al., 2014). People who are impacted may struggle with guilt or a lack of control (Holt et al., 2016). This emotional stress can hurt family ties and cause tension or disputes (Whittemore et al., 2012).</w:t>
      </w:r>
    </w:p>
    <w:p w14:paraId="1551C749" w14:textId="77777777" w:rsidR="00211BC5" w:rsidRDefault="00211BC5" w:rsidP="00211BC5">
      <w:pPr>
        <w:pStyle w:val="Heading2"/>
        <w:ind w:left="720"/>
        <w:rPr>
          <w:rFonts w:ascii="Arial" w:hAnsi="Arial" w:cs="Arial"/>
          <w:sz w:val="22"/>
          <w:szCs w:val="22"/>
        </w:rPr>
      </w:pPr>
    </w:p>
    <w:p w14:paraId="3F8BAD3D" w14:textId="175AE6B7" w:rsidR="00211BC5" w:rsidRPr="00780C23" w:rsidRDefault="00211BC5" w:rsidP="00211BC5">
      <w:pPr>
        <w:pStyle w:val="Heading2"/>
        <w:ind w:left="720"/>
        <w:rPr>
          <w:rFonts w:ascii="Arial" w:hAnsi="Arial" w:cs="Arial"/>
          <w:sz w:val="22"/>
          <w:szCs w:val="22"/>
        </w:rPr>
      </w:pPr>
      <w:bookmarkStart w:id="9" w:name="_Toc233410968"/>
      <w:r w:rsidRPr="00780C23">
        <w:rPr>
          <w:rFonts w:ascii="Arial" w:hAnsi="Arial" w:cs="Arial"/>
          <w:sz w:val="22"/>
          <w:szCs w:val="22"/>
        </w:rPr>
        <w:t>Evidence- Based Treatments in UK (NHS)</w:t>
      </w:r>
      <w:bookmarkEnd w:id="9"/>
    </w:p>
    <w:p w14:paraId="6C81E3F6" w14:textId="77777777" w:rsidR="00211BC5" w:rsidRPr="00780C23" w:rsidRDefault="00211BC5" w:rsidP="00211BC5">
      <w:pPr>
        <w:spacing w:after="0" w:line="240" w:lineRule="auto"/>
        <w:rPr>
          <w:rFonts w:ascii="Arial" w:eastAsia="Times New Roman" w:hAnsi="Arial" w:cs="Arial"/>
          <w:kern w:val="0"/>
          <w:sz w:val="22"/>
          <w:szCs w:val="22"/>
          <w:lang w:eastAsia="en-GB"/>
          <w14:ligatures w14:val="none"/>
        </w:rPr>
      </w:pPr>
    </w:p>
    <w:p w14:paraId="4E13364C" w14:textId="77777777" w:rsidR="00211BC5" w:rsidRPr="00780C23" w:rsidRDefault="00211BC5" w:rsidP="00211BC5">
      <w:pPr>
        <w:spacing w:after="0" w:line="240" w:lineRule="auto"/>
        <w:rPr>
          <w:rFonts w:ascii="Arial" w:eastAsia="Times New Roman" w:hAnsi="Arial" w:cs="Arial"/>
          <w:kern w:val="0"/>
          <w:sz w:val="22"/>
          <w:szCs w:val="22"/>
          <w:lang w:eastAsia="en-GB"/>
          <w14:ligatures w14:val="none"/>
        </w:rPr>
      </w:pPr>
      <w:r w:rsidRPr="00780C23">
        <w:rPr>
          <w:rFonts w:ascii="Arial" w:eastAsia="Times New Roman" w:hAnsi="Arial" w:cs="Arial"/>
          <w:kern w:val="0"/>
          <w:sz w:val="22"/>
          <w:szCs w:val="22"/>
          <w:lang w:eastAsia="en-GB"/>
          <w14:ligatures w14:val="none"/>
        </w:rPr>
        <w:t>Treatment includes lifestyle changes, medication, close monitoring, and emotional support, depending on the patient's age, other health problems, heart disease risk, kidney function, and personal choices (NHS England, 2019). Research from NHS Digital and NICE shows that access to newer therapies varies by region. For example, SGLTS 2 inhibitors and GLP-1 receptor agonist are more widely prescribed for people with a high risk or cardiovascular profile (NICE, 2023; NHS Digital, 2022).</w:t>
      </w:r>
    </w:p>
    <w:p w14:paraId="5216EB08" w14:textId="77777777" w:rsidR="00211BC5" w:rsidRPr="00780C23" w:rsidRDefault="00211BC5" w:rsidP="00211BC5">
      <w:pPr>
        <w:spacing w:after="0" w:line="240" w:lineRule="auto"/>
        <w:rPr>
          <w:rFonts w:ascii="Arial" w:eastAsia="Times New Roman" w:hAnsi="Arial" w:cs="Arial"/>
          <w:kern w:val="0"/>
          <w:sz w:val="22"/>
          <w:szCs w:val="22"/>
          <w:lang w:eastAsia="en-GB"/>
          <w14:ligatures w14:val="none"/>
        </w:rPr>
      </w:pPr>
    </w:p>
    <w:p w14:paraId="5443818C" w14:textId="77777777" w:rsidR="00211BC5" w:rsidRPr="00780C23" w:rsidRDefault="00211BC5" w:rsidP="00211BC5">
      <w:pPr>
        <w:spacing w:after="0" w:line="240" w:lineRule="auto"/>
        <w:rPr>
          <w:rFonts w:ascii="Arial" w:eastAsia="Times New Roman" w:hAnsi="Arial" w:cs="Arial"/>
          <w:kern w:val="0"/>
          <w:sz w:val="22"/>
          <w:szCs w:val="22"/>
          <w:lang w:eastAsia="en-GB"/>
          <w14:ligatures w14:val="none"/>
        </w:rPr>
      </w:pPr>
    </w:p>
    <w:p w14:paraId="3CCDCA6D" w14:textId="77777777" w:rsidR="00211BC5" w:rsidRPr="00780C23" w:rsidRDefault="00211BC5" w:rsidP="00211BC5">
      <w:pPr>
        <w:spacing w:after="0" w:line="240" w:lineRule="auto"/>
        <w:rPr>
          <w:rFonts w:ascii="Arial" w:eastAsia="Times New Roman" w:hAnsi="Arial" w:cs="Arial"/>
          <w:kern w:val="0"/>
          <w:sz w:val="22"/>
          <w:szCs w:val="22"/>
          <w:lang w:eastAsia="en-GB"/>
          <w14:ligatures w14:val="none"/>
        </w:rPr>
      </w:pPr>
      <w:r w:rsidRPr="00780C23">
        <w:rPr>
          <w:rFonts w:ascii="Arial" w:eastAsia="Times New Roman" w:hAnsi="Arial" w:cs="Arial"/>
          <w:kern w:val="0"/>
          <w:sz w:val="22"/>
          <w:szCs w:val="22"/>
          <w:lang w:eastAsia="en-GB"/>
          <w14:ligatures w14:val="none"/>
        </w:rPr>
        <w:t>Lifestyle changes, medication, close tracking, and supportive care are all parts of management that are based on the patient's age, other health problems, cardiovascular risk, kidney function, and preferences (NICE, 2023). Lifestyle and teaching programs (Diabetes Education and Self-Management for Ongoing and Newly Diagnosed (DESMOND) for adults and Dose Adjustment For Normal Eating (DAFNE) for people who are on insulin) help people change their habits, lose weight, get active, stop smoking, and drink alcohol in moderation (DESMOND, 2019; DAFNE, 2018). With a goal of at least 150 minutes of moderate intensity exercise per week, plus resistance training when needed (NICE, 2023). diabetic input and personalised self-management plans are very important.</w:t>
      </w:r>
    </w:p>
    <w:p w14:paraId="04B8C5DF" w14:textId="77777777" w:rsidR="00211BC5" w:rsidRDefault="00211BC5" w:rsidP="00211BC5"/>
    <w:p w14:paraId="67D97625" w14:textId="77777777" w:rsidR="00211BC5" w:rsidRPr="00780C23" w:rsidRDefault="00211BC5" w:rsidP="00211BC5">
      <w:pPr>
        <w:pStyle w:val="Heading2"/>
        <w:rPr>
          <w:rFonts w:ascii="Arial" w:hAnsi="Arial" w:cs="Arial"/>
          <w:sz w:val="22"/>
          <w:szCs w:val="22"/>
        </w:rPr>
      </w:pPr>
      <w:bookmarkStart w:id="10" w:name="_Toc233410969"/>
      <w:r w:rsidRPr="00780C23">
        <w:rPr>
          <w:rFonts w:ascii="Arial" w:hAnsi="Arial" w:cs="Arial"/>
          <w:sz w:val="22"/>
          <w:szCs w:val="22"/>
        </w:rPr>
        <w:lastRenderedPageBreak/>
        <w:t>Pharmacological treatment</w:t>
      </w:r>
      <w:bookmarkEnd w:id="10"/>
    </w:p>
    <w:p w14:paraId="1C966454" w14:textId="7C0E9F0D" w:rsidR="00211BC5" w:rsidRPr="00780C23" w:rsidRDefault="00211BC5" w:rsidP="00211BC5">
      <w:pPr>
        <w:rPr>
          <w:rFonts w:ascii="Arial" w:hAnsi="Arial" w:cs="Arial"/>
          <w:sz w:val="22"/>
          <w:szCs w:val="22"/>
        </w:rPr>
      </w:pPr>
      <w:r w:rsidRPr="00780C23">
        <w:rPr>
          <w:rFonts w:ascii="Arial" w:hAnsi="Arial" w:cs="Arial"/>
          <w:noProof/>
          <w:sz w:val="22"/>
          <w:szCs w:val="22"/>
        </w:rPr>
        <w:drawing>
          <wp:anchor distT="0" distB="0" distL="114300" distR="114300" simplePos="0" relativeHeight="251667456" behindDoc="0" locked="0" layoutInCell="1" allowOverlap="1" wp14:anchorId="4C7AF56D" wp14:editId="0E1246D4">
            <wp:simplePos x="0" y="0"/>
            <wp:positionH relativeFrom="column">
              <wp:posOffset>-369570</wp:posOffset>
            </wp:positionH>
            <wp:positionV relativeFrom="paragraph">
              <wp:posOffset>288925</wp:posOffset>
            </wp:positionV>
            <wp:extent cx="2592705" cy="1458595"/>
            <wp:effectExtent l="0" t="0" r="0" b="8255"/>
            <wp:wrapSquare wrapText="bothSides"/>
            <wp:docPr id="883342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92705" cy="14585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09399CB" w14:textId="5F9BEE37" w:rsidR="00211BC5" w:rsidRPr="00780C23" w:rsidRDefault="00211BC5" w:rsidP="00211BC5">
      <w:pPr>
        <w:spacing w:after="0" w:line="240" w:lineRule="auto"/>
        <w:rPr>
          <w:rFonts w:ascii="Arial" w:eastAsia="Times New Roman" w:hAnsi="Arial" w:cs="Arial"/>
          <w:kern w:val="0"/>
          <w:sz w:val="22"/>
          <w:szCs w:val="22"/>
          <w:lang w:eastAsia="en-GB"/>
          <w14:ligatures w14:val="none"/>
        </w:rPr>
      </w:pPr>
      <w:r w:rsidRPr="00780C23">
        <w:rPr>
          <w:rFonts w:ascii="Arial" w:eastAsia="Times New Roman" w:hAnsi="Arial" w:cs="Arial"/>
          <w:kern w:val="0"/>
          <w:sz w:val="22"/>
          <w:szCs w:val="22"/>
          <w:lang w:eastAsia="en-GB"/>
          <w14:ligatures w14:val="none"/>
        </w:rPr>
        <w:t>There are steps to pharmacological treatment. Metformin comes first unless there are other reasons not to. HbA1c, weight, kidney function, and cardiovascular risk are used to decide what extra treatments to give. SGLT2 inhibitors, like empagliflozin and dapagliflozin, help many people with their heart health and kidney health (American Diabetes Association, 2020). GLP-1 receptor agonists, like dulaglutide, can help some people lose weight and improve their heart health (American Diabetes Association, 2020). DPP-4 inhibitors, like sitagliptin, can be used instead. When other drugs don't help control blood sugar and it stays above goal, basal, premixed, or postprandial insulin therapy is considered. Gliclazide is still a choice in some situations. As needed, antiplatelet treatment, ACE inhibitors/ARBs for blood pressure, and stains are all part of cardiovascular risk management (Blum et al., 2018). Due to changes in renal function, it is important to keep an eye on kidney function (eGFR) and adjust the dose as needed. Annual eye exams and foot care are also normal, as are flu, pneumococcal, and COVID-19 vaccinations (Fahmy et al., 2020).</w:t>
      </w:r>
    </w:p>
    <w:p w14:paraId="497FF230" w14:textId="77777777" w:rsidR="00211BC5" w:rsidRPr="00780C23" w:rsidRDefault="00211BC5" w:rsidP="00211BC5">
      <w:pPr>
        <w:spacing w:after="0" w:line="240" w:lineRule="auto"/>
        <w:rPr>
          <w:rFonts w:ascii="Arial" w:eastAsia="Times New Roman" w:hAnsi="Arial" w:cs="Arial"/>
          <w:kern w:val="0"/>
          <w:sz w:val="22"/>
          <w:szCs w:val="22"/>
          <w:lang w:eastAsia="en-GB"/>
          <w14:ligatures w14:val="none"/>
        </w:rPr>
      </w:pPr>
      <w:r w:rsidRPr="00780C23">
        <w:rPr>
          <w:rFonts w:ascii="Arial" w:eastAsia="Times New Roman" w:hAnsi="Arial" w:cs="Arial"/>
          <w:kern w:val="0"/>
          <w:sz w:val="22"/>
          <w:szCs w:val="22"/>
          <w:lang w:eastAsia="en-GB"/>
          <w14:ligatures w14:val="none"/>
        </w:rPr>
        <w:t xml:space="preserve">While glycaemic goals are different for each person, a typical one is to keep HbA1c levels between &lt;48 mmol/mol (6.5%) and &lt;58 mmol/mol (7.5%), </w:t>
      </w:r>
      <w:proofErr w:type="gramStart"/>
      <w:r w:rsidRPr="00780C23">
        <w:rPr>
          <w:rFonts w:ascii="Arial" w:eastAsia="Times New Roman" w:hAnsi="Arial" w:cs="Arial"/>
          <w:kern w:val="0"/>
          <w:sz w:val="22"/>
          <w:szCs w:val="22"/>
          <w:lang w:eastAsia="en-GB"/>
          <w14:ligatures w14:val="none"/>
        </w:rPr>
        <w:t xml:space="preserve">taking into </w:t>
      </w:r>
      <w:r w:rsidRPr="00780C23">
        <w:rPr>
          <w:rFonts w:ascii="Arial" w:eastAsia="Times New Roman" w:hAnsi="Arial" w:cs="Arial"/>
          <w:kern w:val="0"/>
          <w:sz w:val="22"/>
          <w:szCs w:val="22"/>
          <w:lang w:eastAsia="en-GB"/>
          <w14:ligatures w14:val="none"/>
        </w:rPr>
        <w:lastRenderedPageBreak/>
        <w:t>account</w:t>
      </w:r>
      <w:proofErr w:type="gramEnd"/>
      <w:r w:rsidRPr="00780C23">
        <w:rPr>
          <w:rFonts w:ascii="Arial" w:eastAsia="Times New Roman" w:hAnsi="Arial" w:cs="Arial"/>
          <w:kern w:val="0"/>
          <w:sz w:val="22"/>
          <w:szCs w:val="22"/>
          <w:lang w:eastAsia="en-GB"/>
          <w14:ligatures w14:val="none"/>
        </w:rPr>
        <w:t xml:space="preserve"> age, other health problems, the risk of </w:t>
      </w:r>
      <w:proofErr w:type="spellStart"/>
      <w:r w:rsidRPr="00780C23">
        <w:rPr>
          <w:rFonts w:ascii="Arial" w:eastAsia="Times New Roman" w:hAnsi="Arial" w:cs="Arial"/>
          <w:kern w:val="0"/>
          <w:sz w:val="22"/>
          <w:szCs w:val="22"/>
          <w:lang w:eastAsia="en-GB"/>
          <w14:ligatures w14:val="none"/>
        </w:rPr>
        <w:t>hypoglycemia</w:t>
      </w:r>
      <w:proofErr w:type="spellEnd"/>
      <w:r w:rsidRPr="00780C23">
        <w:rPr>
          <w:rFonts w:ascii="Arial" w:eastAsia="Times New Roman" w:hAnsi="Arial" w:cs="Arial"/>
          <w:kern w:val="0"/>
          <w:sz w:val="22"/>
          <w:szCs w:val="22"/>
          <w:lang w:eastAsia="en-GB"/>
          <w14:ligatures w14:val="none"/>
        </w:rPr>
        <w:t>, and life expectancy. Usually, monitoring happens every three to six months until things are stable, and then every six months (ADA, 2023). Retinopathy and foot care tracking is done at the same time. When someone has a serious illness with a short outlook, end-of-life issues come into play. These issues focus on the person's comfort and their care choices, and palliative care is used when it's needed (NICE, 2023).</w:t>
      </w:r>
    </w:p>
    <w:p w14:paraId="596A8E14" w14:textId="77777777" w:rsidR="00211BC5" w:rsidRDefault="00211BC5" w:rsidP="00211BC5"/>
    <w:p w14:paraId="5582C5E0" w14:textId="55B1C31C" w:rsidR="00211BC5" w:rsidRPr="00211BC5" w:rsidRDefault="00211BC5" w:rsidP="00211BC5">
      <w:pPr>
        <w:pStyle w:val="Heading2"/>
        <w:ind w:left="720"/>
        <w:rPr>
          <w:rFonts w:ascii="Arial" w:eastAsia="Times New Roman" w:hAnsi="Arial" w:cs="Arial"/>
          <w:sz w:val="22"/>
          <w:szCs w:val="22"/>
          <w:lang w:eastAsia="en-GB"/>
        </w:rPr>
      </w:pPr>
      <w:bookmarkStart w:id="11" w:name="_Toc233410970"/>
      <w:r w:rsidRPr="00780C23">
        <w:rPr>
          <w:rFonts w:ascii="Arial" w:eastAsia="Times New Roman" w:hAnsi="Arial" w:cs="Arial"/>
          <w:sz w:val="22"/>
          <w:szCs w:val="22"/>
          <w:lang w:eastAsia="en-GB"/>
        </w:rPr>
        <w:t>Theoretical Perspectives and Frameworks</w:t>
      </w:r>
      <w:r w:rsidRPr="00780C23">
        <w:rPr>
          <w:rFonts w:ascii="Arial" w:hAnsi="Arial" w:cs="Arial"/>
          <w:noProof/>
          <w:sz w:val="22"/>
          <w:szCs w:val="22"/>
        </w:rPr>
        <w:drawing>
          <wp:anchor distT="0" distB="0" distL="114300" distR="114300" simplePos="0" relativeHeight="251669504" behindDoc="0" locked="0" layoutInCell="1" allowOverlap="1" wp14:anchorId="635DBEC3" wp14:editId="273C6A23">
            <wp:simplePos x="0" y="0"/>
            <wp:positionH relativeFrom="margin">
              <wp:posOffset>-463463</wp:posOffset>
            </wp:positionH>
            <wp:positionV relativeFrom="paragraph">
              <wp:posOffset>166004</wp:posOffset>
            </wp:positionV>
            <wp:extent cx="2677795" cy="2008505"/>
            <wp:effectExtent l="0" t="0" r="8255" b="0"/>
            <wp:wrapSquare wrapText="bothSides"/>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77795" cy="2008505"/>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11"/>
    </w:p>
    <w:p w14:paraId="14EDF5D9" w14:textId="6A83A925" w:rsidR="00211BC5" w:rsidRPr="00780C23" w:rsidRDefault="00211BC5" w:rsidP="00211BC5">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Pr="00780C23">
        <w:rPr>
          <w:rFonts w:ascii="Arial" w:eastAsia="Times New Roman" w:hAnsi="Arial" w:cs="Arial"/>
          <w:kern w:val="0"/>
          <w:sz w:val="22"/>
          <w:szCs w:val="22"/>
          <w:lang w:eastAsia="en-GB"/>
          <w14:ligatures w14:val="none"/>
        </w:rPr>
        <w:t xml:space="preserve">The Chronic Care Model focuses on proactive, coordinated care that involves clinicians who are trained and people who are well-informed. To improve outcomes for people with Type 2 diabetes, CCM implementation needs well-organised health services, community resources, and help with self-management (Wagner et al., 2001). Designing the delivery system and helping people make decisions will make sure that evidence-based methods are always used during visits (Wagner et al., 2001). Patients with diabetes who get help with self-management are better able to stick to their plans, keep an eye on their blood sugar, and make changes to their </w:t>
      </w:r>
      <w:proofErr w:type="gramStart"/>
      <w:r w:rsidRPr="00780C23">
        <w:rPr>
          <w:rFonts w:ascii="Arial" w:eastAsia="Times New Roman" w:hAnsi="Arial" w:cs="Arial"/>
          <w:kern w:val="0"/>
          <w:sz w:val="22"/>
          <w:szCs w:val="22"/>
          <w:lang w:eastAsia="en-GB"/>
          <w14:ligatures w14:val="none"/>
        </w:rPr>
        <w:t>lifestyles  (</w:t>
      </w:r>
      <w:proofErr w:type="gramEnd"/>
      <w:r w:rsidRPr="00780C23">
        <w:rPr>
          <w:rFonts w:ascii="Arial" w:eastAsia="Times New Roman" w:hAnsi="Arial" w:cs="Arial"/>
          <w:kern w:val="0"/>
          <w:sz w:val="22"/>
          <w:szCs w:val="22"/>
          <w:lang w:eastAsia="en-GB"/>
          <w14:ligatures w14:val="none"/>
        </w:rPr>
        <w:t xml:space="preserve">Norris et al., 2002). Clinical </w:t>
      </w:r>
      <w:r w:rsidRPr="00780C23">
        <w:rPr>
          <w:rFonts w:ascii="Arial" w:eastAsia="Times New Roman" w:hAnsi="Arial" w:cs="Arial"/>
          <w:kern w:val="0"/>
          <w:sz w:val="22"/>
          <w:szCs w:val="22"/>
          <w:lang w:eastAsia="en-GB"/>
          <w14:ligatures w14:val="none"/>
        </w:rPr>
        <w:lastRenderedPageBreak/>
        <w:t>information systems make it possible to send timely reminders, keep track of data, and manage the health of a whole community (Shaw et al., 2019). Patients can get social services, nutrition programs, and peer support through community tools, which address the social determinants of health (Wagner et al., 2001). Access to medications, cost, and the long-term success of CCM programs are all affected by health policy and how care is organised (De Savigny and Adam, 2009). Quality growth and measuring results are made possible by ongoing evaluation (Greenhalgh et al., 2010).</w:t>
      </w:r>
    </w:p>
    <w:p w14:paraId="5653B278" w14:textId="77777777" w:rsidR="00211BC5" w:rsidRDefault="00211BC5" w:rsidP="00211BC5"/>
    <w:p w14:paraId="16A94837" w14:textId="77777777" w:rsidR="00211BC5" w:rsidRDefault="00211BC5" w:rsidP="00211BC5">
      <w:pPr>
        <w:rPr>
          <w:rFonts w:ascii="Arial" w:hAnsi="Arial" w:cs="Arial"/>
          <w:sz w:val="22"/>
          <w:szCs w:val="22"/>
          <w:lang w:eastAsia="en-GB"/>
        </w:rPr>
      </w:pPr>
      <w:r w:rsidRPr="00780C23">
        <w:rPr>
          <w:rFonts w:ascii="Arial" w:hAnsi="Arial" w:cs="Arial"/>
          <w:sz w:val="22"/>
          <w:szCs w:val="22"/>
          <w:lang w:eastAsia="en-GB"/>
        </w:rPr>
        <w:t xml:space="preserve">This theory of Type 2 diabetes looks at how environments affect risk, access to care, and self-management practices on many levels, including the individual, the interpersonal, the organisational, the community, and the policy level (Stokols, 1996). Sallis et al. (2008) explain, this framework shows how personal factors (like genes and motivation) work with social networks and neighbourhood tools to affect glycaemic issues and adherence. Regarding diabetes, Rosenstock (1974) says that the health belief model focuses on how vulnerable a person thinks they are, how bad they think their condition is, the benefits of </w:t>
      </w:r>
      <w:proofErr w:type="gramStart"/>
      <w:r w:rsidRPr="00780C23">
        <w:rPr>
          <w:rFonts w:ascii="Arial" w:hAnsi="Arial" w:cs="Arial"/>
          <w:sz w:val="22"/>
          <w:szCs w:val="22"/>
          <w:lang w:eastAsia="en-GB"/>
        </w:rPr>
        <w:t>taking action</w:t>
      </w:r>
      <w:proofErr w:type="gramEnd"/>
      <w:r w:rsidRPr="00780C23">
        <w:rPr>
          <w:rFonts w:ascii="Arial" w:hAnsi="Arial" w:cs="Arial"/>
          <w:sz w:val="22"/>
          <w:szCs w:val="22"/>
          <w:lang w:eastAsia="en-GB"/>
        </w:rPr>
        <w:t>, and the problems that stand in the way. These beliefs affect how much they do things like screening, dieting, and exercise. According to Deci and Ryan (2000), self-determination theory gives people a reason to make changes to their lives that are necessary for controlling glucose</w:t>
      </w:r>
    </w:p>
    <w:p w14:paraId="7A75DCEC" w14:textId="77777777" w:rsidR="00211BC5" w:rsidRDefault="00211BC5" w:rsidP="00211BC5"/>
    <w:p w14:paraId="42630968" w14:textId="6C6C9FCA" w:rsidR="00211BC5" w:rsidRPr="00211BC5" w:rsidRDefault="00211BC5" w:rsidP="00211BC5">
      <w:pPr>
        <w:pStyle w:val="Heading2"/>
        <w:ind w:left="720"/>
        <w:rPr>
          <w:rFonts w:ascii="Arial" w:hAnsi="Arial" w:cs="Arial"/>
          <w:sz w:val="22"/>
          <w:szCs w:val="22"/>
        </w:rPr>
      </w:pPr>
      <w:bookmarkStart w:id="12" w:name="_Toc233410971"/>
      <w:r w:rsidRPr="00780C23">
        <w:rPr>
          <w:rFonts w:ascii="Arial" w:hAnsi="Arial" w:cs="Arial"/>
          <w:sz w:val="22"/>
          <w:szCs w:val="22"/>
        </w:rPr>
        <w:lastRenderedPageBreak/>
        <w:t>Policy Global and UK</w:t>
      </w:r>
      <w:bookmarkEnd w:id="12"/>
    </w:p>
    <w:p w14:paraId="741D3BA0" w14:textId="77777777" w:rsidR="00211BC5" w:rsidRPr="00780C23" w:rsidRDefault="00211BC5" w:rsidP="00211BC5">
      <w:pPr>
        <w:spacing w:after="0" w:line="240" w:lineRule="auto"/>
        <w:rPr>
          <w:rFonts w:ascii="Arial" w:eastAsia="Times New Roman" w:hAnsi="Arial" w:cs="Arial"/>
          <w:kern w:val="0"/>
          <w:sz w:val="22"/>
          <w:szCs w:val="22"/>
          <w:lang w:eastAsia="en-GB"/>
          <w14:ligatures w14:val="none"/>
        </w:rPr>
      </w:pPr>
      <w:r w:rsidRPr="00780C23">
        <w:rPr>
          <w:rFonts w:ascii="Arial" w:eastAsia="Times New Roman" w:hAnsi="Arial" w:cs="Arial"/>
          <w:kern w:val="0"/>
          <w:sz w:val="22"/>
          <w:szCs w:val="22"/>
          <w:lang w:eastAsia="en-GB"/>
          <w14:ligatures w14:val="none"/>
        </w:rPr>
        <w:t>The Global Action Plan for the Prevention and Control of Noncommunicable Diseases from the World Health Organization (World Health Organization, 2013) emphasises that countries need to use comprehensive plans that include encouraging healthy diets and physical exercise.</w:t>
      </w:r>
    </w:p>
    <w:p w14:paraId="20855B18" w14:textId="77777777" w:rsidR="00211BC5" w:rsidRPr="00780C23" w:rsidRDefault="00211BC5" w:rsidP="00211BC5">
      <w:pPr>
        <w:spacing w:after="0" w:line="240" w:lineRule="auto"/>
        <w:rPr>
          <w:rFonts w:ascii="Arial" w:eastAsia="Times New Roman" w:hAnsi="Arial" w:cs="Arial"/>
          <w:kern w:val="0"/>
          <w:sz w:val="22"/>
          <w:szCs w:val="22"/>
          <w:lang w:eastAsia="en-GB"/>
          <w14:ligatures w14:val="none"/>
        </w:rPr>
      </w:pPr>
      <w:r w:rsidRPr="00780C23">
        <w:rPr>
          <w:rFonts w:ascii="Arial" w:eastAsia="Times New Roman" w:hAnsi="Arial" w:cs="Arial"/>
          <w:kern w:val="0"/>
          <w:sz w:val="22"/>
          <w:szCs w:val="22"/>
          <w:lang w:eastAsia="en-GB"/>
          <w14:ligatures w14:val="none"/>
        </w:rPr>
        <w:t>The NHS Long Term Plan has included steps to improve diabetes care including early diagnosis, preventative programmes and improved access to medications (NHS England, 2019). The UK Diabetes Prevention Programme (DPP) is the main programme that seeks to lower the risk of developing type 2 diabetes by offering lifestyle assistance and education to those at risk (Public Health England, 2019). In addition, public health initiatives such as sugar levies and food labelling requirements are aimed at reducing risk factors for diabetes in the population (Public Health England, 2020).</w:t>
      </w:r>
    </w:p>
    <w:p w14:paraId="370465D6" w14:textId="77777777" w:rsidR="00211BC5" w:rsidRPr="00780C23" w:rsidRDefault="00211BC5" w:rsidP="00211BC5">
      <w:pPr>
        <w:rPr>
          <w:rFonts w:ascii="Arial" w:hAnsi="Arial" w:cs="Arial"/>
          <w:sz w:val="22"/>
          <w:szCs w:val="22"/>
        </w:rPr>
      </w:pPr>
    </w:p>
    <w:p w14:paraId="3EC38C79" w14:textId="77777777" w:rsidR="00211BC5" w:rsidRPr="00780C23" w:rsidRDefault="00211BC5" w:rsidP="00211BC5">
      <w:pPr>
        <w:pStyle w:val="Heading2"/>
        <w:rPr>
          <w:rFonts w:ascii="Arial" w:hAnsi="Arial" w:cs="Arial"/>
          <w:sz w:val="22"/>
          <w:szCs w:val="22"/>
        </w:rPr>
      </w:pPr>
      <w:bookmarkStart w:id="13" w:name="_Toc233410972"/>
      <w:r w:rsidRPr="00780C23">
        <w:rPr>
          <w:rFonts w:ascii="Arial" w:hAnsi="Arial" w:cs="Arial"/>
          <w:sz w:val="22"/>
          <w:szCs w:val="22"/>
        </w:rPr>
        <w:t>Political Global and UK</w:t>
      </w:r>
      <w:bookmarkEnd w:id="13"/>
    </w:p>
    <w:p w14:paraId="270C905F" w14:textId="77777777" w:rsidR="00211BC5" w:rsidRPr="00780C23" w:rsidRDefault="00211BC5" w:rsidP="00211BC5">
      <w:pPr>
        <w:spacing w:after="0" w:line="240" w:lineRule="auto"/>
        <w:rPr>
          <w:rFonts w:ascii="Arial" w:eastAsia="Times New Roman" w:hAnsi="Arial" w:cs="Arial"/>
          <w:kern w:val="0"/>
          <w:sz w:val="22"/>
          <w:szCs w:val="22"/>
          <w:lang w:eastAsia="en-GB"/>
          <w14:ligatures w14:val="none"/>
        </w:rPr>
      </w:pPr>
      <w:r w:rsidRPr="00780C23">
        <w:rPr>
          <w:rFonts w:ascii="Arial" w:eastAsia="Times New Roman" w:hAnsi="Arial" w:cs="Arial"/>
          <w:kern w:val="0"/>
          <w:sz w:val="22"/>
          <w:szCs w:val="22"/>
          <w:lang w:eastAsia="en-GB"/>
          <w14:ligatures w14:val="none"/>
        </w:rPr>
        <w:t>The World Health Organization (2016) says that political action on T2D is needed to make sure that healthcare policies and intervention methods work well around the world and in the UK. The Global Action Plan for Prevention and Control of Noncommunicable Diseases (World Health Organization, 2013) is an international plan that encourages countries to work together to stop the spread of diabetes. This plan stresses how important it is for politicians to commit to preventing and managing diabetes and for resources to be allocated properly.</w:t>
      </w:r>
    </w:p>
    <w:p w14:paraId="280B5711" w14:textId="77777777" w:rsidR="00211BC5" w:rsidRPr="00780C23" w:rsidRDefault="00211BC5" w:rsidP="00211BC5">
      <w:pPr>
        <w:rPr>
          <w:rFonts w:ascii="Arial" w:hAnsi="Arial" w:cs="Arial"/>
          <w:sz w:val="22"/>
          <w:szCs w:val="22"/>
        </w:rPr>
      </w:pPr>
    </w:p>
    <w:p w14:paraId="5617F6C0" w14:textId="77777777" w:rsidR="00211BC5" w:rsidRDefault="00211BC5" w:rsidP="00211BC5">
      <w:pPr>
        <w:rPr>
          <w:rFonts w:ascii="Arial" w:eastAsia="Times New Roman" w:hAnsi="Arial" w:cs="Arial"/>
          <w:kern w:val="0"/>
          <w:sz w:val="22"/>
          <w:szCs w:val="22"/>
          <w:lang w:eastAsia="en-GB"/>
          <w14:ligatures w14:val="none"/>
        </w:rPr>
      </w:pPr>
      <w:r w:rsidRPr="00780C23">
        <w:rPr>
          <w:rFonts w:ascii="Arial" w:eastAsia="Times New Roman" w:hAnsi="Arial" w:cs="Arial"/>
          <w:kern w:val="0"/>
          <w:sz w:val="22"/>
          <w:szCs w:val="22"/>
          <w:lang w:eastAsia="en-GB"/>
          <w14:ligatures w14:val="none"/>
        </w:rPr>
        <w:lastRenderedPageBreak/>
        <w:t xml:space="preserve">In the UK, the government is committed to better </w:t>
      </w:r>
      <w:r w:rsidRPr="002250E0">
        <w:rPr>
          <w:rFonts w:ascii="Arial" w:eastAsia="Times New Roman" w:hAnsi="Arial" w:cs="Arial"/>
          <w:kern w:val="0"/>
          <w:sz w:val="22"/>
          <w:szCs w:val="22"/>
          <w:lang w:eastAsia="en-GB"/>
          <w14:ligatures w14:val="none"/>
        </w:rPr>
        <w:t>diabetes care through political initiatives like the NHS Long Term Plan (NHS England, 2019). These initiatives focus on prevention, early diagnosis, and getting people the treatments they need. To fight obesity and its link to Type 2 diabetes, the UK government has put in place public health policies such as sugar taxes and limits on junk food ads (Public Health England, 2020). Public health programs, like Change4Life, try to make people more aware of the things that can make them more likely to get diabetes and encourage them to live a healthy life (Public Health England, 2019).</w:t>
      </w:r>
    </w:p>
    <w:p w14:paraId="3D1A0457" w14:textId="0DB96940" w:rsidR="008F598C" w:rsidRPr="00A51680" w:rsidRDefault="00A51680" w:rsidP="008F598C">
      <w:pPr>
        <w:pStyle w:val="Heading1"/>
        <w:rPr>
          <w:rFonts w:ascii="Arial" w:eastAsia="Times New Roman" w:hAnsi="Arial" w:cs="Arial"/>
          <w:sz w:val="22"/>
          <w:szCs w:val="22"/>
          <w:lang w:eastAsia="en-GB"/>
        </w:rPr>
      </w:pPr>
      <w:bookmarkStart w:id="14" w:name="_Toc233410973"/>
      <w:r w:rsidRPr="00A51680">
        <w:rPr>
          <w:rFonts w:ascii="Arial" w:eastAsia="Times New Roman" w:hAnsi="Arial" w:cs="Arial"/>
          <w:sz w:val="22"/>
          <w:szCs w:val="22"/>
          <w:lang w:eastAsia="en-GB"/>
        </w:rPr>
        <w:t>Recommendation</w:t>
      </w:r>
      <w:bookmarkEnd w:id="14"/>
    </w:p>
    <w:p w14:paraId="6583C9FA" w14:textId="02115DE7" w:rsidR="00682C3C" w:rsidRPr="002250E0" w:rsidRDefault="00682C3C" w:rsidP="00682C3C">
      <w:pPr>
        <w:rPr>
          <w:rFonts w:ascii="Arial" w:hAnsi="Arial" w:cs="Arial"/>
          <w:sz w:val="22"/>
          <w:szCs w:val="22"/>
        </w:rPr>
      </w:pPr>
      <w:r w:rsidRPr="002250E0">
        <w:rPr>
          <w:rFonts w:ascii="Arial" w:hAnsi="Arial" w:cs="Arial"/>
          <w:sz w:val="22"/>
          <w:szCs w:val="22"/>
        </w:rPr>
        <w:t>To effectively tackle the rising global and UK prevalence of Type 2 diabetes (International Diabetes Federation, 2019) several recommendations are necessary. First, public awareness can be increased through educational campaigns on diabetes prevention and management to empower individuals to make informed lifestyle choices (Public Health England, 2020). </w:t>
      </w:r>
    </w:p>
    <w:p w14:paraId="0BE875E2" w14:textId="77777777" w:rsidR="00682C3C" w:rsidRPr="002250E0" w:rsidRDefault="00682C3C" w:rsidP="00682C3C">
      <w:pPr>
        <w:rPr>
          <w:rFonts w:ascii="Arial" w:hAnsi="Arial" w:cs="Arial"/>
          <w:sz w:val="22"/>
          <w:szCs w:val="22"/>
        </w:rPr>
      </w:pPr>
      <w:r w:rsidRPr="002250E0">
        <w:rPr>
          <w:rFonts w:ascii="Arial" w:hAnsi="Arial" w:cs="Arial"/>
          <w:sz w:val="22"/>
          <w:szCs w:val="22"/>
        </w:rPr>
        <w:t>Second, communities should be targeted to improve access to healthy foods and to promote physical activity, which are critical in reducing rates of obesity and risk for diabetes (World Health Organization, 2016). Additionally, policies that regulate food marketing, especially to children, can help limit intake of unhealthy foods (NHS England, 2019). </w:t>
      </w:r>
    </w:p>
    <w:p w14:paraId="6FFF0E74" w14:textId="77777777" w:rsidR="00682C3C" w:rsidRPr="002250E0" w:rsidRDefault="00682C3C" w:rsidP="00682C3C">
      <w:pPr>
        <w:rPr>
          <w:rFonts w:ascii="Arial" w:hAnsi="Arial" w:cs="Arial"/>
          <w:sz w:val="22"/>
          <w:szCs w:val="22"/>
        </w:rPr>
      </w:pPr>
      <w:r w:rsidRPr="002250E0">
        <w:rPr>
          <w:rFonts w:ascii="Arial" w:hAnsi="Arial" w:cs="Arial"/>
          <w:sz w:val="22"/>
          <w:szCs w:val="22"/>
        </w:rPr>
        <w:t> </w:t>
      </w:r>
    </w:p>
    <w:p w14:paraId="26DA708D" w14:textId="77777777" w:rsidR="00682C3C" w:rsidRDefault="00682C3C" w:rsidP="00682C3C">
      <w:pPr>
        <w:rPr>
          <w:rFonts w:ascii="Arial" w:hAnsi="Arial" w:cs="Arial"/>
          <w:sz w:val="22"/>
          <w:szCs w:val="22"/>
        </w:rPr>
      </w:pPr>
      <w:r w:rsidRPr="002250E0">
        <w:rPr>
          <w:rFonts w:ascii="Arial" w:hAnsi="Arial" w:cs="Arial"/>
          <w:sz w:val="22"/>
          <w:szCs w:val="22"/>
        </w:rPr>
        <w:lastRenderedPageBreak/>
        <w:t>Finally, it is essential to strengthen health systems to allow early diagnosis and effective management of diabetes. This could be by increasing funding for diabetes services and training for health care professionals (National Institute for Health and Care Excellence, 2020). These recommendations are intended to provide a comprehensive approach to diabetes prevention and management. </w:t>
      </w:r>
    </w:p>
    <w:p w14:paraId="5B81BD17" w14:textId="79111586" w:rsidR="00C06022" w:rsidRPr="00852547" w:rsidRDefault="002215F2" w:rsidP="00852547">
      <w:pPr>
        <w:pStyle w:val="Heading1"/>
        <w:rPr>
          <w:rFonts w:ascii="Arial" w:hAnsi="Arial" w:cs="Arial"/>
          <w:sz w:val="22"/>
          <w:szCs w:val="22"/>
        </w:rPr>
      </w:pPr>
      <w:bookmarkStart w:id="15" w:name="_Toc233410974"/>
      <w:r w:rsidRPr="00C111FE">
        <w:rPr>
          <w:rFonts w:ascii="Arial" w:hAnsi="Arial" w:cs="Arial"/>
          <w:sz w:val="22"/>
          <w:szCs w:val="22"/>
        </w:rPr>
        <w:t>References</w:t>
      </w:r>
      <w:bookmarkEnd w:id="15"/>
    </w:p>
    <w:p w14:paraId="036676D6" w14:textId="41509CDB" w:rsidR="00056D75" w:rsidRPr="00B84941" w:rsidRDefault="00056D75" w:rsidP="00056D75">
      <w:pPr>
        <w:rPr>
          <w:rFonts w:ascii="Arial" w:hAnsi="Arial" w:cs="Arial"/>
          <w:sz w:val="22"/>
          <w:szCs w:val="22"/>
        </w:rPr>
      </w:pPr>
      <w:r w:rsidRPr="00B84941">
        <w:rPr>
          <w:rFonts w:ascii="Arial" w:hAnsi="Arial" w:cs="Arial"/>
          <w:sz w:val="22"/>
          <w:szCs w:val="22"/>
        </w:rPr>
        <w:t xml:space="preserve"> Amanat, S., </w:t>
      </w:r>
      <w:proofErr w:type="spellStart"/>
      <w:r w:rsidRPr="00B84941">
        <w:rPr>
          <w:rFonts w:ascii="Arial" w:hAnsi="Arial" w:cs="Arial"/>
          <w:sz w:val="22"/>
          <w:szCs w:val="22"/>
        </w:rPr>
        <w:t>Marofi</w:t>
      </w:r>
      <w:proofErr w:type="spellEnd"/>
      <w:r w:rsidRPr="00B84941">
        <w:rPr>
          <w:rFonts w:ascii="Arial" w:hAnsi="Arial" w:cs="Arial"/>
          <w:sz w:val="22"/>
          <w:szCs w:val="22"/>
        </w:rPr>
        <w:t>, S., Rahmanian, M., Ghahramani, S. and Johnston, T.P., 2020. Association of risk factors with type 2 diabetes: A systematic review. </w:t>
      </w:r>
      <w:r w:rsidRPr="00B84941">
        <w:rPr>
          <w:rFonts w:ascii="Arial" w:hAnsi="Arial" w:cs="Arial"/>
          <w:i/>
          <w:iCs/>
          <w:sz w:val="22"/>
          <w:szCs w:val="22"/>
        </w:rPr>
        <w:t>Journal of Diabetes Research</w:t>
      </w:r>
      <w:r w:rsidRPr="00B84941">
        <w:rPr>
          <w:rFonts w:ascii="Arial" w:hAnsi="Arial" w:cs="Arial"/>
          <w:sz w:val="22"/>
          <w:szCs w:val="22"/>
        </w:rPr>
        <w:t>, 2020, pp. 1-12. Available at: </w:t>
      </w:r>
      <w:hyperlink r:id="rId15" w:tgtFrame="_blank" w:history="1">
        <w:r w:rsidRPr="00B84941">
          <w:rPr>
            <w:rStyle w:val="Hyperlink"/>
            <w:rFonts w:ascii="Arial" w:hAnsi="Arial" w:cs="Arial"/>
            <w:sz w:val="22"/>
            <w:szCs w:val="22"/>
          </w:rPr>
          <w:t>https://pmc.ncbi.nlm.nih.gov/articles/PMC8050730/</w:t>
        </w:r>
      </w:hyperlink>
      <w:r w:rsidRPr="00B84941">
        <w:rPr>
          <w:rFonts w:ascii="Arial" w:hAnsi="Arial" w:cs="Arial"/>
          <w:sz w:val="22"/>
          <w:szCs w:val="22"/>
        </w:rPr>
        <w:t> </w:t>
      </w:r>
      <w:r w:rsidR="000F1406">
        <w:rPr>
          <w:rFonts w:ascii="Arial" w:hAnsi="Arial" w:cs="Arial"/>
          <w:sz w:val="22"/>
          <w:szCs w:val="22"/>
        </w:rPr>
        <w:t>(</w:t>
      </w:r>
      <w:r w:rsidRPr="00B84941">
        <w:rPr>
          <w:rFonts w:ascii="Arial" w:hAnsi="Arial" w:cs="Arial"/>
          <w:sz w:val="22"/>
          <w:szCs w:val="22"/>
        </w:rPr>
        <w:t>Accessed 22 June 2026</w:t>
      </w:r>
      <w:r w:rsidR="000F1406">
        <w:rPr>
          <w:rFonts w:ascii="Arial" w:hAnsi="Arial" w:cs="Arial"/>
          <w:sz w:val="22"/>
          <w:szCs w:val="22"/>
        </w:rPr>
        <w:t>).</w:t>
      </w:r>
      <w:r w:rsidR="003E1C3B" w:rsidRPr="00B84941">
        <w:rPr>
          <w:rFonts w:ascii="Arial" w:hAnsi="Arial" w:cs="Arial"/>
          <w:sz w:val="22"/>
          <w:szCs w:val="22"/>
        </w:rPr>
        <w:t xml:space="preserve"> </w:t>
      </w:r>
    </w:p>
    <w:p w14:paraId="0CE99031" w14:textId="06152F91" w:rsidR="00056D75" w:rsidRPr="00B84941" w:rsidRDefault="00056D75" w:rsidP="00852547">
      <w:pPr>
        <w:rPr>
          <w:rFonts w:ascii="Arial" w:hAnsi="Arial" w:cs="Arial"/>
          <w:sz w:val="22"/>
          <w:szCs w:val="22"/>
        </w:rPr>
      </w:pPr>
      <w:r w:rsidRPr="00B84941">
        <w:rPr>
          <w:rFonts w:ascii="Arial" w:hAnsi="Arial" w:cs="Arial"/>
          <w:sz w:val="22"/>
          <w:szCs w:val="22"/>
        </w:rPr>
        <w:t>American Diabetes Association. (2020). Standards of Medical Care in Diabetes</w:t>
      </w:r>
      <w:r w:rsidRPr="000F1406">
        <w:rPr>
          <w:rFonts w:ascii="Arial" w:hAnsi="Arial" w:cs="Arial"/>
          <w:i/>
          <w:iCs/>
          <w:sz w:val="22"/>
          <w:szCs w:val="22"/>
        </w:rPr>
        <w:t>. Diabetes Care</w:t>
      </w:r>
      <w:r w:rsidRPr="00B84941">
        <w:rPr>
          <w:rFonts w:ascii="Arial" w:hAnsi="Arial" w:cs="Arial"/>
          <w:sz w:val="22"/>
          <w:szCs w:val="22"/>
        </w:rPr>
        <w:t>, 43(Supplement 1), S1-S232 </w:t>
      </w:r>
    </w:p>
    <w:p w14:paraId="2B3A6A91" w14:textId="26260F6D" w:rsidR="000F1406" w:rsidRDefault="00056D75" w:rsidP="00852547">
      <w:pPr>
        <w:rPr>
          <w:rFonts w:ascii="Arial" w:hAnsi="Arial" w:cs="Arial"/>
          <w:sz w:val="22"/>
          <w:szCs w:val="22"/>
        </w:rPr>
      </w:pPr>
      <w:r w:rsidRPr="00B84941">
        <w:rPr>
          <w:rFonts w:ascii="Arial" w:hAnsi="Arial" w:cs="Arial"/>
          <w:sz w:val="22"/>
          <w:szCs w:val="22"/>
        </w:rPr>
        <w:t xml:space="preserve"> Asif, M., 2014. Risk factors contributing to type 2 diabetes and recent advances in its prevention and control. </w:t>
      </w:r>
      <w:r w:rsidRPr="00B84941">
        <w:rPr>
          <w:rFonts w:ascii="Arial" w:hAnsi="Arial" w:cs="Arial"/>
          <w:i/>
          <w:iCs/>
          <w:sz w:val="22"/>
          <w:szCs w:val="22"/>
        </w:rPr>
        <w:t>Journal of Diabetes &amp; Metabolic Disorders</w:t>
      </w:r>
      <w:r w:rsidRPr="00B84941">
        <w:rPr>
          <w:rFonts w:ascii="Arial" w:hAnsi="Arial" w:cs="Arial"/>
          <w:sz w:val="22"/>
          <w:szCs w:val="22"/>
        </w:rPr>
        <w:t>, 13(1), pp. 1-7. Available at: </w:t>
      </w:r>
      <w:hyperlink r:id="rId16" w:tgtFrame="_blank" w:history="1">
        <w:r w:rsidRPr="00B84941">
          <w:rPr>
            <w:rStyle w:val="Hyperlink"/>
            <w:rFonts w:ascii="Arial" w:hAnsi="Arial" w:cs="Arial"/>
            <w:sz w:val="22"/>
            <w:szCs w:val="22"/>
          </w:rPr>
          <w:t>https://pmc.ncbi.nlm.nih.gov/articles/PMC4166864</w:t>
        </w:r>
        <w:r w:rsidR="00C2026F">
          <w:rPr>
            <w:rStyle w:val="Hyperlink"/>
            <w:rFonts w:ascii="Arial" w:hAnsi="Arial" w:cs="Arial"/>
            <w:sz w:val="22"/>
            <w:szCs w:val="22"/>
          </w:rPr>
          <w:t xml:space="preserve"> </w:t>
        </w:r>
        <w:r w:rsidRPr="00B84941">
          <w:rPr>
            <w:rStyle w:val="Hyperlink"/>
            <w:rFonts w:ascii="Arial" w:hAnsi="Arial" w:cs="Arial"/>
            <w:sz w:val="22"/>
            <w:szCs w:val="22"/>
          </w:rPr>
          <w:t>/</w:t>
        </w:r>
      </w:hyperlink>
      <w:r w:rsidR="000F1406">
        <w:rPr>
          <w:rFonts w:ascii="Arial" w:hAnsi="Arial" w:cs="Arial"/>
          <w:sz w:val="22"/>
          <w:szCs w:val="22"/>
        </w:rPr>
        <w:t>(</w:t>
      </w:r>
      <w:r w:rsidRPr="00B84941">
        <w:rPr>
          <w:rFonts w:ascii="Arial" w:hAnsi="Arial" w:cs="Arial"/>
          <w:sz w:val="22"/>
          <w:szCs w:val="22"/>
        </w:rPr>
        <w:t>Accessed 22 June 2026</w:t>
      </w:r>
      <w:r w:rsidR="000F1406">
        <w:rPr>
          <w:rFonts w:ascii="Arial" w:hAnsi="Arial" w:cs="Arial"/>
          <w:sz w:val="22"/>
          <w:szCs w:val="22"/>
        </w:rPr>
        <w:t>).</w:t>
      </w:r>
    </w:p>
    <w:p w14:paraId="30D4A45E" w14:textId="77777777" w:rsidR="000F1406" w:rsidRDefault="000F1406" w:rsidP="00852547">
      <w:pPr>
        <w:rPr>
          <w:rFonts w:ascii="Arial" w:hAnsi="Arial" w:cs="Arial"/>
          <w:sz w:val="22"/>
          <w:szCs w:val="22"/>
        </w:rPr>
      </w:pPr>
    </w:p>
    <w:p w14:paraId="774D4DDC" w14:textId="22C65ADC" w:rsidR="00056D75" w:rsidRPr="00B84941" w:rsidRDefault="00056D75" w:rsidP="00852547">
      <w:pPr>
        <w:rPr>
          <w:rFonts w:ascii="Arial" w:hAnsi="Arial" w:cs="Arial"/>
          <w:sz w:val="22"/>
          <w:szCs w:val="22"/>
        </w:rPr>
      </w:pPr>
      <w:r w:rsidRPr="00B84941">
        <w:rPr>
          <w:rFonts w:ascii="Arial" w:hAnsi="Arial" w:cs="Arial"/>
          <w:sz w:val="22"/>
          <w:szCs w:val="22"/>
        </w:rPr>
        <w:t>. </w:t>
      </w:r>
    </w:p>
    <w:p w14:paraId="6BB0FB9D" w14:textId="294CD4E2" w:rsidR="00056D75" w:rsidRPr="00B84941" w:rsidRDefault="00056D75" w:rsidP="00852547">
      <w:pPr>
        <w:rPr>
          <w:rFonts w:ascii="Arial" w:hAnsi="Arial" w:cs="Arial"/>
          <w:sz w:val="22"/>
          <w:szCs w:val="22"/>
        </w:rPr>
      </w:pPr>
      <w:r w:rsidRPr="00560539">
        <w:rPr>
          <w:rFonts w:ascii="Arial" w:hAnsi="Arial" w:cs="Arial"/>
          <w:sz w:val="22"/>
          <w:szCs w:val="22"/>
        </w:rPr>
        <w:lastRenderedPageBreak/>
        <w:t>Australian Government. (2016). National Diabetes Strategy 2016–2020. Available at: </w:t>
      </w:r>
      <w:hyperlink r:id="rId17" w:tgtFrame="_blank" w:history="1">
        <w:r w:rsidRPr="00B84941">
          <w:rPr>
            <w:rStyle w:val="Hyperlink"/>
            <w:rFonts w:ascii="Arial" w:hAnsi="Arial" w:cs="Arial"/>
            <w:sz w:val="22"/>
            <w:szCs w:val="22"/>
          </w:rPr>
          <w:t>https://www.health.gov.au/internet/main/publishing.nsf/content/national-diabetes-strategy</w:t>
        </w:r>
      </w:hyperlink>
      <w:r w:rsidRPr="00B84941">
        <w:rPr>
          <w:rFonts w:ascii="Arial" w:hAnsi="Arial" w:cs="Arial"/>
          <w:sz w:val="22"/>
          <w:szCs w:val="22"/>
        </w:rPr>
        <w:t> </w:t>
      </w:r>
      <w:r w:rsidR="000F1406">
        <w:rPr>
          <w:rFonts w:ascii="Arial" w:hAnsi="Arial" w:cs="Arial"/>
          <w:sz w:val="22"/>
          <w:szCs w:val="22"/>
        </w:rPr>
        <w:t>(Accessed 7 June 2026).</w:t>
      </w:r>
    </w:p>
    <w:p w14:paraId="7FB19843" w14:textId="600791C2" w:rsidR="00056D75" w:rsidRPr="00B84941" w:rsidRDefault="00056D75" w:rsidP="00852547">
      <w:pPr>
        <w:rPr>
          <w:rFonts w:ascii="Arial" w:hAnsi="Arial" w:cs="Arial"/>
          <w:sz w:val="22"/>
          <w:szCs w:val="22"/>
        </w:rPr>
      </w:pPr>
      <w:r w:rsidRPr="00B84941">
        <w:rPr>
          <w:rFonts w:ascii="Arial" w:hAnsi="Arial" w:cs="Arial"/>
          <w:sz w:val="22"/>
          <w:szCs w:val="22"/>
        </w:rPr>
        <w:t xml:space="preserve">Bandura, A. (1997). Self-efficacy: </w:t>
      </w:r>
      <w:r w:rsidRPr="00F24D3B">
        <w:rPr>
          <w:rFonts w:ascii="Arial" w:hAnsi="Arial" w:cs="Arial"/>
          <w:i/>
          <w:iCs/>
          <w:sz w:val="22"/>
          <w:szCs w:val="22"/>
        </w:rPr>
        <w:t>The exercise of control</w:t>
      </w:r>
      <w:r w:rsidRPr="00B84941">
        <w:rPr>
          <w:rFonts w:ascii="Arial" w:hAnsi="Arial" w:cs="Arial"/>
          <w:sz w:val="22"/>
          <w:szCs w:val="22"/>
        </w:rPr>
        <w:t>. New York: W. H. Freeman and Compan</w:t>
      </w:r>
      <w:r w:rsidR="00F24D3B">
        <w:rPr>
          <w:rFonts w:ascii="Arial" w:hAnsi="Arial" w:cs="Arial"/>
          <w:sz w:val="22"/>
          <w:szCs w:val="22"/>
        </w:rPr>
        <w:t>y</w:t>
      </w:r>
      <w:r w:rsidRPr="00B84941">
        <w:rPr>
          <w:rFonts w:ascii="Arial" w:hAnsi="Arial" w:cs="Arial"/>
          <w:sz w:val="22"/>
          <w:szCs w:val="22"/>
        </w:rPr>
        <w:t>. </w:t>
      </w:r>
    </w:p>
    <w:p w14:paraId="5B2B47A3" w14:textId="4C3BCF22" w:rsidR="00056D75" w:rsidRPr="00B84941" w:rsidRDefault="00056D75" w:rsidP="00852547">
      <w:pPr>
        <w:rPr>
          <w:rFonts w:ascii="Arial" w:hAnsi="Arial" w:cs="Arial"/>
          <w:sz w:val="22"/>
          <w:szCs w:val="22"/>
        </w:rPr>
      </w:pPr>
      <w:r w:rsidRPr="00B84941">
        <w:rPr>
          <w:rFonts w:ascii="Arial" w:hAnsi="Arial" w:cs="Arial"/>
          <w:sz w:val="22"/>
          <w:szCs w:val="22"/>
        </w:rPr>
        <w:t>Blum, W. F., &amp; Kahn, S. E. (2018). GLP-1 receptor agonists: A new era in diabetes care.</w:t>
      </w:r>
      <w:r w:rsidR="00960B36">
        <w:rPr>
          <w:rFonts w:ascii="Arial" w:hAnsi="Arial" w:cs="Arial"/>
          <w:sz w:val="22"/>
          <w:szCs w:val="22"/>
        </w:rPr>
        <w:t xml:space="preserve"> </w:t>
      </w:r>
      <w:r w:rsidRPr="00960B36">
        <w:rPr>
          <w:rFonts w:ascii="Arial" w:hAnsi="Arial" w:cs="Arial"/>
          <w:i/>
          <w:iCs/>
          <w:sz w:val="22"/>
          <w:szCs w:val="22"/>
        </w:rPr>
        <w:t>Diabetes Research and Clinical Practice</w:t>
      </w:r>
      <w:r w:rsidRPr="00B84941">
        <w:rPr>
          <w:rFonts w:ascii="Arial" w:hAnsi="Arial" w:cs="Arial"/>
          <w:sz w:val="22"/>
          <w:szCs w:val="22"/>
        </w:rPr>
        <w:t>, 143, 278-285. </w:t>
      </w:r>
    </w:p>
    <w:p w14:paraId="26681773" w14:textId="184E1082" w:rsidR="00056D75" w:rsidRPr="00B84941" w:rsidRDefault="00056D75" w:rsidP="00852547">
      <w:pPr>
        <w:rPr>
          <w:rFonts w:ascii="Arial" w:hAnsi="Arial" w:cs="Arial"/>
          <w:sz w:val="22"/>
          <w:szCs w:val="22"/>
        </w:rPr>
      </w:pPr>
      <w:r w:rsidRPr="00B84941">
        <w:rPr>
          <w:rFonts w:ascii="Arial" w:hAnsi="Arial" w:cs="Arial"/>
          <w:sz w:val="22"/>
          <w:szCs w:val="22"/>
        </w:rPr>
        <w:t>BMJ Best Practice, 2024. </w:t>
      </w:r>
      <w:r w:rsidRPr="00B84941">
        <w:rPr>
          <w:rFonts w:ascii="Arial" w:hAnsi="Arial" w:cs="Arial"/>
          <w:i/>
          <w:iCs/>
          <w:sz w:val="22"/>
          <w:szCs w:val="22"/>
        </w:rPr>
        <w:t>Type 2 diabetes in adults - Aetiology</w:t>
      </w:r>
      <w:r w:rsidRPr="00B84941">
        <w:rPr>
          <w:rFonts w:ascii="Arial" w:hAnsi="Arial" w:cs="Arial"/>
          <w:sz w:val="22"/>
          <w:szCs w:val="22"/>
        </w:rPr>
        <w:t>. London: BMJ Publishing Group. Available at: </w:t>
      </w:r>
      <w:hyperlink r:id="rId18" w:tgtFrame="_blank" w:history="1">
        <w:r w:rsidRPr="00B84941">
          <w:rPr>
            <w:rStyle w:val="Hyperlink"/>
            <w:rFonts w:ascii="Arial" w:hAnsi="Arial" w:cs="Arial"/>
            <w:sz w:val="22"/>
            <w:szCs w:val="22"/>
          </w:rPr>
          <w:t>https://bestpractice.bmj.com/topics/en-gb/24/aetiology</w:t>
        </w:r>
      </w:hyperlink>
      <w:r w:rsidRPr="00B84941">
        <w:rPr>
          <w:rFonts w:ascii="Arial" w:hAnsi="Arial" w:cs="Arial"/>
          <w:sz w:val="22"/>
          <w:szCs w:val="22"/>
        </w:rPr>
        <w:t> </w:t>
      </w:r>
      <w:r w:rsidR="00960B36">
        <w:rPr>
          <w:rFonts w:ascii="Arial" w:hAnsi="Arial" w:cs="Arial"/>
          <w:sz w:val="22"/>
          <w:szCs w:val="22"/>
        </w:rPr>
        <w:t>(</w:t>
      </w:r>
      <w:r w:rsidRPr="00B84941">
        <w:rPr>
          <w:rFonts w:ascii="Arial" w:hAnsi="Arial" w:cs="Arial"/>
          <w:sz w:val="22"/>
          <w:szCs w:val="22"/>
        </w:rPr>
        <w:t>Accessed 22 June 2026</w:t>
      </w:r>
      <w:r w:rsidR="00960B36">
        <w:rPr>
          <w:rFonts w:ascii="Arial" w:hAnsi="Arial" w:cs="Arial"/>
          <w:sz w:val="22"/>
          <w:szCs w:val="22"/>
        </w:rPr>
        <w:t>).</w:t>
      </w:r>
      <w:r w:rsidRPr="00B84941">
        <w:rPr>
          <w:rFonts w:ascii="Arial" w:hAnsi="Arial" w:cs="Arial"/>
          <w:sz w:val="22"/>
          <w:szCs w:val="22"/>
        </w:rPr>
        <w:t> </w:t>
      </w:r>
    </w:p>
    <w:p w14:paraId="02586B73" w14:textId="4E5F33F5" w:rsidR="00056D75" w:rsidRPr="00B84941" w:rsidRDefault="00056D75" w:rsidP="00211BC5">
      <w:pPr>
        <w:rPr>
          <w:rFonts w:ascii="Arial" w:hAnsi="Arial" w:cs="Arial"/>
          <w:sz w:val="22"/>
          <w:szCs w:val="22"/>
        </w:rPr>
      </w:pPr>
      <w:r w:rsidRPr="00B84941">
        <w:rPr>
          <w:rFonts w:ascii="Arial" w:hAnsi="Arial" w:cs="Arial"/>
          <w:sz w:val="22"/>
          <w:szCs w:val="22"/>
        </w:rPr>
        <w:t>Boulton, A. J. M., Vinik, A. I., Arezzo, J. C., et al. (2005). Diabetic neuropathies: A statement by the American Diabetes Association. *Diabetes Care*, 28(4), 956-962. </w:t>
      </w:r>
    </w:p>
    <w:p w14:paraId="151ED7FF" w14:textId="4AB17F06" w:rsidR="00056D75" w:rsidRPr="00DE5EAE" w:rsidRDefault="00056D75" w:rsidP="00C3660F">
      <w:pPr>
        <w:rPr>
          <w:rFonts w:ascii="Arial" w:hAnsi="Arial" w:cs="Arial"/>
          <w:sz w:val="22"/>
          <w:szCs w:val="22"/>
        </w:rPr>
      </w:pPr>
      <w:r w:rsidRPr="00DE5EAE">
        <w:rPr>
          <w:rFonts w:ascii="Arial" w:hAnsi="Arial" w:cs="Arial"/>
          <w:sz w:val="22"/>
          <w:szCs w:val="22"/>
        </w:rPr>
        <w:t xml:space="preserve"> Buse, J. B., Wexler, D. J., Tsai, L., et al. (2018). 2019 Update to the Standards of Medical Care in Diabetes. </w:t>
      </w:r>
      <w:r w:rsidRPr="00DE5EAE">
        <w:rPr>
          <w:rFonts w:ascii="Arial" w:hAnsi="Arial" w:cs="Arial"/>
          <w:i/>
          <w:iCs/>
          <w:sz w:val="22"/>
          <w:szCs w:val="22"/>
        </w:rPr>
        <w:t>Diabetes Care,</w:t>
      </w:r>
      <w:r w:rsidRPr="00DE5EAE">
        <w:rPr>
          <w:rFonts w:ascii="Arial" w:hAnsi="Arial" w:cs="Arial"/>
          <w:sz w:val="22"/>
          <w:szCs w:val="22"/>
        </w:rPr>
        <w:t xml:space="preserve"> 41(Supplement 1), S1-S232. </w:t>
      </w:r>
    </w:p>
    <w:p w14:paraId="5B511479" w14:textId="709A56EC" w:rsidR="00056D75" w:rsidRPr="00B84941" w:rsidRDefault="00056D75" w:rsidP="00C3660F">
      <w:pPr>
        <w:rPr>
          <w:rFonts w:ascii="Arial" w:hAnsi="Arial" w:cs="Arial"/>
          <w:sz w:val="22"/>
          <w:szCs w:val="22"/>
        </w:rPr>
      </w:pPr>
      <w:r w:rsidRPr="00B84941">
        <w:rPr>
          <w:rFonts w:ascii="Arial" w:hAnsi="Arial" w:cs="Arial"/>
          <w:sz w:val="22"/>
          <w:szCs w:val="22"/>
        </w:rPr>
        <w:t xml:space="preserve"> Buse, J. B., Wexler, D. J., Tsai, L., et al. (2020). 2019 Update to the Standards of Medical Care in Diabetes. </w:t>
      </w:r>
      <w:r w:rsidRPr="00B4407E">
        <w:rPr>
          <w:rFonts w:ascii="Arial" w:hAnsi="Arial" w:cs="Arial"/>
          <w:i/>
          <w:iCs/>
          <w:sz w:val="22"/>
          <w:szCs w:val="22"/>
        </w:rPr>
        <w:t>Diabetes Care,</w:t>
      </w:r>
      <w:r w:rsidRPr="00B84941">
        <w:rPr>
          <w:rFonts w:ascii="Arial" w:hAnsi="Arial" w:cs="Arial"/>
          <w:sz w:val="22"/>
          <w:szCs w:val="22"/>
        </w:rPr>
        <w:t xml:space="preserve"> 43(1), S1-S232. </w:t>
      </w:r>
    </w:p>
    <w:p w14:paraId="508B57B3" w14:textId="13B87E4E" w:rsidR="00056D75" w:rsidRPr="00B84941" w:rsidRDefault="00056D75" w:rsidP="00D95067">
      <w:pPr>
        <w:rPr>
          <w:rFonts w:ascii="Arial" w:hAnsi="Arial" w:cs="Arial"/>
          <w:sz w:val="22"/>
          <w:szCs w:val="22"/>
        </w:rPr>
      </w:pPr>
      <w:r w:rsidRPr="00B84941">
        <w:rPr>
          <w:rFonts w:ascii="Arial" w:hAnsi="Arial" w:cs="Arial"/>
          <w:sz w:val="22"/>
          <w:szCs w:val="22"/>
        </w:rPr>
        <w:t xml:space="preserve">Cameron, L. D., &amp; Leventhal, H. (2003). The role of self-regulation in the management of chronic illness. </w:t>
      </w:r>
      <w:r w:rsidRPr="00B4407E">
        <w:rPr>
          <w:rFonts w:ascii="Arial" w:hAnsi="Arial" w:cs="Arial"/>
          <w:i/>
          <w:iCs/>
          <w:sz w:val="22"/>
          <w:szCs w:val="22"/>
        </w:rPr>
        <w:t>Health Psychology</w:t>
      </w:r>
      <w:r w:rsidRPr="00B84941">
        <w:rPr>
          <w:rFonts w:ascii="Arial" w:hAnsi="Arial" w:cs="Arial"/>
          <w:sz w:val="22"/>
          <w:szCs w:val="22"/>
        </w:rPr>
        <w:t>, 22(2), 112-120. </w:t>
      </w:r>
    </w:p>
    <w:p w14:paraId="13C5FB3B" w14:textId="7BBE219C" w:rsidR="001840DB" w:rsidRPr="00B84941" w:rsidRDefault="00B4407E" w:rsidP="00D95067">
      <w:pPr>
        <w:rPr>
          <w:rFonts w:ascii="Arial" w:hAnsi="Arial" w:cs="Arial"/>
          <w:sz w:val="22"/>
          <w:szCs w:val="22"/>
        </w:rPr>
      </w:pPr>
      <w:r w:rsidRPr="00B84941">
        <w:rPr>
          <w:rFonts w:ascii="Arial" w:hAnsi="Arial" w:cs="Arial"/>
          <w:sz w:val="22"/>
          <w:szCs w:val="22"/>
        </w:rPr>
        <w:lastRenderedPageBreak/>
        <w:t>Centres</w:t>
      </w:r>
      <w:r w:rsidR="001840DB" w:rsidRPr="00B84941">
        <w:rPr>
          <w:rFonts w:ascii="Arial" w:hAnsi="Arial" w:cs="Arial"/>
          <w:sz w:val="22"/>
          <w:szCs w:val="22"/>
        </w:rPr>
        <w:t xml:space="preserve"> for Disease Control and Prevention. (2020). </w:t>
      </w:r>
      <w:r w:rsidR="001840DB" w:rsidRPr="00462F60">
        <w:rPr>
          <w:rFonts w:ascii="Arial" w:hAnsi="Arial" w:cs="Arial"/>
          <w:i/>
          <w:iCs/>
          <w:sz w:val="22"/>
          <w:szCs w:val="22"/>
        </w:rPr>
        <w:t>National Diabetes Prevention Program</w:t>
      </w:r>
      <w:r w:rsidR="001840DB" w:rsidRPr="00B84941">
        <w:rPr>
          <w:rFonts w:ascii="Arial" w:hAnsi="Arial" w:cs="Arial"/>
          <w:sz w:val="22"/>
          <w:szCs w:val="22"/>
        </w:rPr>
        <w:t>. Available at: </w:t>
      </w:r>
      <w:hyperlink r:id="rId19" w:tgtFrame="_blank" w:history="1">
        <w:r w:rsidR="001840DB" w:rsidRPr="00B84941">
          <w:rPr>
            <w:rStyle w:val="Hyperlink"/>
            <w:rFonts w:ascii="Arial" w:hAnsi="Arial" w:cs="Arial"/>
            <w:sz w:val="22"/>
            <w:szCs w:val="22"/>
          </w:rPr>
          <w:t>https://www.cdc.gov/diabetes/prevention/index.html</w:t>
        </w:r>
      </w:hyperlink>
      <w:r w:rsidR="001840DB" w:rsidRPr="00B84941">
        <w:rPr>
          <w:rFonts w:ascii="Arial" w:hAnsi="Arial" w:cs="Arial"/>
          <w:sz w:val="22"/>
          <w:szCs w:val="22"/>
        </w:rPr>
        <w:t> </w:t>
      </w:r>
      <w:r w:rsidR="00462F60">
        <w:rPr>
          <w:rFonts w:ascii="Arial" w:hAnsi="Arial" w:cs="Arial"/>
          <w:sz w:val="22"/>
          <w:szCs w:val="22"/>
        </w:rPr>
        <w:t>(Accessed 17 June 2026).</w:t>
      </w:r>
    </w:p>
    <w:p w14:paraId="6035332A" w14:textId="36A40D33" w:rsidR="00056D75" w:rsidRPr="00B84941" w:rsidRDefault="00056D75" w:rsidP="00C3660F">
      <w:pPr>
        <w:rPr>
          <w:rFonts w:ascii="Arial" w:hAnsi="Arial" w:cs="Arial"/>
          <w:sz w:val="22"/>
          <w:szCs w:val="22"/>
        </w:rPr>
      </w:pPr>
      <w:r w:rsidRPr="00B84941">
        <w:rPr>
          <w:rFonts w:ascii="Arial" w:hAnsi="Arial" w:cs="Arial"/>
          <w:sz w:val="22"/>
          <w:szCs w:val="22"/>
        </w:rPr>
        <w:t>Chatterjee, S., </w:t>
      </w:r>
      <w:proofErr w:type="spellStart"/>
      <w:r w:rsidRPr="00B84941">
        <w:rPr>
          <w:rFonts w:ascii="Arial" w:hAnsi="Arial" w:cs="Arial"/>
          <w:sz w:val="22"/>
          <w:szCs w:val="22"/>
        </w:rPr>
        <w:t>Khunti</w:t>
      </w:r>
      <w:proofErr w:type="spellEnd"/>
      <w:r w:rsidRPr="00B84941">
        <w:rPr>
          <w:rFonts w:ascii="Arial" w:hAnsi="Arial" w:cs="Arial"/>
          <w:sz w:val="22"/>
          <w:szCs w:val="22"/>
        </w:rPr>
        <w:t xml:space="preserve">, K., &amp; Davies, M. J. (2017). Type 2 diabetes. </w:t>
      </w:r>
      <w:r w:rsidRPr="008A30FD">
        <w:rPr>
          <w:rFonts w:ascii="Arial" w:hAnsi="Arial" w:cs="Arial"/>
          <w:i/>
          <w:iCs/>
          <w:sz w:val="22"/>
          <w:szCs w:val="22"/>
        </w:rPr>
        <w:t xml:space="preserve">BMJ, </w:t>
      </w:r>
      <w:r w:rsidRPr="00B84941">
        <w:rPr>
          <w:rFonts w:ascii="Arial" w:hAnsi="Arial" w:cs="Arial"/>
          <w:sz w:val="22"/>
          <w:szCs w:val="22"/>
        </w:rPr>
        <w:t>356, j1363. </w:t>
      </w:r>
    </w:p>
    <w:p w14:paraId="2A9AD6F5" w14:textId="44870976" w:rsidR="00056D75" w:rsidRPr="00B84941" w:rsidRDefault="00056D75" w:rsidP="00D95067">
      <w:pPr>
        <w:rPr>
          <w:rFonts w:ascii="Arial" w:hAnsi="Arial" w:cs="Arial"/>
          <w:sz w:val="22"/>
          <w:szCs w:val="22"/>
        </w:rPr>
      </w:pPr>
      <w:r w:rsidRPr="00B84941">
        <w:rPr>
          <w:rFonts w:ascii="Arial" w:hAnsi="Arial" w:cs="Arial"/>
          <w:sz w:val="22"/>
          <w:szCs w:val="22"/>
        </w:rPr>
        <w:t xml:space="preserve"> Cunningham, L., Alzahrani, T., &amp; Manan, A. (2018). The impact of stigma on individuals with Type 2 diabetes: A qualitative study. </w:t>
      </w:r>
      <w:r w:rsidRPr="008A30FD">
        <w:rPr>
          <w:rFonts w:ascii="Arial" w:hAnsi="Arial" w:cs="Arial"/>
          <w:i/>
          <w:iCs/>
          <w:sz w:val="22"/>
          <w:szCs w:val="22"/>
        </w:rPr>
        <w:t>BMC Public Health</w:t>
      </w:r>
      <w:r w:rsidRPr="00B84941">
        <w:rPr>
          <w:rFonts w:ascii="Arial" w:hAnsi="Arial" w:cs="Arial"/>
          <w:sz w:val="22"/>
          <w:szCs w:val="22"/>
        </w:rPr>
        <w:t>, 18(1), 1353. </w:t>
      </w:r>
    </w:p>
    <w:p w14:paraId="1135342C" w14:textId="52392667" w:rsidR="00056D75" w:rsidRPr="00B84941" w:rsidRDefault="00056D75" w:rsidP="00C3660F">
      <w:pPr>
        <w:rPr>
          <w:rFonts w:ascii="Arial" w:hAnsi="Arial" w:cs="Arial"/>
          <w:sz w:val="22"/>
          <w:szCs w:val="22"/>
        </w:rPr>
      </w:pPr>
      <w:r w:rsidRPr="00B84941">
        <w:rPr>
          <w:rFonts w:ascii="Arial" w:hAnsi="Arial" w:cs="Arial"/>
          <w:sz w:val="22"/>
          <w:szCs w:val="22"/>
        </w:rPr>
        <w:t xml:space="preserve"> Davies, M. J., D'Alessio, D. A., Fradkin, J., et al. (2018). Management of </w:t>
      </w:r>
      <w:proofErr w:type="spellStart"/>
      <w:r w:rsidRPr="00B84941">
        <w:rPr>
          <w:rFonts w:ascii="Arial" w:hAnsi="Arial" w:cs="Arial"/>
          <w:sz w:val="22"/>
          <w:szCs w:val="22"/>
        </w:rPr>
        <w:t>hyperglycemia</w:t>
      </w:r>
      <w:proofErr w:type="spellEnd"/>
      <w:r w:rsidRPr="00B84941">
        <w:rPr>
          <w:rFonts w:ascii="Arial" w:hAnsi="Arial" w:cs="Arial"/>
          <w:sz w:val="22"/>
          <w:szCs w:val="22"/>
        </w:rPr>
        <w:t xml:space="preserve"> in type 2 diabetes, 2018. </w:t>
      </w:r>
      <w:r w:rsidRPr="008A30FD">
        <w:rPr>
          <w:rFonts w:ascii="Arial" w:hAnsi="Arial" w:cs="Arial"/>
          <w:i/>
          <w:iCs/>
          <w:sz w:val="22"/>
          <w:szCs w:val="22"/>
        </w:rPr>
        <w:t>Diabetes Care</w:t>
      </w:r>
      <w:r w:rsidRPr="00B84941">
        <w:rPr>
          <w:rFonts w:ascii="Arial" w:hAnsi="Arial" w:cs="Arial"/>
          <w:sz w:val="22"/>
          <w:szCs w:val="22"/>
        </w:rPr>
        <w:t>, 41(6), 2669-2701. </w:t>
      </w:r>
    </w:p>
    <w:p w14:paraId="411F342E" w14:textId="6D923878" w:rsidR="00056D75" w:rsidRPr="00B84941" w:rsidRDefault="00056D75" w:rsidP="00C3660F">
      <w:pPr>
        <w:rPr>
          <w:rFonts w:ascii="Arial" w:hAnsi="Arial" w:cs="Arial"/>
          <w:sz w:val="22"/>
          <w:szCs w:val="22"/>
        </w:rPr>
      </w:pPr>
      <w:r w:rsidRPr="00B84941">
        <w:rPr>
          <w:rFonts w:ascii="Arial" w:hAnsi="Arial" w:cs="Arial"/>
          <w:sz w:val="22"/>
          <w:szCs w:val="22"/>
        </w:rPr>
        <w:t>DeFronzo, R. A., </w:t>
      </w:r>
      <w:proofErr w:type="spellStart"/>
      <w:r w:rsidRPr="00B84941">
        <w:rPr>
          <w:rFonts w:ascii="Arial" w:hAnsi="Arial" w:cs="Arial"/>
          <w:sz w:val="22"/>
          <w:szCs w:val="22"/>
        </w:rPr>
        <w:t>Ferrannini</w:t>
      </w:r>
      <w:proofErr w:type="spellEnd"/>
      <w:r w:rsidRPr="00B84941">
        <w:rPr>
          <w:rFonts w:ascii="Arial" w:hAnsi="Arial" w:cs="Arial"/>
          <w:sz w:val="22"/>
          <w:szCs w:val="22"/>
        </w:rPr>
        <w:t xml:space="preserve">, E., Groop, L., et al. (2015). Type 2 Diabetes Mellitus. </w:t>
      </w:r>
      <w:r w:rsidRPr="008A30FD">
        <w:rPr>
          <w:rFonts w:ascii="Arial" w:hAnsi="Arial" w:cs="Arial"/>
          <w:i/>
          <w:iCs/>
          <w:sz w:val="22"/>
          <w:szCs w:val="22"/>
        </w:rPr>
        <w:t>Nature Reviews Disease Primers,</w:t>
      </w:r>
      <w:r w:rsidRPr="00B84941">
        <w:rPr>
          <w:rFonts w:ascii="Arial" w:hAnsi="Arial" w:cs="Arial"/>
          <w:sz w:val="22"/>
          <w:szCs w:val="22"/>
        </w:rPr>
        <w:t xml:space="preserve"> 1(1), 15019. </w:t>
      </w:r>
    </w:p>
    <w:p w14:paraId="57B8FDA2" w14:textId="748E0138" w:rsidR="00056D75" w:rsidRPr="00B84941" w:rsidRDefault="00056D75" w:rsidP="00C3660F">
      <w:pPr>
        <w:rPr>
          <w:rFonts w:ascii="Arial" w:hAnsi="Arial" w:cs="Arial"/>
          <w:sz w:val="22"/>
          <w:szCs w:val="22"/>
        </w:rPr>
      </w:pPr>
      <w:r w:rsidRPr="00B84941">
        <w:rPr>
          <w:rFonts w:ascii="Arial" w:hAnsi="Arial" w:cs="Arial"/>
          <w:sz w:val="22"/>
          <w:szCs w:val="22"/>
        </w:rPr>
        <w:t>Diabetes UK, 2024. </w:t>
      </w:r>
      <w:r w:rsidRPr="00B84941">
        <w:rPr>
          <w:rFonts w:ascii="Arial" w:hAnsi="Arial" w:cs="Arial"/>
          <w:i/>
          <w:iCs/>
          <w:sz w:val="22"/>
          <w:szCs w:val="22"/>
        </w:rPr>
        <w:t>Type 2 diabetes risk factors</w:t>
      </w:r>
      <w:r w:rsidRPr="00B84941">
        <w:rPr>
          <w:rFonts w:ascii="Arial" w:hAnsi="Arial" w:cs="Arial"/>
          <w:sz w:val="22"/>
          <w:szCs w:val="22"/>
        </w:rPr>
        <w:t>. London: British Diabetic Association. Available at: </w:t>
      </w:r>
      <w:hyperlink r:id="rId20" w:tgtFrame="_blank" w:history="1">
        <w:r w:rsidRPr="00B84941">
          <w:rPr>
            <w:rStyle w:val="Hyperlink"/>
            <w:rFonts w:ascii="Arial" w:hAnsi="Arial" w:cs="Arial"/>
            <w:sz w:val="22"/>
            <w:szCs w:val="22"/>
          </w:rPr>
          <w:t>https://www.diabetes.org.uk/about-diabetes/type-2-diabetes/diabetes-risk-factors</w:t>
        </w:r>
      </w:hyperlink>
      <w:r w:rsidRPr="00B84941">
        <w:rPr>
          <w:rFonts w:ascii="Arial" w:hAnsi="Arial" w:cs="Arial"/>
          <w:sz w:val="22"/>
          <w:szCs w:val="22"/>
        </w:rPr>
        <w:t> </w:t>
      </w:r>
      <w:r w:rsidR="008A30FD">
        <w:rPr>
          <w:rFonts w:ascii="Arial" w:hAnsi="Arial" w:cs="Arial"/>
          <w:sz w:val="22"/>
          <w:szCs w:val="22"/>
        </w:rPr>
        <w:t>(</w:t>
      </w:r>
      <w:r w:rsidRPr="00B84941">
        <w:rPr>
          <w:rFonts w:ascii="Arial" w:hAnsi="Arial" w:cs="Arial"/>
          <w:sz w:val="22"/>
          <w:szCs w:val="22"/>
        </w:rPr>
        <w:t>Accessed 22 June 2026</w:t>
      </w:r>
      <w:r w:rsidR="008A30FD">
        <w:rPr>
          <w:rFonts w:ascii="Arial" w:hAnsi="Arial" w:cs="Arial"/>
          <w:sz w:val="22"/>
          <w:szCs w:val="22"/>
        </w:rPr>
        <w:t>).</w:t>
      </w:r>
      <w:r w:rsidR="008E5E21" w:rsidRPr="00B84941">
        <w:rPr>
          <w:rFonts w:ascii="Arial" w:hAnsi="Arial" w:cs="Arial"/>
          <w:sz w:val="22"/>
          <w:szCs w:val="22"/>
        </w:rPr>
        <w:t xml:space="preserve"> </w:t>
      </w:r>
    </w:p>
    <w:p w14:paraId="768C0CF4" w14:textId="77EECDE4" w:rsidR="00056D75" w:rsidRPr="00B84941" w:rsidRDefault="00056D75" w:rsidP="00C3660F">
      <w:pPr>
        <w:rPr>
          <w:rFonts w:ascii="Arial" w:hAnsi="Arial" w:cs="Arial"/>
          <w:sz w:val="22"/>
          <w:szCs w:val="22"/>
        </w:rPr>
      </w:pPr>
      <w:r w:rsidRPr="00B84941">
        <w:rPr>
          <w:rFonts w:ascii="Arial" w:hAnsi="Arial" w:cs="Arial"/>
          <w:sz w:val="22"/>
          <w:szCs w:val="22"/>
        </w:rPr>
        <w:t xml:space="preserve">Duncan, I., Tynan, A., &amp; Henneman, A. (2014). The economic burden of diabetes: A family perspective. </w:t>
      </w:r>
      <w:r w:rsidRPr="008A30FD">
        <w:rPr>
          <w:rFonts w:ascii="Arial" w:hAnsi="Arial" w:cs="Arial"/>
          <w:i/>
          <w:iCs/>
          <w:sz w:val="22"/>
          <w:szCs w:val="22"/>
        </w:rPr>
        <w:t>Diabetes Spectrum</w:t>
      </w:r>
      <w:r w:rsidRPr="00B84941">
        <w:rPr>
          <w:rFonts w:ascii="Arial" w:hAnsi="Arial" w:cs="Arial"/>
          <w:sz w:val="22"/>
          <w:szCs w:val="22"/>
        </w:rPr>
        <w:t>, 27(3), 190-195. </w:t>
      </w:r>
    </w:p>
    <w:p w14:paraId="6EE715AD" w14:textId="54AA6057" w:rsidR="00056D75" w:rsidRPr="00B84941" w:rsidRDefault="00056D75" w:rsidP="00C3660F">
      <w:pPr>
        <w:rPr>
          <w:rFonts w:ascii="Arial" w:hAnsi="Arial" w:cs="Arial"/>
          <w:sz w:val="22"/>
          <w:szCs w:val="22"/>
        </w:rPr>
      </w:pPr>
      <w:r w:rsidRPr="00B84941">
        <w:rPr>
          <w:rFonts w:ascii="Arial" w:hAnsi="Arial" w:cs="Arial"/>
          <w:sz w:val="22"/>
          <w:szCs w:val="22"/>
        </w:rPr>
        <w:t xml:space="preserve"> Fahmy, M., &amp; El-Sharif, E. (2020). SGLT2 inhibitors and cardiovascular outcomes in patients with type 2 diabetes: A systematic review</w:t>
      </w:r>
      <w:r w:rsidRPr="008A30FD">
        <w:rPr>
          <w:rFonts w:ascii="Arial" w:hAnsi="Arial" w:cs="Arial"/>
          <w:i/>
          <w:iCs/>
          <w:sz w:val="22"/>
          <w:szCs w:val="22"/>
        </w:rPr>
        <w:t>. Cardiovascular Diabetology</w:t>
      </w:r>
      <w:r w:rsidRPr="00B84941">
        <w:rPr>
          <w:rFonts w:ascii="Arial" w:hAnsi="Arial" w:cs="Arial"/>
          <w:sz w:val="22"/>
          <w:szCs w:val="22"/>
        </w:rPr>
        <w:t>, 19(1), 1-10. </w:t>
      </w:r>
    </w:p>
    <w:p w14:paraId="32378848" w14:textId="64EA643B" w:rsidR="00056D75" w:rsidRPr="00B84941" w:rsidRDefault="00056D75" w:rsidP="00C3660F">
      <w:pPr>
        <w:rPr>
          <w:rFonts w:ascii="Arial" w:hAnsi="Arial" w:cs="Arial"/>
          <w:sz w:val="22"/>
          <w:szCs w:val="22"/>
        </w:rPr>
      </w:pPr>
      <w:r w:rsidRPr="00B84941">
        <w:rPr>
          <w:rFonts w:ascii="Arial" w:hAnsi="Arial" w:cs="Arial"/>
          <w:sz w:val="22"/>
          <w:szCs w:val="22"/>
        </w:rPr>
        <w:lastRenderedPageBreak/>
        <w:t xml:space="preserve">Fisher, L., Gonzalez, J. S., &amp; Polonsky, W. H. (2016). The Nature of Diabetes Distress. </w:t>
      </w:r>
      <w:r w:rsidRPr="008A30FD">
        <w:rPr>
          <w:rFonts w:ascii="Arial" w:hAnsi="Arial" w:cs="Arial"/>
          <w:i/>
          <w:iCs/>
          <w:sz w:val="22"/>
          <w:szCs w:val="22"/>
        </w:rPr>
        <w:t>Diabetes Care</w:t>
      </w:r>
      <w:r w:rsidRPr="00B84941">
        <w:rPr>
          <w:rFonts w:ascii="Arial" w:hAnsi="Arial" w:cs="Arial"/>
          <w:sz w:val="22"/>
          <w:szCs w:val="22"/>
        </w:rPr>
        <w:t>, 39(1), 25-26. </w:t>
      </w:r>
    </w:p>
    <w:p w14:paraId="17740481" w14:textId="6BA75C67" w:rsidR="00056D75" w:rsidRPr="00B84941" w:rsidRDefault="00056D75" w:rsidP="00C3660F">
      <w:pPr>
        <w:rPr>
          <w:rFonts w:ascii="Arial" w:hAnsi="Arial" w:cs="Arial"/>
          <w:sz w:val="22"/>
          <w:szCs w:val="22"/>
        </w:rPr>
      </w:pPr>
      <w:r w:rsidRPr="00B84941">
        <w:rPr>
          <w:rFonts w:ascii="Arial" w:hAnsi="Arial" w:cs="Arial"/>
          <w:sz w:val="22"/>
          <w:szCs w:val="22"/>
        </w:rPr>
        <w:t>Fisher, L., Thorndike, F., &amp; Nolen-Hoeksema, S. (2016). Psychological insulin resistance</w:t>
      </w:r>
      <w:r w:rsidRPr="008A30FD">
        <w:rPr>
          <w:rFonts w:ascii="Arial" w:hAnsi="Arial" w:cs="Arial"/>
          <w:i/>
          <w:iCs/>
          <w:sz w:val="22"/>
          <w:szCs w:val="22"/>
        </w:rPr>
        <w:t>. Diabetes Care</w:t>
      </w:r>
      <w:r w:rsidRPr="00B84941">
        <w:rPr>
          <w:rFonts w:ascii="Arial" w:hAnsi="Arial" w:cs="Arial"/>
          <w:sz w:val="22"/>
          <w:szCs w:val="22"/>
        </w:rPr>
        <w:t>, 39(1), 102-108. </w:t>
      </w:r>
    </w:p>
    <w:p w14:paraId="58DD943D" w14:textId="754290F4" w:rsidR="00056D75" w:rsidRPr="00B84941" w:rsidRDefault="00056D75" w:rsidP="0057614A">
      <w:pPr>
        <w:rPr>
          <w:rFonts w:ascii="Arial" w:hAnsi="Arial" w:cs="Arial"/>
          <w:sz w:val="22"/>
          <w:szCs w:val="22"/>
        </w:rPr>
      </w:pPr>
      <w:r w:rsidRPr="00B84941">
        <w:rPr>
          <w:rFonts w:ascii="Arial" w:hAnsi="Arial" w:cs="Arial"/>
          <w:sz w:val="22"/>
          <w:szCs w:val="22"/>
        </w:rPr>
        <w:t>Galicia-Garcia, U., Benito-Vicente, </w:t>
      </w:r>
      <w:proofErr w:type="spellStart"/>
      <w:r w:rsidRPr="00B84941">
        <w:rPr>
          <w:rFonts w:ascii="Arial" w:hAnsi="Arial" w:cs="Arial"/>
          <w:sz w:val="22"/>
          <w:szCs w:val="22"/>
        </w:rPr>
        <w:t>Jebari</w:t>
      </w:r>
      <w:proofErr w:type="spellEnd"/>
      <w:r w:rsidRPr="00B84941">
        <w:rPr>
          <w:rFonts w:ascii="Arial" w:hAnsi="Arial" w:cs="Arial"/>
          <w:sz w:val="22"/>
          <w:szCs w:val="22"/>
        </w:rPr>
        <w:t>, S., Larrea-</w:t>
      </w:r>
      <w:proofErr w:type="spellStart"/>
      <w:r w:rsidRPr="00B84941">
        <w:rPr>
          <w:rFonts w:ascii="Arial" w:hAnsi="Arial" w:cs="Arial"/>
          <w:sz w:val="22"/>
          <w:szCs w:val="22"/>
        </w:rPr>
        <w:t>Sebal</w:t>
      </w:r>
      <w:proofErr w:type="spellEnd"/>
      <w:r w:rsidRPr="00B84941">
        <w:rPr>
          <w:rFonts w:ascii="Arial" w:hAnsi="Arial" w:cs="Arial"/>
          <w:sz w:val="22"/>
          <w:szCs w:val="22"/>
        </w:rPr>
        <w:t>, A., Mohammad, H., Alonso, R., Maldonado-San Martín, M. and Martín, C., 2020. Pathophysiology of Type 2 Diabetes Mellitus. </w:t>
      </w:r>
      <w:r w:rsidRPr="00B84941">
        <w:rPr>
          <w:rFonts w:ascii="Arial" w:hAnsi="Arial" w:cs="Arial"/>
          <w:i/>
          <w:iCs/>
          <w:sz w:val="22"/>
          <w:szCs w:val="22"/>
        </w:rPr>
        <w:t>International Journal of Molecular Sciences</w:t>
      </w:r>
      <w:r w:rsidRPr="00B84941">
        <w:rPr>
          <w:rFonts w:ascii="Arial" w:hAnsi="Arial" w:cs="Arial"/>
          <w:sz w:val="22"/>
          <w:szCs w:val="22"/>
        </w:rPr>
        <w:t>, 21(17), p. 6275. Available at: </w:t>
      </w:r>
      <w:hyperlink r:id="rId21" w:tgtFrame="_blank" w:history="1">
        <w:r w:rsidRPr="00B84941">
          <w:rPr>
            <w:rStyle w:val="Hyperlink"/>
            <w:rFonts w:ascii="Arial" w:hAnsi="Arial" w:cs="Arial"/>
            <w:sz w:val="22"/>
            <w:szCs w:val="22"/>
          </w:rPr>
          <w:t>https://pmc.ncbi.nlm.nih.gov/articles/PMC7503727/</w:t>
        </w:r>
      </w:hyperlink>
      <w:r w:rsidRPr="00B84941">
        <w:rPr>
          <w:rFonts w:ascii="Arial" w:hAnsi="Arial" w:cs="Arial"/>
          <w:sz w:val="22"/>
          <w:szCs w:val="22"/>
        </w:rPr>
        <w:t> </w:t>
      </w:r>
      <w:r w:rsidR="00447D54">
        <w:rPr>
          <w:rFonts w:ascii="Arial" w:hAnsi="Arial" w:cs="Arial"/>
          <w:sz w:val="22"/>
          <w:szCs w:val="22"/>
        </w:rPr>
        <w:t>(</w:t>
      </w:r>
      <w:r w:rsidRPr="00B84941">
        <w:rPr>
          <w:rFonts w:ascii="Arial" w:hAnsi="Arial" w:cs="Arial"/>
          <w:sz w:val="22"/>
          <w:szCs w:val="22"/>
        </w:rPr>
        <w:t>Accessed 22 June 2026</w:t>
      </w:r>
      <w:r w:rsidR="00447D54">
        <w:rPr>
          <w:rFonts w:ascii="Arial" w:hAnsi="Arial" w:cs="Arial"/>
          <w:sz w:val="22"/>
          <w:szCs w:val="22"/>
        </w:rPr>
        <w:t>).</w:t>
      </w:r>
      <w:r w:rsidRPr="00B84941">
        <w:rPr>
          <w:rFonts w:ascii="Arial" w:hAnsi="Arial" w:cs="Arial"/>
          <w:sz w:val="22"/>
          <w:szCs w:val="22"/>
        </w:rPr>
        <w:t> </w:t>
      </w:r>
    </w:p>
    <w:p w14:paraId="022E5B4F" w14:textId="589384EB" w:rsidR="00056D75" w:rsidRPr="00B84941" w:rsidRDefault="00056D75" w:rsidP="00C3660F">
      <w:pPr>
        <w:rPr>
          <w:rFonts w:ascii="Arial" w:hAnsi="Arial" w:cs="Arial"/>
          <w:sz w:val="22"/>
          <w:szCs w:val="22"/>
        </w:rPr>
      </w:pPr>
      <w:r w:rsidRPr="00B84941">
        <w:rPr>
          <w:rFonts w:ascii="Arial" w:hAnsi="Arial" w:cs="Arial"/>
          <w:sz w:val="22"/>
          <w:szCs w:val="22"/>
        </w:rPr>
        <w:t>Ghosh-</w:t>
      </w:r>
      <w:proofErr w:type="spellStart"/>
      <w:r w:rsidRPr="00B84941">
        <w:rPr>
          <w:rFonts w:ascii="Arial" w:hAnsi="Arial" w:cs="Arial"/>
          <w:sz w:val="22"/>
          <w:szCs w:val="22"/>
        </w:rPr>
        <w:t>Dastidar</w:t>
      </w:r>
      <w:proofErr w:type="spellEnd"/>
      <w:r w:rsidRPr="00B84941">
        <w:rPr>
          <w:rFonts w:ascii="Arial" w:hAnsi="Arial" w:cs="Arial"/>
          <w:sz w:val="22"/>
          <w:szCs w:val="22"/>
        </w:rPr>
        <w:t>, M., Cohen, D. A., &amp; Hunter, G. P. (2014). Creating walkable </w:t>
      </w:r>
      <w:proofErr w:type="spellStart"/>
      <w:r w:rsidRPr="00B84941">
        <w:rPr>
          <w:rFonts w:ascii="Arial" w:hAnsi="Arial" w:cs="Arial"/>
          <w:sz w:val="22"/>
          <w:szCs w:val="22"/>
        </w:rPr>
        <w:t>neighborhoods</w:t>
      </w:r>
      <w:proofErr w:type="spellEnd"/>
      <w:r w:rsidRPr="00B84941">
        <w:rPr>
          <w:rFonts w:ascii="Arial" w:hAnsi="Arial" w:cs="Arial"/>
          <w:sz w:val="22"/>
          <w:szCs w:val="22"/>
        </w:rPr>
        <w:t>: The impact of local policies on public health</w:t>
      </w:r>
      <w:r w:rsidRPr="0086435E">
        <w:rPr>
          <w:rFonts w:ascii="Arial" w:hAnsi="Arial" w:cs="Arial"/>
          <w:i/>
          <w:iCs/>
          <w:sz w:val="22"/>
          <w:szCs w:val="22"/>
        </w:rPr>
        <w:t>. American Journal of Public Health</w:t>
      </w:r>
      <w:r w:rsidRPr="00B84941">
        <w:rPr>
          <w:rFonts w:ascii="Arial" w:hAnsi="Arial" w:cs="Arial"/>
          <w:sz w:val="22"/>
          <w:szCs w:val="22"/>
        </w:rPr>
        <w:t>, 104(5), 1035-1041. </w:t>
      </w:r>
    </w:p>
    <w:p w14:paraId="477191FB" w14:textId="774A8782" w:rsidR="00056D75" w:rsidRPr="00B84941" w:rsidRDefault="00056D75" w:rsidP="0057614A">
      <w:pPr>
        <w:rPr>
          <w:rFonts w:ascii="Arial" w:hAnsi="Arial" w:cs="Arial"/>
          <w:sz w:val="22"/>
          <w:szCs w:val="22"/>
        </w:rPr>
      </w:pPr>
      <w:r w:rsidRPr="00DE5EAE">
        <w:rPr>
          <w:rFonts w:ascii="Arial" w:hAnsi="Arial" w:cs="Arial"/>
          <w:sz w:val="22"/>
          <w:szCs w:val="22"/>
        </w:rPr>
        <w:t>Global action plan for the prevention and control of noncommunicable diseases 2013-2020. Available at: </w:t>
      </w:r>
      <w:hyperlink r:id="rId22" w:tgtFrame="_blank" w:history="1">
        <w:r w:rsidRPr="00B84941">
          <w:rPr>
            <w:rStyle w:val="Hyperlink"/>
            <w:rFonts w:ascii="Arial" w:hAnsi="Arial" w:cs="Arial"/>
            <w:sz w:val="22"/>
            <w:szCs w:val="22"/>
          </w:rPr>
          <w:t>https://www.who.int/publications/i/item/9789241506236</w:t>
        </w:r>
      </w:hyperlink>
      <w:r w:rsidRPr="00B84941">
        <w:rPr>
          <w:rFonts w:ascii="Arial" w:hAnsi="Arial" w:cs="Arial"/>
          <w:sz w:val="22"/>
          <w:szCs w:val="22"/>
        </w:rPr>
        <w:t> </w:t>
      </w:r>
      <w:r w:rsidR="008C3AFE">
        <w:rPr>
          <w:rFonts w:ascii="Arial" w:hAnsi="Arial" w:cs="Arial"/>
          <w:sz w:val="22"/>
          <w:szCs w:val="22"/>
        </w:rPr>
        <w:t>(Accessed 1</w:t>
      </w:r>
      <w:r w:rsidR="00447D54">
        <w:rPr>
          <w:rFonts w:ascii="Arial" w:hAnsi="Arial" w:cs="Arial"/>
          <w:sz w:val="22"/>
          <w:szCs w:val="22"/>
        </w:rPr>
        <w:t>0 June 2026).</w:t>
      </w:r>
    </w:p>
    <w:p w14:paraId="6AFA316F" w14:textId="317D4E92" w:rsidR="00056D75" w:rsidRPr="00B84941" w:rsidRDefault="00056D75" w:rsidP="00C3660F">
      <w:pPr>
        <w:rPr>
          <w:rFonts w:ascii="Arial" w:hAnsi="Arial" w:cs="Arial"/>
          <w:sz w:val="22"/>
          <w:szCs w:val="22"/>
        </w:rPr>
      </w:pPr>
      <w:r w:rsidRPr="00B84941">
        <w:rPr>
          <w:rFonts w:ascii="Arial" w:hAnsi="Arial" w:cs="Arial"/>
          <w:sz w:val="22"/>
          <w:szCs w:val="22"/>
        </w:rPr>
        <w:t xml:space="preserve">Gonzalez, J. S., Peyrot, M., &amp; McCarl, L. A. (2016). Diabetes stigma and its association with diabetes self-management: A review of the literature. </w:t>
      </w:r>
      <w:r w:rsidRPr="00447D54">
        <w:rPr>
          <w:rFonts w:ascii="Arial" w:hAnsi="Arial" w:cs="Arial"/>
          <w:i/>
          <w:iCs/>
          <w:sz w:val="22"/>
          <w:szCs w:val="22"/>
        </w:rPr>
        <w:t>Diabetes Care</w:t>
      </w:r>
      <w:r w:rsidRPr="00B84941">
        <w:rPr>
          <w:rFonts w:ascii="Arial" w:hAnsi="Arial" w:cs="Arial"/>
          <w:sz w:val="22"/>
          <w:szCs w:val="22"/>
        </w:rPr>
        <w:t>, 39(1), 200-208. </w:t>
      </w:r>
    </w:p>
    <w:p w14:paraId="1B476BB5" w14:textId="4109B5A1" w:rsidR="00056D75" w:rsidRPr="00B84941" w:rsidRDefault="00056D75" w:rsidP="00C3660F">
      <w:pPr>
        <w:rPr>
          <w:rFonts w:ascii="Arial" w:hAnsi="Arial" w:cs="Arial"/>
          <w:sz w:val="22"/>
          <w:szCs w:val="22"/>
        </w:rPr>
      </w:pPr>
      <w:r w:rsidRPr="00B84941">
        <w:rPr>
          <w:rFonts w:ascii="Arial" w:hAnsi="Arial" w:cs="Arial"/>
          <w:sz w:val="22"/>
          <w:szCs w:val="22"/>
        </w:rPr>
        <w:t>Gonzalez, J. S., Peyrot, M., &amp; McCarl, L. A. (2016). Diabetes stigma and its association with diabetes self-</w:t>
      </w:r>
      <w:r w:rsidRPr="00B84941">
        <w:rPr>
          <w:rFonts w:ascii="Arial" w:hAnsi="Arial" w:cs="Arial"/>
          <w:sz w:val="22"/>
          <w:szCs w:val="22"/>
        </w:rPr>
        <w:lastRenderedPageBreak/>
        <w:t>management: A review of the literature</w:t>
      </w:r>
      <w:r w:rsidRPr="0086435E">
        <w:rPr>
          <w:rFonts w:ascii="Arial" w:hAnsi="Arial" w:cs="Arial"/>
          <w:i/>
          <w:iCs/>
          <w:sz w:val="22"/>
          <w:szCs w:val="22"/>
        </w:rPr>
        <w:t>. Diabetes Car</w:t>
      </w:r>
      <w:r w:rsidR="0086435E" w:rsidRPr="0086435E">
        <w:rPr>
          <w:rFonts w:ascii="Arial" w:hAnsi="Arial" w:cs="Arial"/>
          <w:i/>
          <w:iCs/>
          <w:sz w:val="22"/>
          <w:szCs w:val="22"/>
        </w:rPr>
        <w:t>e</w:t>
      </w:r>
      <w:r w:rsidRPr="00B84941">
        <w:rPr>
          <w:rFonts w:ascii="Arial" w:hAnsi="Arial" w:cs="Arial"/>
          <w:sz w:val="22"/>
          <w:szCs w:val="22"/>
        </w:rPr>
        <w:t>, 39(1), 200-208. </w:t>
      </w:r>
    </w:p>
    <w:p w14:paraId="1DFBC650" w14:textId="06653AD0" w:rsidR="00056D75" w:rsidRPr="00B84941" w:rsidRDefault="00056D75" w:rsidP="00C3660F">
      <w:pPr>
        <w:rPr>
          <w:rFonts w:ascii="Arial" w:hAnsi="Arial" w:cs="Arial"/>
          <w:sz w:val="22"/>
          <w:szCs w:val="22"/>
        </w:rPr>
      </w:pPr>
      <w:r w:rsidRPr="00B84941">
        <w:rPr>
          <w:rFonts w:ascii="Arial" w:hAnsi="Arial" w:cs="Arial"/>
          <w:sz w:val="22"/>
          <w:szCs w:val="22"/>
        </w:rPr>
        <w:t xml:space="preserve"> Gonzalez, J. S., Peyrot, M., &amp; McCarl, L. A. (2016). Diabetes stigma and its association with diabetes self-management: A review of the literature</w:t>
      </w:r>
      <w:r w:rsidRPr="0086435E">
        <w:rPr>
          <w:rFonts w:ascii="Arial" w:hAnsi="Arial" w:cs="Arial"/>
          <w:i/>
          <w:iCs/>
          <w:sz w:val="22"/>
          <w:szCs w:val="22"/>
        </w:rPr>
        <w:t>. Diabetes Care</w:t>
      </w:r>
      <w:r w:rsidRPr="00B84941">
        <w:rPr>
          <w:rFonts w:ascii="Arial" w:hAnsi="Arial" w:cs="Arial"/>
          <w:sz w:val="22"/>
          <w:szCs w:val="22"/>
        </w:rPr>
        <w:t>, 39(1), 200-208. </w:t>
      </w:r>
    </w:p>
    <w:p w14:paraId="5EF3B072" w14:textId="4D81C4BC" w:rsidR="00056D75" w:rsidRPr="00B84941" w:rsidRDefault="00056D75" w:rsidP="00C3660F">
      <w:pPr>
        <w:rPr>
          <w:rFonts w:ascii="Arial" w:hAnsi="Arial" w:cs="Arial"/>
          <w:sz w:val="22"/>
          <w:szCs w:val="22"/>
        </w:rPr>
      </w:pPr>
      <w:r w:rsidRPr="00B84941">
        <w:rPr>
          <w:rFonts w:ascii="Arial" w:hAnsi="Arial" w:cs="Arial"/>
          <w:sz w:val="22"/>
          <w:szCs w:val="22"/>
        </w:rPr>
        <w:t xml:space="preserve"> Haffner, S. M., </w:t>
      </w:r>
      <w:proofErr w:type="spellStart"/>
      <w:r w:rsidRPr="00B84941">
        <w:rPr>
          <w:rFonts w:ascii="Arial" w:hAnsi="Arial" w:cs="Arial"/>
          <w:sz w:val="22"/>
          <w:szCs w:val="22"/>
        </w:rPr>
        <w:t>Taegtmeyer</w:t>
      </w:r>
      <w:proofErr w:type="spellEnd"/>
      <w:r w:rsidRPr="00B84941">
        <w:rPr>
          <w:rFonts w:ascii="Arial" w:hAnsi="Arial" w:cs="Arial"/>
          <w:sz w:val="22"/>
          <w:szCs w:val="22"/>
        </w:rPr>
        <w:t xml:space="preserve">, H., &amp; et al. (1998). Obesity, Insulin Resistance, and Type 2 Diabetes Mellitus. </w:t>
      </w:r>
      <w:r w:rsidRPr="00825EB7">
        <w:rPr>
          <w:rFonts w:ascii="Arial" w:hAnsi="Arial" w:cs="Arial"/>
          <w:i/>
          <w:iCs/>
          <w:sz w:val="22"/>
          <w:szCs w:val="22"/>
        </w:rPr>
        <w:t>The Journal of Clinical Endocrinology &amp; Metabolism</w:t>
      </w:r>
      <w:r w:rsidRPr="00B84941">
        <w:rPr>
          <w:rFonts w:ascii="Arial" w:hAnsi="Arial" w:cs="Arial"/>
          <w:sz w:val="22"/>
          <w:szCs w:val="22"/>
        </w:rPr>
        <w:t>, 83(8), 2871-2878. </w:t>
      </w:r>
    </w:p>
    <w:p w14:paraId="45C4E6E5" w14:textId="6B581A41" w:rsidR="00056D75" w:rsidRPr="00B84941" w:rsidRDefault="00056D75" w:rsidP="0057614A">
      <w:pPr>
        <w:rPr>
          <w:rFonts w:ascii="Arial" w:hAnsi="Arial" w:cs="Arial"/>
          <w:sz w:val="22"/>
          <w:szCs w:val="22"/>
        </w:rPr>
      </w:pPr>
      <w:hyperlink r:id="rId23" w:tgtFrame="_blank" w:history="1">
        <w:r w:rsidRPr="00B84941">
          <w:rPr>
            <w:rStyle w:val="Hyperlink"/>
            <w:rFonts w:ascii="Arial" w:hAnsi="Arial" w:cs="Arial"/>
            <w:sz w:val="22"/>
            <w:szCs w:val="22"/>
          </w:rPr>
          <w:t>Harvard Health</w:t>
        </w:r>
      </w:hyperlink>
      <w:r w:rsidRPr="00B84941">
        <w:rPr>
          <w:rFonts w:ascii="Arial" w:hAnsi="Arial" w:cs="Arial"/>
          <w:sz w:val="22"/>
          <w:szCs w:val="22"/>
        </w:rPr>
        <w:t>, 2026. </w:t>
      </w:r>
      <w:r w:rsidRPr="00B84941">
        <w:rPr>
          <w:rFonts w:ascii="Arial" w:hAnsi="Arial" w:cs="Arial"/>
          <w:i/>
          <w:iCs/>
          <w:sz w:val="22"/>
          <w:szCs w:val="22"/>
        </w:rPr>
        <w:t>Diabetes Mellitus Overview - A to Z</w:t>
      </w:r>
      <w:r w:rsidRPr="00B84941">
        <w:rPr>
          <w:rFonts w:ascii="Arial" w:hAnsi="Arial" w:cs="Arial"/>
          <w:sz w:val="22"/>
          <w:szCs w:val="22"/>
        </w:rPr>
        <w:t>. Boston: Harvard Medical School. Available at: </w:t>
      </w:r>
      <w:proofErr w:type="gramStart"/>
      <w:r w:rsidRPr="00B84941">
        <w:rPr>
          <w:rFonts w:ascii="Arial" w:hAnsi="Arial" w:cs="Arial"/>
          <w:sz w:val="22"/>
          <w:szCs w:val="22"/>
        </w:rPr>
        <w:t>https://www.health.harvard.edu/diabetes-and-metabolic-health/diabetes-mellitus-overview-a-to-</w:t>
      </w:r>
      <w:r w:rsidR="00825EB7">
        <w:rPr>
          <w:rFonts w:ascii="Arial" w:hAnsi="Arial" w:cs="Arial"/>
          <w:sz w:val="22"/>
          <w:szCs w:val="22"/>
        </w:rPr>
        <w:t xml:space="preserve">z </w:t>
      </w:r>
      <w:r w:rsidRPr="00B84941">
        <w:rPr>
          <w:rFonts w:ascii="Arial" w:hAnsi="Arial" w:cs="Arial"/>
          <w:sz w:val="22"/>
          <w:szCs w:val="22"/>
        </w:rPr>
        <w:t> [</w:t>
      </w:r>
      <w:proofErr w:type="gramEnd"/>
      <w:r w:rsidRPr="00B84941">
        <w:rPr>
          <w:rFonts w:ascii="Arial" w:hAnsi="Arial" w:cs="Arial"/>
          <w:sz w:val="22"/>
          <w:szCs w:val="22"/>
        </w:rPr>
        <w:t>Accessed 22 June 2026]. </w:t>
      </w:r>
    </w:p>
    <w:p w14:paraId="2DDAC518" w14:textId="7127E17C" w:rsidR="00056D75" w:rsidRPr="00560539" w:rsidRDefault="00056D75" w:rsidP="00C3660F">
      <w:pPr>
        <w:rPr>
          <w:rFonts w:ascii="Arial" w:hAnsi="Arial" w:cs="Arial"/>
          <w:sz w:val="22"/>
          <w:szCs w:val="22"/>
        </w:rPr>
      </w:pPr>
      <w:r w:rsidRPr="00560539">
        <w:rPr>
          <w:rFonts w:ascii="Arial" w:hAnsi="Arial" w:cs="Arial"/>
          <w:sz w:val="22"/>
          <w:szCs w:val="22"/>
        </w:rPr>
        <w:t xml:space="preserve"> Hassan, A., &amp; O’Connell, M. (2020). The role of public policy in obesity and diabetes prevention: A review of current strategies. </w:t>
      </w:r>
      <w:r w:rsidRPr="00560539">
        <w:rPr>
          <w:rFonts w:ascii="Arial" w:hAnsi="Arial" w:cs="Arial"/>
          <w:i/>
          <w:iCs/>
          <w:sz w:val="22"/>
          <w:szCs w:val="22"/>
        </w:rPr>
        <w:t>Public Health Nutrition</w:t>
      </w:r>
      <w:r w:rsidRPr="00560539">
        <w:rPr>
          <w:rFonts w:ascii="Arial" w:hAnsi="Arial" w:cs="Arial"/>
          <w:sz w:val="22"/>
          <w:szCs w:val="22"/>
        </w:rPr>
        <w:t>, 23(1), 1-10. </w:t>
      </w:r>
    </w:p>
    <w:p w14:paraId="3CC804C2" w14:textId="263AC4CC" w:rsidR="00056D75" w:rsidRPr="00B84941" w:rsidRDefault="00056D75" w:rsidP="00C3660F">
      <w:pPr>
        <w:rPr>
          <w:rFonts w:ascii="Arial" w:hAnsi="Arial" w:cs="Arial"/>
          <w:sz w:val="22"/>
          <w:szCs w:val="22"/>
        </w:rPr>
      </w:pPr>
      <w:r w:rsidRPr="00B84941">
        <w:rPr>
          <w:rFonts w:ascii="Arial" w:hAnsi="Arial" w:cs="Arial"/>
          <w:sz w:val="22"/>
          <w:szCs w:val="22"/>
        </w:rPr>
        <w:t xml:space="preserve">Hirschhorn, J. N., &amp; et al. (2008). Diabetes and Genetic Risk Factors. </w:t>
      </w:r>
      <w:r w:rsidRPr="009022C7">
        <w:rPr>
          <w:rFonts w:ascii="Arial" w:hAnsi="Arial" w:cs="Arial"/>
          <w:i/>
          <w:iCs/>
          <w:sz w:val="22"/>
          <w:szCs w:val="22"/>
        </w:rPr>
        <w:t>Nature Reviews Genetic</w:t>
      </w:r>
      <w:r w:rsidR="0092317E">
        <w:rPr>
          <w:rFonts w:ascii="Arial" w:hAnsi="Arial" w:cs="Arial"/>
          <w:sz w:val="22"/>
          <w:szCs w:val="22"/>
        </w:rPr>
        <w:t>,</w:t>
      </w:r>
      <w:r w:rsidRPr="00B84941">
        <w:rPr>
          <w:rFonts w:ascii="Arial" w:hAnsi="Arial" w:cs="Arial"/>
          <w:sz w:val="22"/>
          <w:szCs w:val="22"/>
        </w:rPr>
        <w:t xml:space="preserve"> 9(1), 4-14. </w:t>
      </w:r>
    </w:p>
    <w:p w14:paraId="606B548D" w14:textId="37CD1B34" w:rsidR="00056D75" w:rsidRPr="00B84941" w:rsidRDefault="00056D75" w:rsidP="00C3660F">
      <w:pPr>
        <w:rPr>
          <w:rFonts w:ascii="Arial" w:hAnsi="Arial" w:cs="Arial"/>
          <w:sz w:val="22"/>
          <w:szCs w:val="22"/>
        </w:rPr>
      </w:pPr>
      <w:r w:rsidRPr="00B84941">
        <w:rPr>
          <w:rFonts w:ascii="Arial" w:hAnsi="Arial" w:cs="Arial"/>
          <w:sz w:val="22"/>
          <w:szCs w:val="22"/>
        </w:rPr>
        <w:t xml:space="preserve"> Holt, R. I. G., Cockram, J., Flyvbjerg, A., &amp; Goldstein, B. J. (2016</w:t>
      </w:r>
      <w:r w:rsidRPr="002E766F">
        <w:rPr>
          <w:rFonts w:ascii="Arial" w:hAnsi="Arial" w:cs="Arial"/>
          <w:i/>
          <w:iCs/>
          <w:sz w:val="22"/>
          <w:szCs w:val="22"/>
        </w:rPr>
        <w:t>). Textbook of Diabetes</w:t>
      </w:r>
      <w:r w:rsidRPr="00B84941">
        <w:rPr>
          <w:rFonts w:ascii="Arial" w:hAnsi="Arial" w:cs="Arial"/>
          <w:sz w:val="22"/>
          <w:szCs w:val="22"/>
        </w:rPr>
        <w:t>. 4th ed. Wiley-Blackwell. </w:t>
      </w:r>
    </w:p>
    <w:p w14:paraId="10978968" w14:textId="3F371FD2" w:rsidR="00056D75" w:rsidRPr="00B84941" w:rsidRDefault="00056D75" w:rsidP="00C3660F">
      <w:pPr>
        <w:rPr>
          <w:rFonts w:ascii="Arial" w:hAnsi="Arial" w:cs="Arial"/>
          <w:sz w:val="22"/>
          <w:szCs w:val="22"/>
        </w:rPr>
      </w:pPr>
    </w:p>
    <w:p w14:paraId="35A7B867" w14:textId="5A8CFAFC" w:rsidR="001840DB" w:rsidRPr="00B84941" w:rsidRDefault="00056D75" w:rsidP="00C3660F">
      <w:pPr>
        <w:rPr>
          <w:rFonts w:ascii="Arial" w:hAnsi="Arial" w:cs="Arial"/>
          <w:sz w:val="22"/>
          <w:szCs w:val="22"/>
        </w:rPr>
      </w:pPr>
      <w:r w:rsidRPr="00B84941">
        <w:rPr>
          <w:rFonts w:ascii="Arial" w:hAnsi="Arial" w:cs="Arial"/>
          <w:sz w:val="22"/>
          <w:szCs w:val="22"/>
        </w:rPr>
        <w:lastRenderedPageBreak/>
        <w:t xml:space="preserve"> Hu, F. B., &amp; et al. (2013). Changes in Diet and Lifestyle and Long-Term Weight Gain in Women</w:t>
      </w:r>
      <w:r w:rsidRPr="009022C7">
        <w:rPr>
          <w:rFonts w:ascii="Arial" w:hAnsi="Arial" w:cs="Arial"/>
          <w:i/>
          <w:iCs/>
          <w:sz w:val="22"/>
          <w:szCs w:val="22"/>
        </w:rPr>
        <w:t>. The New England Journal of Medicine</w:t>
      </w:r>
      <w:r w:rsidRPr="00B84941">
        <w:rPr>
          <w:rFonts w:ascii="Arial" w:hAnsi="Arial" w:cs="Arial"/>
          <w:sz w:val="22"/>
          <w:szCs w:val="22"/>
        </w:rPr>
        <w:t>, 348(17), 1610-1620. </w:t>
      </w:r>
    </w:p>
    <w:p w14:paraId="1CD693AF" w14:textId="6D856E09" w:rsidR="00056D75" w:rsidRPr="00B84941" w:rsidRDefault="00056D75" w:rsidP="0057614A">
      <w:pPr>
        <w:rPr>
          <w:rFonts w:ascii="Arial" w:hAnsi="Arial" w:cs="Arial"/>
          <w:sz w:val="22"/>
          <w:szCs w:val="22"/>
        </w:rPr>
      </w:pPr>
      <w:r w:rsidRPr="00DE5EAE">
        <w:rPr>
          <w:rFonts w:ascii="Arial" w:hAnsi="Arial" w:cs="Arial"/>
          <w:sz w:val="22"/>
          <w:szCs w:val="22"/>
        </w:rPr>
        <w:t xml:space="preserve"> International Diabetes Federation. (2019</w:t>
      </w:r>
      <w:r w:rsidRPr="00DE5EAE">
        <w:rPr>
          <w:rFonts w:ascii="Arial" w:hAnsi="Arial" w:cs="Arial"/>
          <w:i/>
          <w:iCs/>
          <w:sz w:val="22"/>
          <w:szCs w:val="22"/>
        </w:rPr>
        <w:t>). IDF Diabetes Atlas,</w:t>
      </w:r>
      <w:r w:rsidRPr="00DE5EAE">
        <w:rPr>
          <w:rFonts w:ascii="Arial" w:hAnsi="Arial" w:cs="Arial"/>
          <w:sz w:val="22"/>
          <w:szCs w:val="22"/>
        </w:rPr>
        <w:t xml:space="preserve"> 9th ed. Available at: </w:t>
      </w:r>
      <w:hyperlink r:id="rId24" w:tgtFrame="_blank" w:history="1">
        <w:r w:rsidRPr="00B84941">
          <w:rPr>
            <w:rStyle w:val="Hyperlink"/>
            <w:rFonts w:ascii="Arial" w:hAnsi="Arial" w:cs="Arial"/>
            <w:sz w:val="22"/>
            <w:szCs w:val="22"/>
          </w:rPr>
          <w:t>https://diabetesatlas.org/</w:t>
        </w:r>
      </w:hyperlink>
    </w:p>
    <w:p w14:paraId="5A09D292" w14:textId="5E4E50AB" w:rsidR="001840DB" w:rsidRPr="00B84941" w:rsidRDefault="00056D75" w:rsidP="001840DB">
      <w:pPr>
        <w:rPr>
          <w:rFonts w:ascii="Arial" w:hAnsi="Arial" w:cs="Arial"/>
          <w:sz w:val="22"/>
          <w:szCs w:val="22"/>
        </w:rPr>
      </w:pPr>
      <w:r w:rsidRPr="00B84941">
        <w:rPr>
          <w:rFonts w:ascii="Arial" w:hAnsi="Arial" w:cs="Arial"/>
          <w:sz w:val="22"/>
          <w:szCs w:val="22"/>
        </w:rPr>
        <w:t xml:space="preserve"> International Diabetes Federation. (2021</w:t>
      </w:r>
      <w:r w:rsidRPr="008211DF">
        <w:rPr>
          <w:rFonts w:ascii="Arial" w:hAnsi="Arial" w:cs="Arial"/>
          <w:i/>
          <w:iCs/>
          <w:sz w:val="22"/>
          <w:szCs w:val="22"/>
        </w:rPr>
        <w:t>). IDF Diabetes Atlas</w:t>
      </w:r>
      <w:r w:rsidRPr="00B84941">
        <w:rPr>
          <w:rFonts w:ascii="Arial" w:hAnsi="Arial" w:cs="Arial"/>
          <w:sz w:val="22"/>
          <w:szCs w:val="22"/>
        </w:rPr>
        <w:t xml:space="preserve"> (10th ed.). Brussels, Belgium: International Diabetes Federation. </w:t>
      </w:r>
    </w:p>
    <w:p w14:paraId="6EEC67E7" w14:textId="367125A3" w:rsidR="00056D75" w:rsidRPr="00B84941" w:rsidRDefault="001840DB" w:rsidP="00C3660F">
      <w:pPr>
        <w:rPr>
          <w:rFonts w:ascii="Arial" w:hAnsi="Arial" w:cs="Arial"/>
          <w:sz w:val="22"/>
          <w:szCs w:val="22"/>
        </w:rPr>
      </w:pPr>
      <w:r w:rsidRPr="00B84941">
        <w:rPr>
          <w:rFonts w:ascii="Arial" w:hAnsi="Arial" w:cs="Arial"/>
          <w:sz w:val="22"/>
          <w:szCs w:val="22"/>
        </w:rPr>
        <w:t> </w:t>
      </w:r>
      <w:proofErr w:type="spellStart"/>
      <w:r w:rsidRPr="00B84941">
        <w:rPr>
          <w:rFonts w:ascii="Arial" w:hAnsi="Arial" w:cs="Arial"/>
          <w:sz w:val="22"/>
          <w:szCs w:val="22"/>
        </w:rPr>
        <w:t>Inzucchi</w:t>
      </w:r>
      <w:proofErr w:type="spellEnd"/>
      <w:r w:rsidRPr="00B84941">
        <w:rPr>
          <w:rFonts w:ascii="Arial" w:hAnsi="Arial" w:cs="Arial"/>
          <w:sz w:val="22"/>
          <w:szCs w:val="22"/>
        </w:rPr>
        <w:t>, S. E., </w:t>
      </w:r>
      <w:proofErr w:type="spellStart"/>
      <w:r w:rsidRPr="00B84941">
        <w:rPr>
          <w:rFonts w:ascii="Arial" w:hAnsi="Arial" w:cs="Arial"/>
          <w:sz w:val="22"/>
          <w:szCs w:val="22"/>
        </w:rPr>
        <w:t>Bergenstal</w:t>
      </w:r>
      <w:proofErr w:type="spellEnd"/>
      <w:r w:rsidRPr="00B84941">
        <w:rPr>
          <w:rFonts w:ascii="Arial" w:hAnsi="Arial" w:cs="Arial"/>
          <w:sz w:val="22"/>
          <w:szCs w:val="22"/>
        </w:rPr>
        <w:t>, R. M., Buse, J. B., et al. (2015). Management of </w:t>
      </w:r>
      <w:proofErr w:type="spellStart"/>
      <w:r w:rsidRPr="00B84941">
        <w:rPr>
          <w:rFonts w:ascii="Arial" w:hAnsi="Arial" w:cs="Arial"/>
          <w:sz w:val="22"/>
          <w:szCs w:val="22"/>
        </w:rPr>
        <w:t>hyperglycemia</w:t>
      </w:r>
      <w:proofErr w:type="spellEnd"/>
      <w:r w:rsidRPr="00B84941">
        <w:rPr>
          <w:rFonts w:ascii="Arial" w:hAnsi="Arial" w:cs="Arial"/>
          <w:sz w:val="22"/>
          <w:szCs w:val="22"/>
        </w:rPr>
        <w:t> in type 2 diabetes, 2015: A patient-</w:t>
      </w:r>
      <w:proofErr w:type="spellStart"/>
      <w:r w:rsidRPr="00B84941">
        <w:rPr>
          <w:rFonts w:ascii="Arial" w:hAnsi="Arial" w:cs="Arial"/>
          <w:sz w:val="22"/>
          <w:szCs w:val="22"/>
        </w:rPr>
        <w:t>centered</w:t>
      </w:r>
      <w:proofErr w:type="spellEnd"/>
      <w:r w:rsidRPr="00B84941">
        <w:rPr>
          <w:rFonts w:ascii="Arial" w:hAnsi="Arial" w:cs="Arial"/>
          <w:sz w:val="22"/>
          <w:szCs w:val="22"/>
        </w:rPr>
        <w:t> approach</w:t>
      </w:r>
      <w:r w:rsidRPr="008211DF">
        <w:rPr>
          <w:rFonts w:ascii="Arial" w:hAnsi="Arial" w:cs="Arial"/>
          <w:i/>
          <w:iCs/>
          <w:sz w:val="22"/>
          <w:szCs w:val="22"/>
        </w:rPr>
        <w:t>. Diabetes Care</w:t>
      </w:r>
      <w:r w:rsidRPr="00B84941">
        <w:rPr>
          <w:rFonts w:ascii="Arial" w:hAnsi="Arial" w:cs="Arial"/>
          <w:sz w:val="22"/>
          <w:szCs w:val="22"/>
        </w:rPr>
        <w:t>, 38(1), 140-149. </w:t>
      </w:r>
    </w:p>
    <w:p w14:paraId="7E5B061F" w14:textId="45A40A79" w:rsidR="00056D75" w:rsidRPr="00B84941" w:rsidRDefault="00056D75" w:rsidP="00C3660F">
      <w:pPr>
        <w:rPr>
          <w:rFonts w:ascii="Arial" w:hAnsi="Arial" w:cs="Arial"/>
          <w:sz w:val="22"/>
          <w:szCs w:val="22"/>
        </w:rPr>
      </w:pPr>
      <w:r w:rsidRPr="00B84941">
        <w:rPr>
          <w:rFonts w:ascii="Arial" w:hAnsi="Arial" w:cs="Arial"/>
          <w:sz w:val="22"/>
          <w:szCs w:val="22"/>
        </w:rPr>
        <w:t>Lab Tests Online UK, 2024. </w:t>
      </w:r>
      <w:r w:rsidRPr="00B84941">
        <w:rPr>
          <w:rFonts w:ascii="Arial" w:hAnsi="Arial" w:cs="Arial"/>
          <w:i/>
          <w:iCs/>
          <w:sz w:val="22"/>
          <w:szCs w:val="22"/>
        </w:rPr>
        <w:t>HbA1c Test: Understanding your diabetes blood test</w:t>
      </w:r>
      <w:r w:rsidRPr="00B84941">
        <w:rPr>
          <w:rFonts w:ascii="Arial" w:hAnsi="Arial" w:cs="Arial"/>
          <w:sz w:val="22"/>
          <w:szCs w:val="22"/>
        </w:rPr>
        <w:t>. London: Association for Clinical Biochemistry and Laboratory Medicine. Available at: </w:t>
      </w:r>
      <w:hyperlink r:id="rId25" w:tgtFrame="_blank" w:history="1">
        <w:r w:rsidRPr="00B84941">
          <w:rPr>
            <w:rStyle w:val="Hyperlink"/>
            <w:rFonts w:ascii="Arial" w:hAnsi="Arial" w:cs="Arial"/>
            <w:sz w:val="22"/>
            <w:szCs w:val="22"/>
          </w:rPr>
          <w:t>https://labtestsonline.org.uk/tests/hba1c-test</w:t>
        </w:r>
      </w:hyperlink>
      <w:r w:rsidRPr="00B84941">
        <w:rPr>
          <w:rFonts w:ascii="Arial" w:hAnsi="Arial" w:cs="Arial"/>
          <w:sz w:val="22"/>
          <w:szCs w:val="22"/>
        </w:rPr>
        <w:t> [Accessed 22 June 2026]. [</w:t>
      </w:r>
      <w:hyperlink r:id="rId26" w:tgtFrame="_blank" w:history="1">
        <w:r w:rsidRPr="00B84941">
          <w:rPr>
            <w:rStyle w:val="Hyperlink"/>
            <w:rFonts w:ascii="Arial" w:hAnsi="Arial" w:cs="Arial"/>
            <w:sz w:val="22"/>
            <w:szCs w:val="22"/>
          </w:rPr>
          <w:t>1</w:t>
        </w:r>
      </w:hyperlink>
      <w:r w:rsidRPr="00B84941">
        <w:rPr>
          <w:rFonts w:ascii="Arial" w:hAnsi="Arial" w:cs="Arial"/>
          <w:sz w:val="22"/>
          <w:szCs w:val="22"/>
        </w:rPr>
        <w:t> </w:t>
      </w:r>
      <w:r w:rsidR="001840DB" w:rsidRPr="00B84941">
        <w:rPr>
          <w:rFonts w:ascii="Arial" w:hAnsi="Arial" w:cs="Arial"/>
          <w:sz w:val="22"/>
          <w:szCs w:val="22"/>
        </w:rPr>
        <w:t>, </w:t>
      </w:r>
      <w:hyperlink r:id="rId27" w:tgtFrame="_blank" w:history="1">
        <w:r w:rsidR="001840DB" w:rsidRPr="00B84941">
          <w:rPr>
            <w:rStyle w:val="Hyperlink"/>
            <w:rFonts w:ascii="Arial" w:hAnsi="Arial" w:cs="Arial"/>
            <w:sz w:val="22"/>
            <w:szCs w:val="22"/>
          </w:rPr>
          <w:t>2</w:t>
        </w:r>
      </w:hyperlink>
      <w:r w:rsidR="001840DB" w:rsidRPr="00B84941">
        <w:rPr>
          <w:rFonts w:ascii="Arial" w:hAnsi="Arial" w:cs="Arial"/>
          <w:sz w:val="22"/>
          <w:szCs w:val="22"/>
        </w:rPr>
        <w:t>] </w:t>
      </w:r>
    </w:p>
    <w:p w14:paraId="0694A497" w14:textId="4C6E5FE9" w:rsidR="001840DB" w:rsidRPr="00B84941" w:rsidRDefault="001840DB" w:rsidP="00C3660F">
      <w:pPr>
        <w:rPr>
          <w:rFonts w:ascii="Arial" w:hAnsi="Arial" w:cs="Arial"/>
          <w:sz w:val="22"/>
          <w:szCs w:val="22"/>
        </w:rPr>
      </w:pPr>
      <w:r w:rsidRPr="00B84941">
        <w:rPr>
          <w:rFonts w:ascii="Arial" w:hAnsi="Arial" w:cs="Arial"/>
          <w:sz w:val="22"/>
          <w:szCs w:val="22"/>
        </w:rPr>
        <w:t> </w:t>
      </w:r>
      <w:proofErr w:type="spellStart"/>
      <w:r w:rsidRPr="00B84941">
        <w:rPr>
          <w:rFonts w:ascii="Arial" w:hAnsi="Arial" w:cs="Arial"/>
          <w:sz w:val="22"/>
          <w:szCs w:val="22"/>
        </w:rPr>
        <w:t>Luszczynska</w:t>
      </w:r>
      <w:proofErr w:type="spellEnd"/>
      <w:r w:rsidRPr="00B84941">
        <w:rPr>
          <w:rFonts w:ascii="Arial" w:hAnsi="Arial" w:cs="Arial"/>
          <w:sz w:val="22"/>
          <w:szCs w:val="22"/>
        </w:rPr>
        <w:t>, A., Sobolewski, M., &amp; </w:t>
      </w:r>
      <w:proofErr w:type="spellStart"/>
      <w:r w:rsidRPr="00B84941">
        <w:rPr>
          <w:rFonts w:ascii="Arial" w:hAnsi="Arial" w:cs="Arial"/>
          <w:sz w:val="22"/>
          <w:szCs w:val="22"/>
        </w:rPr>
        <w:t>Fajkowska</w:t>
      </w:r>
      <w:proofErr w:type="spellEnd"/>
      <w:r w:rsidRPr="00B84941">
        <w:rPr>
          <w:rFonts w:ascii="Arial" w:hAnsi="Arial" w:cs="Arial"/>
          <w:sz w:val="22"/>
          <w:szCs w:val="22"/>
        </w:rPr>
        <w:t xml:space="preserve">, M. (2005). Self-efficacy and social support in diabetes management: A longitudinal study. </w:t>
      </w:r>
      <w:r w:rsidRPr="00B019E3">
        <w:rPr>
          <w:rFonts w:ascii="Arial" w:hAnsi="Arial" w:cs="Arial"/>
          <w:i/>
          <w:iCs/>
          <w:sz w:val="22"/>
          <w:szCs w:val="22"/>
        </w:rPr>
        <w:t>Health Psychology</w:t>
      </w:r>
      <w:r w:rsidRPr="00B84941">
        <w:rPr>
          <w:rFonts w:ascii="Arial" w:hAnsi="Arial" w:cs="Arial"/>
          <w:sz w:val="22"/>
          <w:szCs w:val="22"/>
        </w:rPr>
        <w:t>, 24(4), 454-461.</w:t>
      </w:r>
    </w:p>
    <w:p w14:paraId="0506C12F" w14:textId="29EB8C34" w:rsidR="00056D75" w:rsidRPr="00B84941" w:rsidRDefault="00056D75" w:rsidP="00C3660F">
      <w:pPr>
        <w:rPr>
          <w:rFonts w:ascii="Arial" w:hAnsi="Arial" w:cs="Arial"/>
          <w:sz w:val="22"/>
          <w:szCs w:val="22"/>
        </w:rPr>
      </w:pPr>
      <w:r w:rsidRPr="00B84941">
        <w:rPr>
          <w:rFonts w:ascii="Arial" w:hAnsi="Arial" w:cs="Arial"/>
          <w:sz w:val="22"/>
          <w:szCs w:val="22"/>
        </w:rPr>
        <w:t xml:space="preserve"> Mora-Fernandez, C., Dominguez-Pimentel, V., de Fuentes, M. M., et al. (2014). Diabetic kidney disease: from physiology to therapeutics. </w:t>
      </w:r>
      <w:r w:rsidRPr="00B019E3">
        <w:rPr>
          <w:rFonts w:ascii="Arial" w:hAnsi="Arial" w:cs="Arial"/>
          <w:i/>
          <w:iCs/>
          <w:sz w:val="22"/>
          <w:szCs w:val="22"/>
        </w:rPr>
        <w:t>The Clinical Biochemist Reviews</w:t>
      </w:r>
      <w:r w:rsidRPr="00B84941">
        <w:rPr>
          <w:rFonts w:ascii="Arial" w:hAnsi="Arial" w:cs="Arial"/>
          <w:sz w:val="22"/>
          <w:szCs w:val="22"/>
        </w:rPr>
        <w:t>, 35(3), 177-195. </w:t>
      </w:r>
    </w:p>
    <w:p w14:paraId="6F2DED88" w14:textId="5CB6D064" w:rsidR="00056D75" w:rsidRPr="00B84941" w:rsidRDefault="00056D75" w:rsidP="00C3660F">
      <w:pPr>
        <w:rPr>
          <w:rFonts w:ascii="Arial" w:hAnsi="Arial" w:cs="Arial"/>
          <w:sz w:val="22"/>
          <w:szCs w:val="22"/>
        </w:rPr>
      </w:pPr>
      <w:r w:rsidRPr="00DE5EAE">
        <w:rPr>
          <w:rFonts w:ascii="Arial" w:hAnsi="Arial" w:cs="Arial"/>
          <w:sz w:val="22"/>
          <w:szCs w:val="22"/>
        </w:rPr>
        <w:lastRenderedPageBreak/>
        <w:t xml:space="preserve"> National Institute for Health and Care Excellence. (2020). </w:t>
      </w:r>
      <w:r w:rsidRPr="00DE5EAE">
        <w:rPr>
          <w:rFonts w:ascii="Arial" w:hAnsi="Arial" w:cs="Arial"/>
          <w:i/>
          <w:iCs/>
          <w:sz w:val="22"/>
          <w:szCs w:val="22"/>
        </w:rPr>
        <w:t>Type 2 diabetes in adults: management</w:t>
      </w:r>
      <w:r w:rsidRPr="00DE5EAE">
        <w:rPr>
          <w:rFonts w:ascii="Arial" w:hAnsi="Arial" w:cs="Arial"/>
          <w:sz w:val="22"/>
          <w:szCs w:val="22"/>
        </w:rPr>
        <w:t>. Available at</w:t>
      </w:r>
      <w:r w:rsidRPr="00B84941">
        <w:rPr>
          <w:rFonts w:ascii="Arial" w:hAnsi="Arial" w:cs="Arial"/>
          <w:sz w:val="22"/>
          <w:szCs w:val="22"/>
          <w:u w:val="single"/>
        </w:rPr>
        <w:t>: </w:t>
      </w:r>
      <w:hyperlink r:id="rId28" w:tgtFrame="_blank" w:history="1">
        <w:r w:rsidRPr="00B84941">
          <w:rPr>
            <w:rStyle w:val="Hyperlink"/>
            <w:rFonts w:ascii="Arial" w:hAnsi="Arial" w:cs="Arial"/>
            <w:sz w:val="22"/>
            <w:szCs w:val="22"/>
          </w:rPr>
          <w:t>https://www.nice.org.uk/guidance/ng28</w:t>
        </w:r>
      </w:hyperlink>
      <w:r w:rsidRPr="00B84941">
        <w:rPr>
          <w:rFonts w:ascii="Arial" w:hAnsi="Arial" w:cs="Arial"/>
          <w:sz w:val="22"/>
          <w:szCs w:val="22"/>
        </w:rPr>
        <w:t> </w:t>
      </w:r>
    </w:p>
    <w:p w14:paraId="4FFE62DB" w14:textId="2C89B27D" w:rsidR="00056D75" w:rsidRPr="00B84941" w:rsidRDefault="00056D75" w:rsidP="00C3660F">
      <w:pPr>
        <w:rPr>
          <w:rFonts w:ascii="Arial" w:hAnsi="Arial" w:cs="Arial"/>
          <w:sz w:val="22"/>
          <w:szCs w:val="22"/>
        </w:rPr>
      </w:pPr>
      <w:r w:rsidRPr="00DE5EAE">
        <w:rPr>
          <w:rFonts w:ascii="Arial" w:hAnsi="Arial" w:cs="Arial"/>
          <w:sz w:val="22"/>
          <w:szCs w:val="22"/>
        </w:rPr>
        <w:t>National Institute for Health and Care Excellence. (2021</w:t>
      </w:r>
      <w:r w:rsidRPr="00DE5EAE">
        <w:rPr>
          <w:rFonts w:ascii="Arial" w:hAnsi="Arial" w:cs="Arial"/>
          <w:i/>
          <w:iCs/>
          <w:sz w:val="22"/>
          <w:szCs w:val="22"/>
        </w:rPr>
        <w:t>). End of Life Care for Adults</w:t>
      </w:r>
      <w:r w:rsidRPr="00DE5EAE">
        <w:rPr>
          <w:rFonts w:ascii="Arial" w:hAnsi="Arial" w:cs="Arial"/>
          <w:sz w:val="22"/>
          <w:szCs w:val="22"/>
        </w:rPr>
        <w:t>. Available at:</w:t>
      </w:r>
      <w:r w:rsidRPr="00B84941">
        <w:rPr>
          <w:rFonts w:ascii="Arial" w:hAnsi="Arial" w:cs="Arial"/>
          <w:sz w:val="22"/>
          <w:szCs w:val="22"/>
          <w:u w:val="single"/>
        </w:rPr>
        <w:t> </w:t>
      </w:r>
      <w:hyperlink r:id="rId29" w:tgtFrame="_blank" w:history="1">
        <w:r w:rsidRPr="00B84941">
          <w:rPr>
            <w:rStyle w:val="Hyperlink"/>
            <w:rFonts w:ascii="Arial" w:hAnsi="Arial" w:cs="Arial"/>
            <w:sz w:val="22"/>
            <w:szCs w:val="22"/>
          </w:rPr>
          <w:t>www.nice.org.uk/guidance/ng142</w:t>
        </w:r>
      </w:hyperlink>
      <w:r w:rsidRPr="00B84941">
        <w:rPr>
          <w:rFonts w:ascii="Arial" w:hAnsi="Arial" w:cs="Arial"/>
          <w:sz w:val="22"/>
          <w:szCs w:val="22"/>
        </w:rPr>
        <w:t> </w:t>
      </w:r>
    </w:p>
    <w:p w14:paraId="655EDC4E" w14:textId="39912673" w:rsidR="00056D75" w:rsidRPr="00B84941" w:rsidRDefault="00056D75" w:rsidP="00C3660F">
      <w:pPr>
        <w:rPr>
          <w:rFonts w:ascii="Arial" w:hAnsi="Arial" w:cs="Arial"/>
          <w:sz w:val="22"/>
          <w:szCs w:val="22"/>
        </w:rPr>
      </w:pPr>
      <w:r w:rsidRPr="00B84941">
        <w:rPr>
          <w:rFonts w:ascii="Arial" w:hAnsi="Arial" w:cs="Arial"/>
          <w:sz w:val="22"/>
          <w:szCs w:val="22"/>
        </w:rPr>
        <w:t xml:space="preserve">NHS England. (2019). </w:t>
      </w:r>
      <w:r w:rsidRPr="004146A3">
        <w:rPr>
          <w:rFonts w:ascii="Arial" w:hAnsi="Arial" w:cs="Arial"/>
          <w:i/>
          <w:iCs/>
          <w:sz w:val="22"/>
          <w:szCs w:val="22"/>
        </w:rPr>
        <w:t>The NHS Long Term Plan</w:t>
      </w:r>
      <w:r w:rsidRPr="00B84941">
        <w:rPr>
          <w:rFonts w:ascii="Arial" w:hAnsi="Arial" w:cs="Arial"/>
          <w:sz w:val="22"/>
          <w:szCs w:val="22"/>
        </w:rPr>
        <w:t>. Available at: </w:t>
      </w:r>
      <w:hyperlink r:id="rId30" w:tgtFrame="_blank" w:history="1">
        <w:r w:rsidRPr="00B84941">
          <w:rPr>
            <w:rStyle w:val="Hyperlink"/>
            <w:rFonts w:ascii="Arial" w:hAnsi="Arial" w:cs="Arial"/>
            <w:sz w:val="22"/>
            <w:szCs w:val="22"/>
          </w:rPr>
          <w:t>www.longtermplan.nhs.uk</w:t>
        </w:r>
      </w:hyperlink>
      <w:r w:rsidRPr="00B84941">
        <w:rPr>
          <w:rFonts w:ascii="Arial" w:hAnsi="Arial" w:cs="Arial"/>
          <w:sz w:val="22"/>
          <w:szCs w:val="22"/>
        </w:rPr>
        <w:t>  </w:t>
      </w:r>
    </w:p>
    <w:p w14:paraId="0336907B" w14:textId="19AA563A" w:rsidR="00056D75" w:rsidRPr="00B84941" w:rsidRDefault="00056D75" w:rsidP="00C3660F">
      <w:pPr>
        <w:rPr>
          <w:rFonts w:ascii="Arial" w:hAnsi="Arial" w:cs="Arial"/>
          <w:sz w:val="22"/>
          <w:szCs w:val="22"/>
        </w:rPr>
      </w:pPr>
      <w:r w:rsidRPr="00B84941">
        <w:rPr>
          <w:rFonts w:ascii="Arial" w:hAnsi="Arial" w:cs="Arial"/>
          <w:sz w:val="22"/>
          <w:szCs w:val="22"/>
        </w:rPr>
        <w:t>NHS. (2021).</w:t>
      </w:r>
      <w:r w:rsidR="00197150">
        <w:rPr>
          <w:rFonts w:ascii="Arial" w:hAnsi="Arial" w:cs="Arial"/>
          <w:sz w:val="22"/>
          <w:szCs w:val="22"/>
        </w:rPr>
        <w:t xml:space="preserve"> </w:t>
      </w:r>
      <w:r w:rsidRPr="00197150">
        <w:rPr>
          <w:rFonts w:ascii="Arial" w:hAnsi="Arial" w:cs="Arial"/>
          <w:i/>
          <w:iCs/>
          <w:sz w:val="22"/>
          <w:szCs w:val="22"/>
        </w:rPr>
        <w:t>NHS Diabetes Prevention Programme</w:t>
      </w:r>
      <w:r w:rsidRPr="00B84941">
        <w:rPr>
          <w:rFonts w:ascii="Arial" w:hAnsi="Arial" w:cs="Arial"/>
          <w:sz w:val="22"/>
          <w:szCs w:val="22"/>
        </w:rPr>
        <w:t>. Available at: </w:t>
      </w:r>
      <w:hyperlink r:id="rId31" w:tgtFrame="_blank" w:history="1">
        <w:r w:rsidRPr="00B84941">
          <w:rPr>
            <w:rStyle w:val="Hyperlink"/>
            <w:rFonts w:ascii="Arial" w:hAnsi="Arial" w:cs="Arial"/>
            <w:sz w:val="22"/>
            <w:szCs w:val="22"/>
          </w:rPr>
          <w:t>www.england.nhs.uk</w:t>
        </w:r>
      </w:hyperlink>
      <w:r w:rsidRPr="00B84941">
        <w:rPr>
          <w:rFonts w:ascii="Arial" w:hAnsi="Arial" w:cs="Arial"/>
          <w:sz w:val="22"/>
          <w:szCs w:val="22"/>
        </w:rPr>
        <w:t> </w:t>
      </w:r>
    </w:p>
    <w:p w14:paraId="5F5160A0" w14:textId="34F158E1" w:rsidR="00056D75" w:rsidRPr="00B84941" w:rsidRDefault="00056D75" w:rsidP="00C3660F">
      <w:pPr>
        <w:rPr>
          <w:rFonts w:ascii="Arial" w:hAnsi="Arial" w:cs="Arial"/>
          <w:sz w:val="22"/>
          <w:szCs w:val="22"/>
        </w:rPr>
      </w:pPr>
      <w:r w:rsidRPr="00DE5EAE">
        <w:rPr>
          <w:rFonts w:ascii="Arial" w:hAnsi="Arial" w:cs="Arial"/>
          <w:sz w:val="22"/>
          <w:szCs w:val="22"/>
        </w:rPr>
        <w:t xml:space="preserve"> NHS. (2021</w:t>
      </w:r>
      <w:r w:rsidRPr="00DE5EAE">
        <w:rPr>
          <w:rFonts w:ascii="Arial" w:hAnsi="Arial" w:cs="Arial"/>
          <w:i/>
          <w:iCs/>
          <w:sz w:val="22"/>
          <w:szCs w:val="22"/>
        </w:rPr>
        <w:t>). NHS Diabetes Prevention Programme</w:t>
      </w:r>
      <w:r w:rsidRPr="00DE5EAE">
        <w:rPr>
          <w:rFonts w:ascii="Arial" w:hAnsi="Arial" w:cs="Arial"/>
          <w:sz w:val="22"/>
          <w:szCs w:val="22"/>
        </w:rPr>
        <w:t>. Available at: </w:t>
      </w:r>
      <w:hyperlink r:id="rId32" w:tgtFrame="_blank" w:history="1">
        <w:r w:rsidRPr="00B84941">
          <w:rPr>
            <w:rStyle w:val="Hyperlink"/>
            <w:rFonts w:ascii="Arial" w:hAnsi="Arial" w:cs="Arial"/>
            <w:sz w:val="22"/>
            <w:szCs w:val="22"/>
          </w:rPr>
          <w:t>www.england.nhs.uk</w:t>
        </w:r>
      </w:hyperlink>
      <w:r w:rsidRPr="00B84941">
        <w:rPr>
          <w:rFonts w:ascii="Arial" w:hAnsi="Arial" w:cs="Arial"/>
          <w:sz w:val="22"/>
          <w:szCs w:val="22"/>
        </w:rPr>
        <w:t> </w:t>
      </w:r>
    </w:p>
    <w:p w14:paraId="4FF4BED5" w14:textId="0B779F3F" w:rsidR="00056D75" w:rsidRPr="00B84941" w:rsidRDefault="00056D75" w:rsidP="00C3660F">
      <w:pPr>
        <w:rPr>
          <w:rFonts w:ascii="Arial" w:hAnsi="Arial" w:cs="Arial"/>
          <w:sz w:val="22"/>
          <w:szCs w:val="22"/>
        </w:rPr>
      </w:pPr>
      <w:r w:rsidRPr="00B84941">
        <w:rPr>
          <w:rFonts w:ascii="Arial" w:hAnsi="Arial" w:cs="Arial"/>
          <w:sz w:val="22"/>
          <w:szCs w:val="22"/>
        </w:rPr>
        <w:t xml:space="preserve"> </w:t>
      </w:r>
      <w:r w:rsidR="00237BB7" w:rsidRPr="00B84941">
        <w:rPr>
          <w:rFonts w:ascii="Arial" w:hAnsi="Arial" w:cs="Arial"/>
          <w:sz w:val="22"/>
          <w:szCs w:val="22"/>
        </w:rPr>
        <w:t>NICE</w:t>
      </w:r>
      <w:r w:rsidR="00237BB7">
        <w:rPr>
          <w:rFonts w:ascii="Arial" w:hAnsi="Arial" w:cs="Arial"/>
          <w:sz w:val="22"/>
          <w:szCs w:val="22"/>
        </w:rPr>
        <w:t>.</w:t>
      </w:r>
      <w:r w:rsidR="00237BB7" w:rsidRPr="00B84941">
        <w:rPr>
          <w:rFonts w:ascii="Arial" w:hAnsi="Arial" w:cs="Arial"/>
          <w:sz w:val="22"/>
          <w:szCs w:val="22"/>
        </w:rPr>
        <w:t xml:space="preserve"> (</w:t>
      </w:r>
      <w:r w:rsidRPr="00B84941">
        <w:rPr>
          <w:rFonts w:ascii="Arial" w:hAnsi="Arial" w:cs="Arial"/>
          <w:sz w:val="22"/>
          <w:szCs w:val="22"/>
        </w:rPr>
        <w:t>National Institute for Health and Care Excellence Clinical Knowledge Summaries), 2024. </w:t>
      </w:r>
      <w:r w:rsidRPr="00B84941">
        <w:rPr>
          <w:rFonts w:ascii="Arial" w:hAnsi="Arial" w:cs="Arial"/>
          <w:i/>
          <w:iCs/>
          <w:sz w:val="22"/>
          <w:szCs w:val="22"/>
        </w:rPr>
        <w:t>Diabetes - type 2: Background information - Risk factors</w:t>
      </w:r>
      <w:r w:rsidRPr="00B84941">
        <w:rPr>
          <w:rFonts w:ascii="Arial" w:hAnsi="Arial" w:cs="Arial"/>
          <w:sz w:val="22"/>
          <w:szCs w:val="22"/>
        </w:rPr>
        <w:t>. London: NICE. Available at: https://cks.nice.org.uk/topics/diabetes-type-2/background-information/risk-factors/ [Accessed 22 June 2026]. </w:t>
      </w:r>
    </w:p>
    <w:p w14:paraId="7B49C0A6" w14:textId="5CA20878" w:rsidR="00056D75" w:rsidRPr="00B84941" w:rsidRDefault="00056D75" w:rsidP="00C3660F">
      <w:pPr>
        <w:rPr>
          <w:rFonts w:ascii="Arial" w:hAnsi="Arial" w:cs="Arial"/>
          <w:sz w:val="22"/>
          <w:szCs w:val="22"/>
        </w:rPr>
      </w:pPr>
      <w:r w:rsidRPr="00B84941">
        <w:rPr>
          <w:rFonts w:ascii="Arial" w:hAnsi="Arial" w:cs="Arial"/>
          <w:sz w:val="22"/>
          <w:szCs w:val="22"/>
        </w:rPr>
        <w:t xml:space="preserve"> Nolan, C. J., Damm, P., &amp; </w:t>
      </w:r>
      <w:proofErr w:type="spellStart"/>
      <w:r w:rsidRPr="00B84941">
        <w:rPr>
          <w:rFonts w:ascii="Arial" w:hAnsi="Arial" w:cs="Arial"/>
          <w:sz w:val="22"/>
          <w:szCs w:val="22"/>
        </w:rPr>
        <w:t>Ferrannini</w:t>
      </w:r>
      <w:proofErr w:type="spellEnd"/>
      <w:r w:rsidRPr="00B84941">
        <w:rPr>
          <w:rFonts w:ascii="Arial" w:hAnsi="Arial" w:cs="Arial"/>
          <w:sz w:val="22"/>
          <w:szCs w:val="22"/>
        </w:rPr>
        <w:t>, E. (2015). Type 2 diabetes across generations: from pathophysiology to prevention and management</w:t>
      </w:r>
      <w:r w:rsidRPr="005547DD">
        <w:rPr>
          <w:rFonts w:ascii="Arial" w:hAnsi="Arial" w:cs="Arial"/>
          <w:i/>
          <w:iCs/>
          <w:sz w:val="22"/>
          <w:szCs w:val="22"/>
        </w:rPr>
        <w:t>. The Lancet Diabetes &amp; Endocrinology,</w:t>
      </w:r>
      <w:r w:rsidRPr="00B84941">
        <w:rPr>
          <w:rFonts w:ascii="Arial" w:hAnsi="Arial" w:cs="Arial"/>
          <w:sz w:val="22"/>
          <w:szCs w:val="22"/>
        </w:rPr>
        <w:t xml:space="preserve"> 3(1), 37-44. </w:t>
      </w:r>
    </w:p>
    <w:p w14:paraId="5770A740" w14:textId="6237D286" w:rsidR="00056D75" w:rsidRPr="00B84941" w:rsidRDefault="00056D75" w:rsidP="00C3660F">
      <w:pPr>
        <w:rPr>
          <w:rFonts w:ascii="Arial" w:hAnsi="Arial" w:cs="Arial"/>
          <w:sz w:val="22"/>
          <w:szCs w:val="22"/>
        </w:rPr>
      </w:pPr>
      <w:r w:rsidRPr="00B84941">
        <w:rPr>
          <w:rFonts w:ascii="Arial" w:hAnsi="Arial" w:cs="Arial"/>
          <w:sz w:val="22"/>
          <w:szCs w:val="22"/>
        </w:rPr>
        <w:t xml:space="preserve">Nouwen, A., Adriaanse, M., van der Horst, M., et al. (2011). Long-term complications of diabetes: The role of emotional distress. </w:t>
      </w:r>
      <w:r w:rsidRPr="005547DD">
        <w:rPr>
          <w:rFonts w:ascii="Arial" w:hAnsi="Arial" w:cs="Arial"/>
          <w:i/>
          <w:iCs/>
          <w:sz w:val="22"/>
          <w:szCs w:val="22"/>
        </w:rPr>
        <w:t>Diabetes Care,</w:t>
      </w:r>
      <w:r w:rsidRPr="00B84941">
        <w:rPr>
          <w:rFonts w:ascii="Arial" w:hAnsi="Arial" w:cs="Arial"/>
          <w:sz w:val="22"/>
          <w:szCs w:val="22"/>
        </w:rPr>
        <w:t xml:space="preserve"> 34(1), 168-173. </w:t>
      </w:r>
    </w:p>
    <w:p w14:paraId="3384A6FA" w14:textId="2EEDE979" w:rsidR="00056D75" w:rsidRPr="00B84941" w:rsidRDefault="00056D75" w:rsidP="00C3660F">
      <w:pPr>
        <w:rPr>
          <w:rFonts w:ascii="Arial" w:hAnsi="Arial" w:cs="Arial"/>
          <w:sz w:val="22"/>
          <w:szCs w:val="22"/>
        </w:rPr>
      </w:pPr>
      <w:r w:rsidRPr="00B84941">
        <w:rPr>
          <w:rFonts w:ascii="Arial" w:hAnsi="Arial" w:cs="Arial"/>
          <w:sz w:val="22"/>
          <w:szCs w:val="22"/>
        </w:rPr>
        <w:lastRenderedPageBreak/>
        <w:t xml:space="preserve"> Public Health England. (2019</w:t>
      </w:r>
      <w:r w:rsidRPr="005547DD">
        <w:rPr>
          <w:rFonts w:ascii="Arial" w:hAnsi="Arial" w:cs="Arial"/>
          <w:i/>
          <w:iCs/>
          <w:sz w:val="22"/>
          <w:szCs w:val="22"/>
        </w:rPr>
        <w:t>). Health Matters: Obesity and type 2 diabetes</w:t>
      </w:r>
      <w:r w:rsidRPr="00B84941">
        <w:rPr>
          <w:rFonts w:ascii="Arial" w:hAnsi="Arial" w:cs="Arial"/>
          <w:sz w:val="22"/>
          <w:szCs w:val="22"/>
        </w:rPr>
        <w:t>. Available at: </w:t>
      </w:r>
      <w:hyperlink r:id="rId33" w:tgtFrame="_blank" w:history="1">
        <w:r w:rsidRPr="00B84941">
          <w:rPr>
            <w:rStyle w:val="Hyperlink"/>
            <w:rFonts w:ascii="Arial" w:hAnsi="Arial" w:cs="Arial"/>
            <w:sz w:val="22"/>
            <w:szCs w:val="22"/>
          </w:rPr>
          <w:t>www.gov.uk/government/publications/health-matters-obesity-and-type-2-diabetes</w:t>
        </w:r>
      </w:hyperlink>
      <w:r w:rsidRPr="00B84941">
        <w:rPr>
          <w:rFonts w:ascii="Arial" w:hAnsi="Arial" w:cs="Arial"/>
          <w:sz w:val="22"/>
          <w:szCs w:val="22"/>
        </w:rPr>
        <w:t>  </w:t>
      </w:r>
    </w:p>
    <w:p w14:paraId="2CF3AE3F" w14:textId="11E72C90" w:rsidR="00056D75" w:rsidRPr="00B84941" w:rsidRDefault="00056D75" w:rsidP="00C3660F">
      <w:pPr>
        <w:rPr>
          <w:rFonts w:ascii="Arial" w:hAnsi="Arial" w:cs="Arial"/>
          <w:sz w:val="22"/>
          <w:szCs w:val="22"/>
        </w:rPr>
      </w:pPr>
      <w:r w:rsidRPr="00DE5EAE">
        <w:rPr>
          <w:rFonts w:ascii="Arial" w:hAnsi="Arial" w:cs="Arial"/>
          <w:sz w:val="22"/>
          <w:szCs w:val="22"/>
        </w:rPr>
        <w:t>Public Health England. (2020). The impact of the sugar reduction programme. Available at:</w:t>
      </w:r>
      <w:r w:rsidRPr="00B84941">
        <w:rPr>
          <w:rFonts w:ascii="Arial" w:hAnsi="Arial" w:cs="Arial"/>
          <w:sz w:val="22"/>
          <w:szCs w:val="22"/>
          <w:u w:val="single"/>
        </w:rPr>
        <w:t> </w:t>
      </w:r>
      <w:hyperlink r:id="rId34" w:tgtFrame="_blank" w:history="1">
        <w:r w:rsidRPr="00B84941">
          <w:rPr>
            <w:rStyle w:val="Hyperlink"/>
            <w:rFonts w:ascii="Arial" w:hAnsi="Arial" w:cs="Arial"/>
            <w:sz w:val="22"/>
            <w:szCs w:val="22"/>
          </w:rPr>
          <w:t>https://www.gov.uk/government/publications</w:t>
        </w:r>
      </w:hyperlink>
      <w:r w:rsidRPr="00B84941">
        <w:rPr>
          <w:rFonts w:ascii="Arial" w:hAnsi="Arial" w:cs="Arial"/>
          <w:sz w:val="22"/>
          <w:szCs w:val="22"/>
        </w:rPr>
        <w:t> </w:t>
      </w:r>
    </w:p>
    <w:p w14:paraId="1B70624F" w14:textId="1AE17129" w:rsidR="00056D75" w:rsidRPr="00B84941" w:rsidRDefault="00056D75" w:rsidP="00C3660F">
      <w:pPr>
        <w:rPr>
          <w:rFonts w:ascii="Arial" w:hAnsi="Arial" w:cs="Arial"/>
          <w:sz w:val="22"/>
          <w:szCs w:val="22"/>
        </w:rPr>
      </w:pPr>
      <w:r w:rsidRPr="00B84941">
        <w:rPr>
          <w:rFonts w:ascii="Arial" w:hAnsi="Arial" w:cs="Arial"/>
          <w:sz w:val="22"/>
          <w:szCs w:val="22"/>
        </w:rPr>
        <w:t xml:space="preserve">Rosenstock, I. M. (1974). Historical origins of the Health Belief Model. </w:t>
      </w:r>
      <w:r w:rsidRPr="00C24B02">
        <w:rPr>
          <w:rFonts w:ascii="Arial" w:hAnsi="Arial" w:cs="Arial"/>
          <w:i/>
          <w:iCs/>
          <w:sz w:val="22"/>
          <w:szCs w:val="22"/>
        </w:rPr>
        <w:t>Health Education Monographs</w:t>
      </w:r>
      <w:r w:rsidRPr="00B84941">
        <w:rPr>
          <w:rFonts w:ascii="Arial" w:hAnsi="Arial" w:cs="Arial"/>
          <w:sz w:val="22"/>
          <w:szCs w:val="22"/>
        </w:rPr>
        <w:t>, 2(4), 328-335. </w:t>
      </w:r>
    </w:p>
    <w:p w14:paraId="41783CC0" w14:textId="4A45F52D" w:rsidR="00056D75" w:rsidRPr="00B84941" w:rsidRDefault="00056D75" w:rsidP="00C3660F">
      <w:pPr>
        <w:rPr>
          <w:rFonts w:ascii="Arial" w:hAnsi="Arial" w:cs="Arial"/>
          <w:sz w:val="22"/>
          <w:szCs w:val="22"/>
        </w:rPr>
      </w:pPr>
      <w:r w:rsidRPr="00B84941">
        <w:rPr>
          <w:rFonts w:ascii="Arial" w:hAnsi="Arial" w:cs="Arial"/>
          <w:sz w:val="22"/>
          <w:szCs w:val="22"/>
        </w:rPr>
        <w:t xml:space="preserve"> Saeedi, P., Petersohn, I., </w:t>
      </w:r>
      <w:proofErr w:type="spellStart"/>
      <w:r w:rsidRPr="00B84941">
        <w:rPr>
          <w:rFonts w:ascii="Arial" w:hAnsi="Arial" w:cs="Arial"/>
          <w:sz w:val="22"/>
          <w:szCs w:val="22"/>
        </w:rPr>
        <w:t>Salpea</w:t>
      </w:r>
      <w:proofErr w:type="spellEnd"/>
      <w:r w:rsidRPr="00B84941">
        <w:rPr>
          <w:rFonts w:ascii="Arial" w:hAnsi="Arial" w:cs="Arial"/>
          <w:sz w:val="22"/>
          <w:szCs w:val="22"/>
        </w:rPr>
        <w:t>, P., Malanda, B., </w:t>
      </w:r>
      <w:proofErr w:type="spellStart"/>
      <w:r w:rsidRPr="00B84941">
        <w:rPr>
          <w:rFonts w:ascii="Arial" w:hAnsi="Arial" w:cs="Arial"/>
          <w:sz w:val="22"/>
          <w:szCs w:val="22"/>
        </w:rPr>
        <w:t>Karuranga</w:t>
      </w:r>
      <w:proofErr w:type="spellEnd"/>
      <w:r w:rsidRPr="00B84941">
        <w:rPr>
          <w:rFonts w:ascii="Arial" w:hAnsi="Arial" w:cs="Arial"/>
          <w:sz w:val="22"/>
          <w:szCs w:val="22"/>
        </w:rPr>
        <w:t>, S., Unwin, N., </w:t>
      </w:r>
      <w:proofErr w:type="spellStart"/>
      <w:r w:rsidRPr="00B84941">
        <w:rPr>
          <w:rFonts w:ascii="Arial" w:hAnsi="Arial" w:cs="Arial"/>
          <w:sz w:val="22"/>
          <w:szCs w:val="22"/>
        </w:rPr>
        <w:t>Colagiuri</w:t>
      </w:r>
      <w:proofErr w:type="spellEnd"/>
      <w:r w:rsidRPr="00B84941">
        <w:rPr>
          <w:rFonts w:ascii="Arial" w:hAnsi="Arial" w:cs="Arial"/>
          <w:sz w:val="22"/>
          <w:szCs w:val="22"/>
        </w:rPr>
        <w:t>, S., </w:t>
      </w:r>
      <w:proofErr w:type="spellStart"/>
      <w:r w:rsidRPr="00B84941">
        <w:rPr>
          <w:rFonts w:ascii="Arial" w:hAnsi="Arial" w:cs="Arial"/>
          <w:sz w:val="22"/>
          <w:szCs w:val="22"/>
        </w:rPr>
        <w:t>Guariguata</w:t>
      </w:r>
      <w:proofErr w:type="spellEnd"/>
      <w:r w:rsidRPr="00B84941">
        <w:rPr>
          <w:rFonts w:ascii="Arial" w:hAnsi="Arial" w:cs="Arial"/>
          <w:sz w:val="22"/>
          <w:szCs w:val="22"/>
        </w:rPr>
        <w:t>, L., Motala, A.A., </w:t>
      </w:r>
      <w:proofErr w:type="spellStart"/>
      <w:r w:rsidRPr="00B84941">
        <w:rPr>
          <w:rFonts w:ascii="Arial" w:hAnsi="Arial" w:cs="Arial"/>
          <w:sz w:val="22"/>
          <w:szCs w:val="22"/>
        </w:rPr>
        <w:t>Ogurtsova</w:t>
      </w:r>
      <w:proofErr w:type="spellEnd"/>
      <w:r w:rsidRPr="00B84941">
        <w:rPr>
          <w:rFonts w:ascii="Arial" w:hAnsi="Arial" w:cs="Arial"/>
          <w:sz w:val="22"/>
          <w:szCs w:val="22"/>
        </w:rPr>
        <w:t>, K. and Shaw, J.E., 2019. Global and regional diabetes prevalence estimates for 2019 and projections for 2030 and 2045: Results from the International Diabetes Federation Diabetes Atlas. </w:t>
      </w:r>
      <w:r w:rsidRPr="00B84941">
        <w:rPr>
          <w:rFonts w:ascii="Arial" w:hAnsi="Arial" w:cs="Arial"/>
          <w:i/>
          <w:iCs/>
          <w:sz w:val="22"/>
          <w:szCs w:val="22"/>
        </w:rPr>
        <w:t>Diabetes Research and Clinical Practice</w:t>
      </w:r>
      <w:r w:rsidRPr="00B84941">
        <w:rPr>
          <w:rFonts w:ascii="Arial" w:hAnsi="Arial" w:cs="Arial"/>
          <w:sz w:val="22"/>
          <w:szCs w:val="22"/>
        </w:rPr>
        <w:t>, 157, p. 107843. </w:t>
      </w:r>
    </w:p>
    <w:p w14:paraId="3CBF799A" w14:textId="287A18ED" w:rsidR="00056D75" w:rsidRPr="00DE5EAE" w:rsidRDefault="00056D75" w:rsidP="00C3660F">
      <w:pPr>
        <w:rPr>
          <w:rFonts w:ascii="Arial" w:hAnsi="Arial" w:cs="Arial"/>
          <w:sz w:val="22"/>
          <w:szCs w:val="22"/>
        </w:rPr>
      </w:pPr>
      <w:r w:rsidRPr="00DE5EAE">
        <w:rPr>
          <w:rFonts w:ascii="Arial" w:hAnsi="Arial" w:cs="Arial"/>
          <w:sz w:val="22"/>
          <w:szCs w:val="22"/>
        </w:rPr>
        <w:t>Schilling, L. S., </w:t>
      </w:r>
      <w:proofErr w:type="spellStart"/>
      <w:r w:rsidRPr="00DE5EAE">
        <w:rPr>
          <w:rFonts w:ascii="Arial" w:hAnsi="Arial" w:cs="Arial"/>
          <w:sz w:val="22"/>
          <w:szCs w:val="22"/>
        </w:rPr>
        <w:t>Knafl</w:t>
      </w:r>
      <w:proofErr w:type="spellEnd"/>
      <w:r w:rsidRPr="00DE5EAE">
        <w:rPr>
          <w:rFonts w:ascii="Arial" w:hAnsi="Arial" w:cs="Arial"/>
          <w:sz w:val="22"/>
          <w:szCs w:val="22"/>
        </w:rPr>
        <w:t>, K. A., &amp; Grey, M. (2013). Family Management Style and Health-Related Quality of Life in Adolescents with Type 1 Diabetes</w:t>
      </w:r>
      <w:r w:rsidRPr="00DE5EAE">
        <w:rPr>
          <w:rFonts w:ascii="Arial" w:hAnsi="Arial" w:cs="Arial"/>
          <w:i/>
          <w:iCs/>
          <w:sz w:val="22"/>
          <w:szCs w:val="22"/>
        </w:rPr>
        <w:t>. The Journal of Nursing Research</w:t>
      </w:r>
      <w:r w:rsidRPr="00DE5EAE">
        <w:rPr>
          <w:rFonts w:ascii="Arial" w:hAnsi="Arial" w:cs="Arial"/>
          <w:sz w:val="22"/>
          <w:szCs w:val="22"/>
        </w:rPr>
        <w:t>, 61(2), 134-140. </w:t>
      </w:r>
    </w:p>
    <w:p w14:paraId="18A8D959" w14:textId="125873ED" w:rsidR="00056D75" w:rsidRPr="00B84941" w:rsidRDefault="00056D75" w:rsidP="00C3660F">
      <w:pPr>
        <w:rPr>
          <w:rFonts w:ascii="Arial" w:hAnsi="Arial" w:cs="Arial"/>
          <w:sz w:val="22"/>
          <w:szCs w:val="22"/>
        </w:rPr>
      </w:pPr>
      <w:r w:rsidRPr="00B84941">
        <w:rPr>
          <w:rFonts w:ascii="Arial" w:hAnsi="Arial" w:cs="Arial"/>
          <w:sz w:val="22"/>
          <w:szCs w:val="22"/>
        </w:rPr>
        <w:t>Schmitt, A., Gahr, A., &amp; </w:t>
      </w:r>
      <w:proofErr w:type="spellStart"/>
      <w:r w:rsidRPr="00B84941">
        <w:rPr>
          <w:rFonts w:ascii="Arial" w:hAnsi="Arial" w:cs="Arial"/>
          <w:sz w:val="22"/>
          <w:szCs w:val="22"/>
        </w:rPr>
        <w:t>Gensichen</w:t>
      </w:r>
      <w:proofErr w:type="spellEnd"/>
      <w:r w:rsidRPr="00B84941">
        <w:rPr>
          <w:rFonts w:ascii="Arial" w:hAnsi="Arial" w:cs="Arial"/>
          <w:sz w:val="22"/>
          <w:szCs w:val="22"/>
        </w:rPr>
        <w:t xml:space="preserve">, J. (2019). The role of theoretical models in diabetes self-management. </w:t>
      </w:r>
      <w:r w:rsidRPr="00EC685F">
        <w:rPr>
          <w:rFonts w:ascii="Arial" w:hAnsi="Arial" w:cs="Arial"/>
          <w:i/>
          <w:iCs/>
          <w:sz w:val="22"/>
          <w:szCs w:val="22"/>
        </w:rPr>
        <w:t>BMC Public Health</w:t>
      </w:r>
      <w:r w:rsidRPr="00B84941">
        <w:rPr>
          <w:rFonts w:ascii="Arial" w:hAnsi="Arial" w:cs="Arial"/>
          <w:sz w:val="22"/>
          <w:szCs w:val="22"/>
        </w:rPr>
        <w:t>, 19(1), 1-9. </w:t>
      </w:r>
    </w:p>
    <w:p w14:paraId="3C2BE378" w14:textId="5D8DEE82" w:rsidR="00056D75" w:rsidRPr="00B84941" w:rsidRDefault="00056D75" w:rsidP="00C3660F">
      <w:pPr>
        <w:rPr>
          <w:rFonts w:ascii="Arial" w:hAnsi="Arial" w:cs="Arial"/>
          <w:sz w:val="22"/>
          <w:szCs w:val="22"/>
        </w:rPr>
      </w:pPr>
      <w:r w:rsidRPr="00B84941">
        <w:rPr>
          <w:rFonts w:ascii="Arial" w:hAnsi="Arial" w:cs="Arial"/>
          <w:sz w:val="22"/>
          <w:szCs w:val="22"/>
        </w:rPr>
        <w:lastRenderedPageBreak/>
        <w:t>Soni, A., Hockenberry, J. M., &amp; Dyer, A. M. (2021). The impact of the Affordable Care Act on diabetes management</w:t>
      </w:r>
      <w:r w:rsidRPr="00EC685F">
        <w:rPr>
          <w:rFonts w:ascii="Arial" w:hAnsi="Arial" w:cs="Arial"/>
          <w:i/>
          <w:iCs/>
          <w:sz w:val="22"/>
          <w:szCs w:val="22"/>
        </w:rPr>
        <w:t>. Diabetes Care</w:t>
      </w:r>
      <w:r w:rsidRPr="00B84941">
        <w:rPr>
          <w:rFonts w:ascii="Arial" w:hAnsi="Arial" w:cs="Arial"/>
          <w:sz w:val="22"/>
          <w:szCs w:val="22"/>
        </w:rPr>
        <w:t>, 44(3), 745-753. </w:t>
      </w:r>
    </w:p>
    <w:p w14:paraId="7AC237F9" w14:textId="3C304507" w:rsidR="00056D75" w:rsidRPr="00B84941" w:rsidRDefault="00056D75" w:rsidP="00C3660F">
      <w:pPr>
        <w:rPr>
          <w:rFonts w:ascii="Arial" w:hAnsi="Arial" w:cs="Arial"/>
          <w:sz w:val="22"/>
          <w:szCs w:val="22"/>
        </w:rPr>
      </w:pPr>
      <w:r w:rsidRPr="00B84941">
        <w:rPr>
          <w:rFonts w:ascii="Arial" w:hAnsi="Arial" w:cs="Arial"/>
          <w:sz w:val="22"/>
          <w:szCs w:val="22"/>
        </w:rPr>
        <w:t>Sun, J., Wang, Y., Zhang, X., Liu, B. and Ji, Q., 2020. </w:t>
      </w:r>
      <w:proofErr w:type="gramStart"/>
      <w:r w:rsidRPr="00B84941">
        <w:rPr>
          <w:rFonts w:ascii="Arial" w:hAnsi="Arial" w:cs="Arial"/>
          <w:sz w:val="22"/>
          <w:szCs w:val="22"/>
        </w:rPr>
        <w:t>\(</w:t>
      </w:r>
      <w:proofErr w:type="gramEnd"/>
      <w:r w:rsidRPr="00B84941">
        <w:rPr>
          <w:rFonts w:ascii="Arial" w:hAnsi="Arial" w:cs="Arial"/>
          <w:sz w:val="22"/>
          <w:szCs w:val="22"/>
        </w:rPr>
        <w:t>\beta \)-Cell failure in type 2 diabetes: mechanisms, markers, and clinical implications. </w:t>
      </w:r>
      <w:r w:rsidRPr="00B84941">
        <w:rPr>
          <w:rFonts w:ascii="Arial" w:hAnsi="Arial" w:cs="Arial"/>
          <w:i/>
          <w:iCs/>
          <w:sz w:val="22"/>
          <w:szCs w:val="22"/>
        </w:rPr>
        <w:t>Postgraduate Medicine</w:t>
      </w:r>
      <w:r w:rsidRPr="00B84941">
        <w:rPr>
          <w:rFonts w:ascii="Arial" w:hAnsi="Arial" w:cs="Arial"/>
          <w:sz w:val="22"/>
          <w:szCs w:val="22"/>
        </w:rPr>
        <w:t>, 132(5), pp. 434-444. Available at: </w:t>
      </w:r>
      <w:hyperlink r:id="rId35" w:tgtFrame="_blank" w:history="1">
        <w:r w:rsidRPr="00B84941">
          <w:rPr>
            <w:rStyle w:val="Hyperlink"/>
            <w:rFonts w:ascii="Arial" w:hAnsi="Arial" w:cs="Arial"/>
            <w:sz w:val="22"/>
            <w:szCs w:val="22"/>
          </w:rPr>
          <w:t>https://www.tandfonline.com/doi/full/10.1080/00325481.2020.1771047</w:t>
        </w:r>
      </w:hyperlink>
      <w:r w:rsidR="00EC685F">
        <w:rPr>
          <w:rFonts w:ascii="Arial" w:hAnsi="Arial" w:cs="Arial"/>
          <w:sz w:val="22"/>
          <w:szCs w:val="22"/>
        </w:rPr>
        <w:t>(</w:t>
      </w:r>
      <w:r w:rsidRPr="00B84941">
        <w:rPr>
          <w:rFonts w:ascii="Arial" w:hAnsi="Arial" w:cs="Arial"/>
          <w:sz w:val="22"/>
          <w:szCs w:val="22"/>
        </w:rPr>
        <w:t>Accessed 22 June 2026</w:t>
      </w:r>
      <w:r w:rsidR="00EC685F">
        <w:rPr>
          <w:rFonts w:ascii="Arial" w:hAnsi="Arial" w:cs="Arial"/>
          <w:sz w:val="22"/>
          <w:szCs w:val="22"/>
        </w:rPr>
        <w:t>).</w:t>
      </w:r>
    </w:p>
    <w:p w14:paraId="07EA534E" w14:textId="7B66269D" w:rsidR="00056D75" w:rsidRPr="00B84941" w:rsidRDefault="00056D75" w:rsidP="00C3660F">
      <w:pPr>
        <w:rPr>
          <w:rFonts w:ascii="Arial" w:hAnsi="Arial" w:cs="Arial"/>
          <w:sz w:val="22"/>
          <w:szCs w:val="22"/>
        </w:rPr>
      </w:pPr>
      <w:r w:rsidRPr="00B84941">
        <w:rPr>
          <w:rFonts w:ascii="Arial" w:hAnsi="Arial" w:cs="Arial"/>
          <w:sz w:val="22"/>
          <w:szCs w:val="22"/>
        </w:rPr>
        <w:t xml:space="preserve"> </w:t>
      </w:r>
      <w:proofErr w:type="spellStart"/>
      <w:r w:rsidRPr="00B84941">
        <w:rPr>
          <w:rFonts w:ascii="Arial" w:hAnsi="Arial" w:cs="Arial"/>
          <w:sz w:val="22"/>
          <w:szCs w:val="22"/>
        </w:rPr>
        <w:t>Svetkey</w:t>
      </w:r>
      <w:proofErr w:type="spellEnd"/>
      <w:r w:rsidRPr="00B84941">
        <w:rPr>
          <w:rFonts w:ascii="Arial" w:hAnsi="Arial" w:cs="Arial"/>
          <w:sz w:val="22"/>
          <w:szCs w:val="22"/>
        </w:rPr>
        <w:t xml:space="preserve">, L. P., Appel, L. J., Moore, T. J., et al. (2008). Effect of weight loss and sodium reduction on blood pressure among adults with hypertension: a randomized trial. </w:t>
      </w:r>
      <w:r w:rsidRPr="002D3AE9">
        <w:rPr>
          <w:rFonts w:ascii="Arial" w:hAnsi="Arial" w:cs="Arial"/>
          <w:i/>
          <w:iCs/>
          <w:sz w:val="22"/>
          <w:szCs w:val="22"/>
        </w:rPr>
        <w:t>JAMA</w:t>
      </w:r>
      <w:r w:rsidRPr="00B84941">
        <w:rPr>
          <w:rFonts w:ascii="Arial" w:hAnsi="Arial" w:cs="Arial"/>
          <w:sz w:val="22"/>
          <w:szCs w:val="22"/>
        </w:rPr>
        <w:t>, 299(20), 2273-2283. </w:t>
      </w:r>
    </w:p>
    <w:p w14:paraId="36CDCA49" w14:textId="3B90EFDB" w:rsidR="00056D75" w:rsidRPr="00B84941" w:rsidRDefault="00056D75" w:rsidP="00056D75">
      <w:pPr>
        <w:rPr>
          <w:rFonts w:ascii="Arial" w:hAnsi="Arial" w:cs="Arial"/>
          <w:sz w:val="22"/>
          <w:szCs w:val="22"/>
        </w:rPr>
      </w:pPr>
      <w:r w:rsidRPr="00B84941">
        <w:rPr>
          <w:rFonts w:ascii="Arial" w:hAnsi="Arial" w:cs="Arial"/>
          <w:sz w:val="22"/>
          <w:szCs w:val="22"/>
        </w:rPr>
        <w:t>Wagner, E. H., Austin, B. T., &amp; Von Korff, M. (2001). Improving outcomes in chronic illness. *Managed Care Quarterly*, 9(1), 2-8. </w:t>
      </w:r>
    </w:p>
    <w:p w14:paraId="0FD61C7A" w14:textId="57504359" w:rsidR="00056D75" w:rsidRPr="00B84941" w:rsidRDefault="00056D75" w:rsidP="00056D75">
      <w:pPr>
        <w:rPr>
          <w:rFonts w:ascii="Arial" w:hAnsi="Arial" w:cs="Arial"/>
          <w:sz w:val="22"/>
          <w:szCs w:val="22"/>
        </w:rPr>
      </w:pPr>
      <w:r w:rsidRPr="00B84941">
        <w:rPr>
          <w:rFonts w:ascii="Arial" w:hAnsi="Arial" w:cs="Arial"/>
          <w:sz w:val="22"/>
          <w:szCs w:val="22"/>
        </w:rPr>
        <w:t xml:space="preserve"> Wang, J., Wang, H., &amp; Zhang, H. (2016). Economic burden and health-related quality of life in individuals with Type 2 diabetes: A systematic review. *Diabetes Research and Clinical Practice*, 118, 1-12. </w:t>
      </w:r>
    </w:p>
    <w:p w14:paraId="76119C49" w14:textId="6A0777EF" w:rsidR="00056D75" w:rsidRPr="00B84941" w:rsidRDefault="00056D75" w:rsidP="00056D75">
      <w:pPr>
        <w:rPr>
          <w:rFonts w:ascii="Arial" w:hAnsi="Arial" w:cs="Arial"/>
          <w:sz w:val="22"/>
          <w:szCs w:val="22"/>
        </w:rPr>
      </w:pPr>
      <w:r w:rsidRPr="00B84941">
        <w:rPr>
          <w:rFonts w:ascii="Arial" w:hAnsi="Arial" w:cs="Arial"/>
          <w:sz w:val="22"/>
          <w:szCs w:val="22"/>
        </w:rPr>
        <w:t xml:space="preserve"> Whittemore, R., Melkus, G. D., &amp; Grey, M. (2012). Family processes and diabetes management: A qualitative study. </w:t>
      </w:r>
      <w:r w:rsidRPr="001749CF">
        <w:rPr>
          <w:rFonts w:ascii="Arial" w:hAnsi="Arial" w:cs="Arial"/>
          <w:i/>
          <w:iCs/>
          <w:sz w:val="22"/>
          <w:szCs w:val="22"/>
        </w:rPr>
        <w:t>Diabetes Research and Clinical Practic</w:t>
      </w:r>
      <w:r w:rsidR="002D3AE9">
        <w:rPr>
          <w:rFonts w:ascii="Arial" w:hAnsi="Arial" w:cs="Arial"/>
          <w:i/>
          <w:iCs/>
          <w:sz w:val="22"/>
          <w:szCs w:val="22"/>
        </w:rPr>
        <w:t>e</w:t>
      </w:r>
      <w:r w:rsidRPr="00B84941">
        <w:rPr>
          <w:rFonts w:ascii="Arial" w:hAnsi="Arial" w:cs="Arial"/>
          <w:sz w:val="22"/>
          <w:szCs w:val="22"/>
        </w:rPr>
        <w:t>, 96(1), 10-17. </w:t>
      </w:r>
    </w:p>
    <w:p w14:paraId="2A64FC7D" w14:textId="20468C51" w:rsidR="00056D75" w:rsidRPr="00B84941" w:rsidRDefault="00056D75" w:rsidP="00056D75">
      <w:pPr>
        <w:rPr>
          <w:rFonts w:ascii="Arial" w:hAnsi="Arial" w:cs="Arial"/>
          <w:sz w:val="22"/>
          <w:szCs w:val="22"/>
        </w:rPr>
      </w:pPr>
      <w:r w:rsidRPr="00B84941">
        <w:rPr>
          <w:rFonts w:ascii="Arial" w:hAnsi="Arial" w:cs="Arial"/>
          <w:sz w:val="22"/>
          <w:szCs w:val="22"/>
        </w:rPr>
        <w:lastRenderedPageBreak/>
        <w:t>WHO. (2020</w:t>
      </w:r>
      <w:r w:rsidRPr="001749CF">
        <w:rPr>
          <w:rFonts w:ascii="Arial" w:hAnsi="Arial" w:cs="Arial"/>
          <w:i/>
          <w:iCs/>
          <w:sz w:val="22"/>
          <w:szCs w:val="22"/>
        </w:rPr>
        <w:t>). Physical Activity.</w:t>
      </w:r>
      <w:r w:rsidRPr="00B84941">
        <w:rPr>
          <w:rFonts w:ascii="Arial" w:hAnsi="Arial" w:cs="Arial"/>
          <w:sz w:val="22"/>
          <w:szCs w:val="22"/>
        </w:rPr>
        <w:t xml:space="preserve"> Available at: </w:t>
      </w:r>
      <w:hyperlink r:id="rId36" w:tgtFrame="_blank" w:history="1">
        <w:r w:rsidRPr="00B84941">
          <w:rPr>
            <w:rStyle w:val="Hyperlink"/>
            <w:rFonts w:ascii="Arial" w:hAnsi="Arial" w:cs="Arial"/>
            <w:sz w:val="22"/>
            <w:szCs w:val="22"/>
          </w:rPr>
          <w:t>www.who.int/news-room/fact-sheets/detail/physical-activity</w:t>
        </w:r>
      </w:hyperlink>
      <w:r w:rsidRPr="00B84941">
        <w:rPr>
          <w:rFonts w:ascii="Arial" w:hAnsi="Arial" w:cs="Arial"/>
          <w:sz w:val="22"/>
          <w:szCs w:val="22"/>
        </w:rPr>
        <w:t> </w:t>
      </w:r>
      <w:r w:rsidR="00EC685F">
        <w:rPr>
          <w:rFonts w:ascii="Arial" w:hAnsi="Arial" w:cs="Arial"/>
          <w:sz w:val="22"/>
          <w:szCs w:val="22"/>
        </w:rPr>
        <w:t>(Accessed 15 June 2026).</w:t>
      </w:r>
      <w:r w:rsidRPr="00B84941">
        <w:rPr>
          <w:rFonts w:ascii="Arial" w:hAnsi="Arial" w:cs="Arial"/>
          <w:sz w:val="22"/>
          <w:szCs w:val="22"/>
        </w:rPr>
        <w:t> </w:t>
      </w:r>
    </w:p>
    <w:p w14:paraId="7C37FD24" w14:textId="65994F8C" w:rsidR="00056D75" w:rsidRPr="00B84941" w:rsidRDefault="00056D75" w:rsidP="00056D75">
      <w:pPr>
        <w:rPr>
          <w:rFonts w:ascii="Arial" w:hAnsi="Arial" w:cs="Arial"/>
          <w:sz w:val="22"/>
          <w:szCs w:val="22"/>
        </w:rPr>
      </w:pPr>
      <w:r w:rsidRPr="00B84941">
        <w:rPr>
          <w:rFonts w:ascii="Arial" w:hAnsi="Arial" w:cs="Arial"/>
          <w:sz w:val="22"/>
          <w:szCs w:val="22"/>
        </w:rPr>
        <w:t>World Health Organization. (2016). Global report on diabetes. Available at: </w:t>
      </w:r>
      <w:hyperlink r:id="rId37" w:tgtFrame="_blank" w:history="1">
        <w:r w:rsidRPr="00B84941">
          <w:rPr>
            <w:rStyle w:val="Hyperlink"/>
            <w:rFonts w:ascii="Arial" w:hAnsi="Arial" w:cs="Arial"/>
            <w:sz w:val="22"/>
            <w:szCs w:val="22"/>
          </w:rPr>
          <w:t>https://www.who.int/publications/i/item/global-report-on-diabetes</w:t>
        </w:r>
      </w:hyperlink>
      <w:r w:rsidRPr="00B84941">
        <w:rPr>
          <w:rFonts w:ascii="Arial" w:hAnsi="Arial" w:cs="Arial"/>
          <w:sz w:val="22"/>
          <w:szCs w:val="22"/>
        </w:rPr>
        <w:t> </w:t>
      </w:r>
    </w:p>
    <w:p w14:paraId="0AF748E4" w14:textId="647346BB" w:rsidR="00056D75" w:rsidRPr="00DE5EAE" w:rsidRDefault="00056D75" w:rsidP="00056D75">
      <w:pPr>
        <w:rPr>
          <w:rFonts w:ascii="Arial" w:hAnsi="Arial" w:cs="Arial"/>
          <w:sz w:val="22"/>
          <w:szCs w:val="22"/>
        </w:rPr>
      </w:pPr>
      <w:r w:rsidRPr="00DE5EAE">
        <w:rPr>
          <w:rFonts w:ascii="Arial" w:hAnsi="Arial" w:cs="Arial"/>
          <w:sz w:val="22"/>
          <w:szCs w:val="22"/>
        </w:rPr>
        <w:t xml:space="preserve"> Zhang, P., Zhang, L., Brown, J., et al. (2017). The economic burden of diabetes in the United States: A comprehensive analysis</w:t>
      </w:r>
      <w:r w:rsidRPr="00DE5EAE">
        <w:rPr>
          <w:rFonts w:ascii="Arial" w:hAnsi="Arial" w:cs="Arial"/>
          <w:i/>
          <w:iCs/>
          <w:sz w:val="22"/>
          <w:szCs w:val="22"/>
        </w:rPr>
        <w:t>. Diabetes Care</w:t>
      </w:r>
      <w:r w:rsidRPr="00DE5EAE">
        <w:rPr>
          <w:rFonts w:ascii="Arial" w:hAnsi="Arial" w:cs="Arial"/>
          <w:sz w:val="22"/>
          <w:szCs w:val="22"/>
        </w:rPr>
        <w:t>, 40(6), 1004-1010. </w:t>
      </w:r>
    </w:p>
    <w:p w14:paraId="4BB3FB37" w14:textId="709A4096" w:rsidR="00056D75" w:rsidRPr="00B84941" w:rsidRDefault="00056D75" w:rsidP="00056D75">
      <w:pPr>
        <w:rPr>
          <w:rFonts w:ascii="Arial" w:hAnsi="Arial" w:cs="Arial"/>
          <w:sz w:val="22"/>
          <w:szCs w:val="22"/>
        </w:rPr>
      </w:pPr>
      <w:r w:rsidRPr="00B84941">
        <w:rPr>
          <w:rFonts w:ascii="Arial" w:hAnsi="Arial" w:cs="Arial"/>
          <w:sz w:val="22"/>
          <w:szCs w:val="22"/>
        </w:rPr>
        <w:t xml:space="preserve">Zheng, Y., Ley, S. H., &amp; Hu, F. B. (2018). Global Epidemiology of Type 2 Diabetes and Its Cardiovascular Implications. </w:t>
      </w:r>
      <w:r w:rsidRPr="000F1406">
        <w:rPr>
          <w:rFonts w:ascii="Arial" w:hAnsi="Arial" w:cs="Arial"/>
          <w:i/>
          <w:iCs/>
          <w:sz w:val="22"/>
          <w:szCs w:val="22"/>
        </w:rPr>
        <w:t>Nature Reviews Cardiology</w:t>
      </w:r>
      <w:r w:rsidRPr="00B84941">
        <w:rPr>
          <w:rFonts w:ascii="Arial" w:hAnsi="Arial" w:cs="Arial"/>
          <w:sz w:val="22"/>
          <w:szCs w:val="22"/>
        </w:rPr>
        <w:t>, 15(2), 85-98.  </w:t>
      </w:r>
    </w:p>
    <w:p w14:paraId="638C650F" w14:textId="7FA9AE4F" w:rsidR="00056D75" w:rsidRPr="00B84941" w:rsidRDefault="00056D75" w:rsidP="00056D75">
      <w:pPr>
        <w:rPr>
          <w:rFonts w:ascii="Arial" w:hAnsi="Arial" w:cs="Arial"/>
          <w:sz w:val="22"/>
          <w:szCs w:val="22"/>
        </w:rPr>
      </w:pPr>
    </w:p>
    <w:sectPr w:rsidR="00056D75" w:rsidRPr="00B84941" w:rsidSect="00886CC5">
      <w:pgSz w:w="8419"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9C4239" w14:textId="77777777" w:rsidR="00752423" w:rsidRDefault="00752423" w:rsidP="00886CC5">
      <w:pPr>
        <w:spacing w:after="0" w:line="240" w:lineRule="auto"/>
      </w:pPr>
      <w:r>
        <w:separator/>
      </w:r>
    </w:p>
  </w:endnote>
  <w:endnote w:type="continuationSeparator" w:id="0">
    <w:p w14:paraId="4B629B74" w14:textId="77777777" w:rsidR="00752423" w:rsidRDefault="00752423" w:rsidP="00886C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9FC30C" w14:textId="77777777" w:rsidR="00752423" w:rsidRDefault="00752423" w:rsidP="00886CC5">
      <w:pPr>
        <w:spacing w:after="0" w:line="240" w:lineRule="auto"/>
      </w:pPr>
      <w:r>
        <w:separator/>
      </w:r>
    </w:p>
  </w:footnote>
  <w:footnote w:type="continuationSeparator" w:id="0">
    <w:p w14:paraId="370E48C9" w14:textId="77777777" w:rsidR="00752423" w:rsidRDefault="00752423" w:rsidP="00886C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3D4CC6"/>
    <w:multiLevelType w:val="hybridMultilevel"/>
    <w:tmpl w:val="B8F87EEA"/>
    <w:lvl w:ilvl="0" w:tplc="DE1444DA">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3E1A18"/>
    <w:multiLevelType w:val="hybridMultilevel"/>
    <w:tmpl w:val="C0B0CFA8"/>
    <w:lvl w:ilvl="0" w:tplc="7A0CA288">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8A2F77"/>
    <w:multiLevelType w:val="hybridMultilevel"/>
    <w:tmpl w:val="C860B28C"/>
    <w:lvl w:ilvl="0" w:tplc="E3941F94">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3269633">
    <w:abstractNumId w:val="0"/>
  </w:num>
  <w:num w:numId="2" w16cid:durableId="1254706880">
    <w:abstractNumId w:val="2"/>
  </w:num>
  <w:num w:numId="3" w16cid:durableId="19744810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bookFoldPrint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CC5"/>
    <w:rsid w:val="00056D75"/>
    <w:rsid w:val="000B3D8D"/>
    <w:rsid w:val="000F1406"/>
    <w:rsid w:val="00104F50"/>
    <w:rsid w:val="00123889"/>
    <w:rsid w:val="00173EAD"/>
    <w:rsid w:val="001749CF"/>
    <w:rsid w:val="001840DB"/>
    <w:rsid w:val="00187ABB"/>
    <w:rsid w:val="00197150"/>
    <w:rsid w:val="001A6258"/>
    <w:rsid w:val="00211BC5"/>
    <w:rsid w:val="002215F2"/>
    <w:rsid w:val="002250E0"/>
    <w:rsid w:val="00231CBC"/>
    <w:rsid w:val="00237BB7"/>
    <w:rsid w:val="002D3AE9"/>
    <w:rsid w:val="002E766F"/>
    <w:rsid w:val="003E1C3B"/>
    <w:rsid w:val="004146A3"/>
    <w:rsid w:val="00416A7C"/>
    <w:rsid w:val="00427160"/>
    <w:rsid w:val="00447D54"/>
    <w:rsid w:val="00462F60"/>
    <w:rsid w:val="004966B7"/>
    <w:rsid w:val="005547DD"/>
    <w:rsid w:val="005578FB"/>
    <w:rsid w:val="00560539"/>
    <w:rsid w:val="0057614A"/>
    <w:rsid w:val="00603863"/>
    <w:rsid w:val="00656F5B"/>
    <w:rsid w:val="00682C3C"/>
    <w:rsid w:val="00696395"/>
    <w:rsid w:val="00752423"/>
    <w:rsid w:val="00795566"/>
    <w:rsid w:val="007F4D6D"/>
    <w:rsid w:val="008211DF"/>
    <w:rsid w:val="00825EB7"/>
    <w:rsid w:val="00852547"/>
    <w:rsid w:val="0086435E"/>
    <w:rsid w:val="00886CC5"/>
    <w:rsid w:val="008A30FD"/>
    <w:rsid w:val="008C3AFE"/>
    <w:rsid w:val="008E5E21"/>
    <w:rsid w:val="008F598C"/>
    <w:rsid w:val="009022C7"/>
    <w:rsid w:val="0092317E"/>
    <w:rsid w:val="00960B36"/>
    <w:rsid w:val="009F61CE"/>
    <w:rsid w:val="00A51680"/>
    <w:rsid w:val="00AD5E06"/>
    <w:rsid w:val="00B019E3"/>
    <w:rsid w:val="00B4407E"/>
    <w:rsid w:val="00B84941"/>
    <w:rsid w:val="00BA052B"/>
    <w:rsid w:val="00C06022"/>
    <w:rsid w:val="00C111FE"/>
    <w:rsid w:val="00C2026F"/>
    <w:rsid w:val="00C24B02"/>
    <w:rsid w:val="00C3660F"/>
    <w:rsid w:val="00D95067"/>
    <w:rsid w:val="00DE5EAE"/>
    <w:rsid w:val="00E07A79"/>
    <w:rsid w:val="00E20238"/>
    <w:rsid w:val="00EC685F"/>
    <w:rsid w:val="00F24D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1A9A4"/>
  <w15:chartTrackingRefBased/>
  <w15:docId w15:val="{76BFB075-4BE3-4F3F-9A6F-E09D0856E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6C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86C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6C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6C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6C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6C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6C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6C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6C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6C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86C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6C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6C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6C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6C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6C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6C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6CC5"/>
    <w:rPr>
      <w:rFonts w:eastAsiaTheme="majorEastAsia" w:cstheme="majorBidi"/>
      <w:color w:val="272727" w:themeColor="text1" w:themeTint="D8"/>
    </w:rPr>
  </w:style>
  <w:style w:type="paragraph" w:styleId="Title">
    <w:name w:val="Title"/>
    <w:basedOn w:val="Normal"/>
    <w:next w:val="Normal"/>
    <w:link w:val="TitleChar"/>
    <w:uiPriority w:val="10"/>
    <w:qFormat/>
    <w:rsid w:val="00886C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6C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6C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6C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6CC5"/>
    <w:pPr>
      <w:spacing w:before="160"/>
      <w:jc w:val="center"/>
    </w:pPr>
    <w:rPr>
      <w:i/>
      <w:iCs/>
      <w:color w:val="404040" w:themeColor="text1" w:themeTint="BF"/>
    </w:rPr>
  </w:style>
  <w:style w:type="character" w:customStyle="1" w:styleId="QuoteChar">
    <w:name w:val="Quote Char"/>
    <w:basedOn w:val="DefaultParagraphFont"/>
    <w:link w:val="Quote"/>
    <w:uiPriority w:val="29"/>
    <w:rsid w:val="00886CC5"/>
    <w:rPr>
      <w:i/>
      <w:iCs/>
      <w:color w:val="404040" w:themeColor="text1" w:themeTint="BF"/>
    </w:rPr>
  </w:style>
  <w:style w:type="paragraph" w:styleId="ListParagraph">
    <w:name w:val="List Paragraph"/>
    <w:basedOn w:val="Normal"/>
    <w:uiPriority w:val="34"/>
    <w:qFormat/>
    <w:rsid w:val="00886CC5"/>
    <w:pPr>
      <w:ind w:left="720"/>
      <w:contextualSpacing/>
    </w:pPr>
  </w:style>
  <w:style w:type="character" w:styleId="IntenseEmphasis">
    <w:name w:val="Intense Emphasis"/>
    <w:basedOn w:val="DefaultParagraphFont"/>
    <w:uiPriority w:val="21"/>
    <w:qFormat/>
    <w:rsid w:val="00886CC5"/>
    <w:rPr>
      <w:i/>
      <w:iCs/>
      <w:color w:val="0F4761" w:themeColor="accent1" w:themeShade="BF"/>
    </w:rPr>
  </w:style>
  <w:style w:type="paragraph" w:styleId="IntenseQuote">
    <w:name w:val="Intense Quote"/>
    <w:basedOn w:val="Normal"/>
    <w:next w:val="Normal"/>
    <w:link w:val="IntenseQuoteChar"/>
    <w:uiPriority w:val="30"/>
    <w:qFormat/>
    <w:rsid w:val="00886C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6CC5"/>
    <w:rPr>
      <w:i/>
      <w:iCs/>
      <w:color w:val="0F4761" w:themeColor="accent1" w:themeShade="BF"/>
    </w:rPr>
  </w:style>
  <w:style w:type="character" w:styleId="IntenseReference">
    <w:name w:val="Intense Reference"/>
    <w:basedOn w:val="DefaultParagraphFont"/>
    <w:uiPriority w:val="32"/>
    <w:qFormat/>
    <w:rsid w:val="00886CC5"/>
    <w:rPr>
      <w:b/>
      <w:bCs/>
      <w:smallCaps/>
      <w:color w:val="0F4761" w:themeColor="accent1" w:themeShade="BF"/>
      <w:spacing w:val="5"/>
    </w:rPr>
  </w:style>
  <w:style w:type="paragraph" w:customStyle="1" w:styleId="paragraph">
    <w:name w:val="paragraph"/>
    <w:basedOn w:val="Normal"/>
    <w:rsid w:val="00886CC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886CC5"/>
  </w:style>
  <w:style w:type="character" w:customStyle="1" w:styleId="eop">
    <w:name w:val="eop"/>
    <w:basedOn w:val="DefaultParagraphFont"/>
    <w:rsid w:val="00886CC5"/>
  </w:style>
  <w:style w:type="paragraph" w:styleId="TOCHeading">
    <w:name w:val="TOC Heading"/>
    <w:basedOn w:val="Heading1"/>
    <w:next w:val="Normal"/>
    <w:uiPriority w:val="39"/>
    <w:unhideWhenUsed/>
    <w:qFormat/>
    <w:rsid w:val="00886CC5"/>
    <w:pPr>
      <w:spacing w:before="240" w:after="0"/>
      <w:outlineLvl w:val="9"/>
    </w:pPr>
    <w:rPr>
      <w:sz w:val="32"/>
      <w:szCs w:val="32"/>
    </w:rPr>
  </w:style>
  <w:style w:type="paragraph" w:styleId="TOC2">
    <w:name w:val="toc 2"/>
    <w:basedOn w:val="Normal"/>
    <w:next w:val="Normal"/>
    <w:autoRedefine/>
    <w:uiPriority w:val="39"/>
    <w:unhideWhenUsed/>
    <w:rsid w:val="00886CC5"/>
    <w:pPr>
      <w:spacing w:after="100"/>
      <w:ind w:left="240"/>
    </w:pPr>
  </w:style>
  <w:style w:type="paragraph" w:styleId="TOC1">
    <w:name w:val="toc 1"/>
    <w:basedOn w:val="Normal"/>
    <w:next w:val="Normal"/>
    <w:autoRedefine/>
    <w:uiPriority w:val="39"/>
    <w:unhideWhenUsed/>
    <w:rsid w:val="00886CC5"/>
    <w:pPr>
      <w:spacing w:after="100"/>
    </w:pPr>
  </w:style>
  <w:style w:type="character" w:styleId="Hyperlink">
    <w:name w:val="Hyperlink"/>
    <w:basedOn w:val="DefaultParagraphFont"/>
    <w:uiPriority w:val="99"/>
    <w:unhideWhenUsed/>
    <w:rsid w:val="00886CC5"/>
    <w:rPr>
      <w:color w:val="467886" w:themeColor="hyperlink"/>
      <w:u w:val="single"/>
    </w:rPr>
  </w:style>
  <w:style w:type="paragraph" w:styleId="Header">
    <w:name w:val="header"/>
    <w:basedOn w:val="Normal"/>
    <w:link w:val="HeaderChar"/>
    <w:uiPriority w:val="99"/>
    <w:unhideWhenUsed/>
    <w:rsid w:val="00886C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6CC5"/>
  </w:style>
  <w:style w:type="paragraph" w:styleId="Footer">
    <w:name w:val="footer"/>
    <w:basedOn w:val="Normal"/>
    <w:link w:val="FooterChar"/>
    <w:uiPriority w:val="99"/>
    <w:unhideWhenUsed/>
    <w:rsid w:val="00886C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6CC5"/>
  </w:style>
  <w:style w:type="character" w:styleId="UnresolvedMention">
    <w:name w:val="Unresolved Mention"/>
    <w:basedOn w:val="DefaultParagraphFont"/>
    <w:uiPriority w:val="99"/>
    <w:semiHidden/>
    <w:unhideWhenUsed/>
    <w:rsid w:val="00C366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www.google.com/url?sa=i&amp;source=web&amp;rct=j&amp;url=https://bestpractice.bmj.com/topics/en-gb/24/aetiology&amp;ved=2ahUKEwiT-sCH26SVAxWMa0EAHaXeGvUQy_kOegkIAggACIoBEAE&amp;opi=89978449&amp;cd&amp;psig=AOvVaw1TCC_FlYZoUxAaoxLk5iYT&amp;ust=1782556630949000" TargetMode="External"/><Relationship Id="rId26" Type="http://schemas.openxmlformats.org/officeDocument/2006/relationships/hyperlink" Target="https://pmc.ncbi.nlm.nih.gov/articles/PMC8751848/" TargetMode="External"/><Relationship Id="rId39" Type="http://schemas.openxmlformats.org/officeDocument/2006/relationships/theme" Target="theme/theme1.xml"/><Relationship Id="rId21" Type="http://schemas.openxmlformats.org/officeDocument/2006/relationships/hyperlink" Target="https://www.google.com/url?sa=i&amp;source=web&amp;rct=j&amp;url=https://pmc.ncbi.nlm.nih.gov/articles/PMC7503727/&amp;ved=2ahUKEwiT-sCH26SVAxWMa0EAHaXeGvUQy_kOegkIAggACI4BEAE&amp;opi=89978449&amp;cd&amp;psig=AOvVaw1TCC_FlYZoUxAaoxLk5iYT&amp;ust=1782556630949000" TargetMode="External"/><Relationship Id="rId34" Type="http://schemas.openxmlformats.org/officeDocument/2006/relationships/hyperlink" Target="https://www.gov.uk/government/publications"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health.gov.au/internet/main/publishing.nsf/content/national-diabetes-strategy" TargetMode="External"/><Relationship Id="rId25" Type="http://schemas.openxmlformats.org/officeDocument/2006/relationships/hyperlink" Target="https://www.google.com/url?sa=i&amp;source=web&amp;rct=j&amp;url=https://labtestsonline.org.uk/tests/hba1c-test&amp;ved=2ahUKEwiT-sCH26SVAxWMa0EAHaXeGvUQy_kOegkIAggACJIBEAE&amp;opi=89978449&amp;cd&amp;psig=AOvVaw1TCC_FlYZoUxAaoxLk5iYT&amp;ust=1782556630949000" TargetMode="External"/><Relationship Id="rId33" Type="http://schemas.openxmlformats.org/officeDocument/2006/relationships/hyperlink" Target="http://www.gov.uk/government/publications/health-matters-obesity-and-type-2-diabetes"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ogle.com/url?sa=i&amp;source=web&amp;rct=j&amp;url=https://pmc.ncbi.nlm.nih.gov/articles/PMC4166864/&amp;ved=2ahUKEwiT-sCH26SVAxWMa0EAHaXeGvUQy_kOegkIAggACIkBEAE&amp;opi=89978449&amp;cd&amp;psig=AOvVaw1TCC_FlYZoUxAaoxLk5iYT&amp;ust=1782556630949000" TargetMode="External"/><Relationship Id="rId20" Type="http://schemas.openxmlformats.org/officeDocument/2006/relationships/hyperlink" Target="https://www.google.com/url?sa=i&amp;source=web&amp;rct=j&amp;url=https://www.diabetes.org.uk/about-diabetes/type-2-diabetes/diabetes-risk-factors&amp;ved=2ahUKEwiT-sCH26SVAxWMa0EAHaXeGvUQy_kOegkIAggACI0BEAE&amp;opi=89978449&amp;cd&amp;psig=AOvVaw1TCC_FlYZoUxAaoxLk5iYT&amp;ust=1782556630949000" TargetMode="External"/><Relationship Id="rId29" Type="http://schemas.openxmlformats.org/officeDocument/2006/relationships/hyperlink" Target="http://www.nice.org.uk/guidance/ng14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iabetesatlas.org/" TargetMode="External"/><Relationship Id="rId32" Type="http://schemas.openxmlformats.org/officeDocument/2006/relationships/hyperlink" Target="http://www.england.nhs.uk/" TargetMode="External"/><Relationship Id="rId37" Type="http://schemas.openxmlformats.org/officeDocument/2006/relationships/hyperlink" Target="https://www.who.int/publications/i/item/global-report-on-diabetes" TargetMode="External"/><Relationship Id="rId5" Type="http://schemas.openxmlformats.org/officeDocument/2006/relationships/footnotes" Target="footnotes.xml"/><Relationship Id="rId15" Type="http://schemas.openxmlformats.org/officeDocument/2006/relationships/hyperlink" Target="https://www.google.com/url?sa=i&amp;source=web&amp;rct=j&amp;url=https://pmc.ncbi.nlm.nih.gov/articles/PMC8050730/&amp;ved=2ahUKEwiT-sCH26SVAxWMa0EAHaXeGvUQy_kOegkIAggACIYBEAE&amp;opi=89978449&amp;cd&amp;psig=AOvVaw1TCC_FlYZoUxAaoxLk5iYT&amp;ust=1782556630949000" TargetMode="External"/><Relationship Id="rId23" Type="http://schemas.openxmlformats.org/officeDocument/2006/relationships/hyperlink" Target="https://www.google.com/url?sa=i&amp;source=web&amp;rct=j&amp;url=https://www.health.harvard.edu/diabetes-and-metabolic-health/diabetes-mellitus-overview-a-to-z&amp;ved=2ahUKEwiT-sCH26SVAxWMa0EAHaXeGvUQy_kOegkIAggACJEBEAE&amp;opi=89978449&amp;cd&amp;psig=AOvVaw1TCC_FlYZoUxAaoxLk5iYT&amp;ust=1782556630949000" TargetMode="External"/><Relationship Id="rId28" Type="http://schemas.openxmlformats.org/officeDocument/2006/relationships/hyperlink" Target="https://www.nice.org.uk/guidance/ng28" TargetMode="External"/><Relationship Id="rId36" Type="http://schemas.openxmlformats.org/officeDocument/2006/relationships/hyperlink" Target="http://www.who.int/news-room/fact-sheets/detail/physical-activity" TargetMode="External"/><Relationship Id="rId10" Type="http://schemas.openxmlformats.org/officeDocument/2006/relationships/image" Target="media/image4.jpeg"/><Relationship Id="rId19" Type="http://schemas.openxmlformats.org/officeDocument/2006/relationships/hyperlink" Target="https://www.cdc.gov/diabetes/prevention/index.html" TargetMode="External"/><Relationship Id="rId31" Type="http://schemas.openxmlformats.org/officeDocument/2006/relationships/hyperlink" Target="http://www.england.nhs.uk/"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www.who.int/publications/i/item/9789241506236" TargetMode="External"/><Relationship Id="rId27" Type="http://schemas.openxmlformats.org/officeDocument/2006/relationships/hyperlink" Target="https://pmc.ncbi.nlm.nih.gov/articles/PMC8050730/" TargetMode="External"/><Relationship Id="rId30" Type="http://schemas.openxmlformats.org/officeDocument/2006/relationships/hyperlink" Target="http://www.longtermplan.nhs.uk/" TargetMode="External"/><Relationship Id="rId35" Type="http://schemas.openxmlformats.org/officeDocument/2006/relationships/hyperlink" Target="https://www.google.com/url?sa=i&amp;source=web&amp;rct=j&amp;url=https://www.tandfonline.com/doi/full/10.1080/00325481.2020.1771047&amp;ved=2ahUKEwiT-sCH26SVAxWMa0EAHaXeGvUQy_kOegkIAggACJcBEAI&amp;opi=89978449&amp;cd&amp;psig=AOvVaw1TCC_FlYZoUxAaoxLk5iYT&amp;ust=1782556630949000" TargetMode="External"/><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29</Pages>
  <Words>5325</Words>
  <Characters>30355</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Chizoma Awoyemi</dc:creator>
  <cp:keywords/>
  <dc:description/>
  <cp:lastModifiedBy>Chizoma Awoyemi</cp:lastModifiedBy>
  <cp:revision>2</cp:revision>
  <dcterms:created xsi:type="dcterms:W3CDTF">2026-06-26T23:06:00Z</dcterms:created>
  <dcterms:modified xsi:type="dcterms:W3CDTF">2026-06-26T23:06:00Z</dcterms:modified>
</cp:coreProperties>
</file>