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732AA8" w14:textId="6BEF7BA7" w:rsidR="00150515" w:rsidRPr="00267685" w:rsidRDefault="00150515" w:rsidP="00267685">
      <w:pPr>
        <w:jc w:val="center"/>
        <w:rPr>
          <w:rFonts w:ascii="Times New Roman" w:hAnsi="Times New Roman" w:cs="Times New Roman"/>
          <w:b/>
          <w:bCs/>
          <w:sz w:val="20"/>
          <w:szCs w:val="20"/>
          <w:u w:val="single"/>
        </w:rPr>
      </w:pPr>
      <w:r>
        <w:rPr>
          <w:rFonts w:ascii="Times New Roman" w:hAnsi="Times New Roman" w:cs="Times New Roman"/>
          <w:b/>
          <w:bCs/>
          <w:sz w:val="20"/>
          <w:szCs w:val="20"/>
          <w:u w:val="single"/>
        </w:rPr>
        <w:t>On Fortifications in the Aegean, during the Early Bronze Age</w:t>
      </w:r>
    </w:p>
    <w:p w14:paraId="38F224CE" w14:textId="09A98CAA" w:rsidR="00156A34" w:rsidRDefault="00156A34" w:rsidP="00150515">
      <w:pPr>
        <w:jc w:val="both"/>
        <w:rPr>
          <w:rFonts w:ascii="Times New Roman" w:hAnsi="Times New Roman" w:cs="Times New Roman"/>
          <w:sz w:val="20"/>
          <w:szCs w:val="20"/>
        </w:rPr>
      </w:pPr>
      <w:r>
        <w:rPr>
          <w:rFonts w:ascii="Times New Roman" w:hAnsi="Times New Roman" w:cs="Times New Roman"/>
          <w:b/>
          <w:bCs/>
          <w:sz w:val="20"/>
          <w:szCs w:val="20"/>
        </w:rPr>
        <w:t xml:space="preserve">Dickinson, O., 1994. </w:t>
      </w:r>
      <w:r>
        <w:rPr>
          <w:rFonts w:ascii="Times New Roman" w:hAnsi="Times New Roman" w:cs="Times New Roman"/>
          <w:b/>
          <w:bCs/>
          <w:i/>
          <w:iCs/>
          <w:sz w:val="20"/>
          <w:szCs w:val="20"/>
        </w:rPr>
        <w:t>The Aegean Bronze Age</w:t>
      </w:r>
      <w:r>
        <w:rPr>
          <w:rFonts w:ascii="Times New Roman" w:hAnsi="Times New Roman" w:cs="Times New Roman"/>
          <w:b/>
          <w:bCs/>
          <w:sz w:val="20"/>
          <w:szCs w:val="20"/>
        </w:rPr>
        <w:t>. Cambridge: Cambridge University Press</w:t>
      </w:r>
      <w:r w:rsidR="009C0794">
        <w:rPr>
          <w:rFonts w:ascii="Times New Roman" w:hAnsi="Times New Roman" w:cs="Times New Roman"/>
          <w:b/>
          <w:bCs/>
          <w:sz w:val="20"/>
          <w:szCs w:val="20"/>
        </w:rPr>
        <w:t>.</w:t>
      </w:r>
    </w:p>
    <w:p w14:paraId="1DFD91F5" w14:textId="17048963" w:rsidR="00156A34" w:rsidRPr="00267685" w:rsidRDefault="00156A34" w:rsidP="00150515">
      <w:pPr>
        <w:jc w:val="both"/>
        <w:rPr>
          <w:rFonts w:ascii="Times New Roman" w:hAnsi="Times New Roman" w:cs="Times New Roman"/>
          <w:sz w:val="20"/>
          <w:szCs w:val="20"/>
        </w:rPr>
      </w:pPr>
      <w:r>
        <w:rPr>
          <w:rFonts w:ascii="Times New Roman" w:hAnsi="Times New Roman" w:cs="Times New Roman"/>
          <w:sz w:val="20"/>
          <w:szCs w:val="20"/>
        </w:rPr>
        <w:tab/>
        <w:t>In this work Dickinson offers a general overview of the Aegean during the early Bronze-age. He discussed numerous aspects of Aegean material culture, as well as</w:t>
      </w:r>
      <w:r w:rsidR="003F6D4C">
        <w:rPr>
          <w:rFonts w:ascii="Times New Roman" w:hAnsi="Times New Roman" w:cs="Times New Roman"/>
          <w:sz w:val="20"/>
          <w:szCs w:val="20"/>
        </w:rPr>
        <w:t xml:space="preserve"> interpreting the human culture of the Aegean, from the material culture. In terms of general information this is an adequate work, although – by the author’s own admission – his specialisation in mainland archaeology limited his interpretations of </w:t>
      </w:r>
      <w:r w:rsidR="0043383B">
        <w:rPr>
          <w:rFonts w:ascii="Times New Roman" w:hAnsi="Times New Roman" w:cs="Times New Roman"/>
          <w:sz w:val="20"/>
          <w:szCs w:val="20"/>
        </w:rPr>
        <w:t>island-based</w:t>
      </w:r>
      <w:r w:rsidR="003F6D4C">
        <w:rPr>
          <w:rFonts w:ascii="Times New Roman" w:hAnsi="Times New Roman" w:cs="Times New Roman"/>
          <w:sz w:val="20"/>
          <w:szCs w:val="20"/>
        </w:rPr>
        <w:t xml:space="preserve"> archaeology, such as that regarding Minoan Crete</w:t>
      </w:r>
      <w:r w:rsidR="0043383B">
        <w:rPr>
          <w:rFonts w:ascii="Times New Roman" w:hAnsi="Times New Roman" w:cs="Times New Roman"/>
          <w:sz w:val="20"/>
          <w:szCs w:val="20"/>
        </w:rPr>
        <w:t>. Further, Dickinson’s analysis of specific details, such as Aegean fortifications, is limited, and he discusses them as a single aspect of the topic of Aegean settlements, not as separate topic, within their own right. This</w:t>
      </w:r>
      <w:r w:rsidR="004E700E">
        <w:rPr>
          <w:rFonts w:ascii="Times New Roman" w:hAnsi="Times New Roman" w:cs="Times New Roman"/>
          <w:sz w:val="20"/>
          <w:szCs w:val="20"/>
        </w:rPr>
        <w:t>, however,</w:t>
      </w:r>
      <w:r w:rsidR="0043383B">
        <w:rPr>
          <w:rFonts w:ascii="Times New Roman" w:hAnsi="Times New Roman" w:cs="Times New Roman"/>
          <w:sz w:val="20"/>
          <w:szCs w:val="20"/>
        </w:rPr>
        <w:t xml:space="preserve"> is perhaps to be expected of a general discussion</w:t>
      </w:r>
      <w:r w:rsidR="004E700E">
        <w:rPr>
          <w:rFonts w:ascii="Times New Roman" w:hAnsi="Times New Roman" w:cs="Times New Roman"/>
          <w:sz w:val="20"/>
          <w:szCs w:val="20"/>
        </w:rPr>
        <w:t>. This chosen format is perhaps problematic, in his attempt to give a general overview, Dickinson confesses that he has omitted certain aspects which deserve discussion, furthermore, even with that which he does include, Dickinson’s discussion of topics is unbalanced</w:t>
      </w:r>
      <w:r w:rsidR="00770050">
        <w:rPr>
          <w:rFonts w:ascii="Times New Roman" w:hAnsi="Times New Roman" w:cs="Times New Roman"/>
          <w:sz w:val="20"/>
          <w:szCs w:val="20"/>
        </w:rPr>
        <w:t>.</w:t>
      </w:r>
      <w:r w:rsidR="004E700E">
        <w:rPr>
          <w:rFonts w:ascii="Times New Roman" w:hAnsi="Times New Roman" w:cs="Times New Roman"/>
          <w:sz w:val="20"/>
          <w:szCs w:val="20"/>
        </w:rPr>
        <w:t xml:space="preserve"> </w:t>
      </w:r>
      <w:r w:rsidR="00770050">
        <w:rPr>
          <w:rFonts w:ascii="Times New Roman" w:hAnsi="Times New Roman" w:cs="Times New Roman"/>
          <w:sz w:val="20"/>
          <w:szCs w:val="20"/>
        </w:rPr>
        <w:t>F</w:t>
      </w:r>
      <w:r w:rsidR="004E700E">
        <w:rPr>
          <w:rFonts w:ascii="Times New Roman" w:hAnsi="Times New Roman" w:cs="Times New Roman"/>
          <w:sz w:val="20"/>
          <w:szCs w:val="20"/>
        </w:rPr>
        <w:t xml:space="preserve">or example; he discusses, in detail, multiple aspects of Aegean arts and crafts, even on the level of specific artefacts, </w:t>
      </w:r>
      <w:r w:rsidR="00770050">
        <w:rPr>
          <w:rFonts w:ascii="Times New Roman" w:hAnsi="Times New Roman" w:cs="Times New Roman"/>
          <w:sz w:val="20"/>
          <w:szCs w:val="20"/>
        </w:rPr>
        <w:t>mean</w:t>
      </w:r>
      <w:r w:rsidR="004E700E">
        <w:rPr>
          <w:rFonts w:ascii="Times New Roman" w:hAnsi="Times New Roman" w:cs="Times New Roman"/>
          <w:sz w:val="20"/>
          <w:szCs w:val="20"/>
        </w:rPr>
        <w:t>while</w:t>
      </w:r>
      <w:r w:rsidR="00770050">
        <w:rPr>
          <w:rFonts w:ascii="Times New Roman" w:hAnsi="Times New Roman" w:cs="Times New Roman"/>
          <w:sz w:val="20"/>
          <w:szCs w:val="20"/>
        </w:rPr>
        <w:t xml:space="preserve"> his assessment of burial practices is far less detailed, despite the prominence of tombs in the archaeology of this region. This is suggestive of an overarching flaw in this work, despite claiming his intention is to produce a general overview, Dickinson still focuses on those aspects of archaeology which he prefers. Admittedly this focus does improve the overall standard of his analysis</w:t>
      </w:r>
      <w:r w:rsidR="00AE51EC">
        <w:rPr>
          <w:rFonts w:ascii="Times New Roman" w:hAnsi="Times New Roman" w:cs="Times New Roman"/>
          <w:sz w:val="20"/>
          <w:szCs w:val="20"/>
        </w:rPr>
        <w:t>, but it still runs counter to his stated intention; writing a general overview.</w:t>
      </w:r>
    </w:p>
    <w:p w14:paraId="0F147538" w14:textId="4885FDA8" w:rsidR="00AA2748" w:rsidRDefault="00A655A9" w:rsidP="00AA2748">
      <w:pPr>
        <w:jc w:val="both"/>
        <w:rPr>
          <w:rFonts w:ascii="Times New Roman" w:hAnsi="Times New Roman" w:cs="Times New Roman"/>
          <w:b/>
          <w:bCs/>
          <w:sz w:val="20"/>
          <w:szCs w:val="20"/>
        </w:rPr>
      </w:pPr>
      <w:r>
        <w:rPr>
          <w:rFonts w:ascii="Times New Roman" w:hAnsi="Times New Roman" w:cs="Times New Roman"/>
          <w:b/>
          <w:bCs/>
          <w:sz w:val="20"/>
          <w:szCs w:val="20"/>
        </w:rPr>
        <w:t>Wiener, M. H. 2013</w:t>
      </w:r>
      <w:r w:rsidR="00AA2748" w:rsidRPr="00AA2748">
        <w:t xml:space="preserve"> </w:t>
      </w:r>
      <w:r w:rsidR="00AA2748" w:rsidRPr="00AA2748">
        <w:rPr>
          <w:rFonts w:ascii="Times New Roman" w:hAnsi="Times New Roman" w:cs="Times New Roman"/>
          <w:b/>
          <w:bCs/>
          <w:sz w:val="20"/>
          <w:szCs w:val="20"/>
        </w:rPr>
        <w:t>“Minding the Gap”: Gaps, Destructions, and Migrations in the Early Bronze Age Aegean.</w:t>
      </w:r>
      <w:r w:rsidR="00AA2748">
        <w:rPr>
          <w:rFonts w:ascii="Times New Roman" w:hAnsi="Times New Roman" w:cs="Times New Roman"/>
          <w:b/>
          <w:bCs/>
          <w:sz w:val="20"/>
          <w:szCs w:val="20"/>
        </w:rPr>
        <w:t xml:space="preserve"> </w:t>
      </w:r>
      <w:r w:rsidR="00AA2748" w:rsidRPr="00AA2748">
        <w:rPr>
          <w:rFonts w:ascii="Times New Roman" w:hAnsi="Times New Roman" w:cs="Times New Roman"/>
          <w:b/>
          <w:bCs/>
          <w:sz w:val="20"/>
          <w:szCs w:val="20"/>
        </w:rPr>
        <w:t>Causes and Consequences</w:t>
      </w:r>
      <w:r w:rsidRPr="00A655A9">
        <w:rPr>
          <w:rFonts w:ascii="Times New Roman" w:hAnsi="Times New Roman" w:cs="Times New Roman"/>
          <w:b/>
          <w:bCs/>
          <w:sz w:val="20"/>
          <w:szCs w:val="20"/>
        </w:rPr>
        <w:t>.</w:t>
      </w:r>
      <w:r>
        <w:rPr>
          <w:rFonts w:ascii="Times New Roman" w:hAnsi="Times New Roman" w:cs="Times New Roman"/>
          <w:b/>
          <w:bCs/>
          <w:sz w:val="20"/>
          <w:szCs w:val="20"/>
        </w:rPr>
        <w:t xml:space="preserve"> </w:t>
      </w:r>
      <w:r w:rsidRPr="00A655A9">
        <w:rPr>
          <w:rFonts w:ascii="Times New Roman" w:hAnsi="Times New Roman" w:cs="Times New Roman"/>
          <w:b/>
          <w:bCs/>
          <w:i/>
          <w:iCs/>
          <w:sz w:val="20"/>
          <w:szCs w:val="20"/>
        </w:rPr>
        <w:t xml:space="preserve">American Journal of Archaeology </w:t>
      </w:r>
      <w:r w:rsidRPr="00A655A9">
        <w:rPr>
          <w:rFonts w:ascii="Times New Roman" w:hAnsi="Times New Roman" w:cs="Times New Roman"/>
          <w:b/>
          <w:bCs/>
          <w:sz w:val="20"/>
          <w:szCs w:val="20"/>
        </w:rPr>
        <w:t>117(4)</w:t>
      </w:r>
      <w:r>
        <w:rPr>
          <w:rFonts w:ascii="Times New Roman" w:hAnsi="Times New Roman" w:cs="Times New Roman"/>
          <w:b/>
          <w:bCs/>
          <w:sz w:val="20"/>
          <w:szCs w:val="20"/>
        </w:rPr>
        <w:t>: 581-592</w:t>
      </w:r>
      <w:r w:rsidR="009C0794">
        <w:rPr>
          <w:rFonts w:ascii="Times New Roman" w:hAnsi="Times New Roman" w:cs="Times New Roman"/>
          <w:b/>
          <w:bCs/>
          <w:sz w:val="20"/>
          <w:szCs w:val="20"/>
        </w:rPr>
        <w:t>.</w:t>
      </w:r>
    </w:p>
    <w:p w14:paraId="5A8E938F" w14:textId="0F137811" w:rsidR="00156A34" w:rsidRPr="00267685" w:rsidRDefault="00AA2748" w:rsidP="00150515">
      <w:pPr>
        <w:jc w:val="both"/>
        <w:rPr>
          <w:rFonts w:ascii="Times New Roman" w:hAnsi="Times New Roman" w:cs="Times New Roman"/>
          <w:sz w:val="20"/>
          <w:szCs w:val="20"/>
        </w:rPr>
      </w:pPr>
      <w:r>
        <w:rPr>
          <w:rFonts w:ascii="Times New Roman" w:hAnsi="Times New Roman" w:cs="Times New Roman"/>
          <w:sz w:val="20"/>
          <w:szCs w:val="20"/>
        </w:rPr>
        <w:tab/>
        <w:t xml:space="preserve">In his article Wiener looks at the human consequences of the natural, and human caused changes which </w:t>
      </w:r>
      <w:r w:rsidR="00B87CE6">
        <w:rPr>
          <w:rFonts w:ascii="Times New Roman" w:hAnsi="Times New Roman" w:cs="Times New Roman"/>
          <w:sz w:val="20"/>
          <w:szCs w:val="20"/>
        </w:rPr>
        <w:t>of</w:t>
      </w:r>
      <w:r>
        <w:rPr>
          <w:rFonts w:ascii="Times New Roman" w:hAnsi="Times New Roman" w:cs="Times New Roman"/>
          <w:sz w:val="20"/>
          <w:szCs w:val="20"/>
        </w:rPr>
        <w:t xml:space="preserve"> the Aegean during the later part of the early Bronze-age. This angle is somewhat uncommon </w:t>
      </w:r>
      <w:r w:rsidR="00B87CE6">
        <w:rPr>
          <w:rFonts w:ascii="Times New Roman" w:hAnsi="Times New Roman" w:cs="Times New Roman"/>
          <w:sz w:val="20"/>
          <w:szCs w:val="20"/>
        </w:rPr>
        <w:t>in the scholarship regarding</w:t>
      </w:r>
      <w:r>
        <w:rPr>
          <w:rFonts w:ascii="Times New Roman" w:hAnsi="Times New Roman" w:cs="Times New Roman"/>
          <w:sz w:val="20"/>
          <w:szCs w:val="20"/>
        </w:rPr>
        <w:t xml:space="preserve"> this region, and period, owing to the fact that much of</w:t>
      </w:r>
      <w:r w:rsidR="007A5613">
        <w:rPr>
          <w:rFonts w:ascii="Times New Roman" w:hAnsi="Times New Roman" w:cs="Times New Roman"/>
          <w:sz w:val="20"/>
          <w:szCs w:val="20"/>
        </w:rPr>
        <w:t xml:space="preserve"> our knowledge of it comes from material archaeology, and means Wiener’s analysis of fortifications is particularly interesting. Weiner discusses an increase in fortified settlements, which occurred towards the end of the Third Millennium BC, through the lens of this being a consequence of economic decline in the region – populations using them to protect their food stores. As his topic is more specific, and as his chosen topic – the human aspect of early Bronze-age, Aegean, history </w:t>
      </w:r>
      <w:r w:rsidR="0057410A">
        <w:rPr>
          <w:rFonts w:ascii="Times New Roman" w:hAnsi="Times New Roman" w:cs="Times New Roman"/>
          <w:sz w:val="20"/>
          <w:szCs w:val="20"/>
        </w:rPr>
        <w:t>–</w:t>
      </w:r>
      <w:r w:rsidR="007A5613">
        <w:rPr>
          <w:rFonts w:ascii="Times New Roman" w:hAnsi="Times New Roman" w:cs="Times New Roman"/>
          <w:sz w:val="20"/>
          <w:szCs w:val="20"/>
        </w:rPr>
        <w:t xml:space="preserve"> </w:t>
      </w:r>
      <w:r w:rsidR="0057410A">
        <w:rPr>
          <w:rFonts w:ascii="Times New Roman" w:hAnsi="Times New Roman" w:cs="Times New Roman"/>
          <w:sz w:val="20"/>
          <w:szCs w:val="20"/>
        </w:rPr>
        <w:t xml:space="preserve">has </w:t>
      </w:r>
      <w:r w:rsidR="00B87CE6">
        <w:rPr>
          <w:rFonts w:ascii="Times New Roman" w:hAnsi="Times New Roman" w:cs="Times New Roman"/>
          <w:sz w:val="20"/>
          <w:szCs w:val="20"/>
        </w:rPr>
        <w:t>relatively</w:t>
      </w:r>
      <w:r w:rsidR="0057410A">
        <w:rPr>
          <w:rFonts w:ascii="Times New Roman" w:hAnsi="Times New Roman" w:cs="Times New Roman"/>
          <w:sz w:val="20"/>
          <w:szCs w:val="20"/>
        </w:rPr>
        <w:t xml:space="preserve"> </w:t>
      </w:r>
      <w:r w:rsidR="00B87CE6">
        <w:rPr>
          <w:rFonts w:ascii="Times New Roman" w:hAnsi="Times New Roman" w:cs="Times New Roman"/>
          <w:sz w:val="20"/>
          <w:szCs w:val="20"/>
        </w:rPr>
        <w:t>little</w:t>
      </w:r>
      <w:r w:rsidR="0057410A">
        <w:rPr>
          <w:rFonts w:ascii="Times New Roman" w:hAnsi="Times New Roman" w:cs="Times New Roman"/>
          <w:sz w:val="20"/>
          <w:szCs w:val="20"/>
        </w:rPr>
        <w:t xml:space="preserve"> material evidence – Wiener himself notes the decline in the cist style of burial, a practice which, at previous stages in Aegean history, provided, via the prevalence of grave-goods, archaeologists with a wealth of material – Wiener is able to devote more of his article to detailed analyses. As a source, however, Wiener’s article is perhaps less than ideal, the</w:t>
      </w:r>
      <w:r w:rsidR="00B87CE6">
        <w:rPr>
          <w:rFonts w:ascii="Times New Roman" w:hAnsi="Times New Roman" w:cs="Times New Roman"/>
          <w:sz w:val="20"/>
          <w:szCs w:val="20"/>
        </w:rPr>
        <w:t xml:space="preserve"> relative</w:t>
      </w:r>
      <w:r w:rsidR="0057410A">
        <w:rPr>
          <w:rFonts w:ascii="Times New Roman" w:hAnsi="Times New Roman" w:cs="Times New Roman"/>
          <w:sz w:val="20"/>
          <w:szCs w:val="20"/>
        </w:rPr>
        <w:t xml:space="preserve"> lack of material evidence backing his work does mean that much of his analyses are based more on supposition than </w:t>
      </w:r>
      <w:r w:rsidR="00B87CE6">
        <w:rPr>
          <w:rFonts w:ascii="Times New Roman" w:hAnsi="Times New Roman" w:cs="Times New Roman"/>
          <w:sz w:val="20"/>
          <w:szCs w:val="20"/>
        </w:rPr>
        <w:t>on concrete fact. Furthermore, due to the relative lack of material evidence, Wiener takes a more historical approach than an archaeological one, possibly to the deficit of this work’s quality, being as Wiener, writing, as he is, I an archaeological journal, and being an archaeologist.</w:t>
      </w:r>
    </w:p>
    <w:p w14:paraId="54ECCFDC" w14:textId="742689AF" w:rsidR="000411AD" w:rsidRDefault="000411AD" w:rsidP="00150515">
      <w:pPr>
        <w:jc w:val="both"/>
        <w:rPr>
          <w:rFonts w:ascii="Times New Roman" w:hAnsi="Times New Roman" w:cs="Times New Roman"/>
          <w:b/>
          <w:bCs/>
          <w:sz w:val="20"/>
          <w:szCs w:val="20"/>
        </w:rPr>
      </w:pPr>
      <w:r>
        <w:rPr>
          <w:rFonts w:ascii="Times New Roman" w:hAnsi="Times New Roman" w:cs="Times New Roman"/>
          <w:b/>
          <w:bCs/>
          <w:sz w:val="20"/>
          <w:szCs w:val="20"/>
        </w:rPr>
        <w:t>Deger-Jalkotzy</w:t>
      </w:r>
      <w:r w:rsidR="004D2279">
        <w:rPr>
          <w:rFonts w:ascii="Times New Roman" w:hAnsi="Times New Roman" w:cs="Times New Roman"/>
          <w:b/>
          <w:bCs/>
          <w:sz w:val="20"/>
          <w:szCs w:val="20"/>
        </w:rPr>
        <w:t xml:space="preserve">, S. 2008. Decline, Destruction, Aftermath, in </w:t>
      </w:r>
      <w:r>
        <w:rPr>
          <w:rFonts w:ascii="Times New Roman" w:hAnsi="Times New Roman" w:cs="Times New Roman"/>
          <w:b/>
          <w:bCs/>
          <w:sz w:val="20"/>
          <w:szCs w:val="20"/>
        </w:rPr>
        <w:t>Shelmerdine, C. W.(ed.)</w:t>
      </w:r>
      <w:r w:rsidR="004D2279">
        <w:rPr>
          <w:rFonts w:ascii="Times New Roman" w:hAnsi="Times New Roman" w:cs="Times New Roman"/>
          <w:b/>
          <w:bCs/>
          <w:sz w:val="20"/>
          <w:szCs w:val="20"/>
        </w:rPr>
        <w:t xml:space="preserve"> </w:t>
      </w:r>
      <w:r w:rsidR="004D2279">
        <w:rPr>
          <w:rFonts w:ascii="Times New Roman" w:hAnsi="Times New Roman" w:cs="Times New Roman"/>
          <w:b/>
          <w:bCs/>
          <w:i/>
          <w:iCs/>
          <w:sz w:val="20"/>
          <w:szCs w:val="20"/>
        </w:rPr>
        <w:t>The Cambridge Companion to the Aegean Bronze Age</w:t>
      </w:r>
      <w:r w:rsidR="004D2279">
        <w:rPr>
          <w:rFonts w:ascii="Times New Roman" w:hAnsi="Times New Roman" w:cs="Times New Roman"/>
          <w:b/>
          <w:bCs/>
          <w:sz w:val="20"/>
          <w:szCs w:val="20"/>
        </w:rPr>
        <w:t>. 387-416. Cambridge: Cambridge University Press.</w:t>
      </w:r>
    </w:p>
    <w:p w14:paraId="6FED44BC" w14:textId="1ABF6C84" w:rsidR="00156A34" w:rsidRPr="00267685" w:rsidRDefault="004D2279" w:rsidP="00150515">
      <w:pPr>
        <w:jc w:val="both"/>
        <w:rPr>
          <w:rFonts w:ascii="Times New Roman" w:hAnsi="Times New Roman" w:cs="Times New Roman"/>
          <w:sz w:val="20"/>
          <w:szCs w:val="20"/>
        </w:rPr>
      </w:pPr>
      <w:r>
        <w:rPr>
          <w:rFonts w:ascii="Times New Roman" w:hAnsi="Times New Roman" w:cs="Times New Roman"/>
          <w:sz w:val="20"/>
          <w:szCs w:val="20"/>
        </w:rPr>
        <w:tab/>
        <w:t xml:space="preserve">As with Wiener above, Deger-Jalkotzy </w:t>
      </w:r>
      <w:r w:rsidR="00C045DB">
        <w:rPr>
          <w:rFonts w:ascii="Times New Roman" w:hAnsi="Times New Roman" w:cs="Times New Roman"/>
          <w:sz w:val="20"/>
          <w:szCs w:val="20"/>
        </w:rPr>
        <w:t>looks at an</w:t>
      </w:r>
      <w:r>
        <w:rPr>
          <w:rFonts w:ascii="Times New Roman" w:hAnsi="Times New Roman" w:cs="Times New Roman"/>
          <w:sz w:val="20"/>
          <w:szCs w:val="20"/>
        </w:rPr>
        <w:t xml:space="preserve"> increase in fortified settlement</w:t>
      </w:r>
      <w:r w:rsidR="00C045DB">
        <w:rPr>
          <w:rFonts w:ascii="Times New Roman" w:hAnsi="Times New Roman" w:cs="Times New Roman"/>
          <w:sz w:val="20"/>
          <w:szCs w:val="20"/>
        </w:rPr>
        <w:t>s</w:t>
      </w:r>
      <w:r>
        <w:rPr>
          <w:rFonts w:ascii="Times New Roman" w:hAnsi="Times New Roman" w:cs="Times New Roman"/>
          <w:sz w:val="20"/>
          <w:szCs w:val="20"/>
        </w:rPr>
        <w:t xml:space="preserve"> in the Aegean</w:t>
      </w:r>
      <w:r w:rsidR="00C045DB">
        <w:rPr>
          <w:rFonts w:ascii="Times New Roman" w:hAnsi="Times New Roman" w:cs="Times New Roman"/>
          <w:sz w:val="20"/>
          <w:szCs w:val="20"/>
        </w:rPr>
        <w:t xml:space="preserve">, however Deger-Jalkotzy looks the surge of the late Second Millennium BC, not of the late Third Millennium BC, as Wiener does. Despite looking at different </w:t>
      </w:r>
      <w:r w:rsidR="008B7575">
        <w:rPr>
          <w:rFonts w:ascii="Times New Roman" w:hAnsi="Times New Roman" w:cs="Times New Roman"/>
          <w:sz w:val="20"/>
          <w:szCs w:val="20"/>
        </w:rPr>
        <w:t>periods</w:t>
      </w:r>
      <w:r w:rsidR="00C045DB">
        <w:rPr>
          <w:rFonts w:ascii="Times New Roman" w:hAnsi="Times New Roman" w:cs="Times New Roman"/>
          <w:sz w:val="20"/>
          <w:szCs w:val="20"/>
        </w:rPr>
        <w:t>, both Deger-Jalkotzy, and Wiener consider their respective increases in fortifications to be symptoms of disaster, albeit a natural disaster in Deger-Jalkotzy</w:t>
      </w:r>
      <w:r w:rsidR="00E60D75">
        <w:rPr>
          <w:rFonts w:ascii="Times New Roman" w:hAnsi="Times New Roman" w:cs="Times New Roman"/>
          <w:sz w:val="20"/>
          <w:szCs w:val="20"/>
        </w:rPr>
        <w:t>’s</w:t>
      </w:r>
      <w:r w:rsidR="00C045DB">
        <w:rPr>
          <w:rFonts w:ascii="Times New Roman" w:hAnsi="Times New Roman" w:cs="Times New Roman"/>
          <w:sz w:val="20"/>
          <w:szCs w:val="20"/>
        </w:rPr>
        <w:t xml:space="preserve"> case</w:t>
      </w:r>
      <w:r w:rsidR="00E60D75">
        <w:rPr>
          <w:rFonts w:ascii="Times New Roman" w:hAnsi="Times New Roman" w:cs="Times New Roman"/>
          <w:sz w:val="20"/>
          <w:szCs w:val="20"/>
        </w:rPr>
        <w:t>, a fearful reaction, functioning to defend populations and their, respective, assets. This similarity in reaction, despite occurring almost one-thousand years apart, lends some credibility to Deger-Jalkotzy’s interpretation, and</w:t>
      </w:r>
      <w:r w:rsidR="008B7575">
        <w:rPr>
          <w:rFonts w:ascii="Times New Roman" w:hAnsi="Times New Roman" w:cs="Times New Roman"/>
          <w:sz w:val="20"/>
          <w:szCs w:val="20"/>
        </w:rPr>
        <w:t>,</w:t>
      </w:r>
      <w:r w:rsidR="00E60D75">
        <w:rPr>
          <w:rFonts w:ascii="Times New Roman" w:hAnsi="Times New Roman" w:cs="Times New Roman"/>
          <w:sz w:val="20"/>
          <w:szCs w:val="20"/>
        </w:rPr>
        <w:t xml:space="preserve"> indeed</w:t>
      </w:r>
      <w:r w:rsidR="008B7575">
        <w:rPr>
          <w:rFonts w:ascii="Times New Roman" w:hAnsi="Times New Roman" w:cs="Times New Roman"/>
          <w:sz w:val="20"/>
          <w:szCs w:val="20"/>
        </w:rPr>
        <w:t>,</w:t>
      </w:r>
      <w:r w:rsidR="00E60D75">
        <w:rPr>
          <w:rFonts w:ascii="Times New Roman" w:hAnsi="Times New Roman" w:cs="Times New Roman"/>
          <w:sz w:val="20"/>
          <w:szCs w:val="20"/>
        </w:rPr>
        <w:t xml:space="preserve"> to Wiener’s</w:t>
      </w:r>
      <w:r w:rsidR="008B7575">
        <w:rPr>
          <w:rFonts w:ascii="Times New Roman" w:hAnsi="Times New Roman" w:cs="Times New Roman"/>
          <w:sz w:val="20"/>
          <w:szCs w:val="20"/>
        </w:rPr>
        <w:t>.</w:t>
      </w:r>
      <w:r w:rsidR="00E60D75">
        <w:rPr>
          <w:rFonts w:ascii="Times New Roman" w:hAnsi="Times New Roman" w:cs="Times New Roman"/>
          <w:sz w:val="20"/>
          <w:szCs w:val="20"/>
        </w:rPr>
        <w:t xml:space="preserve"> </w:t>
      </w:r>
      <w:r w:rsidR="008B7575">
        <w:rPr>
          <w:rFonts w:ascii="Times New Roman" w:hAnsi="Times New Roman" w:cs="Times New Roman"/>
          <w:sz w:val="20"/>
          <w:szCs w:val="20"/>
        </w:rPr>
        <w:t>W</w:t>
      </w:r>
      <w:r w:rsidR="00E60D75">
        <w:rPr>
          <w:rFonts w:ascii="Times New Roman" w:hAnsi="Times New Roman" w:cs="Times New Roman"/>
          <w:sz w:val="20"/>
          <w:szCs w:val="20"/>
        </w:rPr>
        <w:t xml:space="preserve">hile we lack an archaeological backing for this reason </w:t>
      </w:r>
      <w:r w:rsidR="008B7575">
        <w:rPr>
          <w:rFonts w:ascii="Times New Roman" w:hAnsi="Times New Roman" w:cs="Times New Roman"/>
          <w:sz w:val="20"/>
          <w:szCs w:val="20"/>
        </w:rPr>
        <w:t>for</w:t>
      </w:r>
      <w:r w:rsidR="00E60D75">
        <w:rPr>
          <w:rFonts w:ascii="Times New Roman" w:hAnsi="Times New Roman" w:cs="Times New Roman"/>
          <w:sz w:val="20"/>
          <w:szCs w:val="20"/>
        </w:rPr>
        <w:t xml:space="preserve"> fortifications, the fact that it has been seen – on multiple occasions – that populations in the Aegean fortify their settlements in the aftermath of disasters, suggests that fortification is a practical reaction, and that the </w:t>
      </w:r>
      <w:r w:rsidR="000C7E00">
        <w:rPr>
          <w:rFonts w:ascii="Times New Roman" w:hAnsi="Times New Roman" w:cs="Times New Roman"/>
          <w:sz w:val="20"/>
          <w:szCs w:val="20"/>
        </w:rPr>
        <w:t xml:space="preserve">motivation should be a practical one, such as defence of people and assets. The credibility of an interpretation is, of course, of significant value to scholarship, as it allows that interpretation to be a stable premise upon which an argument might be based. Further enhancing the value of Deger-Jalkotzy’s interpretation is his chosen format, a chapter within an edited volume. This format allows a historian to be as esoteric in subject as they please, </w:t>
      </w:r>
      <w:r w:rsidR="008B7575">
        <w:rPr>
          <w:rFonts w:ascii="Times New Roman" w:hAnsi="Times New Roman" w:cs="Times New Roman"/>
          <w:sz w:val="20"/>
          <w:szCs w:val="20"/>
        </w:rPr>
        <w:t>not having to link to any other writer’s chapter, or conform with any intentions regarding the volume’s nature, beyond that which the title states. This capacity for esotericism facilitates the writer in creating a singular and focused analysis.</w:t>
      </w:r>
    </w:p>
    <w:p w14:paraId="402356D2" w14:textId="5760F873" w:rsidR="007B65C8" w:rsidRDefault="007B65C8" w:rsidP="00150515">
      <w:pPr>
        <w:jc w:val="both"/>
        <w:rPr>
          <w:rFonts w:ascii="Times New Roman" w:hAnsi="Times New Roman" w:cs="Times New Roman"/>
          <w:b/>
          <w:bCs/>
          <w:sz w:val="20"/>
          <w:szCs w:val="20"/>
        </w:rPr>
      </w:pPr>
      <w:r>
        <w:rPr>
          <w:rFonts w:ascii="Times New Roman" w:hAnsi="Times New Roman" w:cs="Times New Roman"/>
          <w:b/>
          <w:bCs/>
          <w:sz w:val="20"/>
          <w:szCs w:val="20"/>
        </w:rPr>
        <w:lastRenderedPageBreak/>
        <w:t xml:space="preserve">Novo Scriptorium. 2019. </w:t>
      </w:r>
      <w:r w:rsidRPr="007B65C8">
        <w:rPr>
          <w:rFonts w:ascii="Times New Roman" w:hAnsi="Times New Roman" w:cs="Times New Roman"/>
          <w:b/>
          <w:bCs/>
          <w:sz w:val="20"/>
          <w:szCs w:val="20"/>
        </w:rPr>
        <w:t xml:space="preserve">Palamari, Skyros: a Bronze Age fortified urban </w:t>
      </w:r>
      <w:proofErr w:type="spellStart"/>
      <w:r w:rsidRPr="007B65C8">
        <w:rPr>
          <w:rFonts w:ascii="Times New Roman" w:hAnsi="Times New Roman" w:cs="Times New Roman"/>
          <w:b/>
          <w:bCs/>
          <w:sz w:val="20"/>
          <w:szCs w:val="20"/>
        </w:rPr>
        <w:t>center</w:t>
      </w:r>
      <w:proofErr w:type="spellEnd"/>
      <w:r w:rsidRPr="007B65C8">
        <w:rPr>
          <w:rFonts w:ascii="Times New Roman" w:hAnsi="Times New Roman" w:cs="Times New Roman"/>
          <w:b/>
          <w:bCs/>
          <w:sz w:val="20"/>
          <w:szCs w:val="20"/>
        </w:rPr>
        <w:t xml:space="preserve"> in the Aegean</w:t>
      </w:r>
      <w:r>
        <w:rPr>
          <w:rFonts w:ascii="Times New Roman" w:hAnsi="Times New Roman" w:cs="Times New Roman"/>
          <w:b/>
          <w:bCs/>
          <w:sz w:val="20"/>
          <w:szCs w:val="20"/>
        </w:rPr>
        <w:t xml:space="preserve">. </w:t>
      </w:r>
      <w:r>
        <w:rPr>
          <w:rFonts w:ascii="Times New Roman" w:hAnsi="Times New Roman" w:cs="Times New Roman"/>
          <w:b/>
          <w:bCs/>
          <w:i/>
          <w:iCs/>
          <w:sz w:val="20"/>
          <w:szCs w:val="20"/>
        </w:rPr>
        <w:t>Novo Scriptorium</w:t>
      </w:r>
      <w:r>
        <w:rPr>
          <w:rFonts w:ascii="Times New Roman" w:hAnsi="Times New Roman" w:cs="Times New Roman"/>
          <w:b/>
          <w:bCs/>
          <w:sz w:val="20"/>
          <w:szCs w:val="20"/>
        </w:rPr>
        <w:t xml:space="preserve">. Available from: </w:t>
      </w:r>
      <w:r w:rsidRPr="009C0794">
        <w:rPr>
          <w:rFonts w:ascii="Times New Roman" w:hAnsi="Times New Roman" w:cs="Times New Roman"/>
          <w:b/>
          <w:bCs/>
          <w:sz w:val="20"/>
          <w:szCs w:val="20"/>
        </w:rPr>
        <w:t>https://novoscriptorium.com/2019/10/27/palamari-skyros-a-bronze-age-fortified-urban-center-in-the-aegean/</w:t>
      </w:r>
      <w:r>
        <w:rPr>
          <w:rFonts w:ascii="Times New Roman" w:hAnsi="Times New Roman" w:cs="Times New Roman"/>
          <w:b/>
          <w:bCs/>
          <w:sz w:val="20"/>
          <w:szCs w:val="20"/>
        </w:rPr>
        <w:t>. [Accessed on</w:t>
      </w:r>
      <w:r w:rsidR="009C0794">
        <w:rPr>
          <w:rFonts w:ascii="Times New Roman" w:hAnsi="Times New Roman" w:cs="Times New Roman"/>
          <w:b/>
          <w:bCs/>
          <w:sz w:val="20"/>
          <w:szCs w:val="20"/>
        </w:rPr>
        <w:t>: 07/04/2020].</w:t>
      </w:r>
    </w:p>
    <w:p w14:paraId="1918C095" w14:textId="6D2F2F8C" w:rsidR="009C0794" w:rsidRPr="009C0794" w:rsidRDefault="009C0794" w:rsidP="00150515">
      <w:pPr>
        <w:jc w:val="both"/>
        <w:rPr>
          <w:rFonts w:ascii="Times New Roman" w:hAnsi="Times New Roman" w:cs="Times New Roman"/>
          <w:sz w:val="20"/>
          <w:szCs w:val="20"/>
        </w:rPr>
      </w:pPr>
      <w:r>
        <w:rPr>
          <w:rFonts w:ascii="Times New Roman" w:hAnsi="Times New Roman" w:cs="Times New Roman"/>
          <w:sz w:val="20"/>
          <w:szCs w:val="20"/>
        </w:rPr>
        <w:tab/>
        <w:t xml:space="preserve">Unlike other sources, the organisation Novo Scriptorium’s work on the Aegean fortifications of the early Bronze-age is focused, and specific. Where other sources discuss these fortifications as just one aspect of a wider topic, Novo Scriptorium focuses on them as </w:t>
      </w:r>
      <w:r w:rsidR="00267685">
        <w:rPr>
          <w:rFonts w:ascii="Times New Roman" w:hAnsi="Times New Roman" w:cs="Times New Roman"/>
          <w:sz w:val="20"/>
          <w:szCs w:val="20"/>
        </w:rPr>
        <w:t>the</w:t>
      </w:r>
      <w:r>
        <w:rPr>
          <w:rFonts w:ascii="Times New Roman" w:hAnsi="Times New Roman" w:cs="Times New Roman"/>
          <w:sz w:val="20"/>
          <w:szCs w:val="20"/>
        </w:rPr>
        <w:t xml:space="preserve"> overarching topic. Further, the writer choses to discuss only one site, </w:t>
      </w:r>
      <w:r w:rsidR="00DF00C9">
        <w:rPr>
          <w:rFonts w:ascii="Times New Roman" w:hAnsi="Times New Roman" w:cs="Times New Roman"/>
          <w:sz w:val="20"/>
          <w:szCs w:val="20"/>
        </w:rPr>
        <w:t>Palamar</w:t>
      </w:r>
      <w:r w:rsidR="00205041">
        <w:rPr>
          <w:rFonts w:ascii="Times New Roman" w:hAnsi="Times New Roman" w:cs="Times New Roman"/>
          <w:sz w:val="20"/>
          <w:szCs w:val="20"/>
        </w:rPr>
        <w:t>i</w:t>
      </w:r>
      <w:r w:rsidR="00267685">
        <w:rPr>
          <w:rFonts w:ascii="Times New Roman" w:hAnsi="Times New Roman" w:cs="Times New Roman"/>
          <w:sz w:val="20"/>
          <w:szCs w:val="20"/>
        </w:rPr>
        <w:t xml:space="preserve"> on Skyros</w:t>
      </w:r>
      <w:r w:rsidR="00DF00C9">
        <w:rPr>
          <w:rFonts w:ascii="Times New Roman" w:hAnsi="Times New Roman" w:cs="Times New Roman"/>
          <w:sz w:val="20"/>
          <w:szCs w:val="20"/>
        </w:rPr>
        <w:t xml:space="preserve">. </w:t>
      </w:r>
      <w:r>
        <w:rPr>
          <w:rFonts w:ascii="Times New Roman" w:hAnsi="Times New Roman" w:cs="Times New Roman"/>
          <w:sz w:val="20"/>
          <w:szCs w:val="20"/>
        </w:rPr>
        <w:t xml:space="preserve">This decision facilitates a wider range of analyses regarding these fortifications, the author not being constrained by any </w:t>
      </w:r>
      <w:r w:rsidR="00DF00C9">
        <w:rPr>
          <w:rFonts w:ascii="Times New Roman" w:hAnsi="Times New Roman" w:cs="Times New Roman"/>
          <w:sz w:val="20"/>
          <w:szCs w:val="20"/>
        </w:rPr>
        <w:t xml:space="preserve">commitments to a </w:t>
      </w:r>
      <w:r>
        <w:rPr>
          <w:rFonts w:ascii="Times New Roman" w:hAnsi="Times New Roman" w:cs="Times New Roman"/>
          <w:sz w:val="20"/>
          <w:szCs w:val="20"/>
        </w:rPr>
        <w:t>wider topic</w:t>
      </w:r>
      <w:r w:rsidR="00DF00C9">
        <w:rPr>
          <w:rFonts w:ascii="Times New Roman" w:hAnsi="Times New Roman" w:cs="Times New Roman"/>
          <w:sz w:val="20"/>
          <w:szCs w:val="20"/>
        </w:rPr>
        <w:t xml:space="preserve">, while still maintaining sufficient focus </w:t>
      </w:r>
      <w:r w:rsidR="00267685">
        <w:rPr>
          <w:rFonts w:ascii="Times New Roman" w:hAnsi="Times New Roman" w:cs="Times New Roman"/>
          <w:sz w:val="20"/>
          <w:szCs w:val="20"/>
        </w:rPr>
        <w:t>in</w:t>
      </w:r>
      <w:r w:rsidR="00DF00C9">
        <w:rPr>
          <w:rFonts w:ascii="Times New Roman" w:hAnsi="Times New Roman" w:cs="Times New Roman"/>
          <w:sz w:val="20"/>
          <w:szCs w:val="20"/>
        </w:rPr>
        <w:t xml:space="preserve"> </w:t>
      </w:r>
      <w:r w:rsidR="00267685">
        <w:rPr>
          <w:rFonts w:ascii="Times New Roman" w:hAnsi="Times New Roman" w:cs="Times New Roman"/>
          <w:sz w:val="20"/>
          <w:szCs w:val="20"/>
        </w:rPr>
        <w:t>t</w:t>
      </w:r>
      <w:r w:rsidR="00DF00C9">
        <w:rPr>
          <w:rFonts w:ascii="Times New Roman" w:hAnsi="Times New Roman" w:cs="Times New Roman"/>
          <w:sz w:val="20"/>
          <w:szCs w:val="20"/>
        </w:rPr>
        <w:t>h</w:t>
      </w:r>
      <w:r w:rsidR="00267685">
        <w:rPr>
          <w:rFonts w:ascii="Times New Roman" w:hAnsi="Times New Roman" w:cs="Times New Roman"/>
          <w:sz w:val="20"/>
          <w:szCs w:val="20"/>
        </w:rPr>
        <w:t>eir</w:t>
      </w:r>
      <w:r w:rsidR="00DF00C9">
        <w:rPr>
          <w:rFonts w:ascii="Times New Roman" w:hAnsi="Times New Roman" w:cs="Times New Roman"/>
          <w:sz w:val="20"/>
          <w:szCs w:val="20"/>
        </w:rPr>
        <w:t xml:space="preserve"> </w:t>
      </w:r>
      <w:r w:rsidR="00267685">
        <w:rPr>
          <w:rFonts w:ascii="Times New Roman" w:hAnsi="Times New Roman" w:cs="Times New Roman"/>
          <w:sz w:val="20"/>
          <w:szCs w:val="20"/>
        </w:rPr>
        <w:t>analyses.</w:t>
      </w:r>
      <w:r w:rsidR="00DF00C9">
        <w:rPr>
          <w:rFonts w:ascii="Times New Roman" w:hAnsi="Times New Roman" w:cs="Times New Roman"/>
          <w:sz w:val="20"/>
          <w:szCs w:val="20"/>
        </w:rPr>
        <w:t xml:space="preserve"> The organisation certainly takes advantage of this formats analytical freedoms; while the core of its discussion surrounds the construction of the fortifications</w:t>
      </w:r>
      <w:r w:rsidR="00205041">
        <w:rPr>
          <w:rFonts w:ascii="Times New Roman" w:hAnsi="Times New Roman" w:cs="Times New Roman"/>
          <w:sz w:val="20"/>
          <w:szCs w:val="20"/>
        </w:rPr>
        <w:t>, he is able to weave in points regarding the material evidence of the site, and from this conclude that Pal</w:t>
      </w:r>
      <w:r w:rsidR="00267685">
        <w:rPr>
          <w:rFonts w:ascii="Times New Roman" w:hAnsi="Times New Roman" w:cs="Times New Roman"/>
          <w:sz w:val="20"/>
          <w:szCs w:val="20"/>
        </w:rPr>
        <w:t>a</w:t>
      </w:r>
      <w:r w:rsidR="00205041">
        <w:rPr>
          <w:rFonts w:ascii="Times New Roman" w:hAnsi="Times New Roman" w:cs="Times New Roman"/>
          <w:sz w:val="20"/>
          <w:szCs w:val="20"/>
        </w:rPr>
        <w:t>mari was the site of increasing urbanisation – which has broader implications upon Cycladic culture in general, in the middle, and later parts of the early Bronze-age. They also make points regarding the similarities between defensive features at Pal</w:t>
      </w:r>
      <w:r w:rsidR="00267685">
        <w:rPr>
          <w:rFonts w:ascii="Times New Roman" w:hAnsi="Times New Roman" w:cs="Times New Roman"/>
          <w:sz w:val="20"/>
          <w:szCs w:val="20"/>
        </w:rPr>
        <w:t>a</w:t>
      </w:r>
      <w:r w:rsidR="00205041">
        <w:rPr>
          <w:rFonts w:ascii="Times New Roman" w:hAnsi="Times New Roman" w:cs="Times New Roman"/>
          <w:sz w:val="20"/>
          <w:szCs w:val="20"/>
        </w:rPr>
        <w:t>m</w:t>
      </w:r>
      <w:bookmarkStart w:id="0" w:name="_GoBack"/>
      <w:bookmarkEnd w:id="0"/>
      <w:r w:rsidR="00205041">
        <w:rPr>
          <w:rFonts w:ascii="Times New Roman" w:hAnsi="Times New Roman" w:cs="Times New Roman"/>
          <w:sz w:val="20"/>
          <w:szCs w:val="20"/>
        </w:rPr>
        <w:t xml:space="preserve">ari and other Aegean sites. In a conventional </w:t>
      </w:r>
      <w:r w:rsidR="00D41218">
        <w:rPr>
          <w:rFonts w:ascii="Times New Roman" w:hAnsi="Times New Roman" w:cs="Times New Roman"/>
          <w:sz w:val="20"/>
          <w:szCs w:val="20"/>
        </w:rPr>
        <w:t>source,</w:t>
      </w:r>
      <w:r w:rsidR="00205041">
        <w:rPr>
          <w:rFonts w:ascii="Times New Roman" w:hAnsi="Times New Roman" w:cs="Times New Roman"/>
          <w:sz w:val="20"/>
          <w:szCs w:val="20"/>
        </w:rPr>
        <w:t xml:space="preserve"> a historian might be constrained, either by an overly restrictive, overarching topic, which narrows their field of analysis, or by an excessively general topic, which </w:t>
      </w:r>
      <w:r w:rsidR="00D41218">
        <w:rPr>
          <w:rFonts w:ascii="Times New Roman" w:hAnsi="Times New Roman" w:cs="Times New Roman"/>
          <w:sz w:val="20"/>
          <w:szCs w:val="20"/>
        </w:rPr>
        <w:t>excludes finer analysis, while this source suffers from neither. However, the anonymity of the author is problematic to scholars; this makes it impossible to find any other work of the historian’s, work which might – otherwise – serve to further a scholar’s point, or identify any consistent biases within the historian’s work.</w:t>
      </w:r>
    </w:p>
    <w:sectPr w:rsidR="009C0794" w:rsidRPr="009C079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C86614" w14:textId="77777777" w:rsidR="00DD0319" w:rsidRDefault="00DD0319" w:rsidP="00150515">
      <w:pPr>
        <w:spacing w:after="0" w:line="240" w:lineRule="auto"/>
      </w:pPr>
      <w:r>
        <w:separator/>
      </w:r>
    </w:p>
  </w:endnote>
  <w:endnote w:type="continuationSeparator" w:id="0">
    <w:p w14:paraId="01A65462" w14:textId="77777777" w:rsidR="00DD0319" w:rsidRDefault="00DD0319" w:rsidP="00150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4331B" w14:textId="77777777" w:rsidR="00DD0319" w:rsidRDefault="00DD0319" w:rsidP="00150515">
      <w:pPr>
        <w:spacing w:after="0" w:line="240" w:lineRule="auto"/>
      </w:pPr>
      <w:r>
        <w:separator/>
      </w:r>
    </w:p>
  </w:footnote>
  <w:footnote w:type="continuationSeparator" w:id="0">
    <w:p w14:paraId="54DA6224" w14:textId="77777777" w:rsidR="00DD0319" w:rsidRDefault="00DD0319" w:rsidP="001505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D5582D" w14:textId="25AFA153" w:rsidR="00150515" w:rsidRPr="00150515" w:rsidRDefault="00150515" w:rsidP="00150515">
    <w:pPr>
      <w:pStyle w:val="Header"/>
      <w:jc w:val="center"/>
      <w:rPr>
        <w:rFonts w:ascii="Times New Roman" w:hAnsi="Times New Roman" w:cs="Times New Roman"/>
        <w:sz w:val="20"/>
        <w:szCs w:val="20"/>
      </w:rPr>
    </w:pPr>
    <w:r>
      <w:rPr>
        <w:rFonts w:ascii="Times New Roman" w:hAnsi="Times New Roman" w:cs="Times New Roman"/>
        <w:sz w:val="20"/>
        <w:szCs w:val="20"/>
      </w:rPr>
      <w:t>Samuel Lawrence – Pharaohs, Phoenicians, and Peoples of the Sea – Annotated Bibliography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515"/>
    <w:rsid w:val="000411AD"/>
    <w:rsid w:val="000C7E00"/>
    <w:rsid w:val="00150515"/>
    <w:rsid w:val="00156A34"/>
    <w:rsid w:val="00205041"/>
    <w:rsid w:val="00267685"/>
    <w:rsid w:val="003F6D4C"/>
    <w:rsid w:val="0043383B"/>
    <w:rsid w:val="004D2279"/>
    <w:rsid w:val="004E700E"/>
    <w:rsid w:val="0057410A"/>
    <w:rsid w:val="00590230"/>
    <w:rsid w:val="005F15BE"/>
    <w:rsid w:val="00770050"/>
    <w:rsid w:val="007A5613"/>
    <w:rsid w:val="007B65C8"/>
    <w:rsid w:val="007C74DA"/>
    <w:rsid w:val="008B7575"/>
    <w:rsid w:val="00927FE5"/>
    <w:rsid w:val="009C0794"/>
    <w:rsid w:val="00A655A9"/>
    <w:rsid w:val="00AA2748"/>
    <w:rsid w:val="00AE51EC"/>
    <w:rsid w:val="00B87CE6"/>
    <w:rsid w:val="00C045DB"/>
    <w:rsid w:val="00D41218"/>
    <w:rsid w:val="00DD0319"/>
    <w:rsid w:val="00DF00C9"/>
    <w:rsid w:val="00E60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99F02"/>
  <w15:chartTrackingRefBased/>
  <w15:docId w15:val="{8C8E8108-0C8B-4D33-A82F-31E6BB646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0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515"/>
  </w:style>
  <w:style w:type="paragraph" w:styleId="Footer">
    <w:name w:val="footer"/>
    <w:basedOn w:val="Normal"/>
    <w:link w:val="FooterChar"/>
    <w:uiPriority w:val="99"/>
    <w:unhideWhenUsed/>
    <w:rsid w:val="00150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515"/>
  </w:style>
  <w:style w:type="paragraph" w:styleId="BalloonText">
    <w:name w:val="Balloon Text"/>
    <w:basedOn w:val="Normal"/>
    <w:link w:val="BalloonTextChar"/>
    <w:uiPriority w:val="99"/>
    <w:semiHidden/>
    <w:unhideWhenUsed/>
    <w:rsid w:val="001505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0515"/>
    <w:rPr>
      <w:rFonts w:ascii="Segoe UI" w:hAnsi="Segoe UI" w:cs="Segoe UI"/>
      <w:sz w:val="18"/>
      <w:szCs w:val="18"/>
    </w:rPr>
  </w:style>
  <w:style w:type="character" w:styleId="Hyperlink">
    <w:name w:val="Hyperlink"/>
    <w:basedOn w:val="DefaultParagraphFont"/>
    <w:uiPriority w:val="99"/>
    <w:unhideWhenUsed/>
    <w:rsid w:val="007B65C8"/>
    <w:rPr>
      <w:color w:val="0563C1" w:themeColor="hyperlink"/>
      <w:u w:val="single"/>
    </w:rPr>
  </w:style>
  <w:style w:type="character" w:styleId="UnresolvedMention">
    <w:name w:val="Unresolved Mention"/>
    <w:basedOn w:val="DefaultParagraphFont"/>
    <w:uiPriority w:val="99"/>
    <w:semiHidden/>
    <w:unhideWhenUsed/>
    <w:rsid w:val="007B65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2</Pages>
  <Words>1085</Words>
  <Characters>6189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4</cp:revision>
  <cp:lastPrinted>2020-04-05T16:15:00Z</cp:lastPrinted>
  <dcterms:created xsi:type="dcterms:W3CDTF">2020-04-05T16:14:00Z</dcterms:created>
  <dcterms:modified xsi:type="dcterms:W3CDTF">2020-04-08T13:24:00Z</dcterms:modified>
</cp:coreProperties>
</file>