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sdt>
      <w:sdtPr>
        <w:rPr>
          <w:rFonts w:ascii="Times New Roman" w:hAnsi="Times New Roman" w:cs="Times New Roman"/>
          <w:color w:val="4472C4" w:themeColor="accent1"/>
          <w:sz w:val="24"/>
          <w:lang w:val="en-GB" w:eastAsia="en-GB"/>
          <w14:textFill>
            <w14:solidFill>
              <w14:schemeClr w14:val="accent1"/>
            </w14:solidFill>
          </w14:textFill>
        </w:rPr>
        <w:id w:val="774524982"/>
        <w:docPartObj>
          <w:docPartGallery w:val="AutoText"/>
        </w:docPartObj>
      </w:sdtPr>
      <w:sdtEndPr>
        <w:rPr>
          <w:rFonts w:ascii="Times New Roman" w:hAnsi="Times New Roman" w:cs="Times New Roman"/>
          <w:b/>
          <w:bCs/>
          <w:color w:val="auto"/>
          <w:sz w:val="24"/>
          <w:lang w:val="en-GB" w:eastAsia="en-GB"/>
        </w:rPr>
      </w:sdtEndPr>
      <w:sdtContent>
        <w:p>
          <w:pPr>
            <w:pStyle w:val="27"/>
            <w:spacing w:before="1540" w:after="240"/>
            <w:jc w:val="center"/>
            <w:rPr>
              <w:color w:val="4472C4" w:themeColor="accent1"/>
              <w:lang w:val="en-GB"/>
              <w14:textFill>
                <w14:solidFill>
                  <w14:schemeClr w14:val="accent1"/>
                </w14:solidFill>
              </w14:textFill>
            </w:rPr>
          </w:pPr>
        </w:p>
        <w:sdt>
          <w:sdtPr>
            <w:rPr>
              <w:rFonts w:ascii="Times New Roman" w:hAnsi="Times New Roman" w:cs="Times New Roman" w:eastAsiaTheme="majorEastAsia"/>
              <w:caps/>
              <w:color w:val="4472C4" w:themeColor="accent1"/>
              <w:sz w:val="40"/>
              <w:szCs w:val="40"/>
              <w:lang w:val="en-GB"/>
              <w14:textFill>
                <w14:solidFill>
                  <w14:schemeClr w14:val="accent1"/>
                </w14:solidFill>
              </w14:textFill>
            </w:rPr>
            <w:alias w:val="Title"/>
            <w:id w:val="1735040861"/>
            <w:placeholder>
              <w:docPart w:val="85F5C538120B472ABEC70B895F4AA1FC"/>
            </w:placeholder>
            <w15:dataBinding w:prefixMappings="xmlns:ns0='http://purl.org/dc/elements/1.1/' xmlns:ns1='http://schemas.openxmlformats.org/package/2006/metadata/core-properties' " w:xpath="/ns1:coreProperties[1]/ns0:title[1]" w:storeItemID="{6C3C8BC8-F283-45AE-878A-BAB7291924A1}"/>
            <w:text/>
          </w:sdtPr>
          <w:sdtEndPr>
            <w:rPr>
              <w:rFonts w:ascii="Times New Roman" w:hAnsi="Times New Roman" w:cs="Times New Roman" w:eastAsiaTheme="majorEastAsia"/>
              <w:caps/>
              <w:color w:val="4472C4" w:themeColor="accent1"/>
              <w:sz w:val="40"/>
              <w:szCs w:val="40"/>
              <w:lang w:val="en-GB"/>
              <w14:textFill>
                <w14:solidFill>
                  <w14:schemeClr w14:val="accent1"/>
                </w14:solidFill>
              </w14:textFill>
            </w:rPr>
          </w:sdtEndPr>
          <w:sdtContent>
            <w:p>
              <w:pPr>
                <w:pStyle w:val="27"/>
                <w:pBdr>
                  <w:top w:val="single" w:color="4472C4" w:themeColor="accent1" w:sz="6" w:space="6"/>
                  <w:bottom w:val="single" w:color="4472C4" w:themeColor="accent1" w:sz="6" w:space="6"/>
                </w:pBdr>
                <w:spacing w:after="240"/>
                <w:jc w:val="center"/>
                <w:rPr>
                  <w:rFonts w:ascii="Times New Roman" w:hAnsi="Times New Roman" w:cs="Times New Roman" w:eastAsiaTheme="majorEastAsia"/>
                  <w:caps/>
                  <w:color w:val="4472C4" w:themeColor="accent1"/>
                  <w:sz w:val="40"/>
                  <w:szCs w:val="40"/>
                  <w:lang w:val="en-GB"/>
                  <w14:textFill>
                    <w14:solidFill>
                      <w14:schemeClr w14:val="accent1"/>
                    </w14:solidFill>
                  </w14:textFill>
                </w:rPr>
              </w:pPr>
              <w:r>
                <w:rPr>
                  <w:rFonts w:ascii="Times New Roman" w:hAnsi="Times New Roman" w:cs="Times New Roman" w:eastAsiaTheme="majorEastAsia"/>
                  <w:color w:val="4472C4" w:themeColor="accent1"/>
                  <w:sz w:val="40"/>
                  <w:szCs w:val="40"/>
                  <w:lang w:val="en-GB"/>
                  <w14:textFill>
                    <w14:solidFill>
                      <w14:schemeClr w14:val="accent1"/>
                    </w14:solidFill>
                  </w14:textFill>
                </w:rPr>
                <w:t>Knowledge and Information Management Skills for The Workplace</w:t>
              </w:r>
            </w:p>
          </w:sdtContent>
        </w:sdt>
        <w:p>
          <w:pPr>
            <w:pStyle w:val="27"/>
            <w:jc w:val="center"/>
            <w:rPr>
              <w:color w:val="4472C4" w:themeColor="accent1"/>
              <w:sz w:val="28"/>
              <w:szCs w:val="28"/>
              <w:lang w:val="en-GB"/>
              <w14:textFill>
                <w14:solidFill>
                  <w14:schemeClr w14:val="accent1"/>
                </w14:solidFill>
              </w14:textFill>
            </w:rPr>
          </w:pPr>
        </w:p>
        <w:p>
          <w:pPr>
            <w:pStyle w:val="27"/>
            <w:spacing w:before="480"/>
            <w:jc w:val="both"/>
            <w:rPr>
              <w:rFonts w:hint="default"/>
              <w:color w:val="4472C4" w:themeColor="accent1"/>
              <w:lang w:val="en-GB"/>
              <w14:textFill>
                <w14:solidFill>
                  <w14:schemeClr w14:val="accent1"/>
                </w14:solidFill>
              </w14:textFill>
            </w:rPr>
          </w:pPr>
        </w:p>
        <w:p>
          <w:pPr>
            <w:pStyle w:val="27"/>
            <w:spacing w:before="480"/>
            <w:jc w:val="both"/>
            <w:rPr>
              <w:rFonts w:hint="default"/>
              <w:color w:val="4472C4" w:themeColor="accent1"/>
              <w:lang w:val="en-GB"/>
              <w14:textFill>
                <w14:solidFill>
                  <w14:schemeClr w14:val="accent1"/>
                </w14:solidFill>
              </w14:textFill>
            </w:rPr>
          </w:pPr>
        </w:p>
        <w:p>
          <w:pPr>
            <w:pStyle w:val="27"/>
            <w:spacing w:before="480"/>
            <w:jc w:val="both"/>
            <w:rPr>
              <w:rFonts w:hint="default"/>
              <w:color w:val="4472C4" w:themeColor="accent1"/>
              <w:lang w:val="en-GB"/>
              <w14:textFill>
                <w14:solidFill>
                  <w14:schemeClr w14:val="accent1"/>
                </w14:solidFill>
              </w14:textFill>
            </w:rPr>
          </w:pPr>
        </w:p>
        <w:p>
          <w:pPr>
            <w:pStyle w:val="27"/>
            <w:spacing w:before="480"/>
            <w:ind w:firstLine="2240" w:firstLineChars="700"/>
            <w:jc w:val="both"/>
            <w:rPr>
              <w:rFonts w:hint="default"/>
              <w:color w:val="4472C4" w:themeColor="accent1"/>
              <w:sz w:val="32"/>
              <w:szCs w:val="32"/>
              <w:lang w:val="en-GB"/>
              <w14:textFill>
                <w14:solidFill>
                  <w14:schemeClr w14:val="accent1"/>
                </w14:solidFill>
              </w14:textFill>
            </w:rPr>
          </w:pPr>
          <w:r>
            <w:rPr>
              <w:rFonts w:hint="default"/>
              <w:color w:val="4472C4" w:themeColor="accent1"/>
              <w:sz w:val="32"/>
              <w:szCs w:val="32"/>
              <w:lang w:val="en-GB"/>
              <w14:textFill>
                <w14:solidFill>
                  <w14:schemeClr w14:val="accent1"/>
                </w14:solidFill>
              </w14:textFill>
            </w:rPr>
            <w:t>STUDENT NAME: MD M H SHARIF</w:t>
          </w:r>
        </w:p>
        <w:p>
          <w:pPr>
            <w:pStyle w:val="27"/>
            <w:spacing w:before="480"/>
            <w:ind w:firstLine="2240" w:firstLineChars="700"/>
            <w:jc w:val="both"/>
            <w:rPr>
              <w:rFonts w:hint="default"/>
              <w:color w:val="4472C4" w:themeColor="accent1"/>
              <w:sz w:val="32"/>
              <w:szCs w:val="32"/>
              <w:lang w:val="en-GB"/>
              <w14:textFill>
                <w14:solidFill>
                  <w14:schemeClr w14:val="accent1"/>
                </w14:solidFill>
              </w14:textFill>
            </w:rPr>
          </w:pPr>
          <w:r>
            <w:rPr>
              <w:rFonts w:hint="default"/>
              <w:color w:val="4472C4" w:themeColor="accent1"/>
              <w:sz w:val="32"/>
              <w:szCs w:val="32"/>
              <w:lang w:val="en-GB"/>
              <w14:textFill>
                <w14:solidFill>
                  <w14:schemeClr w14:val="accent1"/>
                </w14:solidFill>
              </w14:textFill>
            </w:rPr>
            <w:t>STUDENT NO     : 1707654</w:t>
          </w:r>
        </w:p>
        <w:p>
          <w:pPr>
            <w:pStyle w:val="27"/>
            <w:spacing w:before="480"/>
            <w:ind w:firstLine="2240" w:firstLineChars="700"/>
            <w:jc w:val="both"/>
            <w:rPr>
              <w:rFonts w:hint="default"/>
              <w:color w:val="4472C4" w:themeColor="accent1"/>
              <w:sz w:val="32"/>
              <w:szCs w:val="32"/>
              <w:lang w:val="en-GB"/>
              <w14:textFill>
                <w14:solidFill>
                  <w14:schemeClr w14:val="accent1"/>
                </w14:solidFill>
              </w14:textFill>
            </w:rPr>
          </w:pPr>
          <w:bookmarkStart w:id="16" w:name="_GoBack"/>
          <w:bookmarkEnd w:id="16"/>
          <w:r>
            <w:rPr>
              <w:rFonts w:hint="default"/>
              <w:color w:val="4472C4" w:themeColor="accent1"/>
              <w:sz w:val="32"/>
              <w:szCs w:val="32"/>
              <w:lang w:val="en-GB"/>
              <w14:textFill>
                <w14:solidFill>
                  <w14:schemeClr w14:val="accent1"/>
                </w14:solidFill>
              </w14:textFill>
            </w:rPr>
            <w:t>TUTOR NAME    : MD KALAM</w:t>
          </w:r>
        </w:p>
        <w:p>
          <w:pPr>
            <w:spacing w:line="259" w:lineRule="auto"/>
            <w:jc w:val="left"/>
            <w:rPr>
              <w:rFonts w:ascii="Times New Roman" w:hAnsi="Times New Roman" w:cs="Times New Roman"/>
              <w:b/>
              <w:bCs/>
              <w:color w:val="auto"/>
              <w:sz w:val="24"/>
              <w:lang w:val="en-GB" w:eastAsia="en-GB"/>
            </w:rPr>
          </w:pPr>
          <w:r>
            <w:rPr>
              <w:b/>
              <w:bCs/>
            </w:rPr>
            <w:br w:type="page"/>
          </w:r>
        </w:p>
      </w:sdtContent>
    </w:sdt>
    <w:p>
      <w:pPr>
        <w:spacing w:line="259" w:lineRule="auto"/>
        <w:jc w:val="left"/>
        <w:rPr>
          <w:rFonts w:hint="default" w:eastAsiaTheme="majorEastAsia"/>
          <w:b/>
          <w:bCs/>
          <w:color w:val="2F5597" w:themeColor="accent1" w:themeShade="BF"/>
          <w:sz w:val="32"/>
          <w:szCs w:val="32"/>
          <w:lang w:val="en-US" w:eastAsia="en-US"/>
        </w:rPr>
      </w:pPr>
    </w:p>
    <w:sdt>
      <w:sdtPr>
        <w:rPr>
          <w:rFonts w:ascii="Times New Roman" w:hAnsi="Times New Roman" w:eastAsiaTheme="minorEastAsia" w:cstheme="minorBidi"/>
          <w:color w:val="auto"/>
          <w:sz w:val="24"/>
          <w:szCs w:val="22"/>
          <w:lang w:eastAsia="en-GB"/>
        </w:rPr>
        <w:id w:val="-2000878050"/>
        <w:docPartObj>
          <w:docPartGallery w:val="Table of Contents"/>
          <w:docPartUnique/>
        </w:docPartObj>
      </w:sdtPr>
      <w:sdtEndPr>
        <w:rPr>
          <w:rFonts w:ascii="Times New Roman" w:hAnsi="Times New Roman" w:cs="Times New Roman" w:eastAsiaTheme="minorEastAsia"/>
          <w:b/>
          <w:bCs/>
          <w:color w:val="auto"/>
          <w:sz w:val="24"/>
          <w:szCs w:val="22"/>
          <w:lang w:eastAsia="en-GB"/>
        </w:rPr>
      </w:sdtEndPr>
      <w:sdtContent>
        <w:p>
          <w:pPr>
            <w:pStyle w:val="26"/>
            <w:jc w:val="center"/>
            <w:rPr>
              <w:rFonts w:ascii="Times New Roman" w:hAnsi="Times New Roman"/>
              <w:b/>
              <w:bCs/>
            </w:rPr>
          </w:pPr>
          <w:r>
            <w:rPr>
              <w:rFonts w:ascii="Times New Roman" w:hAnsi="Times New Roman"/>
              <w:b/>
              <w:bCs/>
            </w:rPr>
            <w:t>Table of Contents</w:t>
          </w:r>
        </w:p>
        <w:p>
          <w:pPr>
            <w:pStyle w:val="11"/>
            <w:tabs>
              <w:tab w:val="right" w:leader="dot" w:pos="9016"/>
            </w:tabs>
            <w:rPr>
              <w:rFonts w:asciiTheme="minorHAnsi" w:hAnsiTheme="minorHAnsi" w:cstheme="minorBidi"/>
              <w:szCs w:val="24"/>
              <w:lang w:eastAsia="ja-JP"/>
            </w:rPr>
          </w:pPr>
          <w:r>
            <w:fldChar w:fldCharType="begin"/>
          </w:r>
          <w:r>
            <w:instrText xml:space="preserve"> TOC \o "1-3" \h \z \u </w:instrText>
          </w:r>
          <w:r>
            <w:fldChar w:fldCharType="separate"/>
          </w:r>
          <w:r>
            <w:t>Introduction</w:t>
          </w:r>
          <w:r>
            <w:tab/>
          </w:r>
          <w:r>
            <w:fldChar w:fldCharType="begin"/>
          </w:r>
          <w:r>
            <w:instrText xml:space="preserve"> PAGEREF _Toc451376940 \h </w:instrText>
          </w:r>
          <w:r>
            <w:fldChar w:fldCharType="separate"/>
          </w:r>
          <w:r>
            <w:t>1</w:t>
          </w:r>
          <w:r>
            <w:fldChar w:fldCharType="end"/>
          </w:r>
        </w:p>
        <w:p>
          <w:pPr>
            <w:pStyle w:val="11"/>
            <w:tabs>
              <w:tab w:val="right" w:leader="dot" w:pos="9016"/>
            </w:tabs>
            <w:rPr>
              <w:rFonts w:asciiTheme="minorHAnsi" w:hAnsiTheme="minorHAnsi" w:cstheme="minorBidi"/>
              <w:szCs w:val="24"/>
              <w:lang w:eastAsia="ja-JP"/>
            </w:rPr>
          </w:pPr>
          <w:r>
            <w:t>The Concept of Knowledge Management: ASDA</w:t>
          </w:r>
          <w:r>
            <w:tab/>
          </w:r>
          <w:r>
            <w:fldChar w:fldCharType="begin"/>
          </w:r>
          <w:r>
            <w:instrText xml:space="preserve"> PAGEREF _Toc451376941 \h </w:instrText>
          </w:r>
          <w:r>
            <w:fldChar w:fldCharType="separate"/>
          </w:r>
          <w:r>
            <w:t>3</w:t>
          </w:r>
          <w:r>
            <w:fldChar w:fldCharType="end"/>
          </w:r>
        </w:p>
        <w:p>
          <w:pPr>
            <w:pStyle w:val="12"/>
            <w:tabs>
              <w:tab w:val="right" w:leader="dot" w:pos="9016"/>
            </w:tabs>
            <w:rPr>
              <w:rFonts w:asciiTheme="minorHAnsi" w:hAnsiTheme="minorHAnsi" w:cstheme="minorBidi"/>
              <w:szCs w:val="24"/>
              <w:lang w:eastAsia="ja-JP"/>
            </w:rPr>
          </w:pPr>
          <w:r>
            <w:t>Comparison among data, information and knowledge: ASDA</w:t>
          </w:r>
          <w:r>
            <w:tab/>
          </w:r>
          <w:r>
            <w:fldChar w:fldCharType="begin"/>
          </w:r>
          <w:r>
            <w:instrText xml:space="preserve"> PAGEREF _Toc451376942 \h </w:instrText>
          </w:r>
          <w:r>
            <w:fldChar w:fldCharType="separate"/>
          </w:r>
          <w:r>
            <w:t>3</w:t>
          </w:r>
          <w:r>
            <w:fldChar w:fldCharType="end"/>
          </w:r>
        </w:p>
        <w:p>
          <w:pPr>
            <w:pStyle w:val="12"/>
            <w:tabs>
              <w:tab w:val="right" w:leader="dot" w:pos="9016"/>
            </w:tabs>
            <w:rPr>
              <w:rFonts w:asciiTheme="minorHAnsi" w:hAnsiTheme="minorHAnsi" w:cstheme="minorBidi"/>
              <w:szCs w:val="24"/>
              <w:lang w:eastAsia="ja-JP"/>
            </w:rPr>
          </w:pPr>
          <w:r>
            <w:t>Difference between individual knowledge and organisation Knowledge: ASDA</w:t>
          </w:r>
          <w:r>
            <w:tab/>
          </w:r>
          <w:r>
            <w:fldChar w:fldCharType="begin"/>
          </w:r>
          <w:r>
            <w:instrText xml:space="preserve"> PAGEREF _Toc451376943 \h </w:instrText>
          </w:r>
          <w:r>
            <w:fldChar w:fldCharType="separate"/>
          </w:r>
          <w:r>
            <w:t>5</w:t>
          </w:r>
          <w:r>
            <w:fldChar w:fldCharType="end"/>
          </w:r>
        </w:p>
        <w:p>
          <w:pPr>
            <w:pStyle w:val="12"/>
            <w:tabs>
              <w:tab w:val="right" w:leader="dot" w:pos="9016"/>
            </w:tabs>
            <w:rPr>
              <w:rFonts w:asciiTheme="minorHAnsi" w:hAnsiTheme="minorHAnsi" w:cstheme="minorBidi"/>
              <w:szCs w:val="24"/>
              <w:lang w:eastAsia="ja-JP"/>
            </w:rPr>
          </w:pPr>
          <w:r>
            <w:t>Knowledge and Asset modelling: ASDA</w:t>
          </w:r>
          <w:r>
            <w:tab/>
          </w:r>
          <w:r>
            <w:fldChar w:fldCharType="begin"/>
          </w:r>
          <w:r>
            <w:instrText xml:space="preserve"> PAGEREF _Toc451376944 \h </w:instrText>
          </w:r>
          <w:r>
            <w:fldChar w:fldCharType="separate"/>
          </w:r>
          <w:r>
            <w:t>6</w:t>
          </w:r>
          <w:r>
            <w:fldChar w:fldCharType="end"/>
          </w:r>
        </w:p>
        <w:p>
          <w:pPr>
            <w:pStyle w:val="12"/>
            <w:tabs>
              <w:tab w:val="right" w:leader="dot" w:pos="9016"/>
            </w:tabs>
            <w:rPr>
              <w:rFonts w:asciiTheme="minorHAnsi" w:hAnsiTheme="minorHAnsi" w:cstheme="minorBidi"/>
              <w:szCs w:val="24"/>
              <w:lang w:eastAsia="ja-JP"/>
            </w:rPr>
          </w:pPr>
          <w:r>
            <w:t>Difference between actual knowledge and prospective knowledge: ASDA</w:t>
          </w:r>
          <w:r>
            <w:tab/>
          </w:r>
          <w:r>
            <w:fldChar w:fldCharType="begin"/>
          </w:r>
          <w:r>
            <w:instrText xml:space="preserve"> PAGEREF _Toc451376945 \h </w:instrText>
          </w:r>
          <w:r>
            <w:fldChar w:fldCharType="separate"/>
          </w:r>
          <w:r>
            <w:t>8</w:t>
          </w:r>
          <w:r>
            <w:fldChar w:fldCharType="end"/>
          </w:r>
        </w:p>
        <w:p>
          <w:pPr>
            <w:pStyle w:val="11"/>
            <w:tabs>
              <w:tab w:val="right" w:leader="dot" w:pos="9016"/>
            </w:tabs>
            <w:rPr>
              <w:rFonts w:asciiTheme="minorHAnsi" w:hAnsiTheme="minorHAnsi" w:cstheme="minorBidi"/>
              <w:szCs w:val="24"/>
              <w:lang w:eastAsia="ja-JP"/>
            </w:rPr>
          </w:pPr>
          <w:r>
            <w:t>Significance of Knowledge Process and development: ASDA</w:t>
          </w:r>
          <w:r>
            <w:tab/>
          </w:r>
          <w:r>
            <w:fldChar w:fldCharType="begin"/>
          </w:r>
          <w:r>
            <w:instrText xml:space="preserve"> PAGEREF _Toc451376946 \h </w:instrText>
          </w:r>
          <w:r>
            <w:fldChar w:fldCharType="separate"/>
          </w:r>
          <w:r>
            <w:t>9</w:t>
          </w:r>
          <w:r>
            <w:fldChar w:fldCharType="end"/>
          </w:r>
        </w:p>
        <w:p>
          <w:pPr>
            <w:pStyle w:val="12"/>
            <w:tabs>
              <w:tab w:val="right" w:leader="dot" w:pos="9016"/>
            </w:tabs>
            <w:rPr>
              <w:rFonts w:asciiTheme="minorHAnsi" w:hAnsiTheme="minorHAnsi" w:cstheme="minorBidi"/>
              <w:szCs w:val="24"/>
              <w:lang w:eastAsia="ja-JP"/>
            </w:rPr>
          </w:pPr>
          <w:r>
            <w:t>Requirements to create, store, apply and integrate knowledge of ASDA</w:t>
          </w:r>
          <w:r>
            <w:tab/>
          </w:r>
          <w:r>
            <w:fldChar w:fldCharType="begin"/>
          </w:r>
          <w:r>
            <w:instrText xml:space="preserve"> PAGEREF _Toc451376947 \h </w:instrText>
          </w:r>
          <w:r>
            <w:fldChar w:fldCharType="separate"/>
          </w:r>
          <w:r>
            <w:t>9</w:t>
          </w:r>
          <w:r>
            <w:fldChar w:fldCharType="end"/>
          </w:r>
        </w:p>
        <w:p>
          <w:pPr>
            <w:pStyle w:val="12"/>
            <w:tabs>
              <w:tab w:val="right" w:leader="dot" w:pos="9016"/>
            </w:tabs>
            <w:rPr>
              <w:rFonts w:asciiTheme="minorHAnsi" w:hAnsiTheme="minorHAnsi" w:cstheme="minorBidi"/>
              <w:szCs w:val="24"/>
              <w:lang w:eastAsia="ja-JP"/>
            </w:rPr>
          </w:pPr>
          <w:r>
            <w:t>Importance of intellectual property rights in context of ASDA</w:t>
          </w:r>
          <w:r>
            <w:tab/>
          </w:r>
          <w:r>
            <w:fldChar w:fldCharType="begin"/>
          </w:r>
          <w:r>
            <w:instrText xml:space="preserve"> PAGEREF _Toc451376948 \h </w:instrText>
          </w:r>
          <w:r>
            <w:fldChar w:fldCharType="separate"/>
          </w:r>
          <w:r>
            <w:t>10</w:t>
          </w:r>
          <w:r>
            <w:fldChar w:fldCharType="end"/>
          </w:r>
        </w:p>
        <w:p>
          <w:pPr>
            <w:pStyle w:val="11"/>
            <w:tabs>
              <w:tab w:val="right" w:leader="dot" w:pos="9016"/>
            </w:tabs>
            <w:rPr>
              <w:rFonts w:asciiTheme="minorHAnsi" w:hAnsiTheme="minorHAnsi" w:cstheme="minorBidi"/>
              <w:szCs w:val="24"/>
              <w:lang w:eastAsia="ja-JP"/>
            </w:rPr>
          </w:pPr>
          <w:r>
            <w:t>Framework for establishing a knowledge management culture in context of ASDA</w:t>
          </w:r>
          <w:r>
            <w:tab/>
          </w:r>
          <w:r>
            <w:fldChar w:fldCharType="begin"/>
          </w:r>
          <w:r>
            <w:instrText xml:space="preserve"> PAGEREF _Toc451376949 \h </w:instrText>
          </w:r>
          <w:r>
            <w:fldChar w:fldCharType="separate"/>
          </w:r>
          <w:r>
            <w:t>12</w:t>
          </w:r>
          <w:r>
            <w:fldChar w:fldCharType="end"/>
          </w:r>
        </w:p>
        <w:p>
          <w:pPr>
            <w:pStyle w:val="12"/>
            <w:tabs>
              <w:tab w:val="right" w:leader="dot" w:pos="9016"/>
            </w:tabs>
            <w:rPr>
              <w:rFonts w:asciiTheme="minorHAnsi" w:hAnsiTheme="minorHAnsi" w:cstheme="minorBidi"/>
              <w:szCs w:val="24"/>
              <w:lang w:eastAsia="ja-JP"/>
            </w:rPr>
          </w:pPr>
          <w:r>
            <w:t>The contribution knowledge assets have on ASDA</w:t>
          </w:r>
          <w:r>
            <w:tab/>
          </w:r>
          <w:r>
            <w:fldChar w:fldCharType="begin"/>
          </w:r>
          <w:r>
            <w:instrText xml:space="preserve"> PAGEREF _Toc451376950 \h </w:instrText>
          </w:r>
          <w:r>
            <w:fldChar w:fldCharType="separate"/>
          </w:r>
          <w:r>
            <w:t>12</w:t>
          </w:r>
          <w:r>
            <w:fldChar w:fldCharType="end"/>
          </w:r>
        </w:p>
        <w:p>
          <w:pPr>
            <w:pStyle w:val="12"/>
            <w:tabs>
              <w:tab w:val="right" w:leader="dot" w:pos="9016"/>
            </w:tabs>
            <w:rPr>
              <w:rFonts w:asciiTheme="minorHAnsi" w:hAnsiTheme="minorHAnsi" w:cstheme="minorBidi"/>
              <w:szCs w:val="24"/>
              <w:lang w:eastAsia="ja-JP"/>
            </w:rPr>
          </w:pPr>
          <w:r>
            <w:t>Evaluation of the knowledge requirements for the ASDA</w:t>
          </w:r>
          <w:r>
            <w:tab/>
          </w:r>
          <w:r>
            <w:fldChar w:fldCharType="begin"/>
          </w:r>
          <w:r>
            <w:instrText xml:space="preserve"> PAGEREF _Toc451376951 \h </w:instrText>
          </w:r>
          <w:r>
            <w:fldChar w:fldCharType="separate"/>
          </w:r>
          <w:r>
            <w:t>13</w:t>
          </w:r>
          <w:r>
            <w:fldChar w:fldCharType="end"/>
          </w:r>
        </w:p>
        <w:p>
          <w:pPr>
            <w:pStyle w:val="12"/>
            <w:tabs>
              <w:tab w:val="right" w:leader="dot" w:pos="9016"/>
            </w:tabs>
            <w:rPr>
              <w:rFonts w:asciiTheme="minorHAnsi" w:hAnsiTheme="minorHAnsi" w:cstheme="minorBidi"/>
              <w:szCs w:val="24"/>
              <w:lang w:eastAsia="ja-JP"/>
            </w:rPr>
          </w:pPr>
          <w:r>
            <w:t>Evaluation of the framework of the knowledge sharing for the ASDA</w:t>
          </w:r>
          <w:r>
            <w:tab/>
          </w:r>
          <w:r>
            <w:fldChar w:fldCharType="begin"/>
          </w:r>
          <w:r>
            <w:instrText xml:space="preserve"> PAGEREF _Toc451376952 \h </w:instrText>
          </w:r>
          <w:r>
            <w:fldChar w:fldCharType="separate"/>
          </w:r>
          <w:r>
            <w:t>14</w:t>
          </w:r>
          <w:r>
            <w:fldChar w:fldCharType="end"/>
          </w:r>
        </w:p>
        <w:p>
          <w:pPr>
            <w:pStyle w:val="12"/>
            <w:tabs>
              <w:tab w:val="right" w:leader="dot" w:pos="9016"/>
            </w:tabs>
            <w:rPr>
              <w:rFonts w:asciiTheme="minorHAnsi" w:hAnsiTheme="minorHAnsi" w:cstheme="minorBidi"/>
              <w:szCs w:val="24"/>
              <w:lang w:eastAsia="ja-JP"/>
            </w:rPr>
          </w:pPr>
          <w:r>
            <w:t>Recommendation for improvements to the current framework</w:t>
          </w:r>
          <w:r>
            <w:tab/>
          </w:r>
          <w:r>
            <w:fldChar w:fldCharType="begin"/>
          </w:r>
          <w:r>
            <w:instrText xml:space="preserve"> PAGEREF _Toc451376953 \h </w:instrText>
          </w:r>
          <w:r>
            <w:fldChar w:fldCharType="separate"/>
          </w:r>
          <w:r>
            <w:t>15</w:t>
          </w:r>
          <w:r>
            <w:fldChar w:fldCharType="end"/>
          </w:r>
        </w:p>
        <w:p>
          <w:pPr>
            <w:pStyle w:val="11"/>
            <w:tabs>
              <w:tab w:val="right" w:leader="dot" w:pos="9016"/>
            </w:tabs>
            <w:rPr>
              <w:rFonts w:asciiTheme="minorHAnsi" w:hAnsiTheme="minorHAnsi" w:cstheme="minorBidi"/>
              <w:szCs w:val="24"/>
              <w:lang w:eastAsia="ja-JP"/>
            </w:rPr>
          </w:pPr>
          <w:r>
            <w:t>Conclusion</w:t>
          </w:r>
          <w:r>
            <w:tab/>
          </w:r>
          <w:r>
            <w:fldChar w:fldCharType="begin"/>
          </w:r>
          <w:r>
            <w:instrText xml:space="preserve"> PAGEREF _Toc451376954 \h </w:instrText>
          </w:r>
          <w:r>
            <w:fldChar w:fldCharType="separate"/>
          </w:r>
          <w:r>
            <w:t>16</w:t>
          </w:r>
          <w:r>
            <w:fldChar w:fldCharType="end"/>
          </w:r>
        </w:p>
        <w:p>
          <w:pPr>
            <w:pStyle w:val="11"/>
            <w:tabs>
              <w:tab w:val="right" w:leader="dot" w:pos="9016"/>
            </w:tabs>
            <w:rPr>
              <w:rFonts w:asciiTheme="minorHAnsi" w:hAnsiTheme="minorHAnsi" w:cstheme="minorBidi"/>
              <w:szCs w:val="24"/>
              <w:lang w:eastAsia="ja-JP"/>
            </w:rPr>
          </w:pPr>
          <w:r>
            <w:t>References</w:t>
          </w:r>
          <w:r>
            <w:tab/>
          </w:r>
          <w:r>
            <w:fldChar w:fldCharType="begin"/>
          </w:r>
          <w:r>
            <w:instrText xml:space="preserve"> PAGEREF _Toc451376955 \h </w:instrText>
          </w:r>
          <w:r>
            <w:fldChar w:fldCharType="separate"/>
          </w:r>
          <w:r>
            <w:t>17</w:t>
          </w:r>
          <w:r>
            <w:fldChar w:fldCharType="end"/>
          </w:r>
        </w:p>
        <w:p>
          <w:r>
            <w:rPr>
              <w:b/>
              <w:bCs/>
            </w:rPr>
            <w:fldChar w:fldCharType="end"/>
          </w:r>
        </w:p>
      </w:sdtContent>
    </w:sdt>
    <w:p>
      <w:pPr>
        <w:pStyle w:val="2"/>
      </w:pPr>
    </w:p>
    <w:p>
      <w:pPr>
        <w:pStyle w:val="2"/>
      </w:pPr>
    </w:p>
    <w:p>
      <w:pPr>
        <w:rPr>
          <w:lang w:eastAsia="en-US"/>
        </w:rPr>
      </w:pPr>
    </w:p>
    <w:p>
      <w:pPr>
        <w:rPr>
          <w:lang w:eastAsia="en-US"/>
        </w:rPr>
      </w:pPr>
    </w:p>
    <w:p>
      <w:pPr>
        <w:rPr>
          <w:lang w:eastAsia="en-US"/>
        </w:rPr>
      </w:pPr>
    </w:p>
    <w:p>
      <w:pPr>
        <w:rPr>
          <w:lang w:eastAsia="en-US"/>
        </w:rPr>
      </w:pPr>
    </w:p>
    <w:p>
      <w:pPr>
        <w:pStyle w:val="2"/>
      </w:pPr>
      <w:bookmarkStart w:id="0" w:name="_Toc451376940"/>
      <w:r>
        <w:t>Introduction</w:t>
      </w:r>
      <w:bookmarkEnd w:id="0"/>
    </w:p>
    <w:p>
      <w:r>
        <w:t xml:space="preserve">The knowledge is the obtained data, information, and facts that have been gathered by studying, learning, and getting experience in prior working. The data is somethings that may be observations, statements, characteristics, and numbers, and words that have in used in different analysis, research, and decision. The decision-makers and analysts have used information during deciding because the information can provide an actual and real picture of the situations. The business decision and research can be conducted only with data because data cannot provide any sensible meaning to decision-makers and business professionals. The organisational knowledge has been generated gradually through different operational activities of the organisation and this assists to created additional value for the organisation. Different aspects of the knowledge management have been discussed from the perspective of ASDA in this assignment. </w:t>
      </w:r>
    </w:p>
    <w:p/>
    <w:p>
      <w:pPr>
        <w:pStyle w:val="2"/>
      </w:pPr>
    </w:p>
    <w:p>
      <w:pPr>
        <w:pStyle w:val="2"/>
      </w:pPr>
    </w:p>
    <w:p>
      <w:pPr>
        <w:pStyle w:val="2"/>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spacing w:line="259" w:lineRule="auto"/>
        <w:jc w:val="left"/>
        <w:rPr>
          <w:rFonts w:eastAsiaTheme="majorEastAsia"/>
          <w:b/>
          <w:bCs/>
          <w:sz w:val="32"/>
          <w:szCs w:val="32"/>
          <w:lang w:eastAsia="en-US"/>
        </w:rPr>
      </w:pPr>
      <w:r>
        <w:br w:type="page"/>
      </w:r>
    </w:p>
    <w:p>
      <w:pPr>
        <w:pStyle w:val="2"/>
      </w:pPr>
      <w:bookmarkStart w:id="1" w:name="_Toc451376941"/>
      <w:r>
        <w:t>The Concept of Knowledge Management: ASDA</w:t>
      </w:r>
      <w:bookmarkEnd w:id="1"/>
      <w:r>
        <w:t xml:space="preserve"> </w:t>
      </w:r>
    </w:p>
    <w:p>
      <w:pPr>
        <w:rPr>
          <w:lang w:eastAsia="en-US"/>
        </w:rPr>
      </w:pPr>
      <w:r>
        <w:rPr>
          <w:lang w:eastAsia="en-US"/>
        </w:rPr>
        <w:t xml:space="preserve">The concept of the data, information, and knowledge is important to make an effective business decision to attain the goals of the organisation (Barry, 2019). The concept of the knowledge, data, information has been discussed in this assignment to show the necessity of knowledge management in the business organisation.   </w:t>
      </w:r>
    </w:p>
    <w:p>
      <w:pPr>
        <w:pStyle w:val="3"/>
      </w:pPr>
      <w:bookmarkStart w:id="2" w:name="_Toc451376942"/>
      <w:r>
        <w:t>Comparison among data, information and knowledge: ASDA</w:t>
      </w:r>
      <w:bookmarkEnd w:id="2"/>
      <w:r>
        <w:t xml:space="preserve"> </w:t>
      </w:r>
    </w:p>
    <w:p>
      <w:r>
        <w:t xml:space="preserve">The business decision and other important decision, analysis, and research have been made based on the different types of data, and information. To make an accurate and articulate business decision and analysis, the business professionals and analysts need to collect authentic data and information (Blackstone and Christian, 2020). To collect authentic data and maintain the quality of the information, the business professionals and analysts have been used different types of models and dimensions. </w:t>
      </w:r>
    </w:p>
    <w:p>
      <w:r>
        <w:t xml:space="preserve">The data is somethings that may be observations, statements, characteristics, and numbers, and words that have in used in different analysis, research, and decision. The characteristics of the data may be categorised as quantitative data or qualitative data. The data that has been presented in the form of statements or words are generally called qualitative data. On the other hand, the data that has been presented in the form of numeric style or numbers are generally called quantitative data. </w:t>
      </w:r>
    </w:p>
    <w:p>
      <w:r>
        <w:t>Information is a collection of the different types of data that has been found by after making appropriate process and using scientific methods. The decision-makers and analysts have used information during deciding because the information can provide an actual and real picture of the situations (Bodnar and Hopwood, 2014).</w:t>
      </w:r>
    </w:p>
    <w:p>
      <w:r>
        <w:t xml:space="preserve">The knowledge is the obtained data, information, and facts that have been gathered by studying, learning, and getting experience in prior working. As data and information, knowledge is also important in making business and formal decision. Since the knowledge is obtained by the process of learning and studying, the knowledge is more valuable to make a decision rather than data and information </w:t>
      </w:r>
      <w:r>
        <w:rPr>
          <w:b/>
          <w:bCs/>
        </w:rPr>
        <w:t>(</w:t>
      </w:r>
      <w:r>
        <w:t>Cheema, 2020).</w:t>
      </w:r>
    </w:p>
    <w:p/>
    <w:p>
      <w:pPr>
        <w:keepNext/>
      </w:pPr>
      <w:r>
        <w:rPr>
          <w:lang w:val="en-US" w:eastAsia="en-US"/>
        </w:rPr>
        <w:drawing>
          <wp:inline distT="0" distB="0" distL="0" distR="0">
            <wp:extent cx="5848350" cy="2276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5849167" cy="2276793"/>
                    </a:xfrm>
                    <a:prstGeom prst="rect">
                      <a:avLst/>
                    </a:prstGeom>
                  </pic:spPr>
                </pic:pic>
              </a:graphicData>
            </a:graphic>
          </wp:inline>
        </w:drawing>
      </w:r>
    </w:p>
    <w:p>
      <w:pPr>
        <w:pStyle w:val="5"/>
        <w:spacing w:after="0"/>
        <w:jc w:val="center"/>
        <w:rPr>
          <w:b/>
          <w:bCs/>
          <w:color w:val="auto"/>
          <w:sz w:val="20"/>
          <w:szCs w:val="20"/>
        </w:rPr>
      </w:pPr>
      <w:r>
        <w:rPr>
          <w:b/>
          <w:bCs/>
          <w:color w:val="auto"/>
          <w:sz w:val="20"/>
          <w:szCs w:val="20"/>
        </w:rPr>
        <w:t xml:space="preserve">Figure </w:t>
      </w:r>
      <w:r>
        <w:rPr>
          <w:b/>
          <w:bCs/>
          <w:color w:val="auto"/>
          <w:sz w:val="20"/>
          <w:szCs w:val="20"/>
        </w:rPr>
        <w:fldChar w:fldCharType="begin"/>
      </w:r>
      <w:r>
        <w:rPr>
          <w:b/>
          <w:bCs/>
          <w:color w:val="auto"/>
          <w:sz w:val="20"/>
          <w:szCs w:val="20"/>
        </w:rPr>
        <w:instrText xml:space="preserve"> SEQ Figure \* ARABIC </w:instrText>
      </w:r>
      <w:r>
        <w:rPr>
          <w:b/>
          <w:bCs/>
          <w:color w:val="auto"/>
          <w:sz w:val="20"/>
          <w:szCs w:val="20"/>
        </w:rPr>
        <w:fldChar w:fldCharType="separate"/>
      </w:r>
      <w:r>
        <w:rPr>
          <w:b/>
          <w:bCs/>
          <w:color w:val="auto"/>
          <w:sz w:val="20"/>
          <w:szCs w:val="20"/>
        </w:rPr>
        <w:t>1</w:t>
      </w:r>
      <w:r>
        <w:rPr>
          <w:b/>
          <w:bCs/>
          <w:color w:val="auto"/>
          <w:sz w:val="20"/>
          <w:szCs w:val="20"/>
        </w:rPr>
        <w:fldChar w:fldCharType="end"/>
      </w:r>
      <w:r>
        <w:rPr>
          <w:b/>
          <w:bCs/>
          <w:color w:val="auto"/>
          <w:sz w:val="20"/>
          <w:szCs w:val="20"/>
        </w:rPr>
        <w:t>: Relationship between data, information, and knowledge</w:t>
      </w:r>
    </w:p>
    <w:p>
      <w:pPr>
        <w:spacing w:after="0" w:line="240" w:lineRule="auto"/>
        <w:jc w:val="center"/>
        <w:rPr>
          <w:b/>
          <w:bCs/>
          <w:i/>
          <w:iCs/>
          <w:sz w:val="20"/>
          <w:szCs w:val="20"/>
        </w:rPr>
      </w:pPr>
      <w:r>
        <w:rPr>
          <w:b/>
          <w:bCs/>
          <w:i/>
          <w:iCs/>
          <w:sz w:val="20"/>
          <w:szCs w:val="20"/>
        </w:rPr>
        <w:t>Source: (Debowski, 2020)</w:t>
      </w:r>
    </w:p>
    <w:p>
      <w:pPr>
        <w:spacing w:after="0" w:line="240" w:lineRule="auto"/>
        <w:jc w:val="center"/>
        <w:rPr>
          <w:b/>
          <w:bCs/>
          <w:i/>
          <w:iCs/>
        </w:rPr>
      </w:pPr>
    </w:p>
    <w:p>
      <w:r>
        <w:t>The terms of the data, information, and knowledge are interrelated because the knowledge has not been generated without the collection of the data, and information. Data is the subject, fact, knowledge, and characteristics that have been used to make sensible information that is essential for making a prudent decision (Debowski, 2020). So, business information is the outcome of the processed raw data. The business decision and research can be conducted only with data because data cannot provide any sensible meaning to decision-makers and business professionals. Furthermore, the information is summarised of all collected sensible, relevant, and complete data. So, data and information are the interrelated and dependent on each other to be useful in the decision-making process. Moreover, knowledge is the application of the data and information in practical life with using of the judgements, experience, and understandings. For example, the selling amount of the ASDA is data that just figure and cannot make any conclusion. On the other hand, the sales margin of the ASDA is information that is generated by the processing of the sales data. The application of the sales amount and sales margin the knowledge (Frappaolo, 2016). To interpret any information, knowledge is required in business decision making.</w:t>
      </w:r>
    </w:p>
    <w:p/>
    <w:p/>
    <w:p/>
    <w:p/>
    <w:p>
      <w:pPr>
        <w:pStyle w:val="3"/>
      </w:pPr>
      <w:bookmarkStart w:id="3" w:name="_Toc451376943"/>
      <w:r>
        <w:t>Difference between individual knowledge and organisation Knowledge: ASDA</w:t>
      </w:r>
      <w:bookmarkEnd w:id="3"/>
      <w:r>
        <w:t xml:space="preserve"> </w:t>
      </w:r>
    </w:p>
    <w:p>
      <w:r>
        <w:t xml:space="preserve">The learning, experience, and education that are stored in the human brain and memory are known as individual knowledge (Galati, 2016). The individual can learn from the educational institutions, workplace and practical experience in personal life. The practical experience and learning of the individuals turn into the knowledge that may be used in professional life and the workplace. To be a success in personal life and professional life, every individual has to gather knowledge, manage knowledge, and spread knowledge to society. The activities of the gathering, managing, and spreading knowledge of the individual are known as the knowledge management theoretically </w:t>
      </w:r>
      <w:r>
        <w:rPr>
          <w:b/>
          <w:bCs/>
        </w:rPr>
        <w:t>(</w:t>
      </w:r>
      <w:r>
        <w:t xml:space="preserve">Galliers and Currie, 2019). The knowledge management system enables the individual to make an articulate and prudent decision in personal and professional life. </w:t>
      </w:r>
    </w:p>
    <w:p>
      <w:r>
        <w:t xml:space="preserve">On the other hand, the organisational knowledge has been developed day by the through the process of the application of the individual knowledge in the organisation during the decision making (Knowledge Management Systems, 2020). Like an individual, the organisational knowledge has been gained from the activities of the employees, innovation of the intellectual property, joining in the business meeting, and story of the success and failure. In the formation of the organisational knowledge, there has a significant contribution of the individual knowledge because the organisation has been run with the association of the individuals (Laudon and Laudon, 2017). </w:t>
      </w:r>
    </w:p>
    <w:p>
      <w:pPr>
        <w:keepNext/>
        <w:jc w:val="center"/>
      </w:pPr>
      <w:r>
        <w:rPr>
          <w:lang w:val="en-US" w:eastAsia="en-US"/>
        </w:rPr>
        <w:drawing>
          <wp:inline distT="0" distB="0" distL="0" distR="0">
            <wp:extent cx="4829175" cy="28022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4831881" cy="2804270"/>
                    </a:xfrm>
                    <a:prstGeom prst="rect">
                      <a:avLst/>
                    </a:prstGeom>
                  </pic:spPr>
                </pic:pic>
              </a:graphicData>
            </a:graphic>
          </wp:inline>
        </w:drawing>
      </w:r>
    </w:p>
    <w:p>
      <w:pPr>
        <w:pStyle w:val="5"/>
        <w:spacing w:after="0"/>
        <w:jc w:val="center"/>
        <w:rPr>
          <w:b/>
          <w:bCs/>
          <w:color w:val="auto"/>
          <w:sz w:val="20"/>
          <w:szCs w:val="20"/>
        </w:rPr>
      </w:pPr>
      <w:r>
        <w:rPr>
          <w:b/>
          <w:bCs/>
          <w:color w:val="auto"/>
          <w:sz w:val="20"/>
          <w:szCs w:val="20"/>
        </w:rPr>
        <w:t xml:space="preserve">Figure </w:t>
      </w:r>
      <w:r>
        <w:rPr>
          <w:b/>
          <w:bCs/>
          <w:color w:val="auto"/>
          <w:sz w:val="20"/>
          <w:szCs w:val="20"/>
        </w:rPr>
        <w:fldChar w:fldCharType="begin"/>
      </w:r>
      <w:r>
        <w:rPr>
          <w:b/>
          <w:bCs/>
          <w:color w:val="auto"/>
          <w:sz w:val="20"/>
          <w:szCs w:val="20"/>
        </w:rPr>
        <w:instrText xml:space="preserve"> SEQ Figure \* ARABIC </w:instrText>
      </w:r>
      <w:r>
        <w:rPr>
          <w:b/>
          <w:bCs/>
          <w:color w:val="auto"/>
          <w:sz w:val="20"/>
          <w:szCs w:val="20"/>
        </w:rPr>
        <w:fldChar w:fldCharType="separate"/>
      </w:r>
      <w:r>
        <w:rPr>
          <w:b/>
          <w:bCs/>
          <w:color w:val="auto"/>
          <w:sz w:val="20"/>
          <w:szCs w:val="20"/>
        </w:rPr>
        <w:t>2</w:t>
      </w:r>
      <w:r>
        <w:rPr>
          <w:b/>
          <w:bCs/>
          <w:color w:val="auto"/>
          <w:sz w:val="20"/>
          <w:szCs w:val="20"/>
        </w:rPr>
        <w:fldChar w:fldCharType="end"/>
      </w:r>
      <w:r>
        <w:rPr>
          <w:b/>
          <w:bCs/>
          <w:color w:val="auto"/>
          <w:sz w:val="20"/>
          <w:szCs w:val="20"/>
        </w:rPr>
        <w:t>: Relationship between individual knowledge and organisational knowledge</w:t>
      </w:r>
    </w:p>
    <w:p>
      <w:pPr>
        <w:spacing w:after="0"/>
        <w:jc w:val="center"/>
        <w:rPr>
          <w:b/>
          <w:bCs/>
          <w:i/>
          <w:iCs/>
          <w:sz w:val="20"/>
          <w:szCs w:val="20"/>
        </w:rPr>
      </w:pPr>
      <w:r>
        <w:rPr>
          <w:b/>
          <w:bCs/>
          <w:i/>
          <w:iCs/>
          <w:sz w:val="20"/>
          <w:szCs w:val="20"/>
        </w:rPr>
        <w:t>Source: (Debowski, 2020)</w:t>
      </w:r>
    </w:p>
    <w:p>
      <w:r>
        <w:t xml:space="preserve">Although the individual has gathered different knowledge and experience from nature and organisation, most of the knowledge of the individual has been gathered with the association of the organisation in personal life (Longley, 2015). So, without the help of organisational knowledge, the development and enhancement of the individual knowledge are impossible. The knowledge of the individual has been processed with the association of the individual's judgement, and the expert’s interpretation. The processed knowledge of the individual has been available as either tacit or explicit form. The knowledge that has been documented for further use and as a piece of evidence is known as explicit knowledge. On the other hand, the acquisition of knowledge through the natural way and practical experience is known as tacit knowledge </w:t>
      </w:r>
      <w:r>
        <w:rPr>
          <w:b/>
          <w:bCs/>
        </w:rPr>
        <w:t>(</w:t>
      </w:r>
      <w:r>
        <w:t>O'Brien and Marakas, 2019). The individual knowledge and skill have been applied in the organisation to solve the different business problem as well as to create value for the organisation (Simkin, Rose and Norman, 2013). The combination of the different individual knowledge helps to generate new knowledge for the organisation with the association of the socialisation and externalisation. Finally, individual knowledge turns into group learning as well as organisational knowledge through disseminating knowledge. So, individual knowledge and organisational knowledge are the interrelated and dependent on each other to generate new knowledge and idea (Oz, 2019).</w:t>
      </w:r>
    </w:p>
    <w:p>
      <w:pPr>
        <w:pStyle w:val="3"/>
      </w:pPr>
      <w:bookmarkStart w:id="4" w:name="_Toc451376944"/>
      <w:r>
        <w:t>Knowledge and Asset modelling: ASDA</w:t>
      </w:r>
      <w:bookmarkEnd w:id="4"/>
      <w:r>
        <w:t xml:space="preserve"> </w:t>
      </w:r>
    </w:p>
    <w:p>
      <w:r>
        <w:t>The terms of the knowledge asset are very important issues for the business organisation because the knowledge asset can create value and cash inflow for the business (Tiwana, 2016). The knowledge asset is the portfolio of the different types of knowledge that has been arisen from the workers, group discussion, story of the success, story of the failure, experience and quotes that may be either documented or undocumented. For the development of the knowledge asset, the proper management knowledge and knowledge management system is very essential (Barry, 2019). The business organisation like ASDA that can manage its knowledge properly as well as that can increase the knowledge asset can more profit and create value for the organisation. The identification of the knowledge asset is the important and complex task that requires united efforts of the business professionals and management of the ASDA (Blackstone and Christian, 2020). The organisation like ASDA can identify the knowledge asset by applying the following techniques:</w:t>
      </w:r>
    </w:p>
    <w:p/>
    <w:p>
      <w:pPr>
        <w:keepNext/>
        <w:jc w:val="center"/>
      </w:pPr>
      <w:r>
        <w:rPr>
          <w:lang w:val="en-US" w:eastAsia="en-US"/>
        </w:rPr>
        <w:drawing>
          <wp:inline distT="0" distB="0" distL="0" distR="0">
            <wp:extent cx="5353050" cy="3382010"/>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5353050" cy="3382010"/>
                    </a:xfrm>
                    <a:prstGeom prst="rect">
                      <a:avLst/>
                    </a:prstGeom>
                  </pic:spPr>
                </pic:pic>
              </a:graphicData>
            </a:graphic>
          </wp:inline>
        </w:drawing>
      </w:r>
    </w:p>
    <w:p>
      <w:pPr>
        <w:pStyle w:val="5"/>
        <w:spacing w:after="0"/>
        <w:jc w:val="center"/>
        <w:rPr>
          <w:b/>
          <w:bCs/>
          <w:color w:val="auto"/>
          <w:sz w:val="20"/>
          <w:szCs w:val="20"/>
        </w:rPr>
      </w:pPr>
      <w:r>
        <w:rPr>
          <w:b/>
          <w:bCs/>
          <w:color w:val="auto"/>
          <w:sz w:val="20"/>
          <w:szCs w:val="20"/>
        </w:rPr>
        <w:t xml:space="preserve">Figure </w:t>
      </w:r>
      <w:r>
        <w:rPr>
          <w:b/>
          <w:bCs/>
          <w:color w:val="auto"/>
          <w:sz w:val="20"/>
          <w:szCs w:val="20"/>
        </w:rPr>
        <w:fldChar w:fldCharType="begin"/>
      </w:r>
      <w:r>
        <w:rPr>
          <w:b/>
          <w:bCs/>
          <w:color w:val="auto"/>
          <w:sz w:val="20"/>
          <w:szCs w:val="20"/>
        </w:rPr>
        <w:instrText xml:space="preserve"> SEQ Figure \* ARABIC </w:instrText>
      </w:r>
      <w:r>
        <w:rPr>
          <w:b/>
          <w:bCs/>
          <w:color w:val="auto"/>
          <w:sz w:val="20"/>
          <w:szCs w:val="20"/>
        </w:rPr>
        <w:fldChar w:fldCharType="separate"/>
      </w:r>
      <w:r>
        <w:rPr>
          <w:b/>
          <w:bCs/>
          <w:color w:val="auto"/>
          <w:sz w:val="20"/>
          <w:szCs w:val="20"/>
        </w:rPr>
        <w:t>3</w:t>
      </w:r>
      <w:r>
        <w:rPr>
          <w:b/>
          <w:bCs/>
          <w:color w:val="auto"/>
          <w:sz w:val="20"/>
          <w:szCs w:val="20"/>
        </w:rPr>
        <w:fldChar w:fldCharType="end"/>
      </w:r>
      <w:r>
        <w:rPr>
          <w:b/>
          <w:bCs/>
          <w:color w:val="auto"/>
          <w:sz w:val="20"/>
          <w:szCs w:val="20"/>
        </w:rPr>
        <w:t>: Modelling techniques to identify knowledge assets</w:t>
      </w:r>
    </w:p>
    <w:p>
      <w:pPr>
        <w:spacing w:after="0"/>
        <w:jc w:val="center"/>
        <w:rPr>
          <w:b/>
          <w:bCs/>
          <w:i/>
          <w:iCs/>
          <w:sz w:val="20"/>
          <w:szCs w:val="20"/>
        </w:rPr>
      </w:pPr>
      <w:r>
        <w:rPr>
          <w:b/>
          <w:bCs/>
          <w:i/>
          <w:iCs/>
          <w:sz w:val="20"/>
          <w:szCs w:val="20"/>
        </w:rPr>
        <w:t xml:space="preserve">Source: </w:t>
      </w:r>
      <w:r>
        <w:rPr>
          <w:b/>
          <w:bCs/>
          <w:i/>
          <w:iCs/>
          <w:color w:val="000000"/>
          <w:sz w:val="20"/>
          <w:szCs w:val="20"/>
          <w:shd w:val="clear" w:color="auto" w:fill="FFFFFF"/>
        </w:rPr>
        <w:t>(Bodnar and Hopwood, 2014)</w:t>
      </w:r>
    </w:p>
    <w:p>
      <w:r>
        <w:rPr>
          <w:b/>
          <w:bCs/>
        </w:rPr>
        <w:t xml:space="preserve">Co-operative with the partnership: </w:t>
      </w:r>
      <w:r>
        <w:t>Every person has different ideas, knowledge, experience regarding personal life and professional life (Debowski, 2020). The ASDA can gather knowledge from its employees, managers, and business partners to create a new business idea that can create value for the organisation. The managers of the ASDA can get knowledge from the customer service and customer requirements by communicating with customers and analysing their demands. The suppliers and distributors can provide new knowledge and idea to the managers and corporate officials to develop new knowledge asset (Cheema, 2020).</w:t>
      </w:r>
    </w:p>
    <w:p>
      <w:r>
        <w:rPr>
          <w:b/>
          <w:bCs/>
        </w:rPr>
        <w:t>Industry-wise information:</w:t>
      </w:r>
      <w:r>
        <w:t xml:space="preserve"> The knowledge for the ASDA has been developed from the different types of external and internal information. The ASDA can develop new knowledge for the business by analysing the prior information of the own industry and other industry. The success and failure story of the own and other industry also can provide new data, information to create the knowledge asset (Frappaolo, 2016).</w:t>
      </w:r>
    </w:p>
    <w:p>
      <w:r>
        <w:rPr>
          <w:b/>
          <w:bCs/>
        </w:rPr>
        <w:t>Tacit knowledge:</w:t>
      </w:r>
      <w:r>
        <w:t xml:space="preserve"> It is the medium of generating knowledge through the natural way and gathering the experience. The knowledge and experience of the employees and other personnel of the ASDA can share and disseminate their experience to improve the knowledge asset of the organisation (Galati, 2016).</w:t>
      </w:r>
    </w:p>
    <w:p>
      <w:r>
        <w:rPr>
          <w:b/>
          <w:bCs/>
        </w:rPr>
        <w:t>Intellectual property rights:</w:t>
      </w:r>
      <w:r>
        <w:t xml:space="preserve"> Every organisation like ASDA has some intellectual and intangible property that can be used to generate revenue and increase the value of the organisation. The business organisation can register this intellectual property and asset legally for protection of this asset. These patent and registration of the intellectual asset of the organisation like ASDA is the other technique to identify the knowledge asset (Galliers and Currie, 2019).</w:t>
      </w:r>
    </w:p>
    <w:p>
      <w:pPr>
        <w:pStyle w:val="3"/>
      </w:pPr>
      <w:bookmarkStart w:id="5" w:name="_Toc451376945"/>
      <w:r>
        <w:t>Difference between actual knowledge and prospective knowledge: ASDA</w:t>
      </w:r>
      <w:bookmarkEnd w:id="5"/>
      <w:r>
        <w:t xml:space="preserve"> </w:t>
      </w:r>
    </w:p>
    <w:p>
      <w:pPr>
        <w:rPr>
          <w:lang w:eastAsia="en-US"/>
        </w:rPr>
      </w:pPr>
      <w:r>
        <w:rPr>
          <w:lang w:eastAsia="en-US"/>
        </w:rPr>
        <w:t>The organisation has different types of data and information that may be a knowledge asset that may be able to create value for the organisation. To ensure sustainable development and long-term success of the ASDA, the managers and professionals of the ASDA should be able to identify the actual and potential knowledge asset (Knowledge Management Systems, 2020). The prudent and articulate mangers of the ASDA can identify the knowledge asset very easily with their proficient. The existing knowledge asset of the needs to be maintained and the potential knowledge asset of the organisation needs to convert into actual knowledge asset of the ASDA. The skilled and experienced employees and personnel of the organisation are considered as the actual knowledge asset of the ASDA. The ASDA can generate more value by utilising the knowledge and experience of the skilled and expert employees of the organisation. When the ASDA can provide the required motivation and sufficient incentives to the employees of the organisation, the ASDA can generate value from the skilled employees and personal as a knowledge asset. On the other hand, the ASDA may face challenges when skilled and experienced employees left from the organisation and join with competitors. The intangible asset like brand, patent, and reputation of the ASDA is considered as the other set of the actual knowledge asset because these assets can generate value for the organisation by increasing revenue and profit (Laudon and Laudon, 2017). To avoid the risk regarding unauthorised use of this intangible asset, the organisation can take register from the regulator and legal institutions. Like actual knowledge asset of the organisation, the organisation also holds some potential knowledge asset that can increase revenue for the ASDA after making usable condition. The example of the potential knowledge for the ASDA is the new product idea, new differentiation strategy, the possibility of establishing an effective supply chain, and new financing strategy (Longley, 2015).</w:t>
      </w:r>
    </w:p>
    <w:p>
      <w:pPr>
        <w:rPr>
          <w:lang w:eastAsia="en-US"/>
        </w:rPr>
      </w:pPr>
    </w:p>
    <w:p>
      <w:pPr>
        <w:rPr>
          <w:lang w:eastAsia="en-US"/>
        </w:rPr>
      </w:pPr>
    </w:p>
    <w:p>
      <w:pPr>
        <w:pStyle w:val="2"/>
      </w:pPr>
      <w:bookmarkStart w:id="6" w:name="_Toc451376946"/>
      <w:r>
        <w:t>Significance of Knowledge Process and development: ASDA</w:t>
      </w:r>
      <w:bookmarkEnd w:id="6"/>
      <w:r>
        <w:t xml:space="preserve"> </w:t>
      </w:r>
    </w:p>
    <w:p>
      <w:pPr>
        <w:rPr>
          <w:lang w:eastAsia="en-US"/>
        </w:rPr>
      </w:pPr>
      <w:r>
        <w:rPr>
          <w:lang w:eastAsia="en-US"/>
        </w:rPr>
        <w:t xml:space="preserve">As knowledge is considered as the critical success factor for the business organisation, the organisation needs to appropriate action to collect, maintain, and manage knowledge (O'Brien and Marakas, 2019). The importance of the knowledge management system has been discussed in this section of the assignment. </w:t>
      </w:r>
    </w:p>
    <w:p>
      <w:pPr>
        <w:pStyle w:val="3"/>
      </w:pPr>
      <w:bookmarkStart w:id="7" w:name="_Toc451376947"/>
      <w:r>
        <w:t>Requirements to create, store, apply and integrate knowledge of ASDA</w:t>
      </w:r>
      <w:bookmarkEnd w:id="7"/>
    </w:p>
    <w:p>
      <w:pPr>
        <w:rPr>
          <w:lang w:eastAsia="en-US"/>
        </w:rPr>
      </w:pPr>
      <w:r>
        <w:rPr>
          <w:lang w:eastAsia="en-US"/>
        </w:rPr>
        <w:t xml:space="preserve">The achievement of the business, as well as the individual, depends on the creation and application of the knowledge and information within the operation of the business. The followings process is required to create, store, apply, and integrate the knowledge (Oz, 2019). </w:t>
      </w:r>
    </w:p>
    <w:p>
      <w:pPr>
        <w:rPr>
          <w:lang w:eastAsia="en-US"/>
        </w:rPr>
      </w:pPr>
      <w:r>
        <w:rPr>
          <w:b/>
          <w:bCs/>
          <w:lang w:eastAsia="en-US"/>
        </w:rPr>
        <w:t>Conduction of the research:</w:t>
      </w:r>
      <w:r>
        <w:rPr>
          <w:lang w:eastAsia="en-US"/>
        </w:rPr>
        <w:t xml:space="preserve"> The prime medium of a generation of new knowledge is performing research in a different field. The research helps the mangers and officer of the ASDA to identify the new knowledge regarding suppliers, customers, and the overall economy. The ASDA can research by analysing the customer data, credit data, and selling data to create new knowledge. The customer data assists the manager of the ASDA to identify the purchasing behaviours of the customers along with an economic and social condition (Simkin, Rose and Norman, 2013).</w:t>
      </w:r>
    </w:p>
    <w:p>
      <w:pPr>
        <w:rPr>
          <w:lang w:eastAsia="en-US"/>
        </w:rPr>
      </w:pPr>
      <w:r>
        <w:rPr>
          <w:b/>
          <w:bCs/>
          <w:lang w:eastAsia="en-US"/>
        </w:rPr>
        <w:t>Brainstorming:</w:t>
      </w:r>
      <w:r>
        <w:rPr>
          <w:lang w:eastAsia="en-US"/>
        </w:rPr>
        <w:t xml:space="preserve"> The other ways to generate new knowledge for the business is participating in brainstorming work together for solving a particular matter. The skilled and experienced person needs to participate in brainstorming activities so that the knowledge creation work can be accomplished on time (Tiwana, 2016). </w:t>
      </w:r>
    </w:p>
    <w:p>
      <w:pPr>
        <w:rPr>
          <w:lang w:eastAsia="en-US"/>
        </w:rPr>
      </w:pPr>
      <w:r>
        <w:rPr>
          <w:b/>
          <w:bCs/>
          <w:lang w:eastAsia="en-US"/>
        </w:rPr>
        <w:t>Sharing prior experience:</w:t>
      </w:r>
      <w:r>
        <w:rPr>
          <w:lang w:eastAsia="en-US"/>
        </w:rPr>
        <w:t xml:space="preserve"> The knowledge for the personal life and business organisation can be generated through the process of sharing prior experience and knowledge with peer groups. The sharing and disseminating works help the manager and business professional to identify the knowledge gap and loopholes in a specific subject area.</w:t>
      </w:r>
    </w:p>
    <w:p>
      <w:pPr>
        <w:rPr>
          <w:lang w:eastAsia="en-US"/>
        </w:rPr>
      </w:pPr>
      <w:r>
        <w:rPr>
          <w:b/>
          <w:bCs/>
          <w:lang w:eastAsia="en-US"/>
        </w:rPr>
        <w:t>Focus on continuous improvement:</w:t>
      </w:r>
      <w:r>
        <w:rPr>
          <w:lang w:eastAsia="en-US"/>
        </w:rPr>
        <w:t xml:space="preserve"> There cannot improve in personal and professional life. To gather new knowledge and ideas, the mangers and business professionals need to provide continuous focus on the development of the operation of the business as well as the improvement of the business activities </w:t>
      </w:r>
      <w:r>
        <w:rPr>
          <w:rStyle w:val="16"/>
          <w:rFonts w:ascii="Arial" w:hAnsi="Arial" w:cs="Arial"/>
          <w:color w:val="666666"/>
          <w:sz w:val="20"/>
          <w:szCs w:val="20"/>
          <w:shd w:val="clear" w:color="auto" w:fill="FFFFFF"/>
        </w:rPr>
        <w:t>(</w:t>
      </w:r>
      <w:r>
        <w:rPr>
          <w:rStyle w:val="25"/>
          <w:rFonts w:ascii="Arial" w:hAnsi="Arial" w:cs="Arial"/>
          <w:color w:val="000000"/>
          <w:sz w:val="20"/>
          <w:szCs w:val="20"/>
          <w:shd w:val="clear" w:color="auto" w:fill="FFFFFF"/>
        </w:rPr>
        <w:t>Blackstone and Christian, 2020)</w:t>
      </w:r>
      <w:r>
        <w:rPr>
          <w:lang w:eastAsia="en-US"/>
        </w:rPr>
        <w:t>.</w:t>
      </w:r>
    </w:p>
    <w:p>
      <w:pPr>
        <w:rPr>
          <w:lang w:eastAsia="en-US"/>
        </w:rPr>
      </w:pPr>
      <w:r>
        <w:rPr>
          <w:lang w:eastAsia="en-US"/>
        </w:rPr>
        <w:t>After generating the new ideas and knowledge, the managers and business professionals need to store the created knowledge and idea to ensure proper application of the knowledge (Cheema, 2020). The documentation strategy is the best technique to store actual and potential knowledge. The organisation can use both traditional and digital strategy to sore and make documentation of the knowledge. To avoid the risk of the loss of knowledge, the organisation needs to use the cloud computing system to store the knowledge (Bodnar and Hopwood, 2014).</w:t>
      </w:r>
    </w:p>
    <w:p>
      <w:pPr>
        <w:rPr>
          <w:lang w:eastAsia="en-US"/>
        </w:rPr>
      </w:pPr>
      <w:r>
        <w:rPr>
          <w:lang w:eastAsia="en-US"/>
        </w:rPr>
        <w:t>After creation and storage of the knowledge, the organisation needs to ensure the proper use of the knowledge as per requirement and as on-demand. Before the integration of knowledge, the organisation needs to identify the actual problems and potential solutions for problems (Debowski, 2020).</w:t>
      </w:r>
    </w:p>
    <w:p>
      <w:pPr>
        <w:pStyle w:val="3"/>
      </w:pPr>
      <w:bookmarkStart w:id="8" w:name="_Toc451376948"/>
      <w:r>
        <w:t>Importance of intellectual property rights in context of ASDA</w:t>
      </w:r>
      <w:bookmarkEnd w:id="8"/>
    </w:p>
    <w:p>
      <w:pPr>
        <w:rPr>
          <w:lang w:eastAsia="en-US"/>
        </w:rPr>
      </w:pPr>
      <w:r>
        <w:rPr>
          <w:lang w:eastAsia="en-US"/>
        </w:rPr>
        <w:t xml:space="preserve">To ensure sustainable development and long-term success of the organisation, the managers and professionals of the organisation should be able to identify available intellectual property in an organisation and protect these intellectual properties from unauthorised used by other competitors (Frappaolo, 2016). The prudent and articulate mangers of the organisation like ASDA can be able to identify intellectual property very easily with their proficient. The existing intellectual property of the business needs to be maintained and the potential intellectual property of the organisation needs to convert into the actual intellectual property of the organisation </w:t>
      </w:r>
      <w:r>
        <w:rPr>
          <w:b/>
          <w:bCs/>
          <w:lang w:eastAsia="en-US"/>
        </w:rPr>
        <w:t>(</w:t>
      </w:r>
      <w:r>
        <w:rPr>
          <w:lang w:eastAsia="en-US"/>
        </w:rPr>
        <w:t>Galati, 2016). The importance of intellectual property rights is discussed below:</w:t>
      </w:r>
    </w:p>
    <w:p>
      <w:pPr>
        <w:rPr>
          <w:lang w:eastAsia="en-US"/>
        </w:rPr>
      </w:pPr>
      <w:r>
        <w:rPr>
          <w:b/>
          <w:bCs/>
          <w:lang w:eastAsia="en-US"/>
        </w:rPr>
        <w:t>Differentiated the business:</w:t>
      </w:r>
      <w:r>
        <w:rPr>
          <w:lang w:eastAsia="en-US"/>
        </w:rPr>
        <w:t xml:space="preserve"> The intellectual property rights help the business organisation to be only one user of the intellectual property to produce unique products and generate revenue </w:t>
      </w:r>
      <w:r>
        <w:rPr>
          <w:rFonts w:ascii="Arial" w:hAnsi="Arial" w:cs="Arial"/>
          <w:color w:val="000000"/>
          <w:sz w:val="20"/>
          <w:szCs w:val="20"/>
          <w:shd w:val="clear" w:color="auto" w:fill="FFFFFF"/>
        </w:rPr>
        <w:t>(</w:t>
      </w:r>
      <w:r>
        <w:rPr>
          <w:lang w:eastAsia="en-US"/>
        </w:rPr>
        <w:t>Galliers and Currie, 2019). For example, since the process of the producing Coco-Cola is secret and resisted with legal enforce, the competitors cannot use the production process of the Coca Cola. This legal right provides the additional opportunity to Coca Cola to make additional revenue as well as additional profit. Furthermore, this legal right enables the Coca Cola to be market differentiated in beverage and soft drinks industry.</w:t>
      </w:r>
    </w:p>
    <w:p>
      <w:pPr>
        <w:rPr>
          <w:lang w:eastAsia="en-US"/>
        </w:rPr>
      </w:pPr>
    </w:p>
    <w:p>
      <w:pPr>
        <w:rPr>
          <w:lang w:eastAsia="en-US"/>
        </w:rPr>
      </w:pPr>
    </w:p>
    <w:p>
      <w:pPr>
        <w:rPr>
          <w:lang w:eastAsia="en-US"/>
        </w:rPr>
      </w:pPr>
    </w:p>
    <w:p>
      <w:pPr>
        <w:rPr>
          <w:lang w:eastAsia="en-US"/>
        </w:rPr>
      </w:pPr>
      <w:r>
        <w:rPr>
          <w:b/>
          <w:bCs/>
          <w:lang w:eastAsia="en-US"/>
        </w:rPr>
        <w:t>Ensure a large revenue stream:</w:t>
      </w:r>
      <w:r>
        <w:rPr>
          <w:lang w:eastAsia="en-US"/>
        </w:rPr>
        <w:t xml:space="preserve"> The revenue for the business organisation comes from the selling of the goods (Knowledge Management Systems, 2020). When the business organisation has the unique rights to sell particular goods and products, the business sales volume of the business will be significantly increased. For example, since the process of the producing Coco-Cola is secret and resisted with legal enforce, the competitors cannot use the production process of the Coca Cola. This legal right provides the additional opportunity to Coca Cola to make additional sales as well as additional sales revenue. Furthermore, this legal right enables the Coca Cola to be market differentiated in beverage and soft drinks industry in terms of sales revenue. </w:t>
      </w:r>
    </w:p>
    <w:p>
      <w:pPr>
        <w:rPr>
          <w:lang w:eastAsia="en-US"/>
        </w:rPr>
      </w:pPr>
      <w:r>
        <w:rPr>
          <w:b/>
          <w:bCs/>
          <w:lang w:eastAsia="en-US"/>
        </w:rPr>
        <w:t>To get loan opportunity:</w:t>
      </w:r>
      <w:r>
        <w:rPr>
          <w:lang w:eastAsia="en-US"/>
        </w:rPr>
        <w:t xml:space="preserve"> For extension of the loan, the business organisation needs to take a loan from the different sources like stock market and loan. The business organisation can take a loan from the bank by using the intangible asset as a mortgage when the intangible asset will be registered as per legal requirement.</w:t>
      </w:r>
    </w:p>
    <w:p>
      <w:pPr>
        <w:rPr>
          <w:lang w:eastAsia="en-US"/>
        </w:rPr>
      </w:pPr>
      <w:r>
        <w:rPr>
          <w:b/>
          <w:bCs/>
          <w:lang w:eastAsia="en-US"/>
        </w:rPr>
        <w:t>Marketing strategy:</w:t>
      </w:r>
      <w:r>
        <w:rPr>
          <w:lang w:eastAsia="en-US"/>
        </w:rPr>
        <w:t xml:space="preserve"> To be market giant and known, the business organisation needs to promote its brand as well as to make advertisements. The business organisation can use its intangible asset to make advertisements when the intangible asset will be registered as per legal requirement (Laudon and Laudon, 2017).</w:t>
      </w:r>
    </w:p>
    <w:p>
      <w:pPr>
        <w:pStyle w:val="2"/>
      </w:pPr>
    </w:p>
    <w:p>
      <w:pPr>
        <w:spacing w:line="259" w:lineRule="auto"/>
        <w:jc w:val="left"/>
        <w:rPr>
          <w:rFonts w:eastAsiaTheme="majorEastAsia"/>
          <w:b/>
          <w:bCs/>
          <w:sz w:val="32"/>
          <w:szCs w:val="32"/>
          <w:lang w:eastAsia="en-US"/>
        </w:rPr>
      </w:pPr>
      <w:r>
        <w:br w:type="page"/>
      </w:r>
    </w:p>
    <w:p>
      <w:pPr>
        <w:pStyle w:val="2"/>
      </w:pPr>
      <w:bookmarkStart w:id="9" w:name="_Toc451376949"/>
      <w:r>
        <w:t>Framework for establishing a knowledge management culture in context of ASDA</w:t>
      </w:r>
      <w:bookmarkEnd w:id="9"/>
    </w:p>
    <w:p>
      <w:pPr>
        <w:rPr>
          <w:lang w:eastAsia="en-US"/>
        </w:rPr>
      </w:pPr>
      <w:r>
        <w:rPr>
          <w:lang w:eastAsia="en-US"/>
        </w:rPr>
        <w:t xml:space="preserve">Knowledge management is an important and complex task for the business organisation because human and technical knowledge is required for ensuring proper management of the knowledge of the organisation (Longley, 2015). In this part of the assignment, the strategy and framework for the management of the knowledge have been discussed in the context of ASDA. </w:t>
      </w:r>
    </w:p>
    <w:p>
      <w:pPr>
        <w:pStyle w:val="3"/>
      </w:pPr>
      <w:bookmarkStart w:id="10" w:name="_Toc451376950"/>
      <w:r>
        <w:t>The contribution knowledge assets have on ASDA</w:t>
      </w:r>
      <w:bookmarkEnd w:id="10"/>
    </w:p>
    <w:p>
      <w:pPr>
        <w:rPr>
          <w:lang w:eastAsia="en-US"/>
        </w:rPr>
      </w:pPr>
      <w:r>
        <w:rPr>
          <w:lang w:eastAsia="en-US"/>
        </w:rPr>
        <w:t>The individual knowledge and organisational knowledge help the business professionals and analysts to make an appropriate business decision efficiently along with reducing the cost. The contribution of the knowledge asset has been discussed below:</w:t>
      </w:r>
    </w:p>
    <w:p>
      <w:pPr>
        <w:rPr>
          <w:lang w:eastAsia="en-US"/>
        </w:rPr>
      </w:pPr>
      <w:r>
        <w:rPr>
          <w:b/>
          <w:bCs/>
          <w:lang w:eastAsia="en-US"/>
        </w:rPr>
        <w:t>Decision making:</w:t>
      </w:r>
      <w:r>
        <w:rPr>
          <w:lang w:eastAsia="en-US"/>
        </w:rPr>
        <w:t xml:space="preserve"> The business analyst and mangers needs to make different types of the decision for solving different business problems as well as ensuring the achievements of the organisational goal (Oz, 2019). The business analysts have been used different knowledge, information, and data during the decision making along with own judgements. So, it is impossible to make a proper business decision for ASDA without the application of the knowledge asset. The business organisation like ASDA that has used the expert system and executive information system can use the knowledge during the decision making properly (O'Brien and Marakas, 2019).</w:t>
      </w:r>
    </w:p>
    <w:p>
      <w:pPr>
        <w:rPr>
          <w:lang w:eastAsia="en-US"/>
        </w:rPr>
      </w:pPr>
      <w:r>
        <w:rPr>
          <w:b/>
          <w:bCs/>
          <w:lang w:eastAsia="en-US"/>
        </w:rPr>
        <w:t>Cultural change:</w:t>
      </w:r>
      <w:r>
        <w:rPr>
          <w:lang w:eastAsia="en-US"/>
        </w:rPr>
        <w:t xml:space="preserve"> Every organisation has own culture and philosophy within the organisational environment. When information and knowledge are available and free to all employees of the organisation, the friendly and flexible working environment will be established within the organisation. The knowledge asset can ensure the circulation and communication of the common objectives of the organisation within all stakeholders. Furthermore, it is impossible to create a friendly and flexible working environment in ASDA without the contribution of the knowledge.</w:t>
      </w:r>
    </w:p>
    <w:p>
      <w:pPr>
        <w:rPr>
          <w:lang w:eastAsia="en-US"/>
        </w:rPr>
      </w:pPr>
      <w:r>
        <w:rPr>
          <w:b/>
          <w:bCs/>
          <w:lang w:eastAsia="en-US"/>
        </w:rPr>
        <w:t>Network effect:</w:t>
      </w:r>
      <w:r>
        <w:rPr>
          <w:lang w:eastAsia="en-US"/>
        </w:rPr>
        <w:t xml:space="preserve"> The network effect is required for every business organisation like ASDA to ensure cooperation, adjustments, and proper communication. The different division of the ASDA needs to communicate with others for achieving the common goal of the business. When the knowledge asset of the ASDA has been available to all employees and stakeholders of the organisation, the network for the ASDA will be strong and sustainable (Simkin, Rose and Norman, 2013).</w:t>
      </w:r>
    </w:p>
    <w:p>
      <w:pPr>
        <w:rPr>
          <w:lang w:eastAsia="en-US"/>
        </w:rPr>
      </w:pPr>
      <w:r>
        <w:rPr>
          <w:b/>
          <w:bCs/>
          <w:lang w:eastAsia="en-US"/>
        </w:rPr>
        <w:t>Creativity and innovation:</w:t>
      </w:r>
      <w:r>
        <w:rPr>
          <w:lang w:eastAsia="en-US"/>
        </w:rPr>
        <w:t xml:space="preserve"> Creativity and innovation are the important factors of the business organisation to increase the revenue by making the differentiation. The management and analysts of the ASDA can show creativity and innovation when the knowledge asset of the organisation will available for all employers. </w:t>
      </w:r>
    </w:p>
    <w:p>
      <w:pPr>
        <w:rPr>
          <w:lang w:eastAsia="en-US"/>
        </w:rPr>
      </w:pPr>
      <w:r>
        <w:rPr>
          <w:lang w:eastAsia="en-US"/>
        </w:rPr>
        <w:t>So, it is impossible to show creativity and innovation in ASDA without the application of the knowledge asset.</w:t>
      </w:r>
    </w:p>
    <w:p>
      <w:pPr>
        <w:pStyle w:val="3"/>
      </w:pPr>
      <w:bookmarkStart w:id="11" w:name="_Toc451376951"/>
      <w:r>
        <w:t>Evaluation of the knowledge requirements for the ASDA</w:t>
      </w:r>
      <w:bookmarkEnd w:id="11"/>
    </w:p>
    <w:p>
      <w:pPr>
        <w:rPr>
          <w:lang w:eastAsia="en-US"/>
        </w:rPr>
      </w:pPr>
      <w:r>
        <w:rPr>
          <w:lang w:eastAsia="en-US"/>
        </w:rPr>
        <w:t xml:space="preserve">The organisation has developed the knowledge management system to use the knowledge in the decision-making process to achieve the organisational goal. The knowledge management system will not be effective when the organisation cannot use the knowledge as per requirements </w:t>
      </w:r>
      <w:r>
        <w:rPr>
          <w:rFonts w:ascii="Arial" w:hAnsi="Arial" w:cs="Arial"/>
          <w:color w:val="000000"/>
          <w:sz w:val="20"/>
          <w:szCs w:val="20"/>
          <w:shd w:val="clear" w:color="auto" w:fill="FFFFFF"/>
        </w:rPr>
        <w:t>(Tiwana, 2016)</w:t>
      </w:r>
      <w:r>
        <w:rPr>
          <w:lang w:eastAsia="en-US"/>
        </w:rPr>
        <w:t>. There have some requirements that must be fulfilled by the knowledge engineer and knowledge manager to ensure effective knowledge management systems for making business decisions. The requirements of the knowledge for the ASDA have been discussed below:</w:t>
      </w:r>
    </w:p>
    <w:p>
      <w:pPr>
        <w:rPr>
          <w:b/>
          <w:bCs/>
          <w:lang w:eastAsia="en-US"/>
        </w:rPr>
      </w:pPr>
      <w:r>
        <w:rPr>
          <w:b/>
          <w:bCs/>
          <w:lang w:eastAsia="en-US"/>
        </w:rPr>
        <w:t>Timeliness:</w:t>
      </w:r>
      <w:r>
        <w:rPr>
          <w:lang w:eastAsia="en-US"/>
        </w:rPr>
        <w:t xml:space="preserve"> The timeliness is the important quality of the knowledge to make useful the knowledge and to ensure productive use of the knowledge. The knowledge of the ASDA needs to be available when it is required for the ASDA as well as for the making business decision (Barry, 2019).</w:t>
      </w:r>
    </w:p>
    <w:p>
      <w:pPr>
        <w:rPr>
          <w:lang w:eastAsia="en-US"/>
        </w:rPr>
      </w:pPr>
      <w:r>
        <w:rPr>
          <w:b/>
          <w:bCs/>
          <w:lang w:eastAsia="en-US"/>
        </w:rPr>
        <w:t>Flexible:</w:t>
      </w:r>
      <w:r>
        <w:rPr>
          <w:lang w:eastAsia="en-US"/>
        </w:rPr>
        <w:t xml:space="preserve"> The knowledge management system of the organisation needs to be flexible as per the requirements of the end-users. The ASDA has faced different situation in different periods because of the changing of the business environment and business transaction. The knowledge management system of the ASDA must have the ability to manage and handle all business situation proficiently </w:t>
      </w:r>
      <w:r>
        <w:rPr>
          <w:rFonts w:ascii="Arial" w:hAnsi="Arial" w:cs="Arial"/>
          <w:color w:val="000000"/>
          <w:sz w:val="20"/>
          <w:szCs w:val="20"/>
          <w:shd w:val="clear" w:color="auto" w:fill="FFFFFF"/>
        </w:rPr>
        <w:t>(Blackstone and Christian, 2020)</w:t>
      </w:r>
      <w:r>
        <w:rPr>
          <w:lang w:eastAsia="en-US"/>
        </w:rPr>
        <w:t>.</w:t>
      </w:r>
    </w:p>
    <w:p>
      <w:pPr>
        <w:rPr>
          <w:lang w:eastAsia="en-US"/>
        </w:rPr>
      </w:pPr>
      <w:r>
        <w:rPr>
          <w:b/>
          <w:bCs/>
          <w:lang w:eastAsia="en-US"/>
        </w:rPr>
        <w:t>Currency:</w:t>
      </w:r>
      <w:r>
        <w:rPr>
          <w:lang w:eastAsia="en-US"/>
        </w:rPr>
        <w:t xml:space="preserve"> The business decision has to be made based on the updated knowledge to get optimum benefit from the decision and application of the knowledge. The knowledge management system of the ASDA must have the ability to search and provide updated information and knowledge during decision making (Bodnar and Hopwood, 2014).</w:t>
      </w:r>
    </w:p>
    <w:p>
      <w:pPr>
        <w:rPr>
          <w:lang w:eastAsia="en-US"/>
        </w:rPr>
      </w:pPr>
      <w:r>
        <w:rPr>
          <w:b/>
          <w:bCs/>
          <w:lang w:eastAsia="en-US"/>
        </w:rPr>
        <w:t>Relevance and completeness:</w:t>
      </w:r>
      <w:r>
        <w:rPr>
          <w:lang w:eastAsia="en-US"/>
        </w:rPr>
        <w:t xml:space="preserve"> The relevance and completeness are required in a knowledge management system because without generation of the relevant and complete knowledge, the actual and articulate decision making is impossible. So, the knowledge management system of the ASDA can provide relevance and complete information to end-users and decision-makers (Cheema, 2020). </w:t>
      </w:r>
    </w:p>
    <w:p>
      <w:pPr>
        <w:rPr>
          <w:lang w:eastAsia="en-US"/>
        </w:rPr>
      </w:pPr>
      <w:r>
        <w:rPr>
          <w:lang w:eastAsia="en-US"/>
        </w:rPr>
        <w:t xml:space="preserve">  </w:t>
      </w:r>
    </w:p>
    <w:p>
      <w:pPr>
        <w:pStyle w:val="3"/>
      </w:pPr>
      <w:bookmarkStart w:id="12" w:name="_Toc451376952"/>
      <w:r>
        <w:t>Evaluation of the framework of the knowledge sharing for the ASDA</w:t>
      </w:r>
      <w:bookmarkEnd w:id="12"/>
    </w:p>
    <w:p>
      <w:pPr>
        <w:rPr>
          <w:lang w:eastAsia="en-US"/>
        </w:rPr>
      </w:pPr>
      <w:r>
        <w:rPr>
          <w:lang w:eastAsia="en-US"/>
        </w:rPr>
        <w:t xml:space="preserve">To ensure the growth of the knowledge and effectiveness of the knowledge, the personnel of the ASDA needs to share knowledge with management and other employees of the ASDA. The organisation can follow the general framework or specific framework for sharing knowledge. The framework of the sharing knowledge may be different for a different organisation (Debowski, 2020). The ASDA has used the following framework for sharing and managing of the knowledge for making a business decision. </w:t>
      </w:r>
    </w:p>
    <w:p>
      <w:pPr>
        <w:keepNext/>
        <w:jc w:val="center"/>
      </w:pPr>
      <w:r>
        <w:rPr>
          <w:lang w:val="en-US" w:eastAsia="en-US"/>
        </w:rPr>
        <w:drawing>
          <wp:inline distT="0" distB="0" distL="0" distR="0">
            <wp:extent cx="5731510" cy="3095625"/>
            <wp:effectExtent l="0" t="0" r="254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5731510" cy="3095625"/>
                    </a:xfrm>
                    <a:prstGeom prst="rect">
                      <a:avLst/>
                    </a:prstGeom>
                  </pic:spPr>
                </pic:pic>
              </a:graphicData>
            </a:graphic>
          </wp:inline>
        </w:drawing>
      </w:r>
    </w:p>
    <w:p>
      <w:pPr>
        <w:pStyle w:val="5"/>
        <w:spacing w:after="0"/>
        <w:jc w:val="center"/>
        <w:rPr>
          <w:b/>
          <w:bCs/>
          <w:color w:val="auto"/>
          <w:sz w:val="20"/>
          <w:szCs w:val="20"/>
        </w:rPr>
      </w:pPr>
      <w:r>
        <w:rPr>
          <w:b/>
          <w:bCs/>
          <w:color w:val="auto"/>
          <w:sz w:val="20"/>
          <w:szCs w:val="20"/>
        </w:rPr>
        <w:t xml:space="preserve">Figure </w:t>
      </w:r>
      <w:r>
        <w:rPr>
          <w:b/>
          <w:bCs/>
          <w:color w:val="auto"/>
          <w:sz w:val="20"/>
          <w:szCs w:val="20"/>
        </w:rPr>
        <w:fldChar w:fldCharType="begin"/>
      </w:r>
      <w:r>
        <w:rPr>
          <w:b/>
          <w:bCs/>
          <w:color w:val="auto"/>
          <w:sz w:val="20"/>
          <w:szCs w:val="20"/>
        </w:rPr>
        <w:instrText xml:space="preserve"> SEQ Figure \* ARABIC </w:instrText>
      </w:r>
      <w:r>
        <w:rPr>
          <w:b/>
          <w:bCs/>
          <w:color w:val="auto"/>
          <w:sz w:val="20"/>
          <w:szCs w:val="20"/>
        </w:rPr>
        <w:fldChar w:fldCharType="separate"/>
      </w:r>
      <w:r>
        <w:rPr>
          <w:b/>
          <w:bCs/>
          <w:color w:val="auto"/>
          <w:sz w:val="20"/>
          <w:szCs w:val="20"/>
        </w:rPr>
        <w:t>4</w:t>
      </w:r>
      <w:r>
        <w:rPr>
          <w:b/>
          <w:bCs/>
          <w:color w:val="auto"/>
          <w:sz w:val="20"/>
          <w:szCs w:val="20"/>
        </w:rPr>
        <w:fldChar w:fldCharType="end"/>
      </w:r>
      <w:r>
        <w:rPr>
          <w:b/>
          <w:bCs/>
          <w:color w:val="auto"/>
          <w:sz w:val="20"/>
          <w:szCs w:val="20"/>
        </w:rPr>
        <w:t>: Knowledge Management Framework</w:t>
      </w:r>
    </w:p>
    <w:p>
      <w:pPr>
        <w:spacing w:after="0"/>
        <w:jc w:val="center"/>
        <w:rPr>
          <w:b/>
          <w:bCs/>
          <w:i/>
          <w:iCs/>
          <w:sz w:val="20"/>
          <w:szCs w:val="20"/>
        </w:rPr>
      </w:pPr>
      <w:r>
        <w:rPr>
          <w:b/>
          <w:bCs/>
          <w:i/>
          <w:iCs/>
          <w:sz w:val="20"/>
          <w:szCs w:val="20"/>
        </w:rPr>
        <w:t>Source: (Debowski, 2020)</w:t>
      </w:r>
    </w:p>
    <w:p>
      <w:pPr>
        <w:rPr>
          <w:lang w:eastAsia="en-US"/>
        </w:rPr>
      </w:pPr>
      <w:r>
        <w:rPr>
          <w:lang w:eastAsia="en-US"/>
        </w:rPr>
        <w:t xml:space="preserve">Firstly, the ASDA needs to identify the required learning activities for its employees and other stakeholders as per learning policy (Frappaolo, 2016). The learning policy should be diversified so that the employees of the ASDA can gather knowledge in a different area. After learning from the different sources, the employees and stakeholders need to discuss to each other to share the new learning and knowledge. The review of the learning and knowledge sharing action should be taken to ensure the quality of the learning and continuous sharing of the knowledge within the internal and external business environment. The collaboration and integration techniques and procedures of the knowledge must be implemented in a knowledge management framework to make a sensible and effective framework for making the knowledge sharing framework as well as the development effective knowledge management system (Galati, 2016). </w:t>
      </w:r>
    </w:p>
    <w:p>
      <w:pPr>
        <w:pStyle w:val="3"/>
      </w:pPr>
      <w:bookmarkStart w:id="13" w:name="_Toc451376953"/>
      <w:r>
        <w:t>Recommendation for improvements to the current framework</w:t>
      </w:r>
      <w:bookmarkEnd w:id="13"/>
    </w:p>
    <w:p>
      <w:pPr>
        <w:rPr>
          <w:lang w:eastAsia="en-US"/>
        </w:rPr>
      </w:pPr>
      <w:r>
        <w:rPr>
          <w:lang w:eastAsia="en-US"/>
        </w:rPr>
        <w:t>The effective knowledge management and knowledge sharing techniques of the organisation have been developed day by day with taking a recommendation from the expert and consultant of the knowledge engineering (Galliers and Currie, 2019). The ASDA has developed the knowledge sharing framework for its business operation and decision-making process from the beginning of the business. The knowledge sharing framework of the ASDA is perfect as a part of the rattail store business although there have some loopholes in the existing framework of the ASDA. The loopholes areas of the knowledge sharing framework are also an improvement area for further development. Firstly, the ASDA has to prepare an accurate and complete policy and procedures to share the knowledge within the internal and external business environment. The collection and refining process of the knowledge in a business organisation is not clear in existing knowledge sharing framework of the ASDA. The ASDA has to implement appropriate action to introduce a new module in the knowledge sharing framework for tracing the collection and refining of the knowledge. The formation and presentation of knowledge are very important in the decision-making process. The knowledge share framework of the ASDA can provide only summarised knowledge and information to the tactical and strategic management. The detail information providing module needs to be implemented in existing knowledge sharing framework of the ASDA.</w:t>
      </w: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pStyle w:val="2"/>
      </w:pPr>
      <w:bookmarkStart w:id="14" w:name="_Toc451376954"/>
      <w:r>
        <w:t>Conclusion</w:t>
      </w:r>
      <w:bookmarkEnd w:id="14"/>
    </w:p>
    <w:p>
      <w:pPr>
        <w:rPr>
          <w:lang w:eastAsia="en-US"/>
        </w:rPr>
      </w:pPr>
      <w:r>
        <w:rPr>
          <w:lang w:eastAsia="en-US"/>
        </w:rPr>
        <w:t xml:space="preserve">The ASDA can generate more value by utilising the knowledge and experience of the skilled and expert employees of the organisation. When the ASDA can provide the required motivation and sufficient incentives to the employees of the organisation, the ASDA can generate value from the skilled employees and personal as a knowledge asset. </w:t>
      </w:r>
      <w:r>
        <w:t xml:space="preserve">The combination of the different individual knowledge helps to generate new knowledge for the organisation with the association of the socialisation and externalisation. Finally, individual knowledge turns into group learning as well as organisational knowledge through disseminating knowledge. The practical experience and learning of the individuals turn into the knowledge that may be used in professional life and the workplace. To be a success in personal life and professional life, every individual has to gather knowledge, manage knowledge, and spread knowledge to society. </w:t>
      </w:r>
      <w:r>
        <w:rPr>
          <w:lang w:eastAsia="en-US"/>
        </w:rPr>
        <w:t xml:space="preserve"> </w:t>
      </w: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rPr>
          <w:lang w:eastAsia="en-US"/>
        </w:rPr>
      </w:pPr>
    </w:p>
    <w:p>
      <w:pPr>
        <w:pStyle w:val="2"/>
        <w:rPr>
          <w:rFonts w:eastAsia="Times New Roman"/>
          <w:sz w:val="36"/>
        </w:rPr>
      </w:pPr>
      <w:bookmarkStart w:id="15" w:name="_Toc451376955"/>
      <w:r>
        <w:t>References</w:t>
      </w:r>
      <w:bookmarkEnd w:id="15"/>
    </w:p>
    <w:p>
      <w:pPr>
        <w:pStyle w:val="10"/>
        <w:spacing w:before="0" w:beforeAutospacing="0" w:after="180" w:afterAutospacing="0"/>
        <w:ind w:left="450" w:hanging="450"/>
        <w:jc w:val="both"/>
        <w:rPr>
          <w:color w:val="000000"/>
        </w:rPr>
      </w:pPr>
      <w:r>
        <w:rPr>
          <w:color w:val="000000"/>
        </w:rPr>
        <w:t>Barry, C., 2019. </w:t>
      </w:r>
      <w:r>
        <w:rPr>
          <w:i/>
          <w:iCs/>
          <w:color w:val="000000"/>
        </w:rPr>
        <w:t>Information Systems Development</w:t>
      </w:r>
      <w:r>
        <w:rPr>
          <w:color w:val="000000"/>
        </w:rPr>
        <w:t>. Guildford: Springer London.</w:t>
      </w:r>
    </w:p>
    <w:p>
      <w:pPr>
        <w:pStyle w:val="10"/>
        <w:spacing w:before="0" w:beforeAutospacing="0" w:after="180" w:afterAutospacing="0"/>
        <w:ind w:left="450" w:hanging="450"/>
        <w:jc w:val="both"/>
        <w:rPr>
          <w:color w:val="000000"/>
        </w:rPr>
      </w:pPr>
      <w:r>
        <w:rPr>
          <w:color w:val="000000"/>
        </w:rPr>
        <w:t>Blackstone, W. and Christian, E., 2020. </w:t>
      </w:r>
      <w:r>
        <w:rPr>
          <w:i/>
          <w:iCs/>
          <w:color w:val="000000"/>
        </w:rPr>
        <w:t>Commentaries On The Laws Of England</w:t>
      </w:r>
      <w:r>
        <w:rPr>
          <w:color w:val="000000"/>
        </w:rPr>
        <w:t>. [Place of publication not identified]: [Nabu Press].</w:t>
      </w:r>
    </w:p>
    <w:p>
      <w:pPr>
        <w:pStyle w:val="10"/>
        <w:spacing w:before="0" w:beforeAutospacing="0" w:after="180" w:afterAutospacing="0"/>
        <w:ind w:left="450" w:hanging="450"/>
        <w:jc w:val="both"/>
        <w:rPr>
          <w:color w:val="000000"/>
        </w:rPr>
      </w:pPr>
      <w:r>
        <w:rPr>
          <w:color w:val="000000"/>
        </w:rPr>
        <w:t>Bodnar, G. and Hopwood, W., 2014. </w:t>
      </w:r>
      <w:r>
        <w:rPr>
          <w:i/>
          <w:iCs/>
          <w:color w:val="000000"/>
        </w:rPr>
        <w:t>Accounting Information Systems</w:t>
      </w:r>
      <w:r>
        <w:rPr>
          <w:color w:val="000000"/>
        </w:rPr>
        <w:t>. Harlow, Essex: Pearson Education Limited.</w:t>
      </w:r>
    </w:p>
    <w:p>
      <w:pPr>
        <w:pStyle w:val="10"/>
        <w:spacing w:before="0" w:beforeAutospacing="0" w:after="180" w:afterAutospacing="0"/>
        <w:ind w:left="450" w:hanging="450"/>
        <w:jc w:val="both"/>
        <w:rPr>
          <w:color w:val="000000"/>
        </w:rPr>
      </w:pPr>
      <w:r>
        <w:rPr>
          <w:color w:val="000000"/>
        </w:rPr>
        <w:t>Cheema, D., 2020. </w:t>
      </w:r>
      <w:r>
        <w:rPr>
          <w:i/>
          <w:iCs/>
          <w:color w:val="000000"/>
        </w:rPr>
        <w:t>Knowledge Management</w:t>
      </w:r>
      <w:r>
        <w:rPr>
          <w:color w:val="000000"/>
        </w:rPr>
        <w:t>. New Delhi: Abhishek Publications.</w:t>
      </w:r>
    </w:p>
    <w:p>
      <w:pPr>
        <w:pStyle w:val="10"/>
        <w:spacing w:before="0" w:beforeAutospacing="0" w:after="180" w:afterAutospacing="0"/>
        <w:ind w:left="450" w:hanging="450"/>
        <w:jc w:val="both"/>
        <w:rPr>
          <w:color w:val="000000"/>
        </w:rPr>
      </w:pPr>
      <w:r>
        <w:rPr>
          <w:color w:val="000000"/>
        </w:rPr>
        <w:t>Debowski, S., 2020. </w:t>
      </w:r>
      <w:r>
        <w:rPr>
          <w:i/>
          <w:iCs/>
          <w:color w:val="000000"/>
        </w:rPr>
        <w:t>Knowledge Management</w:t>
      </w:r>
      <w:r>
        <w:rPr>
          <w:color w:val="000000"/>
        </w:rPr>
        <w:t>. New Delhi: Willey India.</w:t>
      </w:r>
    </w:p>
    <w:p>
      <w:pPr>
        <w:pStyle w:val="10"/>
        <w:spacing w:before="0" w:beforeAutospacing="0" w:after="180" w:afterAutospacing="0"/>
        <w:ind w:left="450" w:hanging="450"/>
        <w:jc w:val="both"/>
        <w:rPr>
          <w:color w:val="000000"/>
        </w:rPr>
      </w:pPr>
      <w:r>
        <w:rPr>
          <w:color w:val="000000"/>
        </w:rPr>
        <w:t>Frappaolo, C., 2016. </w:t>
      </w:r>
      <w:r>
        <w:rPr>
          <w:i/>
          <w:iCs/>
          <w:color w:val="000000"/>
        </w:rPr>
        <w:t>Knowledge Management</w:t>
      </w:r>
      <w:r>
        <w:rPr>
          <w:color w:val="000000"/>
        </w:rPr>
        <w:t>. Oxford: Capstone.</w:t>
      </w:r>
    </w:p>
    <w:p>
      <w:pPr>
        <w:pStyle w:val="10"/>
        <w:spacing w:before="0" w:beforeAutospacing="0" w:after="180" w:afterAutospacing="0"/>
        <w:ind w:left="450" w:hanging="450"/>
        <w:jc w:val="both"/>
        <w:rPr>
          <w:color w:val="000000"/>
        </w:rPr>
      </w:pPr>
      <w:r>
        <w:rPr>
          <w:color w:val="000000"/>
        </w:rPr>
        <w:t>Galati, S., 2016. </w:t>
      </w:r>
      <w:r>
        <w:rPr>
          <w:i/>
          <w:iCs/>
          <w:color w:val="000000"/>
        </w:rPr>
        <w:t>Geographic Information Systems Demystified</w:t>
      </w:r>
      <w:r>
        <w:rPr>
          <w:color w:val="000000"/>
        </w:rPr>
        <w:t>. Boston: Artech House.</w:t>
      </w:r>
    </w:p>
    <w:p>
      <w:pPr>
        <w:pStyle w:val="10"/>
        <w:spacing w:before="0" w:beforeAutospacing="0" w:after="180" w:afterAutospacing="0"/>
        <w:ind w:left="450" w:hanging="450"/>
        <w:jc w:val="both"/>
        <w:rPr>
          <w:color w:val="000000"/>
        </w:rPr>
      </w:pPr>
      <w:r>
        <w:rPr>
          <w:color w:val="000000"/>
        </w:rPr>
        <w:t>Galliers, R. and Currie, W., 2019. </w:t>
      </w:r>
      <w:r>
        <w:rPr>
          <w:i/>
          <w:iCs/>
          <w:color w:val="000000"/>
        </w:rPr>
        <w:t>The Oxford Handbook Of Management Information Systems</w:t>
      </w:r>
      <w:r>
        <w:rPr>
          <w:color w:val="000000"/>
        </w:rPr>
        <w:t>. Oxford: Oxford University Press.</w:t>
      </w:r>
    </w:p>
    <w:p>
      <w:pPr>
        <w:pStyle w:val="10"/>
        <w:spacing w:before="0" w:beforeAutospacing="0" w:after="180" w:afterAutospacing="0"/>
        <w:ind w:left="450" w:hanging="450"/>
        <w:jc w:val="both"/>
        <w:rPr>
          <w:color w:val="000000"/>
        </w:rPr>
      </w:pPr>
      <w:r>
        <w:rPr>
          <w:color w:val="000000"/>
        </w:rPr>
        <w:t>Laudon, K. and Laudon, J., 2017. </w:t>
      </w:r>
      <w:r>
        <w:rPr>
          <w:i/>
          <w:iCs/>
          <w:color w:val="000000"/>
        </w:rPr>
        <w:t>Essentials Of Management Information Systems</w:t>
      </w:r>
      <w:r>
        <w:rPr>
          <w:color w:val="000000"/>
        </w:rPr>
        <w:t>. Upper Saddle River, N.J.: Prentice Hall.</w:t>
      </w:r>
    </w:p>
    <w:p>
      <w:pPr>
        <w:pStyle w:val="10"/>
        <w:spacing w:before="0" w:beforeAutospacing="0" w:after="180" w:afterAutospacing="0"/>
        <w:ind w:left="450" w:hanging="450"/>
        <w:jc w:val="both"/>
        <w:rPr>
          <w:color w:val="000000"/>
        </w:rPr>
      </w:pPr>
      <w:r>
        <w:rPr>
          <w:color w:val="000000"/>
        </w:rPr>
        <w:t>Longley, P., 2015. </w:t>
      </w:r>
      <w:r>
        <w:rPr>
          <w:i/>
          <w:iCs/>
          <w:color w:val="000000"/>
        </w:rPr>
        <w:t>Geographical Information Systems</w:t>
      </w:r>
      <w:r>
        <w:rPr>
          <w:color w:val="000000"/>
        </w:rPr>
        <w:t>. Hoboken, N.J.: John Wiley &amp; Sons.</w:t>
      </w:r>
    </w:p>
    <w:p>
      <w:pPr>
        <w:pStyle w:val="10"/>
        <w:spacing w:before="0" w:beforeAutospacing="0" w:after="180" w:afterAutospacing="0"/>
        <w:ind w:left="450" w:hanging="450"/>
        <w:jc w:val="both"/>
        <w:rPr>
          <w:color w:val="000000"/>
        </w:rPr>
      </w:pPr>
      <w:r>
        <w:rPr>
          <w:color w:val="000000"/>
        </w:rPr>
        <w:t>O'Brien, J. and Marakas, G., 2019. </w:t>
      </w:r>
      <w:r>
        <w:rPr>
          <w:i/>
          <w:iCs/>
          <w:color w:val="000000"/>
        </w:rPr>
        <w:t>Management Information Systems</w:t>
      </w:r>
      <w:r>
        <w:rPr>
          <w:color w:val="000000"/>
        </w:rPr>
        <w:t>. New York: McGraw-Hill Higher Education.</w:t>
      </w:r>
    </w:p>
    <w:p>
      <w:pPr>
        <w:pStyle w:val="10"/>
        <w:spacing w:before="0" w:beforeAutospacing="0" w:after="180" w:afterAutospacing="0"/>
        <w:ind w:left="450" w:hanging="450"/>
        <w:jc w:val="both"/>
        <w:rPr>
          <w:color w:val="000000"/>
        </w:rPr>
      </w:pPr>
      <w:r>
        <w:rPr>
          <w:color w:val="000000"/>
        </w:rPr>
        <w:t>Oz, E., 2019. </w:t>
      </w:r>
      <w:r>
        <w:rPr>
          <w:i/>
          <w:iCs/>
          <w:color w:val="000000"/>
        </w:rPr>
        <w:t>Management Information Systems</w:t>
      </w:r>
      <w:r>
        <w:rPr>
          <w:color w:val="000000"/>
        </w:rPr>
        <w:t>. Boston, Mass.: Thomson/Course Technology.</w:t>
      </w:r>
    </w:p>
    <w:p>
      <w:pPr>
        <w:pStyle w:val="10"/>
        <w:spacing w:before="0" w:beforeAutospacing="0" w:after="180" w:afterAutospacing="0"/>
        <w:ind w:left="450" w:hanging="450"/>
        <w:jc w:val="both"/>
        <w:rPr>
          <w:color w:val="000000"/>
        </w:rPr>
      </w:pPr>
      <w:r>
        <w:rPr>
          <w:color w:val="000000"/>
        </w:rPr>
        <w:t>Simkin, M., Rose, J. and Norman, C., 2013. </w:t>
      </w:r>
      <w:r>
        <w:rPr>
          <w:i/>
          <w:iCs/>
          <w:color w:val="000000"/>
        </w:rPr>
        <w:t>Accounting Information Systems</w:t>
      </w:r>
      <w:r>
        <w:rPr>
          <w:color w:val="000000"/>
        </w:rPr>
        <w:t>. Singapore: Wiley.</w:t>
      </w:r>
    </w:p>
    <w:p>
      <w:pPr>
        <w:pStyle w:val="10"/>
        <w:spacing w:before="0" w:beforeAutospacing="0" w:after="180" w:afterAutospacing="0"/>
        <w:ind w:left="450" w:hanging="450"/>
        <w:jc w:val="both"/>
        <w:rPr>
          <w:color w:val="000000"/>
        </w:rPr>
      </w:pPr>
      <w:r>
        <w:rPr>
          <w:color w:val="000000"/>
        </w:rPr>
        <w:t>Tiwana, A., 2016. </w:t>
      </w:r>
      <w:r>
        <w:rPr>
          <w:i/>
          <w:iCs/>
          <w:color w:val="000000"/>
        </w:rPr>
        <w:t>The Knowledge Management Toolkit</w:t>
      </w:r>
      <w:r>
        <w:rPr>
          <w:color w:val="000000"/>
        </w:rPr>
        <w:t>. Upper Saddle River, N.J.: Prentice Hall PTR.</w:t>
      </w:r>
    </w:p>
    <w:p>
      <w:pPr>
        <w:rPr>
          <w:lang w:eastAsia="en-US"/>
        </w:rPr>
      </w:pPr>
    </w:p>
    <w:p>
      <w:pPr>
        <w:rPr>
          <w:lang w:eastAsia="en-US"/>
        </w:rPr>
      </w:pPr>
    </w:p>
    <w:sectPr>
      <w:footerReference r:id="rId3" w:type="default"/>
      <w:pgSz w:w="11906" w:h="16838"/>
      <w:pgMar w:top="1440" w:right="1440" w:bottom="1440" w:left="1440" w:header="720" w:footer="720" w:gutter="0"/>
      <w:pgNumType w:start="0"/>
      <w:cols w:space="720" w:num="1"/>
      <w:titlePg/>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游明朝">
    <w:altName w:val="Yu Gothic"/>
    <w:panose1 w:val="00000000000000000000"/>
    <w:charset w:val="80"/>
    <w:family w:val="roman"/>
    <w:pitch w:val="default"/>
    <w:sig w:usb0="00000000" w:usb1="00000000" w:usb2="00000000" w:usb3="00000000" w:csb0="00000000" w:csb1="00000000"/>
  </w:font>
  <w:font w:name="Yu Gothic Light">
    <w:panose1 w:val="020B0300000000000000"/>
    <w:charset w:val="80"/>
    <w:family w:val="roman"/>
    <w:pitch w:val="default"/>
    <w:sig w:usb0="E00002FF" w:usb1="2AC7FDFF" w:usb2="00000016" w:usb3="00000000" w:csb0="2002009F" w:csb1="00000000"/>
  </w:font>
  <w:font w:name="Segoe UI">
    <w:panose1 w:val="020B0502040204020203"/>
    <w:charset w:val="00"/>
    <w:family w:val="swiss"/>
    <w:pitch w:val="default"/>
    <w:sig w:usb0="E4002EFF" w:usb1="C000E47F"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Yu Gothic">
    <w:panose1 w:val="020B0400000000000000"/>
    <w:charset w:val="80"/>
    <w:family w:val="auto"/>
    <w:pitch w:val="default"/>
    <w:sig w:usb0="E00002FF" w:usb1="2AC7FDFF" w:usb2="00000016" w:usb3="00000000" w:csb0="2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801566905"/>
      <w:docPartObj>
        <w:docPartGallery w:val="AutoText"/>
      </w:docPartObj>
    </w:sdtPr>
    <w:sdtContent>
      <w:sdt>
        <w:sdtPr>
          <w:id w:val="-1769616900"/>
          <w:docPartObj>
            <w:docPartGallery w:val="AutoText"/>
          </w:docPartObj>
        </w:sdtPr>
        <w:sdtContent>
          <w:p>
            <w:pPr>
              <w:pStyle w:val="8"/>
              <w:jc w:val="right"/>
            </w:pPr>
            <w:r>
              <w:t xml:space="preserve">Page </w:t>
            </w:r>
            <w:r>
              <w:rPr>
                <w:b/>
                <w:bCs/>
                <w:szCs w:val="24"/>
              </w:rPr>
              <w:fldChar w:fldCharType="begin"/>
            </w:r>
            <w:r>
              <w:rPr>
                <w:b/>
                <w:bCs/>
              </w:rPr>
              <w:instrText xml:space="preserve"> PAGE </w:instrText>
            </w:r>
            <w:r>
              <w:rPr>
                <w:b/>
                <w:bCs/>
                <w:szCs w:val="24"/>
              </w:rPr>
              <w:fldChar w:fldCharType="separate"/>
            </w:r>
            <w:r>
              <w:rPr>
                <w:b/>
                <w:bCs/>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rPr>
              <w:t>17</w:t>
            </w:r>
            <w:r>
              <w:rPr>
                <w:b/>
                <w:bCs/>
                <w:szCs w:val="24"/>
              </w:rPr>
              <w:fldChar w:fldCharType="end"/>
            </w:r>
          </w:p>
        </w:sdtContent>
      </w:sdt>
    </w:sdtContent>
  </w:sdt>
  <w:p>
    <w:pPr>
      <w:pStyle w:val="8"/>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ocumentProtection w:enforcement="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jIzMTCwNLEwNDWzMDJU0lEKTi0uzszPAykwrgUAx53ucCwAAAA="/>
  </w:docVars>
  <w:rsids>
    <w:rsidRoot w:val="00D649DE"/>
    <w:rsid w:val="00000057"/>
    <w:rsid w:val="00021904"/>
    <w:rsid w:val="000323A0"/>
    <w:rsid w:val="00051531"/>
    <w:rsid w:val="000567E0"/>
    <w:rsid w:val="00061A36"/>
    <w:rsid w:val="000767F3"/>
    <w:rsid w:val="00094E26"/>
    <w:rsid w:val="000A24B2"/>
    <w:rsid w:val="000A3216"/>
    <w:rsid w:val="000A4187"/>
    <w:rsid w:val="000B26F9"/>
    <w:rsid w:val="000D145E"/>
    <w:rsid w:val="000D2828"/>
    <w:rsid w:val="00127A20"/>
    <w:rsid w:val="0015318E"/>
    <w:rsid w:val="001622A6"/>
    <w:rsid w:val="00172765"/>
    <w:rsid w:val="00172B6C"/>
    <w:rsid w:val="001760D7"/>
    <w:rsid w:val="00176745"/>
    <w:rsid w:val="00177FE9"/>
    <w:rsid w:val="001A0F3C"/>
    <w:rsid w:val="001B0644"/>
    <w:rsid w:val="001B728A"/>
    <w:rsid w:val="001C39AB"/>
    <w:rsid w:val="001D1C72"/>
    <w:rsid w:val="0020220E"/>
    <w:rsid w:val="00203E48"/>
    <w:rsid w:val="00213C9F"/>
    <w:rsid w:val="00214B1B"/>
    <w:rsid w:val="002205D3"/>
    <w:rsid w:val="00235082"/>
    <w:rsid w:val="0024364E"/>
    <w:rsid w:val="00243CA6"/>
    <w:rsid w:val="00253F67"/>
    <w:rsid w:val="00274C46"/>
    <w:rsid w:val="00277242"/>
    <w:rsid w:val="00281FB3"/>
    <w:rsid w:val="00291FC1"/>
    <w:rsid w:val="00295EDE"/>
    <w:rsid w:val="002A1974"/>
    <w:rsid w:val="002A19B1"/>
    <w:rsid w:val="002C1771"/>
    <w:rsid w:val="002C1D19"/>
    <w:rsid w:val="002C69A5"/>
    <w:rsid w:val="002C78A6"/>
    <w:rsid w:val="002D1D80"/>
    <w:rsid w:val="002D4A1A"/>
    <w:rsid w:val="002D6ED5"/>
    <w:rsid w:val="002E1FFA"/>
    <w:rsid w:val="002E41CB"/>
    <w:rsid w:val="00303294"/>
    <w:rsid w:val="003237C4"/>
    <w:rsid w:val="00331F01"/>
    <w:rsid w:val="00352075"/>
    <w:rsid w:val="00387515"/>
    <w:rsid w:val="003A72AA"/>
    <w:rsid w:val="003A7EC2"/>
    <w:rsid w:val="003B38B4"/>
    <w:rsid w:val="003B5E61"/>
    <w:rsid w:val="003C1D11"/>
    <w:rsid w:val="003C4948"/>
    <w:rsid w:val="003C6FE4"/>
    <w:rsid w:val="003D4167"/>
    <w:rsid w:val="003D41CA"/>
    <w:rsid w:val="003E1CA1"/>
    <w:rsid w:val="003E3C0D"/>
    <w:rsid w:val="003E6008"/>
    <w:rsid w:val="003F20FC"/>
    <w:rsid w:val="003F4C54"/>
    <w:rsid w:val="00413B3C"/>
    <w:rsid w:val="0042153C"/>
    <w:rsid w:val="004278BE"/>
    <w:rsid w:val="004319ED"/>
    <w:rsid w:val="00450139"/>
    <w:rsid w:val="00462F90"/>
    <w:rsid w:val="00471E17"/>
    <w:rsid w:val="0047334E"/>
    <w:rsid w:val="004756F7"/>
    <w:rsid w:val="00477F34"/>
    <w:rsid w:val="00491AAD"/>
    <w:rsid w:val="004950A4"/>
    <w:rsid w:val="00497799"/>
    <w:rsid w:val="00497D72"/>
    <w:rsid w:val="004A4488"/>
    <w:rsid w:val="004B3FF9"/>
    <w:rsid w:val="004C1450"/>
    <w:rsid w:val="004F362E"/>
    <w:rsid w:val="00502B70"/>
    <w:rsid w:val="005169FC"/>
    <w:rsid w:val="00517ED4"/>
    <w:rsid w:val="00523C46"/>
    <w:rsid w:val="00532389"/>
    <w:rsid w:val="00545B18"/>
    <w:rsid w:val="005630E1"/>
    <w:rsid w:val="005934D8"/>
    <w:rsid w:val="0059586A"/>
    <w:rsid w:val="005C25BC"/>
    <w:rsid w:val="005C4A0D"/>
    <w:rsid w:val="005C50B5"/>
    <w:rsid w:val="005C6333"/>
    <w:rsid w:val="005D20E3"/>
    <w:rsid w:val="005D4962"/>
    <w:rsid w:val="005E6642"/>
    <w:rsid w:val="005F188E"/>
    <w:rsid w:val="005F2406"/>
    <w:rsid w:val="0060085F"/>
    <w:rsid w:val="00606B98"/>
    <w:rsid w:val="00607E54"/>
    <w:rsid w:val="00610861"/>
    <w:rsid w:val="00614E81"/>
    <w:rsid w:val="00621732"/>
    <w:rsid w:val="00626136"/>
    <w:rsid w:val="00626A42"/>
    <w:rsid w:val="0063137A"/>
    <w:rsid w:val="00633EC9"/>
    <w:rsid w:val="0063445E"/>
    <w:rsid w:val="00654482"/>
    <w:rsid w:val="0065729F"/>
    <w:rsid w:val="0066193A"/>
    <w:rsid w:val="006649F0"/>
    <w:rsid w:val="00665B03"/>
    <w:rsid w:val="00672151"/>
    <w:rsid w:val="00674012"/>
    <w:rsid w:val="006930C1"/>
    <w:rsid w:val="00696639"/>
    <w:rsid w:val="0069799C"/>
    <w:rsid w:val="006A4CD3"/>
    <w:rsid w:val="006A4D21"/>
    <w:rsid w:val="006D7A3C"/>
    <w:rsid w:val="006E50E8"/>
    <w:rsid w:val="006E615E"/>
    <w:rsid w:val="0071408C"/>
    <w:rsid w:val="00723E96"/>
    <w:rsid w:val="00724A4D"/>
    <w:rsid w:val="00726AA9"/>
    <w:rsid w:val="007559E9"/>
    <w:rsid w:val="00756FE5"/>
    <w:rsid w:val="00772017"/>
    <w:rsid w:val="00777588"/>
    <w:rsid w:val="00781616"/>
    <w:rsid w:val="0078515A"/>
    <w:rsid w:val="0079207C"/>
    <w:rsid w:val="007922FF"/>
    <w:rsid w:val="007A6934"/>
    <w:rsid w:val="007B2172"/>
    <w:rsid w:val="007B293F"/>
    <w:rsid w:val="007B3B73"/>
    <w:rsid w:val="007B46FC"/>
    <w:rsid w:val="007E5429"/>
    <w:rsid w:val="007F380E"/>
    <w:rsid w:val="007F7E2D"/>
    <w:rsid w:val="0081799C"/>
    <w:rsid w:val="008237D2"/>
    <w:rsid w:val="00823AAA"/>
    <w:rsid w:val="00823F0E"/>
    <w:rsid w:val="00833FA4"/>
    <w:rsid w:val="00837B61"/>
    <w:rsid w:val="00841D6A"/>
    <w:rsid w:val="00862904"/>
    <w:rsid w:val="00865807"/>
    <w:rsid w:val="00870661"/>
    <w:rsid w:val="00872B73"/>
    <w:rsid w:val="00873D1E"/>
    <w:rsid w:val="00893BC1"/>
    <w:rsid w:val="00894768"/>
    <w:rsid w:val="0089534C"/>
    <w:rsid w:val="00897146"/>
    <w:rsid w:val="008B1C48"/>
    <w:rsid w:val="008C1B7F"/>
    <w:rsid w:val="008C3449"/>
    <w:rsid w:val="008D23FA"/>
    <w:rsid w:val="008D7E7C"/>
    <w:rsid w:val="008F1A42"/>
    <w:rsid w:val="008F34CA"/>
    <w:rsid w:val="008F61A0"/>
    <w:rsid w:val="009038BB"/>
    <w:rsid w:val="00911F07"/>
    <w:rsid w:val="009152A8"/>
    <w:rsid w:val="009164DA"/>
    <w:rsid w:val="0092073D"/>
    <w:rsid w:val="0093241F"/>
    <w:rsid w:val="00944827"/>
    <w:rsid w:val="0095090F"/>
    <w:rsid w:val="00964154"/>
    <w:rsid w:val="009715CA"/>
    <w:rsid w:val="009716A9"/>
    <w:rsid w:val="00971AFF"/>
    <w:rsid w:val="0097322C"/>
    <w:rsid w:val="009740B0"/>
    <w:rsid w:val="00977E58"/>
    <w:rsid w:val="00982FE7"/>
    <w:rsid w:val="009A0844"/>
    <w:rsid w:val="009A3AF0"/>
    <w:rsid w:val="009B159C"/>
    <w:rsid w:val="009B6AFC"/>
    <w:rsid w:val="009C2342"/>
    <w:rsid w:val="009D4A6B"/>
    <w:rsid w:val="009D5050"/>
    <w:rsid w:val="009E2A78"/>
    <w:rsid w:val="009F1CE3"/>
    <w:rsid w:val="00A14ACE"/>
    <w:rsid w:val="00A213C5"/>
    <w:rsid w:val="00A21B96"/>
    <w:rsid w:val="00A228ED"/>
    <w:rsid w:val="00A25E0C"/>
    <w:rsid w:val="00A30A1E"/>
    <w:rsid w:val="00A34801"/>
    <w:rsid w:val="00A579C8"/>
    <w:rsid w:val="00A7018C"/>
    <w:rsid w:val="00A73E64"/>
    <w:rsid w:val="00A834F5"/>
    <w:rsid w:val="00A83646"/>
    <w:rsid w:val="00AD1546"/>
    <w:rsid w:val="00AE0936"/>
    <w:rsid w:val="00AF29F1"/>
    <w:rsid w:val="00AF5A80"/>
    <w:rsid w:val="00AF61B5"/>
    <w:rsid w:val="00B01CF7"/>
    <w:rsid w:val="00B03CED"/>
    <w:rsid w:val="00B056DB"/>
    <w:rsid w:val="00B33147"/>
    <w:rsid w:val="00B35A10"/>
    <w:rsid w:val="00B46A99"/>
    <w:rsid w:val="00B60682"/>
    <w:rsid w:val="00B70749"/>
    <w:rsid w:val="00B70B73"/>
    <w:rsid w:val="00B72C64"/>
    <w:rsid w:val="00B863A5"/>
    <w:rsid w:val="00B86671"/>
    <w:rsid w:val="00B958D4"/>
    <w:rsid w:val="00BA31CD"/>
    <w:rsid w:val="00BA44E7"/>
    <w:rsid w:val="00BB6974"/>
    <w:rsid w:val="00BC0126"/>
    <w:rsid w:val="00BD31E1"/>
    <w:rsid w:val="00BD52AF"/>
    <w:rsid w:val="00BD7F22"/>
    <w:rsid w:val="00BE69B6"/>
    <w:rsid w:val="00BF60C8"/>
    <w:rsid w:val="00C3032E"/>
    <w:rsid w:val="00C33E9E"/>
    <w:rsid w:val="00C522A7"/>
    <w:rsid w:val="00C540E5"/>
    <w:rsid w:val="00C550C0"/>
    <w:rsid w:val="00C65E08"/>
    <w:rsid w:val="00C904A2"/>
    <w:rsid w:val="00C91157"/>
    <w:rsid w:val="00CB1400"/>
    <w:rsid w:val="00CB2F81"/>
    <w:rsid w:val="00CB663E"/>
    <w:rsid w:val="00CC3232"/>
    <w:rsid w:val="00CC5D90"/>
    <w:rsid w:val="00CD309C"/>
    <w:rsid w:val="00CD46C6"/>
    <w:rsid w:val="00D020FC"/>
    <w:rsid w:val="00D262AB"/>
    <w:rsid w:val="00D26CB5"/>
    <w:rsid w:val="00D429B8"/>
    <w:rsid w:val="00D42F75"/>
    <w:rsid w:val="00D44E62"/>
    <w:rsid w:val="00D6059B"/>
    <w:rsid w:val="00D649DE"/>
    <w:rsid w:val="00D6774E"/>
    <w:rsid w:val="00D82E36"/>
    <w:rsid w:val="00D946DB"/>
    <w:rsid w:val="00D94D6F"/>
    <w:rsid w:val="00DA4158"/>
    <w:rsid w:val="00DA46EB"/>
    <w:rsid w:val="00DB3285"/>
    <w:rsid w:val="00DB3FA1"/>
    <w:rsid w:val="00DB48C2"/>
    <w:rsid w:val="00DC33F4"/>
    <w:rsid w:val="00DC6DCF"/>
    <w:rsid w:val="00DF2EC6"/>
    <w:rsid w:val="00E00B80"/>
    <w:rsid w:val="00E24BE9"/>
    <w:rsid w:val="00E26830"/>
    <w:rsid w:val="00E27CE3"/>
    <w:rsid w:val="00E42921"/>
    <w:rsid w:val="00E47C2A"/>
    <w:rsid w:val="00E51B92"/>
    <w:rsid w:val="00E60E21"/>
    <w:rsid w:val="00E61B61"/>
    <w:rsid w:val="00E70E7A"/>
    <w:rsid w:val="00E75A83"/>
    <w:rsid w:val="00EB46A4"/>
    <w:rsid w:val="00EB4D61"/>
    <w:rsid w:val="00EC3815"/>
    <w:rsid w:val="00ED7CA3"/>
    <w:rsid w:val="00EE00E6"/>
    <w:rsid w:val="00EE29C2"/>
    <w:rsid w:val="00F0248E"/>
    <w:rsid w:val="00F100F6"/>
    <w:rsid w:val="00F1408E"/>
    <w:rsid w:val="00F4785F"/>
    <w:rsid w:val="00F67B33"/>
    <w:rsid w:val="00F82F6C"/>
    <w:rsid w:val="00F84616"/>
    <w:rsid w:val="00FC0A88"/>
    <w:rsid w:val="00FD74C8"/>
    <w:rsid w:val="00FF2851"/>
    <w:rsid w:val="00FF2D7F"/>
    <w:rsid w:val="4C204974"/>
  </w:rsids>
  <m:mathPr>
    <m:mathFont m:val="Cambria Math"/>
    <m:brkBin m:val="before"/>
    <m:brkBinSub m:val="--"/>
    <m:smallFrac m:val="0"/>
    <m:dispDef/>
    <m:lMargin m:val="0"/>
    <m:rMargin m:val="0"/>
    <m:defJc m:val="centerGroup"/>
    <m:wrapIndent m:val="1440"/>
    <m:intLim m:val="subSup"/>
    <m:naryLim m:val="undOvr"/>
  </m:mathPr>
  <w:doNotAutoCompressPictures/>
  <w:themeFontLang w:val="en-US" w:eastAsia="ja-JP"/>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360" w:lineRule="auto"/>
      <w:jc w:val="both"/>
    </w:pPr>
    <w:rPr>
      <w:rFonts w:ascii="Times New Roman" w:hAnsi="Times New Roman" w:cs="Times New Roman" w:eastAsiaTheme="minorEastAsia"/>
      <w:sz w:val="24"/>
      <w:szCs w:val="22"/>
      <w:lang w:val="en-GB" w:eastAsia="en-GB" w:bidi="ar-SA"/>
    </w:rPr>
  </w:style>
  <w:style w:type="paragraph" w:styleId="2">
    <w:name w:val="heading 1"/>
    <w:basedOn w:val="1"/>
    <w:next w:val="1"/>
    <w:link w:val="18"/>
    <w:qFormat/>
    <w:uiPriority w:val="9"/>
    <w:pPr>
      <w:keepNext/>
      <w:keepLines/>
      <w:spacing w:before="240" w:after="0"/>
      <w:outlineLvl w:val="0"/>
    </w:pPr>
    <w:rPr>
      <w:rFonts w:eastAsiaTheme="majorEastAsia"/>
      <w:b/>
      <w:bCs/>
      <w:sz w:val="32"/>
      <w:szCs w:val="32"/>
      <w:lang w:eastAsia="en-US"/>
    </w:rPr>
  </w:style>
  <w:style w:type="paragraph" w:styleId="3">
    <w:name w:val="heading 2"/>
    <w:basedOn w:val="1"/>
    <w:next w:val="1"/>
    <w:link w:val="19"/>
    <w:unhideWhenUsed/>
    <w:qFormat/>
    <w:uiPriority w:val="9"/>
    <w:pPr>
      <w:keepNext/>
      <w:keepLines/>
      <w:spacing w:before="40" w:after="0"/>
      <w:outlineLvl w:val="1"/>
    </w:pPr>
    <w:rPr>
      <w:rFonts w:eastAsiaTheme="majorEastAsia"/>
      <w:b/>
      <w:bCs/>
      <w:iCs/>
      <w:sz w:val="28"/>
      <w:szCs w:val="28"/>
      <w:lang w:eastAsia="en-US"/>
    </w:rPr>
  </w:style>
  <w:style w:type="character" w:default="1" w:styleId="13">
    <w:name w:val="Default Paragraph Font"/>
    <w:semiHidden/>
    <w:unhideWhenUsed/>
    <w:uiPriority w:val="1"/>
  </w:style>
  <w:style w:type="table" w:default="1" w:styleId="17">
    <w:name w:val="Normal Table"/>
    <w:semiHidden/>
    <w:unhideWhenUsed/>
    <w:uiPriority w:val="99"/>
    <w:tblPr>
      <w:tblCellMar>
        <w:top w:w="0" w:type="dxa"/>
        <w:left w:w="108" w:type="dxa"/>
        <w:bottom w:w="0" w:type="dxa"/>
        <w:right w:w="108" w:type="dxa"/>
      </w:tblCellMar>
    </w:tblPr>
  </w:style>
  <w:style w:type="paragraph" w:styleId="4">
    <w:name w:val="Balloon Text"/>
    <w:basedOn w:val="1"/>
    <w:link w:val="22"/>
    <w:semiHidden/>
    <w:unhideWhenUsed/>
    <w:uiPriority w:val="99"/>
    <w:pPr>
      <w:spacing w:after="0" w:line="240" w:lineRule="auto"/>
    </w:pPr>
    <w:rPr>
      <w:rFonts w:ascii="Segoe UI" w:hAnsi="Segoe UI" w:cs="Segoe UI"/>
      <w:sz w:val="18"/>
      <w:szCs w:val="18"/>
    </w:rPr>
  </w:style>
  <w:style w:type="paragraph" w:styleId="5">
    <w:name w:val="caption"/>
    <w:basedOn w:val="1"/>
    <w:next w:val="1"/>
    <w:unhideWhenUsed/>
    <w:qFormat/>
    <w:uiPriority w:val="35"/>
    <w:pPr>
      <w:spacing w:after="200" w:line="240" w:lineRule="auto"/>
    </w:pPr>
    <w:rPr>
      <w:i/>
      <w:iCs/>
      <w:color w:val="44546A" w:themeColor="text2"/>
      <w:sz w:val="18"/>
      <w:szCs w:val="18"/>
      <w14:textFill>
        <w14:solidFill>
          <w14:schemeClr w14:val="tx2"/>
        </w14:solidFill>
      </w14:textFill>
    </w:rPr>
  </w:style>
  <w:style w:type="paragraph" w:styleId="6">
    <w:name w:val="annotation text"/>
    <w:basedOn w:val="1"/>
    <w:link w:val="20"/>
    <w:semiHidden/>
    <w:unhideWhenUsed/>
    <w:uiPriority w:val="99"/>
    <w:pPr>
      <w:spacing w:line="240" w:lineRule="auto"/>
    </w:pPr>
    <w:rPr>
      <w:sz w:val="20"/>
      <w:szCs w:val="20"/>
    </w:rPr>
  </w:style>
  <w:style w:type="paragraph" w:styleId="7">
    <w:name w:val="annotation subject"/>
    <w:basedOn w:val="6"/>
    <w:next w:val="6"/>
    <w:link w:val="21"/>
    <w:semiHidden/>
    <w:unhideWhenUsed/>
    <w:uiPriority w:val="99"/>
    <w:rPr>
      <w:b/>
      <w:bCs/>
    </w:rPr>
  </w:style>
  <w:style w:type="paragraph" w:styleId="8">
    <w:name w:val="footer"/>
    <w:basedOn w:val="1"/>
    <w:link w:val="24"/>
    <w:unhideWhenUsed/>
    <w:uiPriority w:val="99"/>
    <w:pPr>
      <w:tabs>
        <w:tab w:val="center" w:pos="4513"/>
        <w:tab w:val="right" w:pos="9026"/>
      </w:tabs>
      <w:spacing w:after="0" w:line="240" w:lineRule="auto"/>
    </w:pPr>
  </w:style>
  <w:style w:type="paragraph" w:styleId="9">
    <w:name w:val="header"/>
    <w:basedOn w:val="1"/>
    <w:link w:val="23"/>
    <w:unhideWhenUsed/>
    <w:uiPriority w:val="99"/>
    <w:pPr>
      <w:tabs>
        <w:tab w:val="center" w:pos="4513"/>
        <w:tab w:val="right" w:pos="9026"/>
      </w:tabs>
      <w:spacing w:after="0" w:line="240" w:lineRule="auto"/>
    </w:pPr>
  </w:style>
  <w:style w:type="paragraph" w:styleId="10">
    <w:name w:val="Normal (Web)"/>
    <w:basedOn w:val="1"/>
    <w:semiHidden/>
    <w:unhideWhenUsed/>
    <w:uiPriority w:val="99"/>
    <w:pPr>
      <w:spacing w:before="100" w:beforeAutospacing="1" w:after="100" w:afterAutospacing="1" w:line="240" w:lineRule="auto"/>
      <w:jc w:val="left"/>
    </w:pPr>
    <w:rPr>
      <w:rFonts w:eastAsia="Times New Roman"/>
      <w:szCs w:val="24"/>
    </w:rPr>
  </w:style>
  <w:style w:type="paragraph" w:styleId="11">
    <w:name w:val="toc 1"/>
    <w:basedOn w:val="1"/>
    <w:next w:val="1"/>
    <w:unhideWhenUsed/>
    <w:uiPriority w:val="39"/>
    <w:pPr>
      <w:spacing w:after="100"/>
    </w:pPr>
  </w:style>
  <w:style w:type="paragraph" w:styleId="12">
    <w:name w:val="toc 2"/>
    <w:basedOn w:val="1"/>
    <w:next w:val="1"/>
    <w:unhideWhenUsed/>
    <w:uiPriority w:val="39"/>
    <w:pPr>
      <w:spacing w:after="100"/>
      <w:ind w:left="240"/>
    </w:pPr>
  </w:style>
  <w:style w:type="character" w:styleId="14">
    <w:name w:val="annotation reference"/>
    <w:basedOn w:val="13"/>
    <w:semiHidden/>
    <w:unhideWhenUsed/>
    <w:uiPriority w:val="99"/>
    <w:rPr>
      <w:sz w:val="16"/>
      <w:szCs w:val="16"/>
    </w:rPr>
  </w:style>
  <w:style w:type="character" w:styleId="15">
    <w:name w:val="Hyperlink"/>
    <w:basedOn w:val="13"/>
    <w:unhideWhenUsed/>
    <w:uiPriority w:val="99"/>
    <w:rPr>
      <w:color w:val="0563C1" w:themeColor="hyperlink"/>
      <w:u w:val="single"/>
      <w14:textFill>
        <w14:solidFill>
          <w14:schemeClr w14:val="hlink"/>
        </w14:solidFill>
      </w14:textFill>
    </w:rPr>
  </w:style>
  <w:style w:type="character" w:styleId="16">
    <w:name w:val="Strong"/>
    <w:basedOn w:val="13"/>
    <w:qFormat/>
    <w:uiPriority w:val="22"/>
    <w:rPr>
      <w:b/>
      <w:bCs/>
    </w:rPr>
  </w:style>
  <w:style w:type="character" w:customStyle="1" w:styleId="18">
    <w:name w:val="Heading 1 Char"/>
    <w:basedOn w:val="13"/>
    <w:link w:val="2"/>
    <w:qFormat/>
    <w:uiPriority w:val="9"/>
    <w:rPr>
      <w:rFonts w:ascii="Times New Roman" w:hAnsi="Times New Roman" w:cs="Times New Roman" w:eastAsiaTheme="majorEastAsia"/>
      <w:b/>
      <w:bCs/>
      <w:sz w:val="32"/>
      <w:szCs w:val="32"/>
      <w:lang w:val="en-GB"/>
    </w:rPr>
  </w:style>
  <w:style w:type="character" w:customStyle="1" w:styleId="19">
    <w:name w:val="Heading 2 Char"/>
    <w:basedOn w:val="13"/>
    <w:link w:val="3"/>
    <w:uiPriority w:val="9"/>
    <w:rPr>
      <w:rFonts w:ascii="Times New Roman" w:hAnsi="Times New Roman" w:cs="Times New Roman" w:eastAsiaTheme="majorEastAsia"/>
      <w:b/>
      <w:bCs/>
      <w:iCs/>
      <w:sz w:val="28"/>
      <w:szCs w:val="28"/>
      <w:lang w:val="en-GB"/>
    </w:rPr>
  </w:style>
  <w:style w:type="character" w:customStyle="1" w:styleId="20">
    <w:name w:val="Comment Text Char"/>
    <w:basedOn w:val="13"/>
    <w:link w:val="6"/>
    <w:semiHidden/>
    <w:qFormat/>
    <w:uiPriority w:val="99"/>
    <w:rPr>
      <w:rFonts w:ascii="Times New Roman" w:hAnsi="Times New Roman" w:eastAsiaTheme="minorEastAsia"/>
      <w:sz w:val="20"/>
      <w:szCs w:val="20"/>
      <w:lang w:val="en-GB" w:eastAsia="en-GB"/>
    </w:rPr>
  </w:style>
  <w:style w:type="character" w:customStyle="1" w:styleId="21">
    <w:name w:val="Comment Subject Char"/>
    <w:basedOn w:val="20"/>
    <w:link w:val="7"/>
    <w:semiHidden/>
    <w:uiPriority w:val="99"/>
    <w:rPr>
      <w:rFonts w:ascii="Times New Roman" w:hAnsi="Times New Roman" w:eastAsiaTheme="minorEastAsia"/>
      <w:b/>
      <w:bCs/>
      <w:sz w:val="20"/>
      <w:szCs w:val="20"/>
      <w:lang w:val="en-GB" w:eastAsia="en-GB"/>
    </w:rPr>
  </w:style>
  <w:style w:type="character" w:customStyle="1" w:styleId="22">
    <w:name w:val="Balloon Text Char"/>
    <w:basedOn w:val="13"/>
    <w:link w:val="4"/>
    <w:semiHidden/>
    <w:uiPriority w:val="99"/>
    <w:rPr>
      <w:rFonts w:ascii="Segoe UI" w:hAnsi="Segoe UI" w:cs="Segoe UI" w:eastAsiaTheme="minorEastAsia"/>
      <w:sz w:val="18"/>
      <w:szCs w:val="18"/>
      <w:lang w:val="en-GB" w:eastAsia="en-GB"/>
    </w:rPr>
  </w:style>
  <w:style w:type="character" w:customStyle="1" w:styleId="23">
    <w:name w:val="Header Char"/>
    <w:basedOn w:val="13"/>
    <w:link w:val="9"/>
    <w:uiPriority w:val="99"/>
    <w:rPr>
      <w:rFonts w:ascii="Times New Roman" w:hAnsi="Times New Roman" w:eastAsiaTheme="minorEastAsia"/>
      <w:sz w:val="24"/>
      <w:lang w:val="en-GB" w:eastAsia="en-GB"/>
    </w:rPr>
  </w:style>
  <w:style w:type="character" w:customStyle="1" w:styleId="24">
    <w:name w:val="Footer Char"/>
    <w:basedOn w:val="13"/>
    <w:link w:val="8"/>
    <w:uiPriority w:val="99"/>
    <w:rPr>
      <w:rFonts w:ascii="Times New Roman" w:hAnsi="Times New Roman" w:eastAsiaTheme="minorEastAsia"/>
      <w:sz w:val="24"/>
      <w:lang w:val="en-GB" w:eastAsia="en-GB"/>
    </w:rPr>
  </w:style>
  <w:style w:type="character" w:customStyle="1" w:styleId="25">
    <w:name w:val="selectable"/>
    <w:basedOn w:val="13"/>
    <w:uiPriority w:val="0"/>
  </w:style>
  <w:style w:type="paragraph" w:customStyle="1" w:styleId="26">
    <w:name w:val="TOC Heading"/>
    <w:basedOn w:val="2"/>
    <w:next w:val="1"/>
    <w:unhideWhenUsed/>
    <w:qFormat/>
    <w:uiPriority w:val="39"/>
    <w:pPr>
      <w:spacing w:line="259" w:lineRule="auto"/>
      <w:jc w:val="left"/>
      <w:outlineLvl w:val="9"/>
    </w:pPr>
    <w:rPr>
      <w:rFonts w:asciiTheme="majorHAnsi" w:hAnsiTheme="majorHAnsi"/>
      <w:b w:val="0"/>
      <w:bCs w:val="0"/>
      <w:color w:val="2F5597" w:themeColor="accent1" w:themeShade="BF"/>
    </w:rPr>
  </w:style>
  <w:style w:type="paragraph" w:styleId="27">
    <w:name w:val="No Spacing"/>
    <w:link w:val="28"/>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28">
    <w:name w:val="No Spacing Char"/>
    <w:basedOn w:val="13"/>
    <w:link w:val="27"/>
    <w:uiPriority w:val="1"/>
    <w:rPr>
      <w:rFonts w:eastAsiaTheme="minorEastAsia"/>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4.png"/><Relationship Id="rId7" Type="http://schemas.openxmlformats.org/officeDocument/2006/relationships/image" Target="media/image3.png"/><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2.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6E56B23A-FB38-6F4B-98AC-33E9DC0BD0C3}">
  <ds:schemaRefs/>
</ds:datastoreItem>
</file>

<file path=docProps/app.xml><?xml version="1.0" encoding="utf-8"?>
<Properties xmlns="http://schemas.openxmlformats.org/officeDocument/2006/extended-properties" xmlns:vt="http://schemas.openxmlformats.org/officeDocument/2006/docPropsVTypes">
  <Template>Normal.dotm</Template>
  <Pages>18</Pages>
  <Words>4550</Words>
  <Characters>25936</Characters>
  <Lines>216</Lines>
  <Paragraphs>60</Paragraphs>
  <TotalTime>609</TotalTime>
  <ScaleCrop>false</ScaleCrop>
  <LinksUpToDate>false</LinksUpToDate>
  <CharactersWithSpaces>30426</CharactersWithSpaces>
  <Application>WPS Office_11.2.0.9327_F1E327BC-269C-435d-A152-05C5408002CA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2020-04-29T13:21:00Z</dcterms:created>
  <dc:creator>Sharif</dc:creator>
  <cp:lastModifiedBy>google1589289476</cp:lastModifiedBy>
  <dcterms:modified xsi:type="dcterms:W3CDTF">2020-05-18T07:58:20Z</dcterms:modified>
  <dc:title>Knowledge and Information Management Skills for The Workplace</dc:title>
  <cp:revision>31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1033-11.2.0.9327</vt:lpwstr>
  </property>
</Properties>
</file>