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18261" w14:textId="77777777" w:rsidR="00791375" w:rsidRPr="00791375" w:rsidRDefault="00791375" w:rsidP="00791375">
      <w:pPr>
        <w:spacing w:line="360" w:lineRule="auto"/>
        <w:rPr>
          <w:rFonts w:ascii="Arial" w:hAnsi="Arial" w:cs="Arial"/>
        </w:rPr>
      </w:pPr>
      <w:r w:rsidRPr="00791375">
        <w:rPr>
          <w:rFonts w:ascii="Arial" w:hAnsi="Arial" w:cs="Arial"/>
        </w:rPr>
        <w:t xml:space="preserve">The present preparation notes will support a client interview; the clients are first-time buyers and will be purchasing a freehold residential property. During the interview, the conveyancing process will be explained, any probable legal risks will be assessed, and advice regarding joint ownership will be provided, along with any financial implications that the client will be made aware of. This ensures the client has the necessary information to make decisions that align with their best interests prior to the exchange of contracts (SRA 2019, Principle 7). Solicitors must provide a competent standard of service (SRA 2019, Principle 3) and act with integrity (SRA 2019, Principle 5), meaning that honesty is an essential part when discussing any potential risk that could affect the client or the property. </w:t>
      </w:r>
    </w:p>
    <w:p w14:paraId="5D337A29" w14:textId="77777777" w:rsidR="00791375" w:rsidRPr="00791375" w:rsidRDefault="00791375" w:rsidP="00791375">
      <w:pPr>
        <w:spacing w:line="360" w:lineRule="auto"/>
        <w:rPr>
          <w:rFonts w:ascii="Arial" w:hAnsi="Arial" w:cs="Arial"/>
        </w:rPr>
      </w:pPr>
    </w:p>
    <w:p w14:paraId="1AE25635" w14:textId="77777777" w:rsidR="00791375" w:rsidRPr="00791375" w:rsidRDefault="00791375" w:rsidP="00791375">
      <w:pPr>
        <w:spacing w:line="360" w:lineRule="auto"/>
        <w:rPr>
          <w:rFonts w:ascii="Arial" w:hAnsi="Arial" w:cs="Arial"/>
        </w:rPr>
      </w:pPr>
      <w:r w:rsidRPr="00791375">
        <w:rPr>
          <w:rFonts w:ascii="Arial" w:hAnsi="Arial" w:cs="Arial"/>
        </w:rPr>
        <w:t>The conveyancing process</w:t>
      </w:r>
    </w:p>
    <w:p w14:paraId="7811E486" w14:textId="77777777" w:rsidR="00791375" w:rsidRPr="00791375" w:rsidRDefault="00791375" w:rsidP="00791375">
      <w:pPr>
        <w:spacing w:line="360" w:lineRule="auto"/>
        <w:rPr>
          <w:rFonts w:ascii="Arial" w:hAnsi="Arial" w:cs="Arial"/>
        </w:rPr>
      </w:pPr>
      <w:r w:rsidRPr="00791375">
        <w:rPr>
          <w:rFonts w:ascii="Arial" w:hAnsi="Arial" w:cs="Arial"/>
        </w:rPr>
        <w:t xml:space="preserve">The transfer of ownership of the land from the seller to the buyer, since the land is registered, falls under the Land Registration Act 2002, which states that, under the law, the transfer does not take place until registration is complete (s. 27). After the buyer's offer has been accepted, the pre-contract stage starts. There is no legally binding agreement, and either party may withdraw from it at any time. This principle is confirmed in 'New Towns v Cooper' (1995) and remains in effect until contracts are exchanged. The solicitor will carry out searches, assess the contract, and the investigation of title will commence. Any easements or covenants will be identified during the investigation of title. This is important, as restrictive covenants can bind the new owner due to 'Tulk v </w:t>
      </w:r>
      <w:proofErr w:type="spellStart"/>
      <w:r w:rsidRPr="00791375">
        <w:rPr>
          <w:rFonts w:ascii="Arial" w:hAnsi="Arial" w:cs="Arial"/>
        </w:rPr>
        <w:t>Moxhay</w:t>
      </w:r>
      <w:proofErr w:type="spellEnd"/>
      <w:r w:rsidRPr="00791375">
        <w:rPr>
          <w:rFonts w:ascii="Arial" w:hAnsi="Arial" w:cs="Arial"/>
        </w:rPr>
        <w:t xml:space="preserve">' (1848) and could also impact the mortgage lender's security. </w:t>
      </w:r>
    </w:p>
    <w:p w14:paraId="6178EE80" w14:textId="77777777" w:rsidR="00791375" w:rsidRPr="00791375" w:rsidRDefault="00791375" w:rsidP="00791375">
      <w:pPr>
        <w:spacing w:line="360" w:lineRule="auto"/>
        <w:rPr>
          <w:rFonts w:ascii="Arial" w:hAnsi="Arial" w:cs="Arial"/>
        </w:rPr>
      </w:pPr>
      <w:r w:rsidRPr="00791375">
        <w:rPr>
          <w:rFonts w:ascii="Arial" w:hAnsi="Arial" w:cs="Arial"/>
        </w:rPr>
        <w:t>Once these actions have been completed, the buyer and seller can proceed to exchange contracts, and the contract will become legally binding. If the buyer fails to complete the purchase, the seller may claim damages and retain the deposit ('Howe v Smith' 1884). The process is concluded once the seller receives payment for the purchase; however, legal ownership is only complete once the transfer is registered with the HM Land Registry (as per the Land Registration Act 2002). The solicitor must then complete the Land Transaction Tax and handle the registration.</w:t>
      </w:r>
    </w:p>
    <w:p w14:paraId="77628E39" w14:textId="77777777" w:rsidR="00791375" w:rsidRPr="00791375" w:rsidRDefault="00791375" w:rsidP="00791375">
      <w:pPr>
        <w:spacing w:line="360" w:lineRule="auto"/>
        <w:rPr>
          <w:rFonts w:ascii="Arial" w:hAnsi="Arial" w:cs="Arial"/>
        </w:rPr>
      </w:pPr>
    </w:p>
    <w:p w14:paraId="1AF705DD" w14:textId="77777777" w:rsidR="00791375" w:rsidRPr="00791375" w:rsidRDefault="00791375" w:rsidP="00791375">
      <w:pPr>
        <w:spacing w:line="360" w:lineRule="auto"/>
        <w:rPr>
          <w:rFonts w:ascii="Arial" w:hAnsi="Arial" w:cs="Arial"/>
        </w:rPr>
      </w:pPr>
      <w:r w:rsidRPr="00791375">
        <w:rPr>
          <w:rFonts w:ascii="Arial" w:hAnsi="Arial" w:cs="Arial"/>
        </w:rPr>
        <w:t>Co-Ownership</w:t>
      </w:r>
    </w:p>
    <w:p w14:paraId="11A8AB28" w14:textId="77777777" w:rsidR="00791375" w:rsidRPr="00791375" w:rsidRDefault="00791375" w:rsidP="00791375">
      <w:pPr>
        <w:spacing w:line="360" w:lineRule="auto"/>
        <w:rPr>
          <w:rFonts w:ascii="Arial" w:hAnsi="Arial" w:cs="Arial"/>
        </w:rPr>
      </w:pPr>
      <w:r w:rsidRPr="00791375">
        <w:rPr>
          <w:rFonts w:ascii="Arial" w:hAnsi="Arial" w:cs="Arial"/>
        </w:rPr>
        <w:t xml:space="preserve">There are two ways clients can purchase jointly: the first is joint tenancy, which means the couple owns the property together, with no individual shares. Once the death of one owner occurs, the surviving owner automatically assumes full ownership of the property that was passed to them. In 'Stack v Dowden' (2007), it was determined that if a house is held in joint </w:t>
      </w:r>
      <w:r w:rsidRPr="00791375">
        <w:rPr>
          <w:rFonts w:ascii="Arial" w:hAnsi="Arial" w:cs="Arial"/>
        </w:rPr>
        <w:lastRenderedPageBreak/>
        <w:t xml:space="preserve">names, beneficial ownership is assumed; however, this can be severed under s. 36.2 of the Law of Property Act 1925. This distinction can become particularly important if the parties are contributing differently financially or wish their stake in the property to pass to someone else, rather than by survivorship. </w:t>
      </w:r>
    </w:p>
    <w:p w14:paraId="0EBAD608" w14:textId="77777777" w:rsidR="00791375" w:rsidRPr="00791375" w:rsidRDefault="00791375" w:rsidP="00791375">
      <w:pPr>
        <w:spacing w:line="360" w:lineRule="auto"/>
        <w:rPr>
          <w:rFonts w:ascii="Arial" w:hAnsi="Arial" w:cs="Arial"/>
        </w:rPr>
      </w:pPr>
      <w:r w:rsidRPr="00791375">
        <w:rPr>
          <w:rFonts w:ascii="Arial" w:hAnsi="Arial" w:cs="Arial"/>
        </w:rPr>
        <w:t xml:space="preserve">Alternatively, the owners can be tenants in common, which is when each owner has their own share in the property. A declaration of trust is used as established in 'Goodman v Gallant' (1986). Once shares are decided, they are conclusive; shares can only be varied by evidence of fraud or mistake. There is no right of survivorship, meaning that once one of the owners dies, their share can be passed on through a </w:t>
      </w:r>
      <w:proofErr w:type="spellStart"/>
      <w:r w:rsidRPr="00791375">
        <w:rPr>
          <w:rFonts w:ascii="Arial" w:hAnsi="Arial" w:cs="Arial"/>
        </w:rPr>
        <w:t>will.</w:t>
      </w:r>
      <w:proofErr w:type="spellEnd"/>
      <w:r w:rsidRPr="00791375">
        <w:rPr>
          <w:rFonts w:ascii="Arial" w:hAnsi="Arial" w:cs="Arial"/>
        </w:rPr>
        <w:t xml:space="preserve"> This type of tenancy is particularly useful when both parties contribute unequally or wish to pass their share on to someone else upon their passing. </w:t>
      </w:r>
    </w:p>
    <w:p w14:paraId="30B1A2BC" w14:textId="77777777" w:rsidR="00791375" w:rsidRPr="00791375" w:rsidRDefault="00791375" w:rsidP="00791375">
      <w:pPr>
        <w:spacing w:line="360" w:lineRule="auto"/>
        <w:rPr>
          <w:rFonts w:ascii="Arial" w:hAnsi="Arial" w:cs="Arial"/>
        </w:rPr>
      </w:pPr>
    </w:p>
    <w:p w14:paraId="29BCD81F" w14:textId="77777777" w:rsidR="00791375" w:rsidRPr="00791375" w:rsidRDefault="00791375" w:rsidP="00791375">
      <w:pPr>
        <w:spacing w:line="360" w:lineRule="auto"/>
        <w:rPr>
          <w:rFonts w:ascii="Arial" w:hAnsi="Arial" w:cs="Arial"/>
        </w:rPr>
      </w:pPr>
      <w:r w:rsidRPr="00791375">
        <w:rPr>
          <w:rFonts w:ascii="Arial" w:hAnsi="Arial" w:cs="Arial"/>
        </w:rPr>
        <w:t>Mortgage and cost</w:t>
      </w:r>
    </w:p>
    <w:p w14:paraId="4CBBDE39" w14:textId="77777777" w:rsidR="00791375" w:rsidRPr="00791375" w:rsidRDefault="00791375" w:rsidP="00791375">
      <w:pPr>
        <w:spacing w:line="360" w:lineRule="auto"/>
        <w:rPr>
          <w:rFonts w:ascii="Arial" w:hAnsi="Arial" w:cs="Arial"/>
        </w:rPr>
      </w:pPr>
      <w:r w:rsidRPr="00791375">
        <w:rPr>
          <w:rFonts w:ascii="Arial" w:hAnsi="Arial" w:cs="Arial"/>
        </w:rPr>
        <w:t xml:space="preserve">The buyers are purchasing the property using a mortgage, the solicitor will act on behalf of both the buyer and the mortgage provider. The solicitor has a duty to both parties and must report any defects in the title to the mortgage provider, as outlined in the UK Finance (2024) Mortgage Lenders Handbook. Solicitors can be held liable if they fail to disclose defects, for instance, as seen in 'Mortgage Express Ltd v Bowerman' (1996). Upon exchange of contracts, the buyer will pay a deposit held by the seller's solicitor, which creates a legally binding agreement ('New Towns v Cooper', 1995). If the buyer fails to complete the sale, the seller may claim damages and retain the deposit (Howe v Smith, 1884). The buyer must understand that they become legally bound to the purchase after the exchange of contracts has taken place. The solicitor will request that the mortgage provider release the mortgage funds and combine them with the buyer's funds to finalise the purchase. </w:t>
      </w:r>
    </w:p>
    <w:p w14:paraId="5E491D0D" w14:textId="77777777" w:rsidR="00791375" w:rsidRPr="00791375" w:rsidRDefault="00791375" w:rsidP="00791375">
      <w:pPr>
        <w:spacing w:line="360" w:lineRule="auto"/>
        <w:rPr>
          <w:rFonts w:ascii="Arial" w:hAnsi="Arial" w:cs="Arial"/>
        </w:rPr>
      </w:pPr>
      <w:r w:rsidRPr="00791375">
        <w:rPr>
          <w:rFonts w:ascii="Arial" w:hAnsi="Arial" w:cs="Arial"/>
        </w:rPr>
        <w:t xml:space="preserve">It is essential that the buyer is aware of any costs associated with the purchase, for instance, the deposit, solicitors' legal fees, VAT, search fees, Land registration fee and land transaction </w:t>
      </w:r>
      <w:proofErr w:type="spellStart"/>
      <w:r w:rsidRPr="00791375">
        <w:rPr>
          <w:rFonts w:ascii="Arial" w:hAnsi="Arial" w:cs="Arial"/>
        </w:rPr>
        <w:t>tax.</w:t>
      </w:r>
      <w:proofErr w:type="spellEnd"/>
      <w:r w:rsidRPr="00791375">
        <w:rPr>
          <w:rFonts w:ascii="Arial" w:hAnsi="Arial" w:cs="Arial"/>
        </w:rPr>
        <w:t xml:space="preserve"> There may also be additional costs incurred, such as indemnity insurance if searches uncover any problems (UK Finance, 2024, s.9.1), or further searches if any issues arise. </w:t>
      </w:r>
    </w:p>
    <w:p w14:paraId="35EC6E97" w14:textId="77777777" w:rsidR="00791375" w:rsidRPr="00791375" w:rsidRDefault="00791375" w:rsidP="00791375">
      <w:pPr>
        <w:spacing w:line="360" w:lineRule="auto"/>
        <w:rPr>
          <w:rFonts w:ascii="Arial" w:hAnsi="Arial" w:cs="Arial"/>
        </w:rPr>
      </w:pPr>
    </w:p>
    <w:p w14:paraId="4A5B5BCA" w14:textId="77777777" w:rsidR="00791375" w:rsidRPr="00791375" w:rsidRDefault="00791375" w:rsidP="00791375">
      <w:pPr>
        <w:spacing w:line="360" w:lineRule="auto"/>
        <w:rPr>
          <w:rFonts w:ascii="Arial" w:hAnsi="Arial" w:cs="Arial"/>
        </w:rPr>
      </w:pPr>
      <w:r w:rsidRPr="00791375">
        <w:rPr>
          <w:rFonts w:ascii="Arial" w:hAnsi="Arial" w:cs="Arial"/>
        </w:rPr>
        <w:t>Searches</w:t>
      </w:r>
    </w:p>
    <w:p w14:paraId="2DDD326B" w14:textId="77777777" w:rsidR="00791375" w:rsidRPr="00791375" w:rsidRDefault="00791375" w:rsidP="00791375">
      <w:pPr>
        <w:spacing w:line="360" w:lineRule="auto"/>
        <w:rPr>
          <w:rFonts w:ascii="Arial" w:hAnsi="Arial" w:cs="Arial"/>
        </w:rPr>
      </w:pPr>
      <w:r w:rsidRPr="00791375">
        <w:rPr>
          <w:rFonts w:ascii="Arial" w:hAnsi="Arial" w:cs="Arial"/>
        </w:rPr>
        <w:t xml:space="preserve">Searches are carried out in the pre-contract stages so the solicitor can identify anything affecting the property that cannot be found from the title alone. These searches identify any </w:t>
      </w:r>
      <w:r w:rsidRPr="00791375">
        <w:rPr>
          <w:rFonts w:ascii="Arial" w:hAnsi="Arial" w:cs="Arial"/>
        </w:rPr>
        <w:lastRenderedPageBreak/>
        <w:t>risks to the buyer or mortgage provider. If the correct searches are not advised, professional negligence can arise ('</w:t>
      </w:r>
      <w:proofErr w:type="spellStart"/>
      <w:r w:rsidRPr="00791375">
        <w:rPr>
          <w:rFonts w:ascii="Arial" w:hAnsi="Arial" w:cs="Arial"/>
        </w:rPr>
        <w:t>Orientfield</w:t>
      </w:r>
      <w:proofErr w:type="spellEnd"/>
      <w:r w:rsidRPr="00791375">
        <w:rPr>
          <w:rFonts w:ascii="Arial" w:hAnsi="Arial" w:cs="Arial"/>
        </w:rPr>
        <w:t xml:space="preserve"> Holdings Ltd v Bird &amp; Bird LLP' 2015). </w:t>
      </w:r>
    </w:p>
    <w:p w14:paraId="19E40B24" w14:textId="77777777" w:rsidR="00791375" w:rsidRPr="00791375" w:rsidRDefault="00791375" w:rsidP="00791375">
      <w:pPr>
        <w:spacing w:line="360" w:lineRule="auto"/>
        <w:rPr>
          <w:rFonts w:ascii="Arial" w:hAnsi="Arial" w:cs="Arial"/>
        </w:rPr>
      </w:pPr>
      <w:r w:rsidRPr="00791375">
        <w:rPr>
          <w:rFonts w:ascii="Arial" w:hAnsi="Arial" w:cs="Arial"/>
        </w:rPr>
        <w:t>The first type of search is a Local Authority Search. This search reveals information such as planning permissions, building approvals, or restrictions affecting the property. This search is particularly vital in this purchase due to the absence of evidence on planning permission for a conservatory. The Town and Country Planning Act 1990 governs planning control, whereas the Building Act 1984 governs building standards. This search will determine whether the conservatory was built lawfully or without planning permission. They cannot enforce action if the conservatory was built more than 4 years ago, as operational development is time-barred (Town and Country Planning Act 1990). Despite this, the lack of approval can limit future development, lower resale value, and may increase susceptibility to a mortgage or may require obtaining indemnity insurance (UK Finance, 2024, s.9.1).</w:t>
      </w:r>
    </w:p>
    <w:p w14:paraId="5C8C1681" w14:textId="77777777" w:rsidR="00791375" w:rsidRPr="00791375" w:rsidRDefault="00791375" w:rsidP="00791375">
      <w:pPr>
        <w:spacing w:line="360" w:lineRule="auto"/>
        <w:rPr>
          <w:rFonts w:ascii="Arial" w:hAnsi="Arial" w:cs="Arial"/>
        </w:rPr>
      </w:pPr>
      <w:r w:rsidRPr="00791375">
        <w:rPr>
          <w:rFonts w:ascii="Arial" w:hAnsi="Arial" w:cs="Arial"/>
        </w:rPr>
        <w:t xml:space="preserve">The drainage and water search confirms whether the property is connected to a sewerage system or water supply, and it also identifies any public sewers or drains located within or near the property. This can affect development on the property and give a statutory right of access. The Water Industry Act 1991 allows undertakers to have a statutory right to enter land to maintain or repair sewers or water mains. This means the buyer may have to allow access or refrain from building or block certain areas. If the conservatory is built over a sewer or any other area that undertakers have access to, mortgage lenders may be hesitant to provide a mortgage. </w:t>
      </w:r>
    </w:p>
    <w:p w14:paraId="05483612" w14:textId="77777777" w:rsidR="00791375" w:rsidRPr="00791375" w:rsidRDefault="00791375" w:rsidP="00791375">
      <w:pPr>
        <w:spacing w:line="360" w:lineRule="auto"/>
        <w:rPr>
          <w:rFonts w:ascii="Arial" w:hAnsi="Arial" w:cs="Arial"/>
        </w:rPr>
      </w:pPr>
      <w:r w:rsidRPr="00791375">
        <w:rPr>
          <w:rFonts w:ascii="Arial" w:hAnsi="Arial" w:cs="Arial"/>
        </w:rPr>
        <w:t xml:space="preserve">An Environmental search assesses if the property is affected by contaminated land. Under the Environmental Protection Act 1990, local authorities are required to identify any contaminated land and can also hold the individual responsible for contaminating the land liable. This impacts the buyer, as if they cannot identify the contaminator, the liability is imposed on the current owner. The Contaminated Land (Wales) Regulations 2006 govern the enforcement of clean-up responsibilities and remediation; the associated costs can be high. If contamination is found, it can impact the buyer's ability to get a mortgage. </w:t>
      </w:r>
    </w:p>
    <w:p w14:paraId="3E4F16E6" w14:textId="77777777" w:rsidR="00791375" w:rsidRPr="00791375" w:rsidRDefault="00791375" w:rsidP="00791375">
      <w:pPr>
        <w:spacing w:line="360" w:lineRule="auto"/>
        <w:rPr>
          <w:rFonts w:ascii="Arial" w:hAnsi="Arial" w:cs="Arial"/>
        </w:rPr>
      </w:pPr>
      <w:r w:rsidRPr="00791375">
        <w:rPr>
          <w:rFonts w:ascii="Arial" w:hAnsi="Arial" w:cs="Arial"/>
        </w:rPr>
        <w:t xml:space="preserve">A coal mine search identifies past, present and future mining activity. Issues that may arise are governed by the Coal Mining Subsidence Act 1991, which sets out to remedy any damage caused by mining. Individuals can make a claim to receive monetary compensation or repairs. If this search is not conducted, it may impact the sale of the property in the future or impose a financial burden. </w:t>
      </w:r>
    </w:p>
    <w:p w14:paraId="7B2E3E88" w14:textId="77777777" w:rsidR="00791375" w:rsidRPr="00791375" w:rsidRDefault="00791375" w:rsidP="00791375">
      <w:pPr>
        <w:spacing w:line="360" w:lineRule="auto"/>
        <w:rPr>
          <w:rFonts w:ascii="Arial" w:hAnsi="Arial" w:cs="Arial"/>
        </w:rPr>
      </w:pPr>
      <w:r w:rsidRPr="00791375">
        <w:rPr>
          <w:rFonts w:ascii="Arial" w:hAnsi="Arial" w:cs="Arial"/>
        </w:rPr>
        <w:t xml:space="preserve">If negative implications are found through searches, the solicitor is under a professional duty to disclose this to the buyer and advise them; this is due to the SRA Code of Conduct (Solicitors Regulation Authority, 2019) and the Law Society (2020) conveyancing protocol. </w:t>
      </w:r>
      <w:r w:rsidRPr="00791375">
        <w:rPr>
          <w:rFonts w:ascii="Arial" w:hAnsi="Arial" w:cs="Arial"/>
        </w:rPr>
        <w:lastRenderedPageBreak/>
        <w:t>This could include renegotiating the property's cost, taking out indemnity insurance, conducting speciality searches, or even not purchasing the property. 'Mortgage Express Ltd v Bowerman' (1996) highlights that solicitors must disclose risk to the client and that proceeding without informing them of any risk can induce legal and financial risk.</w:t>
      </w:r>
    </w:p>
    <w:p w14:paraId="3821E476" w14:textId="77777777" w:rsidR="00791375" w:rsidRPr="00791375" w:rsidRDefault="00791375" w:rsidP="00791375">
      <w:pPr>
        <w:spacing w:line="360" w:lineRule="auto"/>
        <w:rPr>
          <w:rFonts w:ascii="Arial" w:hAnsi="Arial" w:cs="Arial"/>
        </w:rPr>
      </w:pPr>
    </w:p>
    <w:p w14:paraId="074662DB" w14:textId="77777777" w:rsidR="00791375" w:rsidRPr="00791375" w:rsidRDefault="00791375" w:rsidP="00791375">
      <w:pPr>
        <w:spacing w:line="360" w:lineRule="auto"/>
        <w:rPr>
          <w:rFonts w:ascii="Arial" w:hAnsi="Arial" w:cs="Arial"/>
        </w:rPr>
      </w:pPr>
      <w:r w:rsidRPr="00791375">
        <w:rPr>
          <w:rFonts w:ascii="Arial" w:hAnsi="Arial" w:cs="Arial"/>
        </w:rPr>
        <w:t xml:space="preserve">Issue </w:t>
      </w:r>
    </w:p>
    <w:p w14:paraId="324B12D2" w14:textId="77777777" w:rsidR="00791375" w:rsidRPr="00791375" w:rsidRDefault="00791375" w:rsidP="00791375">
      <w:pPr>
        <w:spacing w:line="360" w:lineRule="auto"/>
        <w:rPr>
          <w:rFonts w:ascii="Arial" w:hAnsi="Arial" w:cs="Arial"/>
        </w:rPr>
      </w:pPr>
      <w:r w:rsidRPr="00791375">
        <w:rPr>
          <w:rFonts w:ascii="Arial" w:hAnsi="Arial" w:cs="Arial"/>
        </w:rPr>
        <w:t xml:space="preserve">The seller has built a conservatory without evidence of building regulation approval or planning permission. Planning permission is governed by the Town and Country Planning Act 1990. This framework determines whether permission is granted and the Building Regulations 2010 ensure that any building constructed meets safety and structural requirements. Enforcement by the local authorities may be time-barred, depending on when the conservatory was built. This still imposes risk, particularly due to mortgage providers not being willing to lend the buyer money and may impact how difficult it may be to sell the property in future. Additionally, the conservatory may breach a restrictive covenant in the title, which limits alterations to the property, and this can be enforced against new owners if the requirements in 'Tulk v </w:t>
      </w:r>
      <w:proofErr w:type="spellStart"/>
      <w:r w:rsidRPr="00791375">
        <w:rPr>
          <w:rFonts w:ascii="Arial" w:hAnsi="Arial" w:cs="Arial"/>
        </w:rPr>
        <w:t>Moxhay</w:t>
      </w:r>
      <w:proofErr w:type="spellEnd"/>
      <w:r w:rsidRPr="00791375">
        <w:rPr>
          <w:rFonts w:ascii="Arial" w:hAnsi="Arial" w:cs="Arial"/>
        </w:rPr>
        <w:t xml:space="preserve">' (1848) are </w:t>
      </w:r>
      <w:proofErr w:type="spellStart"/>
      <w:r w:rsidRPr="00791375">
        <w:rPr>
          <w:rFonts w:ascii="Arial" w:hAnsi="Arial" w:cs="Arial"/>
        </w:rPr>
        <w:t>met.</w:t>
      </w:r>
      <w:proofErr w:type="spellEnd"/>
      <w:r w:rsidRPr="00791375">
        <w:rPr>
          <w:rFonts w:ascii="Arial" w:hAnsi="Arial" w:cs="Arial"/>
        </w:rPr>
        <w:t xml:space="preserve"> </w:t>
      </w:r>
    </w:p>
    <w:p w14:paraId="2514CFE3" w14:textId="051DE307" w:rsidR="00421860" w:rsidRPr="00791375" w:rsidRDefault="00791375" w:rsidP="00791375">
      <w:pPr>
        <w:spacing w:line="360" w:lineRule="auto"/>
        <w:rPr>
          <w:rFonts w:ascii="Arial" w:hAnsi="Arial" w:cs="Arial"/>
        </w:rPr>
      </w:pPr>
      <w:r w:rsidRPr="00791375">
        <w:rPr>
          <w:rFonts w:ascii="Arial" w:hAnsi="Arial" w:cs="Arial"/>
        </w:rPr>
        <w:t xml:space="preserve">These preparation notes outline the information required to conduct a client interview with a first-time buyer, including the conveyancing process, the financial implications of a mortgage, the purpose of relevant searches, and assessing the risk associated with the absence of planning permission. The preparation ensures that professional duties imposed as a solicitor are fulfilled and approached correctly, and that the client interview can be conducted clearly, allowing the client to make informed decisions in their best interest. </w:t>
      </w:r>
    </w:p>
    <w:p w14:paraId="4EC336FA" w14:textId="77777777" w:rsidR="00791375" w:rsidRPr="00791375" w:rsidRDefault="00791375" w:rsidP="00791375">
      <w:pPr>
        <w:spacing w:line="360" w:lineRule="auto"/>
        <w:rPr>
          <w:rFonts w:ascii="Arial" w:hAnsi="Arial" w:cs="Arial"/>
        </w:rPr>
      </w:pPr>
    </w:p>
    <w:p w14:paraId="360308F6" w14:textId="77777777" w:rsidR="00791375" w:rsidRPr="00791375" w:rsidRDefault="00791375" w:rsidP="00791375">
      <w:pPr>
        <w:spacing w:line="360" w:lineRule="auto"/>
        <w:rPr>
          <w:rFonts w:ascii="Arial" w:hAnsi="Arial" w:cs="Arial"/>
        </w:rPr>
      </w:pPr>
    </w:p>
    <w:p w14:paraId="7A4CC949" w14:textId="77777777" w:rsidR="00791375" w:rsidRPr="00791375" w:rsidRDefault="00791375" w:rsidP="00791375">
      <w:pPr>
        <w:spacing w:line="360" w:lineRule="auto"/>
        <w:rPr>
          <w:rFonts w:ascii="Arial" w:hAnsi="Arial" w:cs="Arial"/>
        </w:rPr>
      </w:pPr>
    </w:p>
    <w:p w14:paraId="2CE79A71" w14:textId="77777777" w:rsidR="00791375" w:rsidRPr="00791375" w:rsidRDefault="00791375" w:rsidP="00791375">
      <w:pPr>
        <w:spacing w:line="360" w:lineRule="auto"/>
        <w:rPr>
          <w:rFonts w:ascii="Arial" w:hAnsi="Arial" w:cs="Arial"/>
        </w:rPr>
      </w:pPr>
    </w:p>
    <w:p w14:paraId="00A5C345" w14:textId="77777777" w:rsidR="00791375" w:rsidRPr="00791375" w:rsidRDefault="00791375" w:rsidP="00791375">
      <w:pPr>
        <w:spacing w:line="360" w:lineRule="auto"/>
        <w:rPr>
          <w:rFonts w:ascii="Arial" w:hAnsi="Arial" w:cs="Arial"/>
        </w:rPr>
      </w:pPr>
    </w:p>
    <w:p w14:paraId="3D0B2F54" w14:textId="77777777" w:rsidR="00791375" w:rsidRPr="00791375" w:rsidRDefault="00791375" w:rsidP="00791375">
      <w:pPr>
        <w:spacing w:line="360" w:lineRule="auto"/>
        <w:rPr>
          <w:rFonts w:ascii="Arial" w:hAnsi="Arial" w:cs="Arial"/>
        </w:rPr>
      </w:pPr>
    </w:p>
    <w:p w14:paraId="76EC7456" w14:textId="77777777" w:rsidR="00791375" w:rsidRPr="00791375" w:rsidRDefault="00791375" w:rsidP="00791375">
      <w:pPr>
        <w:spacing w:line="360" w:lineRule="auto"/>
        <w:rPr>
          <w:rFonts w:ascii="Arial" w:hAnsi="Arial" w:cs="Arial"/>
        </w:rPr>
      </w:pPr>
    </w:p>
    <w:p w14:paraId="46E484C9" w14:textId="77777777" w:rsidR="00791375" w:rsidRPr="00791375" w:rsidRDefault="00791375" w:rsidP="00791375">
      <w:pPr>
        <w:spacing w:line="360" w:lineRule="auto"/>
        <w:rPr>
          <w:rFonts w:ascii="Arial" w:hAnsi="Arial" w:cs="Arial"/>
        </w:rPr>
      </w:pPr>
    </w:p>
    <w:p w14:paraId="1E6EA5F4" w14:textId="77777777" w:rsidR="00791375" w:rsidRDefault="00791375" w:rsidP="00791375">
      <w:pPr>
        <w:spacing w:line="360" w:lineRule="auto"/>
        <w:rPr>
          <w:rFonts w:ascii="Arial" w:hAnsi="Arial" w:cs="Arial"/>
        </w:rPr>
      </w:pPr>
    </w:p>
    <w:p w14:paraId="3480FCCF" w14:textId="5E848EFF" w:rsidR="00791375" w:rsidRPr="00791375" w:rsidRDefault="00791375" w:rsidP="00791375">
      <w:pPr>
        <w:spacing w:line="360" w:lineRule="auto"/>
        <w:rPr>
          <w:rFonts w:ascii="Arial" w:hAnsi="Arial" w:cs="Arial"/>
          <w:u w:val="single"/>
        </w:rPr>
      </w:pPr>
      <w:r w:rsidRPr="00791375">
        <w:rPr>
          <w:rFonts w:ascii="Arial" w:hAnsi="Arial" w:cs="Arial"/>
          <w:u w:val="single"/>
        </w:rPr>
        <w:lastRenderedPageBreak/>
        <w:t>Legislation</w:t>
      </w:r>
    </w:p>
    <w:p w14:paraId="536F58C1" w14:textId="77777777" w:rsidR="00791375" w:rsidRPr="00791375" w:rsidRDefault="00791375" w:rsidP="00791375">
      <w:pPr>
        <w:spacing w:line="360" w:lineRule="auto"/>
        <w:rPr>
          <w:rFonts w:ascii="Arial" w:hAnsi="Arial" w:cs="Arial"/>
          <w:i/>
          <w:iCs/>
        </w:rPr>
      </w:pPr>
      <w:r w:rsidRPr="00791375">
        <w:rPr>
          <w:rFonts w:ascii="Arial" w:hAnsi="Arial" w:cs="Arial"/>
          <w:i/>
          <w:iCs/>
        </w:rPr>
        <w:t>Building Act 1984,</w:t>
      </w:r>
      <w:r w:rsidRPr="00791375">
        <w:rPr>
          <w:rFonts w:ascii="Arial" w:hAnsi="Arial" w:cs="Arial"/>
        </w:rPr>
        <w:t xml:space="preserve"> </w:t>
      </w:r>
      <w:r w:rsidRPr="00791375">
        <w:rPr>
          <w:rFonts w:ascii="Arial" w:hAnsi="Arial" w:cs="Arial"/>
          <w:i/>
          <w:iCs/>
        </w:rPr>
        <w:t>c.55</w:t>
      </w:r>
    </w:p>
    <w:p w14:paraId="71ACCFDC"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7" w:history="1">
        <w:r w:rsidRPr="00791375">
          <w:rPr>
            <w:rStyle w:val="Hyperlink"/>
            <w:rFonts w:ascii="Arial" w:hAnsi="Arial" w:cs="Arial"/>
          </w:rPr>
          <w:t>https://www.legislation.gov.uk/ukpga/1984/55</w:t>
        </w:r>
      </w:hyperlink>
    </w:p>
    <w:p w14:paraId="0DAF0C68" w14:textId="77777777" w:rsidR="00791375" w:rsidRPr="00791375" w:rsidRDefault="00791375" w:rsidP="00791375">
      <w:pPr>
        <w:spacing w:line="360" w:lineRule="auto"/>
        <w:rPr>
          <w:rFonts w:ascii="Arial" w:hAnsi="Arial" w:cs="Arial"/>
        </w:rPr>
      </w:pPr>
    </w:p>
    <w:p w14:paraId="0F7BB166" w14:textId="77777777" w:rsidR="00791375" w:rsidRPr="00791375" w:rsidRDefault="00791375" w:rsidP="00791375">
      <w:pPr>
        <w:spacing w:line="360" w:lineRule="auto"/>
        <w:rPr>
          <w:rFonts w:ascii="Arial" w:hAnsi="Arial" w:cs="Arial"/>
          <w:i/>
          <w:iCs/>
        </w:rPr>
      </w:pPr>
      <w:r w:rsidRPr="00791375">
        <w:rPr>
          <w:rFonts w:ascii="Arial" w:hAnsi="Arial" w:cs="Arial"/>
          <w:i/>
          <w:iCs/>
        </w:rPr>
        <w:t>Building Regulations 2010, no. 2214</w:t>
      </w:r>
    </w:p>
    <w:p w14:paraId="175151B3"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8" w:history="1">
        <w:r w:rsidRPr="00791375">
          <w:rPr>
            <w:rStyle w:val="Hyperlink"/>
            <w:rFonts w:ascii="Arial" w:hAnsi="Arial" w:cs="Arial"/>
          </w:rPr>
          <w:t>https://www.legislation.gov.uk/uksi/2010/2214/contents</w:t>
        </w:r>
      </w:hyperlink>
    </w:p>
    <w:p w14:paraId="25B809FC" w14:textId="77777777" w:rsidR="00791375" w:rsidRPr="00791375" w:rsidRDefault="00791375" w:rsidP="00791375">
      <w:pPr>
        <w:spacing w:line="360" w:lineRule="auto"/>
        <w:rPr>
          <w:rFonts w:ascii="Arial" w:hAnsi="Arial" w:cs="Arial"/>
        </w:rPr>
      </w:pPr>
    </w:p>
    <w:p w14:paraId="2063C6BD" w14:textId="77777777" w:rsidR="00791375" w:rsidRPr="00791375" w:rsidRDefault="00791375" w:rsidP="00791375">
      <w:pPr>
        <w:spacing w:line="360" w:lineRule="auto"/>
        <w:rPr>
          <w:rFonts w:ascii="Arial" w:hAnsi="Arial" w:cs="Arial"/>
          <w:i/>
          <w:iCs/>
        </w:rPr>
      </w:pPr>
      <w:r w:rsidRPr="00791375">
        <w:rPr>
          <w:rFonts w:ascii="Arial" w:hAnsi="Arial" w:cs="Arial"/>
          <w:i/>
          <w:iCs/>
        </w:rPr>
        <w:t>Coal Mining Subsidence Act 1991, c.45</w:t>
      </w:r>
    </w:p>
    <w:p w14:paraId="2ECC115C"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9" w:history="1">
        <w:r w:rsidRPr="00791375">
          <w:rPr>
            <w:rStyle w:val="Hyperlink"/>
            <w:rFonts w:ascii="Arial" w:hAnsi="Arial" w:cs="Arial"/>
          </w:rPr>
          <w:t>https://www.legislation.gov.uk/ukpga/1991/45/contents</w:t>
        </w:r>
      </w:hyperlink>
    </w:p>
    <w:p w14:paraId="65C2C1F3" w14:textId="77777777" w:rsidR="00791375" w:rsidRPr="00791375" w:rsidRDefault="00791375" w:rsidP="00791375">
      <w:pPr>
        <w:spacing w:line="360" w:lineRule="auto"/>
        <w:rPr>
          <w:rFonts w:ascii="Arial" w:hAnsi="Arial" w:cs="Arial"/>
          <w:highlight w:val="yellow"/>
        </w:rPr>
      </w:pPr>
    </w:p>
    <w:p w14:paraId="7B9764B6" w14:textId="77777777" w:rsidR="00791375" w:rsidRPr="00791375" w:rsidRDefault="00791375" w:rsidP="00791375">
      <w:pPr>
        <w:spacing w:line="360" w:lineRule="auto"/>
        <w:rPr>
          <w:rFonts w:ascii="Arial" w:hAnsi="Arial" w:cs="Arial"/>
          <w:i/>
          <w:iCs/>
        </w:rPr>
      </w:pPr>
      <w:r w:rsidRPr="00791375">
        <w:rPr>
          <w:rFonts w:ascii="Arial" w:hAnsi="Arial" w:cs="Arial"/>
          <w:i/>
          <w:iCs/>
        </w:rPr>
        <w:t>Contaminated Land (Wales) Regulations 2006, no.2989</w:t>
      </w:r>
    </w:p>
    <w:p w14:paraId="79FF875C"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10" w:history="1">
        <w:r w:rsidRPr="00791375">
          <w:rPr>
            <w:rStyle w:val="Hyperlink"/>
            <w:rFonts w:ascii="Arial" w:hAnsi="Arial" w:cs="Arial"/>
          </w:rPr>
          <w:t>https://www.legislation.gov.uk/wsi/2006/2989/contents</w:t>
        </w:r>
      </w:hyperlink>
    </w:p>
    <w:p w14:paraId="5AF8CE54" w14:textId="77777777" w:rsidR="00791375" w:rsidRPr="00791375" w:rsidRDefault="00791375" w:rsidP="00791375">
      <w:pPr>
        <w:spacing w:line="360" w:lineRule="auto"/>
        <w:rPr>
          <w:rFonts w:ascii="Arial" w:hAnsi="Arial" w:cs="Arial"/>
        </w:rPr>
      </w:pPr>
    </w:p>
    <w:p w14:paraId="16105ABD" w14:textId="77777777" w:rsidR="00791375" w:rsidRPr="00791375" w:rsidRDefault="00791375" w:rsidP="00791375">
      <w:pPr>
        <w:spacing w:line="360" w:lineRule="auto"/>
        <w:rPr>
          <w:rFonts w:ascii="Arial" w:hAnsi="Arial" w:cs="Arial"/>
          <w:i/>
          <w:iCs/>
        </w:rPr>
      </w:pPr>
      <w:r w:rsidRPr="00791375">
        <w:rPr>
          <w:rFonts w:ascii="Arial" w:hAnsi="Arial" w:cs="Arial"/>
          <w:i/>
          <w:iCs/>
        </w:rPr>
        <w:t>Environmental Protection Act 1990, c. 43</w:t>
      </w:r>
    </w:p>
    <w:p w14:paraId="0C75BF8F"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11" w:history="1">
        <w:r w:rsidRPr="00791375">
          <w:rPr>
            <w:rStyle w:val="Hyperlink"/>
            <w:rFonts w:ascii="Arial" w:hAnsi="Arial" w:cs="Arial"/>
          </w:rPr>
          <w:t>https://www.legislation.gov.uk/ukpga/1990/43/contents</w:t>
        </w:r>
      </w:hyperlink>
    </w:p>
    <w:p w14:paraId="1C427B96" w14:textId="77777777" w:rsidR="00791375" w:rsidRPr="00791375" w:rsidRDefault="00791375" w:rsidP="00791375">
      <w:pPr>
        <w:spacing w:line="360" w:lineRule="auto"/>
        <w:rPr>
          <w:rFonts w:ascii="Arial" w:hAnsi="Arial" w:cs="Arial"/>
        </w:rPr>
      </w:pPr>
    </w:p>
    <w:p w14:paraId="3D8BEA88" w14:textId="77777777" w:rsidR="00791375" w:rsidRPr="00791375" w:rsidRDefault="00791375" w:rsidP="00791375">
      <w:pPr>
        <w:spacing w:line="360" w:lineRule="auto"/>
        <w:rPr>
          <w:rFonts w:ascii="Arial" w:hAnsi="Arial" w:cs="Arial"/>
          <w:i/>
          <w:iCs/>
        </w:rPr>
      </w:pPr>
      <w:r w:rsidRPr="00791375">
        <w:rPr>
          <w:rFonts w:ascii="Arial" w:hAnsi="Arial" w:cs="Arial"/>
          <w:i/>
          <w:iCs/>
        </w:rPr>
        <w:t>Land Registration Act 2002, c.9</w:t>
      </w:r>
    </w:p>
    <w:p w14:paraId="3BB1305C"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12" w:history="1">
        <w:r w:rsidRPr="00791375">
          <w:rPr>
            <w:rStyle w:val="Hyperlink"/>
            <w:rFonts w:ascii="Arial" w:hAnsi="Arial" w:cs="Arial"/>
          </w:rPr>
          <w:t>https://www.legislation.gov.uk/ukpga/2002/9/section/27</w:t>
        </w:r>
      </w:hyperlink>
    </w:p>
    <w:p w14:paraId="179901CE" w14:textId="77777777" w:rsidR="00791375" w:rsidRPr="00791375" w:rsidRDefault="00791375" w:rsidP="00791375">
      <w:pPr>
        <w:spacing w:line="360" w:lineRule="auto"/>
        <w:rPr>
          <w:rFonts w:ascii="Arial" w:hAnsi="Arial" w:cs="Arial"/>
        </w:rPr>
      </w:pPr>
    </w:p>
    <w:p w14:paraId="63E70125" w14:textId="77777777" w:rsidR="00791375" w:rsidRPr="00791375" w:rsidRDefault="00791375" w:rsidP="00791375">
      <w:pPr>
        <w:spacing w:line="360" w:lineRule="auto"/>
        <w:rPr>
          <w:rFonts w:ascii="Arial" w:hAnsi="Arial" w:cs="Arial"/>
          <w:i/>
          <w:iCs/>
        </w:rPr>
      </w:pPr>
      <w:r w:rsidRPr="00791375">
        <w:rPr>
          <w:rFonts w:ascii="Arial" w:hAnsi="Arial" w:cs="Arial"/>
          <w:i/>
          <w:iCs/>
        </w:rPr>
        <w:t>Law of Property Act 1925, c.20</w:t>
      </w:r>
    </w:p>
    <w:p w14:paraId="3023C2F5"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13" w:history="1">
        <w:r w:rsidRPr="00791375">
          <w:rPr>
            <w:rStyle w:val="Hyperlink"/>
            <w:rFonts w:ascii="Arial" w:hAnsi="Arial" w:cs="Arial"/>
          </w:rPr>
          <w:t>https://www.legislation.gov.uk/ukpga/Geo5/15-16/20</w:t>
        </w:r>
      </w:hyperlink>
    </w:p>
    <w:p w14:paraId="66FAF4A9" w14:textId="77777777" w:rsidR="00791375" w:rsidRPr="00791375" w:rsidRDefault="00791375" w:rsidP="00791375">
      <w:pPr>
        <w:spacing w:line="360" w:lineRule="auto"/>
        <w:rPr>
          <w:rFonts w:ascii="Arial" w:hAnsi="Arial" w:cs="Arial"/>
          <w:u w:val="single"/>
        </w:rPr>
      </w:pPr>
    </w:p>
    <w:p w14:paraId="4488F86C" w14:textId="77777777" w:rsidR="00791375" w:rsidRPr="00791375" w:rsidRDefault="00791375" w:rsidP="00791375">
      <w:pPr>
        <w:spacing w:line="360" w:lineRule="auto"/>
        <w:rPr>
          <w:rFonts w:ascii="Arial" w:hAnsi="Arial" w:cs="Arial"/>
          <w:i/>
          <w:iCs/>
        </w:rPr>
      </w:pPr>
      <w:r w:rsidRPr="00791375">
        <w:rPr>
          <w:rFonts w:ascii="Arial" w:hAnsi="Arial" w:cs="Arial"/>
          <w:i/>
          <w:iCs/>
        </w:rPr>
        <w:t>Town and Country Planning Act 1990 c.8</w:t>
      </w:r>
    </w:p>
    <w:p w14:paraId="55AF18D5"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14" w:history="1">
        <w:r w:rsidRPr="00791375">
          <w:rPr>
            <w:rStyle w:val="Hyperlink"/>
            <w:rFonts w:ascii="Arial" w:hAnsi="Arial" w:cs="Arial"/>
          </w:rPr>
          <w:t>https://www.legislation.gov.uk/ukpga/1990/8/contents</w:t>
        </w:r>
      </w:hyperlink>
    </w:p>
    <w:p w14:paraId="395875CD" w14:textId="77777777" w:rsidR="00791375" w:rsidRPr="00791375" w:rsidRDefault="00791375" w:rsidP="00791375">
      <w:pPr>
        <w:spacing w:line="360" w:lineRule="auto"/>
        <w:rPr>
          <w:rFonts w:ascii="Arial" w:hAnsi="Arial" w:cs="Arial"/>
          <w:u w:val="single"/>
        </w:rPr>
      </w:pPr>
    </w:p>
    <w:p w14:paraId="11AC0BD2" w14:textId="77777777" w:rsidR="00791375" w:rsidRPr="00791375" w:rsidRDefault="00791375" w:rsidP="00791375">
      <w:pPr>
        <w:spacing w:line="360" w:lineRule="auto"/>
        <w:rPr>
          <w:rFonts w:ascii="Arial" w:hAnsi="Arial" w:cs="Arial"/>
          <w:i/>
          <w:iCs/>
        </w:rPr>
      </w:pPr>
      <w:r w:rsidRPr="00791375">
        <w:rPr>
          <w:rFonts w:ascii="Arial" w:hAnsi="Arial" w:cs="Arial"/>
          <w:i/>
          <w:iCs/>
        </w:rPr>
        <w:t>Water Industry Act 1991, c. 56</w:t>
      </w:r>
    </w:p>
    <w:p w14:paraId="104E42AC" w14:textId="77777777" w:rsidR="00791375" w:rsidRPr="00791375" w:rsidRDefault="00791375" w:rsidP="00791375">
      <w:pPr>
        <w:spacing w:line="360" w:lineRule="auto"/>
        <w:rPr>
          <w:rFonts w:ascii="Arial" w:hAnsi="Arial" w:cs="Arial"/>
        </w:rPr>
      </w:pPr>
      <w:r w:rsidRPr="00791375">
        <w:rPr>
          <w:rFonts w:ascii="Arial" w:hAnsi="Arial" w:cs="Arial"/>
        </w:rPr>
        <w:lastRenderedPageBreak/>
        <w:t xml:space="preserve">Available at: </w:t>
      </w:r>
      <w:hyperlink r:id="rId15" w:history="1">
        <w:r w:rsidRPr="00791375">
          <w:rPr>
            <w:rStyle w:val="Hyperlink"/>
            <w:rFonts w:ascii="Arial" w:hAnsi="Arial" w:cs="Arial"/>
          </w:rPr>
          <w:t>https://www.legislation.gov.uk/ukpga/1991/56/contents</w:t>
        </w:r>
      </w:hyperlink>
    </w:p>
    <w:p w14:paraId="2560699F" w14:textId="77777777" w:rsidR="00791375" w:rsidRPr="00791375" w:rsidRDefault="00791375" w:rsidP="00791375">
      <w:pPr>
        <w:spacing w:line="360" w:lineRule="auto"/>
        <w:rPr>
          <w:rFonts w:ascii="Arial" w:hAnsi="Arial" w:cs="Arial"/>
        </w:rPr>
      </w:pPr>
    </w:p>
    <w:p w14:paraId="7EC0C7E2" w14:textId="77777777" w:rsidR="00791375" w:rsidRPr="00791375" w:rsidRDefault="00791375" w:rsidP="00791375">
      <w:pPr>
        <w:spacing w:line="360" w:lineRule="auto"/>
        <w:rPr>
          <w:rFonts w:ascii="Arial" w:hAnsi="Arial" w:cs="Arial"/>
        </w:rPr>
      </w:pPr>
    </w:p>
    <w:p w14:paraId="44C1221C" w14:textId="77777777" w:rsidR="00791375" w:rsidRPr="00791375" w:rsidRDefault="00791375" w:rsidP="00791375">
      <w:pPr>
        <w:spacing w:line="360" w:lineRule="auto"/>
        <w:rPr>
          <w:rFonts w:ascii="Arial" w:hAnsi="Arial" w:cs="Arial"/>
        </w:rPr>
      </w:pPr>
    </w:p>
    <w:p w14:paraId="40467380" w14:textId="77777777" w:rsidR="00791375" w:rsidRPr="00791375" w:rsidRDefault="00791375" w:rsidP="00791375">
      <w:pPr>
        <w:spacing w:line="360" w:lineRule="auto"/>
        <w:rPr>
          <w:rFonts w:ascii="Arial" w:hAnsi="Arial" w:cs="Arial"/>
        </w:rPr>
      </w:pPr>
    </w:p>
    <w:p w14:paraId="69C9BB7B" w14:textId="77777777" w:rsidR="00791375" w:rsidRPr="00791375" w:rsidRDefault="00791375" w:rsidP="00791375">
      <w:pPr>
        <w:spacing w:line="360" w:lineRule="auto"/>
        <w:rPr>
          <w:rFonts w:ascii="Arial" w:hAnsi="Arial" w:cs="Arial"/>
          <w:u w:val="single"/>
        </w:rPr>
      </w:pPr>
    </w:p>
    <w:p w14:paraId="7B2A508C" w14:textId="77777777" w:rsidR="00791375" w:rsidRPr="00791375" w:rsidRDefault="00791375" w:rsidP="00791375">
      <w:pPr>
        <w:spacing w:line="360" w:lineRule="auto"/>
        <w:rPr>
          <w:rFonts w:ascii="Arial" w:hAnsi="Arial" w:cs="Arial"/>
          <w:u w:val="single"/>
        </w:rPr>
      </w:pPr>
    </w:p>
    <w:p w14:paraId="2160F629" w14:textId="77777777" w:rsidR="00791375" w:rsidRPr="00791375" w:rsidRDefault="00791375" w:rsidP="00791375">
      <w:pPr>
        <w:spacing w:line="360" w:lineRule="auto"/>
        <w:rPr>
          <w:rFonts w:ascii="Arial" w:hAnsi="Arial" w:cs="Arial"/>
          <w:u w:val="single"/>
        </w:rPr>
      </w:pPr>
    </w:p>
    <w:p w14:paraId="1FD03A92" w14:textId="77777777" w:rsidR="00791375" w:rsidRPr="00791375" w:rsidRDefault="00791375" w:rsidP="00791375">
      <w:pPr>
        <w:spacing w:line="360" w:lineRule="auto"/>
        <w:rPr>
          <w:rFonts w:ascii="Arial" w:hAnsi="Arial" w:cs="Arial"/>
          <w:u w:val="single"/>
        </w:rPr>
      </w:pPr>
    </w:p>
    <w:p w14:paraId="1263A4F2" w14:textId="77777777" w:rsidR="00791375" w:rsidRPr="00791375" w:rsidRDefault="00791375" w:rsidP="00791375">
      <w:pPr>
        <w:spacing w:line="360" w:lineRule="auto"/>
        <w:rPr>
          <w:rFonts w:ascii="Arial" w:hAnsi="Arial" w:cs="Arial"/>
          <w:u w:val="single"/>
        </w:rPr>
      </w:pPr>
    </w:p>
    <w:p w14:paraId="13BB8A58" w14:textId="77777777" w:rsidR="00791375" w:rsidRPr="00791375" w:rsidRDefault="00791375" w:rsidP="00791375">
      <w:pPr>
        <w:spacing w:line="360" w:lineRule="auto"/>
        <w:rPr>
          <w:rFonts w:ascii="Arial" w:hAnsi="Arial" w:cs="Arial"/>
          <w:u w:val="single"/>
        </w:rPr>
      </w:pPr>
    </w:p>
    <w:p w14:paraId="1CB70ED0" w14:textId="77777777" w:rsidR="00791375" w:rsidRPr="00791375" w:rsidRDefault="00791375" w:rsidP="00791375">
      <w:pPr>
        <w:spacing w:line="360" w:lineRule="auto"/>
        <w:rPr>
          <w:rFonts w:ascii="Arial" w:hAnsi="Arial" w:cs="Arial"/>
          <w:u w:val="single"/>
        </w:rPr>
      </w:pPr>
    </w:p>
    <w:p w14:paraId="35C007EC" w14:textId="77777777" w:rsidR="00791375" w:rsidRPr="00791375" w:rsidRDefault="00791375" w:rsidP="00791375">
      <w:pPr>
        <w:spacing w:line="360" w:lineRule="auto"/>
        <w:rPr>
          <w:rFonts w:ascii="Arial" w:hAnsi="Arial" w:cs="Arial"/>
          <w:u w:val="single"/>
        </w:rPr>
      </w:pPr>
    </w:p>
    <w:p w14:paraId="22FCB1B7" w14:textId="77777777" w:rsidR="00791375" w:rsidRPr="00791375" w:rsidRDefault="00791375" w:rsidP="00791375">
      <w:pPr>
        <w:spacing w:line="360" w:lineRule="auto"/>
        <w:rPr>
          <w:rFonts w:ascii="Arial" w:hAnsi="Arial" w:cs="Arial"/>
          <w:u w:val="single"/>
        </w:rPr>
      </w:pPr>
    </w:p>
    <w:p w14:paraId="533A902C" w14:textId="77777777" w:rsidR="00791375" w:rsidRPr="00791375" w:rsidRDefault="00791375" w:rsidP="00791375">
      <w:pPr>
        <w:spacing w:line="360" w:lineRule="auto"/>
        <w:rPr>
          <w:rFonts w:ascii="Arial" w:hAnsi="Arial" w:cs="Arial"/>
          <w:u w:val="single"/>
        </w:rPr>
      </w:pPr>
    </w:p>
    <w:p w14:paraId="08B9C7E5" w14:textId="77777777" w:rsidR="00791375" w:rsidRPr="00791375" w:rsidRDefault="00791375" w:rsidP="00791375">
      <w:pPr>
        <w:spacing w:line="360" w:lineRule="auto"/>
        <w:rPr>
          <w:rFonts w:ascii="Arial" w:hAnsi="Arial" w:cs="Arial"/>
          <w:u w:val="single"/>
        </w:rPr>
      </w:pPr>
    </w:p>
    <w:p w14:paraId="5A3662D9" w14:textId="77777777" w:rsidR="00791375" w:rsidRPr="00791375" w:rsidRDefault="00791375" w:rsidP="00791375">
      <w:pPr>
        <w:spacing w:line="360" w:lineRule="auto"/>
        <w:rPr>
          <w:rFonts w:ascii="Arial" w:hAnsi="Arial" w:cs="Arial"/>
          <w:u w:val="single"/>
        </w:rPr>
      </w:pPr>
    </w:p>
    <w:p w14:paraId="737B03AF" w14:textId="77777777" w:rsidR="00791375" w:rsidRPr="00791375" w:rsidRDefault="00791375" w:rsidP="00791375">
      <w:pPr>
        <w:spacing w:line="360" w:lineRule="auto"/>
        <w:rPr>
          <w:rFonts w:ascii="Arial" w:hAnsi="Arial" w:cs="Arial"/>
          <w:u w:val="single"/>
        </w:rPr>
      </w:pPr>
    </w:p>
    <w:p w14:paraId="51493D25" w14:textId="77777777" w:rsidR="00791375" w:rsidRPr="00791375" w:rsidRDefault="00791375" w:rsidP="00791375">
      <w:pPr>
        <w:spacing w:line="360" w:lineRule="auto"/>
        <w:rPr>
          <w:rFonts w:ascii="Arial" w:hAnsi="Arial" w:cs="Arial"/>
          <w:u w:val="single"/>
        </w:rPr>
      </w:pPr>
    </w:p>
    <w:p w14:paraId="01BB95ED" w14:textId="77777777" w:rsidR="00791375" w:rsidRPr="00791375" w:rsidRDefault="00791375" w:rsidP="00791375">
      <w:pPr>
        <w:spacing w:line="360" w:lineRule="auto"/>
        <w:rPr>
          <w:rFonts w:ascii="Arial" w:hAnsi="Arial" w:cs="Arial"/>
          <w:u w:val="single"/>
        </w:rPr>
      </w:pPr>
    </w:p>
    <w:p w14:paraId="147364A4" w14:textId="77777777" w:rsidR="00791375" w:rsidRPr="00791375" w:rsidRDefault="00791375" w:rsidP="00791375">
      <w:pPr>
        <w:spacing w:line="360" w:lineRule="auto"/>
        <w:rPr>
          <w:rFonts w:ascii="Arial" w:hAnsi="Arial" w:cs="Arial"/>
          <w:u w:val="single"/>
        </w:rPr>
      </w:pPr>
    </w:p>
    <w:p w14:paraId="29E89C42" w14:textId="77777777" w:rsidR="00791375" w:rsidRPr="00791375" w:rsidRDefault="00791375" w:rsidP="00791375">
      <w:pPr>
        <w:spacing w:line="360" w:lineRule="auto"/>
        <w:rPr>
          <w:rFonts w:ascii="Arial" w:hAnsi="Arial" w:cs="Arial"/>
          <w:u w:val="single"/>
        </w:rPr>
      </w:pPr>
    </w:p>
    <w:p w14:paraId="5BBF4EB1" w14:textId="77777777" w:rsidR="00791375" w:rsidRPr="00791375" w:rsidRDefault="00791375" w:rsidP="00791375">
      <w:pPr>
        <w:spacing w:line="360" w:lineRule="auto"/>
        <w:rPr>
          <w:rFonts w:ascii="Arial" w:hAnsi="Arial" w:cs="Arial"/>
          <w:u w:val="single"/>
        </w:rPr>
      </w:pPr>
    </w:p>
    <w:p w14:paraId="553AB76A" w14:textId="77777777" w:rsidR="00791375" w:rsidRPr="00791375" w:rsidRDefault="00791375" w:rsidP="00791375">
      <w:pPr>
        <w:spacing w:line="360" w:lineRule="auto"/>
        <w:rPr>
          <w:rFonts w:ascii="Arial" w:hAnsi="Arial" w:cs="Arial"/>
          <w:u w:val="single"/>
        </w:rPr>
      </w:pPr>
    </w:p>
    <w:p w14:paraId="489B328D" w14:textId="77777777" w:rsidR="00791375" w:rsidRPr="00791375" w:rsidRDefault="00791375" w:rsidP="00791375">
      <w:pPr>
        <w:spacing w:line="360" w:lineRule="auto"/>
        <w:rPr>
          <w:rFonts w:ascii="Arial" w:hAnsi="Arial" w:cs="Arial"/>
          <w:u w:val="single"/>
        </w:rPr>
      </w:pPr>
    </w:p>
    <w:p w14:paraId="04EF2B49" w14:textId="77777777" w:rsidR="00791375" w:rsidRPr="00791375" w:rsidRDefault="00791375" w:rsidP="00791375">
      <w:pPr>
        <w:spacing w:line="360" w:lineRule="auto"/>
        <w:rPr>
          <w:rFonts w:ascii="Arial" w:hAnsi="Arial" w:cs="Arial"/>
          <w:u w:val="single"/>
        </w:rPr>
      </w:pPr>
    </w:p>
    <w:p w14:paraId="665C3DC0" w14:textId="77777777" w:rsidR="00791375" w:rsidRPr="00791375" w:rsidRDefault="00791375" w:rsidP="00791375">
      <w:pPr>
        <w:spacing w:line="360" w:lineRule="auto"/>
        <w:rPr>
          <w:rFonts w:ascii="Arial" w:hAnsi="Arial" w:cs="Arial"/>
          <w:u w:val="single"/>
        </w:rPr>
      </w:pPr>
      <w:r w:rsidRPr="00791375">
        <w:rPr>
          <w:rFonts w:ascii="Arial" w:hAnsi="Arial" w:cs="Arial"/>
          <w:u w:val="single"/>
        </w:rPr>
        <w:lastRenderedPageBreak/>
        <w:t>Cases</w:t>
      </w:r>
    </w:p>
    <w:p w14:paraId="7BB9CB5C" w14:textId="77777777" w:rsidR="00791375" w:rsidRPr="00791375" w:rsidRDefault="00791375" w:rsidP="00791375">
      <w:pPr>
        <w:spacing w:line="360" w:lineRule="auto"/>
        <w:rPr>
          <w:rFonts w:ascii="Arial" w:hAnsi="Arial" w:cs="Arial"/>
        </w:rPr>
      </w:pPr>
      <w:r w:rsidRPr="00791375">
        <w:rPr>
          <w:rFonts w:ascii="Arial" w:hAnsi="Arial" w:cs="Arial"/>
        </w:rPr>
        <w:t>‘Goodman v Gallant’ (1986) Fam 106</w:t>
      </w:r>
    </w:p>
    <w:p w14:paraId="21BB75BF" w14:textId="77777777" w:rsidR="00791375" w:rsidRPr="00791375" w:rsidRDefault="00791375" w:rsidP="00791375">
      <w:pPr>
        <w:spacing w:line="360" w:lineRule="auto"/>
        <w:rPr>
          <w:rFonts w:ascii="Arial" w:hAnsi="Arial" w:cs="Arial"/>
        </w:rPr>
      </w:pPr>
    </w:p>
    <w:p w14:paraId="2FA0D477" w14:textId="77777777" w:rsidR="00791375" w:rsidRPr="00791375" w:rsidRDefault="00791375" w:rsidP="00791375">
      <w:pPr>
        <w:spacing w:line="360" w:lineRule="auto"/>
        <w:rPr>
          <w:rFonts w:ascii="Arial" w:hAnsi="Arial" w:cs="Arial"/>
        </w:rPr>
      </w:pPr>
      <w:r w:rsidRPr="00791375">
        <w:rPr>
          <w:rFonts w:ascii="Arial" w:hAnsi="Arial" w:cs="Arial"/>
        </w:rPr>
        <w:t>‘Howe v Smith’ (1884) 27 Ch D 89</w:t>
      </w:r>
    </w:p>
    <w:p w14:paraId="480395EC" w14:textId="77777777" w:rsidR="00791375" w:rsidRPr="00791375" w:rsidRDefault="00791375" w:rsidP="00791375">
      <w:pPr>
        <w:spacing w:line="360" w:lineRule="auto"/>
        <w:rPr>
          <w:rFonts w:ascii="Arial" w:hAnsi="Arial" w:cs="Arial"/>
        </w:rPr>
      </w:pPr>
    </w:p>
    <w:p w14:paraId="4C9B5D85" w14:textId="77777777" w:rsidR="00791375" w:rsidRPr="00791375" w:rsidRDefault="00791375" w:rsidP="00791375">
      <w:pPr>
        <w:spacing w:line="360" w:lineRule="auto"/>
        <w:rPr>
          <w:rFonts w:ascii="Arial" w:hAnsi="Arial" w:cs="Arial"/>
        </w:rPr>
      </w:pPr>
      <w:r w:rsidRPr="00791375">
        <w:rPr>
          <w:rFonts w:ascii="Arial" w:hAnsi="Arial" w:cs="Arial"/>
        </w:rPr>
        <w:t>‘Mortgage Express Ltd v Bowerman’ (1996) 2 Er 836</w:t>
      </w:r>
    </w:p>
    <w:p w14:paraId="7F5F8889" w14:textId="77777777" w:rsidR="00791375" w:rsidRPr="00791375" w:rsidRDefault="00791375" w:rsidP="00791375">
      <w:pPr>
        <w:spacing w:line="360" w:lineRule="auto"/>
        <w:rPr>
          <w:rFonts w:ascii="Arial" w:hAnsi="Arial" w:cs="Arial"/>
        </w:rPr>
      </w:pPr>
    </w:p>
    <w:p w14:paraId="0F05EC14" w14:textId="77777777" w:rsidR="00791375" w:rsidRPr="00791375" w:rsidRDefault="00791375" w:rsidP="00791375">
      <w:pPr>
        <w:spacing w:line="360" w:lineRule="auto"/>
        <w:rPr>
          <w:rFonts w:ascii="Arial" w:hAnsi="Arial" w:cs="Arial"/>
        </w:rPr>
      </w:pPr>
      <w:r w:rsidRPr="00791375">
        <w:rPr>
          <w:rFonts w:ascii="Arial" w:hAnsi="Arial" w:cs="Arial"/>
        </w:rPr>
        <w:t>‘New Towns v Cooper’ (1995) Ch 259</w:t>
      </w:r>
    </w:p>
    <w:p w14:paraId="713E7BED" w14:textId="77777777" w:rsidR="00791375" w:rsidRPr="00791375" w:rsidRDefault="00791375" w:rsidP="00791375">
      <w:pPr>
        <w:spacing w:line="360" w:lineRule="auto"/>
        <w:rPr>
          <w:rFonts w:ascii="Arial" w:hAnsi="Arial" w:cs="Arial"/>
        </w:rPr>
      </w:pPr>
    </w:p>
    <w:p w14:paraId="052529F0" w14:textId="77777777" w:rsidR="00791375" w:rsidRPr="00791375" w:rsidRDefault="00791375" w:rsidP="00791375">
      <w:pPr>
        <w:spacing w:line="360" w:lineRule="auto"/>
        <w:rPr>
          <w:rFonts w:ascii="Arial" w:hAnsi="Arial" w:cs="Arial"/>
        </w:rPr>
      </w:pPr>
      <w:r w:rsidRPr="00791375">
        <w:rPr>
          <w:rFonts w:ascii="Arial" w:hAnsi="Arial" w:cs="Arial"/>
        </w:rPr>
        <w:t>‘</w:t>
      </w:r>
      <w:proofErr w:type="spellStart"/>
      <w:r w:rsidRPr="00791375">
        <w:rPr>
          <w:rFonts w:ascii="Arial" w:hAnsi="Arial" w:cs="Arial"/>
        </w:rPr>
        <w:t>Orientfield</w:t>
      </w:r>
      <w:proofErr w:type="spellEnd"/>
      <w:r w:rsidRPr="00791375">
        <w:rPr>
          <w:rFonts w:ascii="Arial" w:hAnsi="Arial" w:cs="Arial"/>
        </w:rPr>
        <w:t xml:space="preserve"> Holdings Ltd v Bird &amp; Bird LLP’ (2015) EWHC 1963</w:t>
      </w:r>
    </w:p>
    <w:p w14:paraId="7DC692F5" w14:textId="77777777" w:rsidR="00791375" w:rsidRPr="00791375" w:rsidRDefault="00791375" w:rsidP="00791375">
      <w:pPr>
        <w:spacing w:line="360" w:lineRule="auto"/>
        <w:rPr>
          <w:rFonts w:ascii="Arial" w:hAnsi="Arial" w:cs="Arial"/>
        </w:rPr>
      </w:pPr>
    </w:p>
    <w:p w14:paraId="4600B8BD" w14:textId="77777777" w:rsidR="00791375" w:rsidRPr="00791375" w:rsidRDefault="00791375" w:rsidP="00791375">
      <w:pPr>
        <w:spacing w:line="360" w:lineRule="auto"/>
        <w:rPr>
          <w:rFonts w:ascii="Arial" w:hAnsi="Arial" w:cs="Arial"/>
        </w:rPr>
      </w:pPr>
      <w:r w:rsidRPr="00791375">
        <w:rPr>
          <w:rFonts w:ascii="Arial" w:hAnsi="Arial" w:cs="Arial"/>
        </w:rPr>
        <w:t>‘Stack v Dowden’ (2007) 2 AC 432</w:t>
      </w:r>
    </w:p>
    <w:p w14:paraId="24BC0EB1" w14:textId="77777777" w:rsidR="00791375" w:rsidRPr="00791375" w:rsidRDefault="00791375" w:rsidP="00791375">
      <w:pPr>
        <w:spacing w:line="360" w:lineRule="auto"/>
        <w:rPr>
          <w:rFonts w:ascii="Arial" w:hAnsi="Arial" w:cs="Arial"/>
        </w:rPr>
      </w:pPr>
    </w:p>
    <w:p w14:paraId="5D8C6295" w14:textId="77777777" w:rsidR="00791375" w:rsidRPr="00791375" w:rsidRDefault="00791375" w:rsidP="00791375">
      <w:pPr>
        <w:spacing w:line="360" w:lineRule="auto"/>
        <w:rPr>
          <w:rFonts w:ascii="Arial" w:hAnsi="Arial" w:cs="Arial"/>
        </w:rPr>
      </w:pPr>
      <w:r w:rsidRPr="00791375">
        <w:rPr>
          <w:rFonts w:ascii="Arial" w:hAnsi="Arial" w:cs="Arial"/>
        </w:rPr>
        <w:t xml:space="preserve">‘Tulk v </w:t>
      </w:r>
      <w:proofErr w:type="spellStart"/>
      <w:r w:rsidRPr="00791375">
        <w:rPr>
          <w:rFonts w:ascii="Arial" w:hAnsi="Arial" w:cs="Arial"/>
        </w:rPr>
        <w:t>Moxhay</w:t>
      </w:r>
      <w:proofErr w:type="spellEnd"/>
      <w:r w:rsidRPr="00791375">
        <w:rPr>
          <w:rFonts w:ascii="Arial" w:hAnsi="Arial" w:cs="Arial"/>
        </w:rPr>
        <w:t>’ (1848) 41 ER 1143</w:t>
      </w:r>
    </w:p>
    <w:p w14:paraId="6DAED680" w14:textId="77777777" w:rsidR="00791375" w:rsidRPr="00791375" w:rsidRDefault="00791375" w:rsidP="00791375">
      <w:pPr>
        <w:spacing w:line="360" w:lineRule="auto"/>
        <w:rPr>
          <w:rFonts w:ascii="Arial" w:hAnsi="Arial" w:cs="Arial"/>
        </w:rPr>
      </w:pPr>
    </w:p>
    <w:p w14:paraId="6767EDAD" w14:textId="77777777" w:rsidR="00791375" w:rsidRPr="00791375" w:rsidRDefault="00791375" w:rsidP="00791375">
      <w:pPr>
        <w:spacing w:line="360" w:lineRule="auto"/>
        <w:rPr>
          <w:rFonts w:ascii="Arial" w:hAnsi="Arial" w:cs="Arial"/>
        </w:rPr>
      </w:pPr>
    </w:p>
    <w:p w14:paraId="1915E562" w14:textId="77777777" w:rsidR="00791375" w:rsidRPr="00791375" w:rsidRDefault="00791375" w:rsidP="00791375">
      <w:pPr>
        <w:spacing w:line="360" w:lineRule="auto"/>
        <w:rPr>
          <w:rFonts w:ascii="Arial" w:hAnsi="Arial" w:cs="Arial"/>
        </w:rPr>
      </w:pPr>
    </w:p>
    <w:p w14:paraId="780DAAC7" w14:textId="77777777" w:rsidR="00791375" w:rsidRPr="00791375" w:rsidRDefault="00791375" w:rsidP="00791375">
      <w:pPr>
        <w:spacing w:line="360" w:lineRule="auto"/>
        <w:rPr>
          <w:rFonts w:ascii="Arial" w:hAnsi="Arial" w:cs="Arial"/>
        </w:rPr>
      </w:pPr>
    </w:p>
    <w:p w14:paraId="3F5D8DC1" w14:textId="77777777" w:rsidR="00791375" w:rsidRPr="00791375" w:rsidRDefault="00791375" w:rsidP="00791375">
      <w:pPr>
        <w:spacing w:line="360" w:lineRule="auto"/>
        <w:rPr>
          <w:rFonts w:ascii="Arial" w:hAnsi="Arial" w:cs="Arial"/>
        </w:rPr>
      </w:pPr>
    </w:p>
    <w:p w14:paraId="0313E987" w14:textId="77777777" w:rsidR="00791375" w:rsidRPr="00791375" w:rsidRDefault="00791375" w:rsidP="00791375">
      <w:pPr>
        <w:spacing w:line="360" w:lineRule="auto"/>
        <w:rPr>
          <w:rFonts w:ascii="Arial" w:hAnsi="Arial" w:cs="Arial"/>
        </w:rPr>
      </w:pPr>
    </w:p>
    <w:p w14:paraId="2DF28D4D" w14:textId="77777777" w:rsidR="00791375" w:rsidRPr="00791375" w:rsidRDefault="00791375" w:rsidP="00791375">
      <w:pPr>
        <w:spacing w:line="360" w:lineRule="auto"/>
        <w:rPr>
          <w:rFonts w:ascii="Arial" w:hAnsi="Arial" w:cs="Arial"/>
        </w:rPr>
      </w:pPr>
    </w:p>
    <w:p w14:paraId="4D2391B9" w14:textId="77777777" w:rsidR="00791375" w:rsidRPr="00791375" w:rsidRDefault="00791375" w:rsidP="00791375">
      <w:pPr>
        <w:spacing w:line="360" w:lineRule="auto"/>
        <w:rPr>
          <w:rFonts w:ascii="Arial" w:hAnsi="Arial" w:cs="Arial"/>
        </w:rPr>
      </w:pPr>
    </w:p>
    <w:p w14:paraId="689A5360" w14:textId="77777777" w:rsidR="00791375" w:rsidRPr="00791375" w:rsidRDefault="00791375" w:rsidP="00791375">
      <w:pPr>
        <w:spacing w:line="360" w:lineRule="auto"/>
        <w:rPr>
          <w:rFonts w:ascii="Arial" w:hAnsi="Arial" w:cs="Arial"/>
        </w:rPr>
      </w:pPr>
    </w:p>
    <w:p w14:paraId="037D7CAB" w14:textId="77777777" w:rsidR="00791375" w:rsidRPr="00791375" w:rsidRDefault="00791375" w:rsidP="00791375">
      <w:pPr>
        <w:spacing w:line="360" w:lineRule="auto"/>
        <w:rPr>
          <w:rFonts w:ascii="Arial" w:hAnsi="Arial" w:cs="Arial"/>
        </w:rPr>
      </w:pPr>
    </w:p>
    <w:p w14:paraId="00246A17" w14:textId="77777777" w:rsidR="00791375" w:rsidRPr="00791375" w:rsidRDefault="00791375" w:rsidP="00791375">
      <w:pPr>
        <w:spacing w:line="360" w:lineRule="auto"/>
        <w:rPr>
          <w:rFonts w:ascii="Arial" w:hAnsi="Arial" w:cs="Arial"/>
        </w:rPr>
      </w:pPr>
    </w:p>
    <w:p w14:paraId="1006B027" w14:textId="77777777" w:rsidR="00791375" w:rsidRPr="00791375" w:rsidRDefault="00791375" w:rsidP="00791375">
      <w:pPr>
        <w:spacing w:line="360" w:lineRule="auto"/>
        <w:rPr>
          <w:rFonts w:ascii="Arial" w:hAnsi="Arial" w:cs="Arial"/>
        </w:rPr>
      </w:pPr>
    </w:p>
    <w:p w14:paraId="6BA079B2" w14:textId="77777777" w:rsidR="00791375" w:rsidRPr="00791375" w:rsidRDefault="00791375" w:rsidP="00791375">
      <w:pPr>
        <w:spacing w:line="360" w:lineRule="auto"/>
        <w:rPr>
          <w:rFonts w:ascii="Arial" w:hAnsi="Arial" w:cs="Arial"/>
          <w:u w:val="single"/>
        </w:rPr>
      </w:pPr>
      <w:r w:rsidRPr="00791375">
        <w:rPr>
          <w:rFonts w:ascii="Arial" w:hAnsi="Arial" w:cs="Arial"/>
          <w:u w:val="single"/>
        </w:rPr>
        <w:lastRenderedPageBreak/>
        <w:t>References</w:t>
      </w:r>
    </w:p>
    <w:p w14:paraId="06698C59" w14:textId="77777777" w:rsidR="00791375" w:rsidRPr="00791375" w:rsidRDefault="00791375" w:rsidP="00791375">
      <w:pPr>
        <w:spacing w:line="360" w:lineRule="auto"/>
        <w:rPr>
          <w:rFonts w:ascii="Arial" w:hAnsi="Arial" w:cs="Arial"/>
        </w:rPr>
      </w:pPr>
      <w:r w:rsidRPr="00791375">
        <w:rPr>
          <w:rFonts w:ascii="Arial" w:hAnsi="Arial" w:cs="Arial"/>
        </w:rPr>
        <w:t>Solicitors Regulation Authority (2019) SRA Code of Conduct for Solicitors. Birmingham: SRA</w:t>
      </w:r>
    </w:p>
    <w:p w14:paraId="1A39E091" w14:textId="77777777" w:rsidR="00791375" w:rsidRPr="00791375" w:rsidRDefault="00791375" w:rsidP="00791375">
      <w:pPr>
        <w:spacing w:line="360" w:lineRule="auto"/>
        <w:rPr>
          <w:rFonts w:ascii="Arial" w:hAnsi="Arial" w:cs="Arial"/>
          <w:u w:val="single"/>
        </w:rPr>
      </w:pPr>
      <w:r w:rsidRPr="00791375">
        <w:rPr>
          <w:rFonts w:ascii="Arial" w:hAnsi="Arial" w:cs="Arial"/>
        </w:rPr>
        <w:t xml:space="preserve">Available at: </w:t>
      </w:r>
      <w:hyperlink r:id="rId16" w:history="1">
        <w:r w:rsidRPr="00791375">
          <w:rPr>
            <w:rStyle w:val="Hyperlink"/>
            <w:rFonts w:ascii="Arial" w:hAnsi="Arial" w:cs="Arial"/>
          </w:rPr>
          <w:t>https://www.sra.org.uk/solicitors/standards-regulations/code-conduct-solicitors/</w:t>
        </w:r>
      </w:hyperlink>
    </w:p>
    <w:p w14:paraId="3968D0ED" w14:textId="77777777" w:rsidR="00791375" w:rsidRPr="00791375" w:rsidRDefault="00791375" w:rsidP="00791375">
      <w:pPr>
        <w:spacing w:line="360" w:lineRule="auto"/>
        <w:rPr>
          <w:rFonts w:ascii="Arial" w:hAnsi="Arial" w:cs="Arial"/>
        </w:rPr>
      </w:pPr>
    </w:p>
    <w:p w14:paraId="0523DB0F" w14:textId="77777777" w:rsidR="00791375" w:rsidRPr="00791375" w:rsidRDefault="00791375" w:rsidP="00791375">
      <w:pPr>
        <w:spacing w:line="360" w:lineRule="auto"/>
        <w:rPr>
          <w:rFonts w:ascii="Arial" w:hAnsi="Arial" w:cs="Arial"/>
        </w:rPr>
      </w:pPr>
      <w:r w:rsidRPr="00791375">
        <w:rPr>
          <w:rFonts w:ascii="Arial" w:hAnsi="Arial" w:cs="Arial"/>
        </w:rPr>
        <w:t xml:space="preserve">The Law Society (2020) Conveyancing Protocol </w:t>
      </w:r>
    </w:p>
    <w:p w14:paraId="4B978273" w14:textId="77777777"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17" w:history="1">
        <w:r w:rsidRPr="00791375">
          <w:rPr>
            <w:rStyle w:val="Hyperlink"/>
            <w:rFonts w:ascii="Arial" w:hAnsi="Arial" w:cs="Arial"/>
          </w:rPr>
          <w:t>https://www.lawsociety.org.uk/topics/property/conveyancing-protocol</w:t>
        </w:r>
      </w:hyperlink>
    </w:p>
    <w:p w14:paraId="0E7451DE" w14:textId="77777777" w:rsidR="00791375" w:rsidRPr="00791375" w:rsidRDefault="00791375" w:rsidP="00791375">
      <w:pPr>
        <w:spacing w:line="360" w:lineRule="auto"/>
        <w:rPr>
          <w:rFonts w:ascii="Arial" w:hAnsi="Arial" w:cs="Arial"/>
        </w:rPr>
      </w:pPr>
    </w:p>
    <w:p w14:paraId="1F756E31" w14:textId="77777777" w:rsidR="00791375" w:rsidRPr="00791375" w:rsidRDefault="00791375" w:rsidP="00791375">
      <w:pPr>
        <w:spacing w:line="360" w:lineRule="auto"/>
        <w:rPr>
          <w:rFonts w:ascii="Arial" w:hAnsi="Arial" w:cs="Arial"/>
        </w:rPr>
      </w:pPr>
      <w:r w:rsidRPr="00791375">
        <w:rPr>
          <w:rFonts w:ascii="Arial" w:hAnsi="Arial" w:cs="Arial"/>
        </w:rPr>
        <w:t xml:space="preserve">UK Finance (2024) </w:t>
      </w:r>
      <w:r w:rsidRPr="00791375">
        <w:rPr>
          <w:rFonts w:ascii="Arial" w:hAnsi="Arial" w:cs="Arial"/>
          <w:i/>
          <w:iCs/>
        </w:rPr>
        <w:t>Mortgage Lenders Handbook for conveyancers</w:t>
      </w:r>
      <w:r w:rsidRPr="00791375">
        <w:rPr>
          <w:rFonts w:ascii="Arial" w:hAnsi="Arial" w:cs="Arial"/>
        </w:rPr>
        <w:t>. London: UK Finance</w:t>
      </w:r>
    </w:p>
    <w:p w14:paraId="70DB9F73" w14:textId="77111EA5" w:rsidR="00791375" w:rsidRPr="00791375" w:rsidRDefault="00791375" w:rsidP="00791375">
      <w:pPr>
        <w:spacing w:line="360" w:lineRule="auto"/>
        <w:rPr>
          <w:rFonts w:ascii="Arial" w:hAnsi="Arial" w:cs="Arial"/>
        </w:rPr>
      </w:pPr>
      <w:r w:rsidRPr="00791375">
        <w:rPr>
          <w:rFonts w:ascii="Arial" w:hAnsi="Arial" w:cs="Arial"/>
        </w:rPr>
        <w:t xml:space="preserve">Available at: </w:t>
      </w:r>
      <w:hyperlink r:id="rId18" w:history="1">
        <w:r w:rsidRPr="00791375">
          <w:rPr>
            <w:rStyle w:val="Hyperlink"/>
            <w:rFonts w:ascii="Arial" w:hAnsi="Arial" w:cs="Arial"/>
          </w:rPr>
          <w:t>https://lendershandbook.ukfinance.org.uk/lenders-handbook/</w:t>
        </w:r>
      </w:hyperlink>
    </w:p>
    <w:sectPr w:rsidR="00791375" w:rsidRPr="007913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375"/>
    <w:rsid w:val="0041709A"/>
    <w:rsid w:val="00421860"/>
    <w:rsid w:val="00700534"/>
    <w:rsid w:val="00791375"/>
    <w:rsid w:val="009D39F3"/>
    <w:rsid w:val="00D550B7"/>
    <w:rsid w:val="00DB1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D13E4"/>
  <w15:chartTrackingRefBased/>
  <w15:docId w15:val="{C3A259D1-12D3-44D1-BE30-AE7DAEA93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137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9137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9137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9137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9137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913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13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13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13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137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9137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9137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9137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9137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913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13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13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1375"/>
    <w:rPr>
      <w:rFonts w:eastAsiaTheme="majorEastAsia" w:cstheme="majorBidi"/>
      <w:color w:val="272727" w:themeColor="text1" w:themeTint="D8"/>
    </w:rPr>
  </w:style>
  <w:style w:type="paragraph" w:styleId="Title">
    <w:name w:val="Title"/>
    <w:basedOn w:val="Normal"/>
    <w:next w:val="Normal"/>
    <w:link w:val="TitleChar"/>
    <w:uiPriority w:val="10"/>
    <w:qFormat/>
    <w:rsid w:val="007913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13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13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13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1375"/>
    <w:pPr>
      <w:spacing w:before="160"/>
      <w:jc w:val="center"/>
    </w:pPr>
    <w:rPr>
      <w:i/>
      <w:iCs/>
      <w:color w:val="404040" w:themeColor="text1" w:themeTint="BF"/>
    </w:rPr>
  </w:style>
  <w:style w:type="character" w:customStyle="1" w:styleId="QuoteChar">
    <w:name w:val="Quote Char"/>
    <w:basedOn w:val="DefaultParagraphFont"/>
    <w:link w:val="Quote"/>
    <w:uiPriority w:val="29"/>
    <w:rsid w:val="00791375"/>
    <w:rPr>
      <w:i/>
      <w:iCs/>
      <w:color w:val="404040" w:themeColor="text1" w:themeTint="BF"/>
    </w:rPr>
  </w:style>
  <w:style w:type="paragraph" w:styleId="ListParagraph">
    <w:name w:val="List Paragraph"/>
    <w:basedOn w:val="Normal"/>
    <w:uiPriority w:val="34"/>
    <w:qFormat/>
    <w:rsid w:val="00791375"/>
    <w:pPr>
      <w:ind w:left="720"/>
      <w:contextualSpacing/>
    </w:pPr>
  </w:style>
  <w:style w:type="character" w:styleId="IntenseEmphasis">
    <w:name w:val="Intense Emphasis"/>
    <w:basedOn w:val="DefaultParagraphFont"/>
    <w:uiPriority w:val="21"/>
    <w:qFormat/>
    <w:rsid w:val="00791375"/>
    <w:rPr>
      <w:i/>
      <w:iCs/>
      <w:color w:val="2F5496" w:themeColor="accent1" w:themeShade="BF"/>
    </w:rPr>
  </w:style>
  <w:style w:type="paragraph" w:styleId="IntenseQuote">
    <w:name w:val="Intense Quote"/>
    <w:basedOn w:val="Normal"/>
    <w:next w:val="Normal"/>
    <w:link w:val="IntenseQuoteChar"/>
    <w:uiPriority w:val="30"/>
    <w:qFormat/>
    <w:rsid w:val="0079137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1375"/>
    <w:rPr>
      <w:i/>
      <w:iCs/>
      <w:color w:val="2F5496" w:themeColor="accent1" w:themeShade="BF"/>
    </w:rPr>
  </w:style>
  <w:style w:type="character" w:styleId="IntenseReference">
    <w:name w:val="Intense Reference"/>
    <w:basedOn w:val="DefaultParagraphFont"/>
    <w:uiPriority w:val="32"/>
    <w:qFormat/>
    <w:rsid w:val="00791375"/>
    <w:rPr>
      <w:b/>
      <w:bCs/>
      <w:smallCaps/>
      <w:color w:val="2F5496" w:themeColor="accent1" w:themeShade="BF"/>
      <w:spacing w:val="5"/>
    </w:rPr>
  </w:style>
  <w:style w:type="character" w:styleId="Hyperlink">
    <w:name w:val="Hyperlink"/>
    <w:basedOn w:val="DefaultParagraphFont"/>
    <w:uiPriority w:val="99"/>
    <w:unhideWhenUsed/>
    <w:rsid w:val="0079137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si/2010/2214/contents" TargetMode="External"/><Relationship Id="rId13" Type="http://schemas.openxmlformats.org/officeDocument/2006/relationships/hyperlink" Target="https://www.legislation.gov.uk/ukpga/Geo5/15-16/20" TargetMode="External"/><Relationship Id="rId18" Type="http://schemas.openxmlformats.org/officeDocument/2006/relationships/hyperlink" Target="https://lendershandbook.ukfinance.org.uk/lenders-handbook/" TargetMode="External"/><Relationship Id="rId3" Type="http://schemas.openxmlformats.org/officeDocument/2006/relationships/customXml" Target="../customXml/item3.xml"/><Relationship Id="rId7" Type="http://schemas.openxmlformats.org/officeDocument/2006/relationships/hyperlink" Target="https://www.legislation.gov.uk/ukpga/1984/55" TargetMode="External"/><Relationship Id="rId12" Type="http://schemas.openxmlformats.org/officeDocument/2006/relationships/hyperlink" Target="https://www.legislation.gov.uk/ukpga/2002/9/section/27" TargetMode="External"/><Relationship Id="rId17" Type="http://schemas.openxmlformats.org/officeDocument/2006/relationships/hyperlink" Target="https://www.lawsociety.org.uk/topics/property/conveyancing-protocol" TargetMode="External"/><Relationship Id="rId2" Type="http://schemas.openxmlformats.org/officeDocument/2006/relationships/customXml" Target="../customXml/item2.xml"/><Relationship Id="rId16" Type="http://schemas.openxmlformats.org/officeDocument/2006/relationships/hyperlink" Target="https://www.sra.org.uk/solicitors/standards-regulations/code-conduct-solicitor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lation.gov.uk/ukpga/1990/43/contents" TargetMode="External"/><Relationship Id="rId5" Type="http://schemas.openxmlformats.org/officeDocument/2006/relationships/settings" Target="settings.xml"/><Relationship Id="rId15" Type="http://schemas.openxmlformats.org/officeDocument/2006/relationships/hyperlink" Target="https://www.legislation.gov.uk/ukpga/1991/56/contents" TargetMode="External"/><Relationship Id="rId10" Type="http://schemas.openxmlformats.org/officeDocument/2006/relationships/hyperlink" Target="https://www.legislation.gov.uk/wsi/2006/2989/contents"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legislation.gov.uk/ukpga/1991/45/contents" TargetMode="External"/><Relationship Id="rId14" Type="http://schemas.openxmlformats.org/officeDocument/2006/relationships/hyperlink" Target="https://www.legislation.gov.uk/ukpga/1990/8/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6f1ff22670c927ffe8cdf496c65a4eb2">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415c0f86ed1df1ca4a6fe185a42c1c7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E6D04A50-93F9-4708-85FD-A6A7662927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0678FC-D092-4AC6-B70F-5F7F00045120}">
  <ds:schemaRefs>
    <ds:schemaRef ds:uri="http://schemas.microsoft.com/sharepoint/v3/contenttype/forms"/>
  </ds:schemaRefs>
</ds:datastoreItem>
</file>

<file path=customXml/itemProps3.xml><?xml version="1.0" encoding="utf-8"?>
<ds:datastoreItem xmlns:ds="http://schemas.openxmlformats.org/officeDocument/2006/customXml" ds:itemID="{73DA7EA7-3F91-4D38-A120-5D7F4557F1C2}">
  <ds:schemaRefs>
    <ds:schemaRef ds:uri="http://schemas.microsoft.com/office/2006/documentManagement/types"/>
    <ds:schemaRef ds:uri="http://purl.org/dc/elements/1.1/"/>
    <ds:schemaRef ds:uri="http://purl.org/dc/dcmitype/"/>
    <ds:schemaRef ds:uri="http://purl.org/dc/terms/"/>
    <ds:schemaRef ds:uri="http://schemas.openxmlformats.org/package/2006/metadata/core-properties"/>
    <ds:schemaRef ds:uri="http://www.w3.org/XML/1998/namespace"/>
    <ds:schemaRef ds:uri="bd2b2a82-bc2e-4fcc-b8ad-fd63686c78d2"/>
    <ds:schemaRef ds:uri="ad7316b1-23f1-480c-8fa6-cbf037f4db9c"/>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1875</Words>
  <Characters>10614</Characters>
  <Application>Microsoft Office Word</Application>
  <DocSecurity>0</DocSecurity>
  <Lines>241</Lines>
  <Paragraphs>68</Paragraphs>
  <ScaleCrop>false</ScaleCrop>
  <Company/>
  <LinksUpToDate>false</LinksUpToDate>
  <CharactersWithSpaces>12421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2</cp:revision>
  <dcterms:created xsi:type="dcterms:W3CDTF">2026-01-09T17:07:00Z</dcterms:created>
  <dcterms:modified xsi:type="dcterms:W3CDTF">2026-01-09T17:07:00Z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7a0450bf-88c5-460f-a47b-c6b6bf1e34a0</vt:lpwstr>
  </property>
  <property fmtid="{D5CDD505-2E9C-101B-9397-08002B2CF9AE}" pid="3" name="ContentTypeId">
    <vt:lpwstr>0x01010096C48B67E562FF45ADD1FE43E2BC7706</vt:lpwstr>
  </property>
</Properties>
</file>