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CA42" w14:textId="77777777" w:rsidR="004F19A7" w:rsidRDefault="004F19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r>
        <w:rPr>
          <w:rFonts w:ascii="Comic Sans MS" w:hAnsi="Comic Sans MS"/>
          <w:b/>
          <w:bCs/>
        </w:rPr>
        <w:t>Materialities</w:t>
      </w:r>
    </w:p>
    <w:p w14:paraId="0BA61862" w14:textId="77777777" w:rsidR="004F19A7" w:rsidRDefault="004F19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r>
        <w:rPr>
          <w:rFonts w:ascii="Comic Sans MS" w:hAnsi="Comic Sans MS"/>
          <w:b/>
          <w:bCs/>
        </w:rPr>
        <w:t>Theory: Structuralism and semiotics</w:t>
      </w:r>
    </w:p>
    <w:p w14:paraId="59D96D70"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p>
    <w:p w14:paraId="01C639DB"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i/>
          <w:iCs/>
        </w:rPr>
      </w:pPr>
      <w:r>
        <w:rPr>
          <w:rFonts w:ascii="Comic Sans MS" w:hAnsi="Comic Sans MS"/>
          <w:b/>
          <w:bCs/>
          <w:i/>
          <w:iCs/>
        </w:rPr>
        <w:t>It all starts with…</w:t>
      </w:r>
    </w:p>
    <w:p w14:paraId="010751B2"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i/>
          <w:iCs/>
        </w:rPr>
      </w:pPr>
    </w:p>
    <w:p w14:paraId="303A926F" w14:textId="2CA6408E" w:rsidR="004F19A7"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r w:rsidRPr="00A606B5">
        <w:rPr>
          <w:rFonts w:ascii="Comic Sans MS" w:hAnsi="Comic Sans MS"/>
          <w:b/>
          <w:bCs/>
        </w:rPr>
        <w:t>Saussure, F. 1915/1959 Course in General Linguistics trans. C. Bailey and A. Sechehaye Owen: London</w:t>
      </w:r>
    </w:p>
    <w:p w14:paraId="11FA72B6"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p>
    <w:p w14:paraId="799D6DB0" w14:textId="301FED78"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b/>
        </w:rPr>
        <w:t>Langue. Parole</w:t>
      </w:r>
      <w:r>
        <w:rPr>
          <w:rFonts w:ascii="Comic Sans MS" w:hAnsi="Comic Sans MS"/>
        </w:rPr>
        <w:t>. The rules of speech (grammar) and the act of speech</w:t>
      </w:r>
    </w:p>
    <w:p w14:paraId="1DAAD2CF"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0F30A520" w14:textId="510C4946"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rPr>
        <w:t>We may not know the rules of our language but we all know how to speak</w:t>
      </w:r>
    </w:p>
    <w:p w14:paraId="32FC77E8"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429B63C9" w14:textId="140483F1"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rPr>
        <w:t>Anthropologists saw this a metaphor for society ie we</w:t>
      </w:r>
      <w:r w:rsidR="009D5596">
        <w:rPr>
          <w:rFonts w:ascii="Comic Sans MS" w:hAnsi="Comic Sans MS"/>
        </w:rPr>
        <w:t xml:space="preserve"> may not know fully the structures of our own society but we all know (more or less) how to act</w:t>
      </w:r>
    </w:p>
    <w:p w14:paraId="083376A0" w14:textId="77777777" w:rsidR="009D5596" w:rsidRDefault="009D5596"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644B065A" w14:textId="5794A75B" w:rsidR="009D5596" w:rsidRDefault="009D5596"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r>
        <w:rPr>
          <w:rFonts w:ascii="Comic Sans MS" w:hAnsi="Comic Sans MS"/>
        </w:rPr>
        <w:t>Anthropologists (as outsiders to the cultural systems they study) may be better placed to elicit the cultural rules of that society than the people themselves (Eg it is often when you learn somebody else’s language that you become more familiar with its grammatical rules than the native speakers of that language</w:t>
      </w:r>
    </w:p>
    <w:p w14:paraId="45E7FCD4" w14:textId="77777777" w:rsidR="00A606B5" w:rsidRDefault="00A606B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b/>
          <w:bCs/>
        </w:rPr>
      </w:pPr>
    </w:p>
    <w:p w14:paraId="3172D5CA" w14:textId="126D4817"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cs="Arial"/>
          <w:color w:val="000000"/>
        </w:rPr>
      </w:pPr>
      <w:r>
        <w:rPr>
          <w:rFonts w:ascii="Comic Sans MS" w:hAnsi="Comic Sans MS"/>
          <w:b/>
          <w:bCs/>
        </w:rPr>
        <w:t>Structuralism.</w:t>
      </w:r>
      <w:r>
        <w:rPr>
          <w:rFonts w:ascii="Comic Sans MS" w:hAnsi="Comic Sans MS"/>
        </w:rPr>
        <w:t xml:space="preserve"> </w:t>
      </w:r>
      <w:r>
        <w:rPr>
          <w:rFonts w:ascii="Comic Sans MS" w:hAnsi="Comic Sans MS" w:cs="Arial"/>
          <w:color w:val="000000"/>
        </w:rPr>
        <w:t>Lévi-Strauss's structuralism</w:t>
      </w:r>
    </w:p>
    <w:p w14:paraId="1D808552" w14:textId="77777777"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cs="Arial"/>
          <w:color w:val="000000"/>
        </w:rPr>
      </w:pPr>
    </w:p>
    <w:p w14:paraId="66875395" w14:textId="77777777" w:rsidR="00F672A7" w:rsidRDefault="00F672A7" w:rsidP="00F672A7">
      <w:pPr>
        <w:pStyle w:val="BodyText3"/>
      </w:pPr>
      <w:r>
        <w:t>“In anthropology as in linguistics….it is not comparison that supports generalization, but the other way around. If, as we believe to be the case, the unconscious activity of the mind consists in imposing forms upon content, and if these forms are fundamentally the same for all minds – ancient and modern - it is necessary and sufficient to grasp the unconscious structure underlying each institution and each custom, in order to obtain a principle of interpretation valid for other institutions and other customs” (Levi-Strauss, Structural Anthropology)</w:t>
      </w:r>
    </w:p>
    <w:p w14:paraId="709E6F31" w14:textId="77777777"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cs="Arial"/>
          <w:color w:val="000000"/>
        </w:rPr>
      </w:pPr>
    </w:p>
    <w:p w14:paraId="091C9281" w14:textId="00B2F5E6"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rPr>
        <w:t xml:space="preserve">Sees society as guided by underlying rules (binary oppositions, get translated into cultural law – </w:t>
      </w:r>
      <w:r>
        <w:rPr>
          <w:rFonts w:ascii="Comic Sans MS" w:hAnsi="Comic Sans MS"/>
          <w:b/>
        </w:rPr>
        <w:t>Levi Strauss</w:t>
      </w:r>
      <w:r>
        <w:rPr>
          <w:rFonts w:ascii="Comic Sans MS" w:hAnsi="Comic Sans MS"/>
        </w:rPr>
        <w:t>, raw</w:t>
      </w:r>
      <w:r w:rsidR="008F187D">
        <w:rPr>
          <w:rFonts w:ascii="Comic Sans MS" w:hAnsi="Comic Sans MS"/>
        </w:rPr>
        <w:t xml:space="preserve"> -</w:t>
      </w:r>
      <w:r>
        <w:rPr>
          <w:rFonts w:ascii="Comic Sans MS" w:hAnsi="Comic Sans MS"/>
        </w:rPr>
        <w:t xml:space="preserve"> cooked). Legal system, social system, ranking, hierarchy, political system. These rules could be interpreted as a “grammar” in a language. The rules that define how the language is organised. </w:t>
      </w:r>
    </w:p>
    <w:p w14:paraId="4ED4A94F" w14:textId="77777777"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7B1039E4" w14:textId="77777777" w:rsidR="004D41A5" w:rsidRPr="006617E6" w:rsidRDefault="004D41A5" w:rsidP="004D41A5">
      <w:r w:rsidRPr="006617E6">
        <w:t xml:space="preserve">Early structuralist case studies: </w:t>
      </w:r>
    </w:p>
    <w:p w14:paraId="3889D6F7" w14:textId="77777777" w:rsidR="004D41A5" w:rsidRDefault="004D41A5" w:rsidP="004D41A5">
      <w:r w:rsidRPr="006617E6">
        <w:t xml:space="preserve">Lévi Strauss, C. 1974 </w:t>
      </w:r>
      <w:r w:rsidRPr="006617E6">
        <w:rPr>
          <w:b/>
          <w:bCs/>
        </w:rPr>
        <w:t xml:space="preserve">The Raw and the Cooked </w:t>
      </w:r>
      <w:r w:rsidRPr="008A01A6">
        <w:t>Cape:</w:t>
      </w:r>
      <w:r w:rsidRPr="006617E6">
        <w:t xml:space="preserve"> London</w:t>
      </w:r>
    </w:p>
    <w:p w14:paraId="5F761C39" w14:textId="77777777" w:rsidR="004D41A5" w:rsidRDefault="004D41A5" w:rsidP="004D41A5">
      <w:pPr>
        <w:jc w:val="left"/>
        <w:rPr>
          <w:b/>
          <w:bCs/>
          <w:lang w:val="en-US"/>
        </w:rPr>
      </w:pPr>
      <w:r w:rsidRPr="004D41A5">
        <w:rPr>
          <w:lang w:val="en-US"/>
        </w:rPr>
        <w:t>Levi Strauss</w:t>
      </w:r>
      <w:r w:rsidRPr="00E242AF">
        <w:rPr>
          <w:b/>
          <w:bCs/>
          <w:lang w:val="en-US"/>
        </w:rPr>
        <w:t xml:space="preserve"> The way of the mask </w:t>
      </w:r>
      <w:r w:rsidRPr="004D41A5">
        <w:rPr>
          <w:lang w:val="en-US"/>
        </w:rPr>
        <w:t>1975 (1982)</w:t>
      </w:r>
    </w:p>
    <w:p w14:paraId="33310E21" w14:textId="77777777" w:rsidR="004D41A5" w:rsidRPr="006617E6" w:rsidRDefault="004D41A5" w:rsidP="004D41A5">
      <w:r w:rsidRPr="006617E6">
        <w:t xml:space="preserve">Bourdieu. P. 2003 [reprint] The Berber house In Low, S.M. and Lawrence- Zúñiga, D. (eds.) </w:t>
      </w:r>
      <w:r w:rsidRPr="006617E6">
        <w:rPr>
          <w:b/>
          <w:bCs/>
        </w:rPr>
        <w:t xml:space="preserve">The Anthropology of Space and Place: Locating culture </w:t>
      </w:r>
      <w:r w:rsidRPr="006617E6">
        <w:t>Blackwell: Oxford pp131-141</w:t>
      </w:r>
    </w:p>
    <w:p w14:paraId="1D7DB833" w14:textId="77777777"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0631BB2C" w14:textId="77777777"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64E24F1E" w14:textId="3964C9D5"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eastAsia="Times" w:hAnsi="Comic Sans MS"/>
        </w:rPr>
      </w:pPr>
      <w:r>
        <w:rPr>
          <w:rFonts w:ascii="Comic Sans MS" w:hAnsi="Comic Sans MS"/>
        </w:rPr>
        <w:t>But in a perfectly balanced system of binary opposition how do things ever change?</w:t>
      </w:r>
    </w:p>
    <w:p w14:paraId="282D2154" w14:textId="77777777"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66644B69" w14:textId="77777777" w:rsidR="00F672A7" w:rsidRDefault="00F672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b/>
        </w:rPr>
        <w:t>Bourdieu</w:t>
      </w:r>
      <w:r>
        <w:rPr>
          <w:rFonts w:ascii="Comic Sans MS" w:hAnsi="Comic Sans MS"/>
        </w:rPr>
        <w:t xml:space="preserve"> suggested that society could be looked at as a language but that it needed greater definition. </w:t>
      </w:r>
      <w:r>
        <w:rPr>
          <w:rFonts w:ascii="Comic Sans MS" w:hAnsi="Comic Sans MS"/>
          <w:b/>
        </w:rPr>
        <w:t>Langue. Parole</w:t>
      </w:r>
      <w:r>
        <w:rPr>
          <w:rFonts w:ascii="Comic Sans MS" w:hAnsi="Comic Sans MS"/>
        </w:rPr>
        <w:t xml:space="preserve">. The rules of speech and the act of speech. Example </w:t>
      </w:r>
      <w:r>
        <w:rPr>
          <w:rFonts w:ascii="Comic Sans MS" w:hAnsi="Comic Sans MS"/>
        </w:rPr>
        <w:lastRenderedPageBreak/>
        <w:t xml:space="preserve">sentence. The cat sat on the mat. I know how to speak even if I can’t articulate the rules. Language changes therefore through usage. Accumulated mistakes (parole), the daily speech acts of language users. Led Bourdieu to produce the concept of </w:t>
      </w:r>
      <w:r>
        <w:rPr>
          <w:rFonts w:ascii="Comic Sans MS" w:hAnsi="Comic Sans MS"/>
          <w:b/>
        </w:rPr>
        <w:t>habitus</w:t>
      </w:r>
      <w:r>
        <w:rPr>
          <w:rFonts w:ascii="Comic Sans MS" w:hAnsi="Comic Sans MS"/>
        </w:rPr>
        <w:t xml:space="preserve"> – daily routine acts of human beings which accumulate and have the possible effect of bringing about major structural transformation </w:t>
      </w:r>
      <w:r>
        <w:rPr>
          <w:rFonts w:ascii="Comic Sans MS" w:hAnsi="Comic Sans MS"/>
          <w:b/>
          <w:bCs/>
        </w:rPr>
        <w:t>(e.g. the apostrophe for contraction – signifies absence).</w:t>
      </w:r>
      <w:r>
        <w:rPr>
          <w:rFonts w:ascii="Comic Sans MS" w:hAnsi="Comic Sans MS"/>
        </w:rPr>
        <w:t xml:space="preserve"> </w:t>
      </w:r>
    </w:p>
    <w:p w14:paraId="70AB9209" w14:textId="77777777"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1BD21B55" w14:textId="70A778A0"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rPr>
        <w:t>Deconstruction</w:t>
      </w:r>
    </w:p>
    <w:p w14:paraId="7DBD6F06" w14:textId="77777777" w:rsidR="004D41A5" w:rsidRPr="00D410CE" w:rsidRDefault="004D41A5" w:rsidP="004D41A5">
      <w:r w:rsidRPr="00D410CE">
        <w:rPr>
          <w:i/>
          <w:iCs/>
        </w:rPr>
        <w:t>Images</w:t>
      </w:r>
    </w:p>
    <w:p w14:paraId="67593808" w14:textId="77777777" w:rsidR="004D41A5" w:rsidRPr="00D410CE" w:rsidRDefault="004D41A5" w:rsidP="004D41A5">
      <w:r w:rsidRPr="00D410CE">
        <w:t xml:space="preserve">Gombrich, E.L. 1960 </w:t>
      </w:r>
      <w:r w:rsidRPr="00D410CE">
        <w:rPr>
          <w:b/>
          <w:bCs/>
        </w:rPr>
        <w:t xml:space="preserve">Art and Illusion: A study in the psychology of pictorial representation </w:t>
      </w:r>
      <w:r w:rsidRPr="00D410CE">
        <w:t>Phaidon: London</w:t>
      </w:r>
    </w:p>
    <w:p w14:paraId="64C778AD" w14:textId="77777777" w:rsidR="004D41A5" w:rsidRDefault="004D41A5" w:rsidP="004D41A5">
      <w:r w:rsidRPr="00D410CE">
        <w:t xml:space="preserve">Gell, A. 1998 </w:t>
      </w:r>
      <w:r w:rsidRPr="00D410CE">
        <w:rPr>
          <w:b/>
          <w:bCs/>
        </w:rPr>
        <w:t xml:space="preserve">Art and Agency: An anthropological theory </w:t>
      </w:r>
      <w:r w:rsidRPr="00D410CE">
        <w:t>OUP: Oxford</w:t>
      </w:r>
    </w:p>
    <w:p w14:paraId="266EB0C2" w14:textId="77777777" w:rsidR="004D41A5" w:rsidRDefault="004D41A5" w:rsidP="004D41A5"/>
    <w:p w14:paraId="63262FC8" w14:textId="792B62E8" w:rsidR="004D41A5" w:rsidRDefault="004D41A5" w:rsidP="004D41A5">
      <w:r>
        <w:t>If an image is constructed, it can also be deconstructed. A classic case study is modern advertising</w:t>
      </w:r>
    </w:p>
    <w:p w14:paraId="55430148" w14:textId="77777777" w:rsidR="00763EB4" w:rsidRDefault="00763EB4" w:rsidP="004D41A5"/>
    <w:p w14:paraId="20CF2038" w14:textId="4040C615" w:rsidR="00763EB4" w:rsidRDefault="00763EB4" w:rsidP="004D41A5">
      <w:r>
        <w:t>Denotation</w:t>
      </w:r>
    </w:p>
    <w:p w14:paraId="68B80252" w14:textId="01FD595D" w:rsidR="00763EB4" w:rsidRDefault="00763EB4" w:rsidP="004D41A5">
      <w:r>
        <w:t>Connotation</w:t>
      </w:r>
    </w:p>
    <w:p w14:paraId="12E1DBE4" w14:textId="77777777" w:rsidR="004D41A5" w:rsidRDefault="004D41A5"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5FDF9226" w14:textId="77777777" w:rsidR="004F19A7" w:rsidRDefault="004F19A7" w:rsidP="00F672A7">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7E99DD7D" w14:textId="77777777" w:rsidR="006470EA" w:rsidRDefault="006470EA"/>
    <w:p w14:paraId="706BBAE8" w14:textId="77777777" w:rsidR="006617E6" w:rsidRDefault="006617E6" w:rsidP="006617E6">
      <w:r w:rsidRPr="006617E6">
        <w:t xml:space="preserve">Layton, R. 2006 Structuralism and semiotics In Tilley, C., Keane, W., S. Küchler (eds.) </w:t>
      </w:r>
      <w:r w:rsidRPr="006617E6">
        <w:rPr>
          <w:b/>
          <w:bCs/>
        </w:rPr>
        <w:t xml:space="preserve">Handbook of Material Culture </w:t>
      </w:r>
      <w:r w:rsidRPr="006617E6">
        <w:t>Sage: London pp29-42</w:t>
      </w:r>
    </w:p>
    <w:p w14:paraId="491AF8F6" w14:textId="77777777" w:rsidR="008A01A6" w:rsidRPr="006617E6" w:rsidRDefault="008A01A6" w:rsidP="006617E6"/>
    <w:p w14:paraId="6FEE4EEA" w14:textId="77777777" w:rsidR="006617E6" w:rsidRPr="006617E6" w:rsidRDefault="006617E6" w:rsidP="006617E6">
      <w:r w:rsidRPr="006617E6">
        <w:t>Classic structuralist theory derives from :</w:t>
      </w:r>
    </w:p>
    <w:p w14:paraId="245651EF" w14:textId="77777777" w:rsidR="006617E6" w:rsidRPr="006617E6" w:rsidRDefault="006617E6" w:rsidP="006617E6">
      <w:r w:rsidRPr="006617E6">
        <w:t xml:space="preserve">Saussure, F. 1915/1959 </w:t>
      </w:r>
      <w:r w:rsidRPr="006617E6">
        <w:rPr>
          <w:b/>
          <w:bCs/>
        </w:rPr>
        <w:t xml:space="preserve">Course in General Linguistics </w:t>
      </w:r>
      <w:r w:rsidRPr="006617E6">
        <w:t>trans. C. Bailey and A. Sechehaye Owen: London</w:t>
      </w:r>
    </w:p>
    <w:p w14:paraId="1E91F918" w14:textId="7724AD9C" w:rsidR="006617E6" w:rsidRDefault="006617E6" w:rsidP="006617E6">
      <w:r w:rsidRPr="006617E6">
        <w:t xml:space="preserve">Lévi-Strauss, C.  1977 </w:t>
      </w:r>
      <w:r w:rsidRPr="006617E6">
        <w:rPr>
          <w:b/>
          <w:bCs/>
        </w:rPr>
        <w:t xml:space="preserve">Structural Anthropology </w:t>
      </w:r>
      <w:r w:rsidRPr="006617E6">
        <w:t>Penguin: London</w:t>
      </w:r>
    </w:p>
    <w:p w14:paraId="34A9F4E4" w14:textId="77777777" w:rsidR="008A01A6" w:rsidRPr="006617E6" w:rsidRDefault="008A01A6" w:rsidP="006617E6"/>
    <w:p w14:paraId="610DDB31" w14:textId="77777777" w:rsidR="006617E6" w:rsidRPr="006617E6" w:rsidRDefault="006617E6" w:rsidP="006617E6">
      <w:r w:rsidRPr="006617E6">
        <w:t xml:space="preserve">Early structuralist case studies: </w:t>
      </w:r>
    </w:p>
    <w:p w14:paraId="6B9EDFF5" w14:textId="77777777" w:rsidR="006617E6" w:rsidRPr="006617E6" w:rsidRDefault="006617E6" w:rsidP="006617E6">
      <w:r w:rsidRPr="006617E6">
        <w:t xml:space="preserve">Lévi Strauss, C. 1974 </w:t>
      </w:r>
      <w:r w:rsidRPr="006617E6">
        <w:rPr>
          <w:b/>
          <w:bCs/>
        </w:rPr>
        <w:t xml:space="preserve">The Raw and the Cooked </w:t>
      </w:r>
      <w:r w:rsidRPr="008A01A6">
        <w:t>Cape:</w:t>
      </w:r>
      <w:r w:rsidRPr="006617E6">
        <w:t xml:space="preserve"> London</w:t>
      </w:r>
    </w:p>
    <w:p w14:paraId="4902AF31" w14:textId="77777777" w:rsidR="006617E6" w:rsidRPr="006617E6" w:rsidRDefault="006617E6" w:rsidP="006617E6">
      <w:r w:rsidRPr="006617E6">
        <w:t xml:space="preserve">Foucault, M. 1961/1989 </w:t>
      </w:r>
      <w:r w:rsidRPr="006617E6">
        <w:rPr>
          <w:b/>
          <w:bCs/>
        </w:rPr>
        <w:t xml:space="preserve">Madness and Civilization: A history of insanity in the Age of Reason </w:t>
      </w:r>
      <w:r w:rsidRPr="006617E6">
        <w:t>trans. R. Howard Routledge: London</w:t>
      </w:r>
    </w:p>
    <w:p w14:paraId="0707C7F1" w14:textId="77777777" w:rsidR="006617E6" w:rsidRPr="006617E6" w:rsidRDefault="006617E6" w:rsidP="006617E6">
      <w:r w:rsidRPr="006617E6">
        <w:t xml:space="preserve">Bourdieu. P. 2003 [reprint] The Berber house In Low, S.M. and Lawrence- Zúñiga, D. (eds.) </w:t>
      </w:r>
      <w:r w:rsidRPr="006617E6">
        <w:rPr>
          <w:b/>
          <w:bCs/>
        </w:rPr>
        <w:t xml:space="preserve">The Anthropology of Space and Place: Locating culture </w:t>
      </w:r>
      <w:r w:rsidRPr="006617E6">
        <w:t>Blackwell: Oxford pp131-141</w:t>
      </w:r>
    </w:p>
    <w:p w14:paraId="508E138F" w14:textId="77777777" w:rsidR="006617E6" w:rsidRPr="006617E6" w:rsidRDefault="006617E6" w:rsidP="006617E6">
      <w:r w:rsidRPr="006617E6">
        <w:t xml:space="preserve"> </w:t>
      </w:r>
    </w:p>
    <w:p w14:paraId="759138D3" w14:textId="77777777" w:rsidR="006617E6" w:rsidRPr="006617E6" w:rsidRDefault="006617E6" w:rsidP="006617E6">
      <w:r w:rsidRPr="006617E6">
        <w:rPr>
          <w:i/>
          <w:iCs/>
        </w:rPr>
        <w:t>[semiotics]</w:t>
      </w:r>
    </w:p>
    <w:p w14:paraId="4F516916" w14:textId="77777777" w:rsidR="006617E6" w:rsidRDefault="006617E6" w:rsidP="006617E6">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sidRPr="006617E6">
        <w:t xml:space="preserve">Bourdieu, P. </w:t>
      </w:r>
      <w:r w:rsidRPr="006617E6">
        <w:rPr>
          <w:b/>
          <w:bCs/>
        </w:rPr>
        <w:t xml:space="preserve">The Logic of Practice </w:t>
      </w:r>
      <w:r w:rsidRPr="006617E6">
        <w:t>trans. R. Nice Polity Press: Cambridge</w:t>
      </w:r>
      <w:r w:rsidRPr="006617E6">
        <w:rPr>
          <w:rFonts w:ascii="Comic Sans MS" w:hAnsi="Comic Sans MS"/>
        </w:rPr>
        <w:t xml:space="preserve"> </w:t>
      </w:r>
    </w:p>
    <w:p w14:paraId="0F9C4C2C" w14:textId="77777777" w:rsidR="006617E6" w:rsidRDefault="006617E6" w:rsidP="006617E6">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p>
    <w:p w14:paraId="1DAC57FE" w14:textId="013955C6" w:rsidR="006617E6" w:rsidRDefault="006617E6" w:rsidP="006617E6">
      <w:pPr>
        <w:tabs>
          <w:tab w:val="left" w:pos="720"/>
          <w:tab w:val="left" w:pos="1440"/>
          <w:tab w:val="left" w:pos="2160"/>
          <w:tab w:val="left" w:pos="2880"/>
          <w:tab w:val="left" w:pos="3600"/>
          <w:tab w:val="left" w:pos="4320"/>
          <w:tab w:val="left" w:pos="5040"/>
          <w:tab w:val="left" w:pos="5760"/>
          <w:tab w:val="left" w:pos="6480"/>
          <w:tab w:val="left" w:pos="7920"/>
          <w:tab w:val="left" w:pos="8640"/>
        </w:tabs>
        <w:rPr>
          <w:rFonts w:ascii="Comic Sans MS" w:hAnsi="Comic Sans MS"/>
        </w:rPr>
      </w:pPr>
      <w:r>
        <w:rPr>
          <w:rFonts w:ascii="Comic Sans MS" w:hAnsi="Comic Sans MS"/>
        </w:rPr>
        <w:t>Material case studies:</w:t>
      </w:r>
    </w:p>
    <w:p w14:paraId="56E349F9" w14:textId="77777777" w:rsidR="006617E6" w:rsidRDefault="006617E6" w:rsidP="006617E6">
      <w:pPr>
        <w:ind w:left="720" w:hanging="720"/>
      </w:pPr>
      <w:r>
        <w:t>EITHER</w:t>
      </w:r>
    </w:p>
    <w:p w14:paraId="77B87779" w14:textId="3CF67B41" w:rsidR="006617E6" w:rsidRDefault="006617E6" w:rsidP="006617E6">
      <w:pPr>
        <w:ind w:left="720" w:hanging="720"/>
      </w:pPr>
      <w:r>
        <w:t xml:space="preserve">Moore H. (1986) </w:t>
      </w:r>
      <w:r>
        <w:rPr>
          <w:i/>
        </w:rPr>
        <w:t>Space, text and gender</w:t>
      </w:r>
      <w:r>
        <w:t xml:space="preserve">.  Cambridge: Cambridge University Press. </w:t>
      </w:r>
    </w:p>
    <w:p w14:paraId="013B2C62" w14:textId="77777777" w:rsidR="00E242AF" w:rsidRDefault="00E242AF" w:rsidP="006617E6">
      <w:pPr>
        <w:ind w:left="720" w:hanging="720"/>
      </w:pPr>
    </w:p>
    <w:p w14:paraId="6CC3F2D0" w14:textId="214109D2" w:rsidR="006617E6" w:rsidRDefault="006617E6" w:rsidP="006617E6">
      <w:pPr>
        <w:ind w:left="720" w:hanging="720"/>
      </w:pPr>
      <w:r>
        <w:t>OR</w:t>
      </w:r>
    </w:p>
    <w:p w14:paraId="4F022BAC" w14:textId="77777777" w:rsidR="00D410CE" w:rsidRPr="00D410CE" w:rsidRDefault="00D410CE" w:rsidP="00D410CE">
      <w:r w:rsidRPr="00D410CE">
        <w:rPr>
          <w:i/>
          <w:iCs/>
        </w:rPr>
        <w:t>Images</w:t>
      </w:r>
    </w:p>
    <w:p w14:paraId="215248B1" w14:textId="77777777" w:rsidR="00D410CE" w:rsidRPr="00D410CE" w:rsidRDefault="00D410CE" w:rsidP="00D410CE">
      <w:r w:rsidRPr="00D410CE">
        <w:t xml:space="preserve">Gombrich, E.L. 1960 </w:t>
      </w:r>
      <w:r w:rsidRPr="00D410CE">
        <w:rPr>
          <w:b/>
          <w:bCs/>
        </w:rPr>
        <w:t xml:space="preserve">Art and Illusion: A study in the psychology of pictorial representation </w:t>
      </w:r>
      <w:r w:rsidRPr="00D410CE">
        <w:t>Phaidon: London</w:t>
      </w:r>
    </w:p>
    <w:p w14:paraId="6CBB74A8" w14:textId="77777777" w:rsidR="00D410CE" w:rsidRDefault="00D410CE" w:rsidP="00D410CE">
      <w:r w:rsidRPr="00D410CE">
        <w:t xml:space="preserve">Gell, A. 1998 </w:t>
      </w:r>
      <w:r w:rsidRPr="00D410CE">
        <w:rPr>
          <w:b/>
          <w:bCs/>
        </w:rPr>
        <w:t xml:space="preserve">Art and Agency: An anthropological theory </w:t>
      </w:r>
      <w:r w:rsidRPr="00D410CE">
        <w:t>OUP: Oxford</w:t>
      </w:r>
    </w:p>
    <w:p w14:paraId="7396F84D" w14:textId="77777777" w:rsidR="00E242AF" w:rsidRPr="00D410CE" w:rsidRDefault="00E242AF" w:rsidP="00D410CE"/>
    <w:p w14:paraId="6C133C62" w14:textId="55253142" w:rsidR="006617E6" w:rsidRDefault="00E242AF" w:rsidP="00E242AF">
      <w:pPr>
        <w:jc w:val="left"/>
        <w:rPr>
          <w:b/>
          <w:bCs/>
          <w:lang w:val="en-US"/>
        </w:rPr>
      </w:pPr>
      <w:r w:rsidRPr="00E242AF">
        <w:rPr>
          <w:b/>
          <w:bCs/>
          <w:lang w:val="en-US"/>
        </w:rPr>
        <w:lastRenderedPageBreak/>
        <w:br/>
        <w:t>Franz Boas Northwest coast American Indian art</w:t>
      </w:r>
      <w:r w:rsidRPr="00E242AF">
        <w:rPr>
          <w:b/>
          <w:bCs/>
          <w:lang w:val="en-US"/>
        </w:rPr>
        <w:br/>
        <w:t>Levi Strauss The way of the mask 1975 (1982)</w:t>
      </w:r>
    </w:p>
    <w:p w14:paraId="5A46415C" w14:textId="77777777" w:rsidR="00E242AF" w:rsidRDefault="00E242AF" w:rsidP="00E242AF">
      <w:pPr>
        <w:jc w:val="left"/>
        <w:rPr>
          <w:b/>
          <w:bCs/>
          <w:lang w:val="en-US"/>
        </w:rPr>
      </w:pPr>
    </w:p>
    <w:p w14:paraId="281BC4FE" w14:textId="44099900" w:rsidR="00E242AF" w:rsidRDefault="00E242AF" w:rsidP="00E242AF">
      <w:pPr>
        <w:jc w:val="left"/>
        <w:rPr>
          <w:b/>
          <w:bCs/>
          <w:lang w:val="en-US"/>
        </w:rPr>
      </w:pPr>
      <w:r>
        <w:rPr>
          <w:b/>
          <w:bCs/>
          <w:lang w:val="en-US"/>
        </w:rPr>
        <w:t>OR</w:t>
      </w:r>
    </w:p>
    <w:p w14:paraId="5830ED22" w14:textId="77777777" w:rsidR="008A01A6" w:rsidRPr="008A01A6" w:rsidRDefault="008A01A6" w:rsidP="008A01A6">
      <w:pPr>
        <w:numPr>
          <w:ilvl w:val="0"/>
          <w:numId w:val="1"/>
        </w:numPr>
        <w:jc w:val="left"/>
      </w:pPr>
      <w:r w:rsidRPr="008A01A6">
        <w:t>Australian aboriginal art</w:t>
      </w:r>
    </w:p>
    <w:p w14:paraId="680615E7" w14:textId="77777777" w:rsidR="008A01A6" w:rsidRPr="008A01A6" w:rsidRDefault="008A01A6" w:rsidP="008A01A6">
      <w:pPr>
        <w:numPr>
          <w:ilvl w:val="0"/>
          <w:numId w:val="1"/>
        </w:numPr>
        <w:jc w:val="left"/>
      </w:pPr>
      <w:r w:rsidRPr="008A01A6">
        <w:t xml:space="preserve">Morphy, H. 1992 From dull to brilliant: The aesthetics of spiritual power among the Yolgnu In Coote, J. and Shelton, A. (eds.) </w:t>
      </w:r>
      <w:r w:rsidRPr="008A01A6">
        <w:rPr>
          <w:b/>
          <w:bCs/>
        </w:rPr>
        <w:t xml:space="preserve">Anthropology, Art and Aesthetics </w:t>
      </w:r>
      <w:r w:rsidRPr="008A01A6">
        <w:t>Clarendon Press; Oxford pp181-208</w:t>
      </w:r>
    </w:p>
    <w:p w14:paraId="4C8335FB" w14:textId="77777777" w:rsidR="008A01A6" w:rsidRPr="008A01A6" w:rsidRDefault="008A01A6" w:rsidP="008A01A6">
      <w:pPr>
        <w:jc w:val="left"/>
      </w:pPr>
      <w:r w:rsidRPr="008A01A6">
        <w:t xml:space="preserve">Layton, R. 1991 </w:t>
      </w:r>
      <w:r w:rsidRPr="008A01A6">
        <w:rPr>
          <w:b/>
          <w:bCs/>
        </w:rPr>
        <w:t xml:space="preserve">Australian Rock Art </w:t>
      </w:r>
      <w:r w:rsidRPr="008A01A6">
        <w:t>CUP: Cambridge</w:t>
      </w:r>
    </w:p>
    <w:p w14:paraId="60BAA9B6" w14:textId="77777777" w:rsidR="008A01A6" w:rsidRPr="008A01A6" w:rsidRDefault="008A01A6" w:rsidP="008A01A6">
      <w:pPr>
        <w:jc w:val="left"/>
      </w:pPr>
      <w:r w:rsidRPr="008A01A6">
        <w:t xml:space="preserve">Povinelli, E.A. 1993 “Might be something”: the language of indeterminacy in Australian Aboriginal land use </w:t>
      </w:r>
      <w:r w:rsidRPr="008A01A6">
        <w:rPr>
          <w:b/>
          <w:bCs/>
        </w:rPr>
        <w:t>Man</w:t>
      </w:r>
      <w:r w:rsidRPr="008A01A6">
        <w:t xml:space="preserve"> 28 pp679-704</w:t>
      </w:r>
    </w:p>
    <w:p w14:paraId="59BECF50" w14:textId="77777777" w:rsidR="008A01A6" w:rsidRDefault="008A01A6" w:rsidP="00E242AF">
      <w:pPr>
        <w:jc w:val="left"/>
      </w:pPr>
    </w:p>
    <w:sectPr w:rsidR="008A0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56943"/>
    <w:multiLevelType w:val="hybridMultilevel"/>
    <w:tmpl w:val="0E4CC1AA"/>
    <w:lvl w:ilvl="0" w:tplc="292255F6">
      <w:start w:val="1"/>
      <w:numFmt w:val="bullet"/>
      <w:lvlText w:val="•"/>
      <w:lvlJc w:val="left"/>
      <w:pPr>
        <w:tabs>
          <w:tab w:val="num" w:pos="720"/>
        </w:tabs>
        <w:ind w:left="720" w:hanging="360"/>
      </w:pPr>
      <w:rPr>
        <w:rFonts w:ascii="Arial" w:hAnsi="Arial" w:hint="default"/>
      </w:rPr>
    </w:lvl>
    <w:lvl w:ilvl="1" w:tplc="3FB6BB30" w:tentative="1">
      <w:start w:val="1"/>
      <w:numFmt w:val="bullet"/>
      <w:lvlText w:val="•"/>
      <w:lvlJc w:val="left"/>
      <w:pPr>
        <w:tabs>
          <w:tab w:val="num" w:pos="1440"/>
        </w:tabs>
        <w:ind w:left="1440" w:hanging="360"/>
      </w:pPr>
      <w:rPr>
        <w:rFonts w:ascii="Arial" w:hAnsi="Arial" w:hint="default"/>
      </w:rPr>
    </w:lvl>
    <w:lvl w:ilvl="2" w:tplc="AB8A528C" w:tentative="1">
      <w:start w:val="1"/>
      <w:numFmt w:val="bullet"/>
      <w:lvlText w:val="•"/>
      <w:lvlJc w:val="left"/>
      <w:pPr>
        <w:tabs>
          <w:tab w:val="num" w:pos="2160"/>
        </w:tabs>
        <w:ind w:left="2160" w:hanging="360"/>
      </w:pPr>
      <w:rPr>
        <w:rFonts w:ascii="Arial" w:hAnsi="Arial" w:hint="default"/>
      </w:rPr>
    </w:lvl>
    <w:lvl w:ilvl="3" w:tplc="17B496E6" w:tentative="1">
      <w:start w:val="1"/>
      <w:numFmt w:val="bullet"/>
      <w:lvlText w:val="•"/>
      <w:lvlJc w:val="left"/>
      <w:pPr>
        <w:tabs>
          <w:tab w:val="num" w:pos="2880"/>
        </w:tabs>
        <w:ind w:left="2880" w:hanging="360"/>
      </w:pPr>
      <w:rPr>
        <w:rFonts w:ascii="Arial" w:hAnsi="Arial" w:hint="default"/>
      </w:rPr>
    </w:lvl>
    <w:lvl w:ilvl="4" w:tplc="A06853E6" w:tentative="1">
      <w:start w:val="1"/>
      <w:numFmt w:val="bullet"/>
      <w:lvlText w:val="•"/>
      <w:lvlJc w:val="left"/>
      <w:pPr>
        <w:tabs>
          <w:tab w:val="num" w:pos="3600"/>
        </w:tabs>
        <w:ind w:left="3600" w:hanging="360"/>
      </w:pPr>
      <w:rPr>
        <w:rFonts w:ascii="Arial" w:hAnsi="Arial" w:hint="default"/>
      </w:rPr>
    </w:lvl>
    <w:lvl w:ilvl="5" w:tplc="17B49A0E" w:tentative="1">
      <w:start w:val="1"/>
      <w:numFmt w:val="bullet"/>
      <w:lvlText w:val="•"/>
      <w:lvlJc w:val="left"/>
      <w:pPr>
        <w:tabs>
          <w:tab w:val="num" w:pos="4320"/>
        </w:tabs>
        <w:ind w:left="4320" w:hanging="360"/>
      </w:pPr>
      <w:rPr>
        <w:rFonts w:ascii="Arial" w:hAnsi="Arial" w:hint="default"/>
      </w:rPr>
    </w:lvl>
    <w:lvl w:ilvl="6" w:tplc="AC466AB2" w:tentative="1">
      <w:start w:val="1"/>
      <w:numFmt w:val="bullet"/>
      <w:lvlText w:val="•"/>
      <w:lvlJc w:val="left"/>
      <w:pPr>
        <w:tabs>
          <w:tab w:val="num" w:pos="5040"/>
        </w:tabs>
        <w:ind w:left="5040" w:hanging="360"/>
      </w:pPr>
      <w:rPr>
        <w:rFonts w:ascii="Arial" w:hAnsi="Arial" w:hint="default"/>
      </w:rPr>
    </w:lvl>
    <w:lvl w:ilvl="7" w:tplc="8672645A" w:tentative="1">
      <w:start w:val="1"/>
      <w:numFmt w:val="bullet"/>
      <w:lvlText w:val="•"/>
      <w:lvlJc w:val="left"/>
      <w:pPr>
        <w:tabs>
          <w:tab w:val="num" w:pos="5760"/>
        </w:tabs>
        <w:ind w:left="5760" w:hanging="360"/>
      </w:pPr>
      <w:rPr>
        <w:rFonts w:ascii="Arial" w:hAnsi="Arial" w:hint="default"/>
      </w:rPr>
    </w:lvl>
    <w:lvl w:ilvl="8" w:tplc="326CD408" w:tentative="1">
      <w:start w:val="1"/>
      <w:numFmt w:val="bullet"/>
      <w:lvlText w:val="•"/>
      <w:lvlJc w:val="left"/>
      <w:pPr>
        <w:tabs>
          <w:tab w:val="num" w:pos="6480"/>
        </w:tabs>
        <w:ind w:left="6480" w:hanging="360"/>
      </w:pPr>
      <w:rPr>
        <w:rFonts w:ascii="Arial" w:hAnsi="Arial" w:hint="default"/>
      </w:rPr>
    </w:lvl>
  </w:abstractNum>
  <w:num w:numId="1" w16cid:durableId="1548029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EAF"/>
    <w:rsid w:val="004D41A5"/>
    <w:rsid w:val="004F19A7"/>
    <w:rsid w:val="006470EA"/>
    <w:rsid w:val="006617E6"/>
    <w:rsid w:val="00763EB4"/>
    <w:rsid w:val="008A01A6"/>
    <w:rsid w:val="008F187D"/>
    <w:rsid w:val="009D5596"/>
    <w:rsid w:val="00A606B5"/>
    <w:rsid w:val="00B46224"/>
    <w:rsid w:val="00D20EAF"/>
    <w:rsid w:val="00D410CE"/>
    <w:rsid w:val="00E242AF"/>
    <w:rsid w:val="00F67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9A744"/>
  <w15:chartTrackingRefBased/>
  <w15:docId w15:val="{EF1F4278-47ED-4F75-940B-6884E660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224"/>
    <w:pPr>
      <w:spacing w:after="0" w:line="240" w:lineRule="auto"/>
      <w:jc w:val="both"/>
    </w:pPr>
    <w:rPr>
      <w:rFonts w:ascii="Tahoma" w:eastAsia="Times New Roman" w:hAnsi="Tahoma" w:cs="Times New Roman"/>
      <w:kern w:val="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unhideWhenUsed/>
    <w:rsid w:val="00F672A7"/>
    <w:pPr>
      <w:tabs>
        <w:tab w:val="left" w:pos="720"/>
        <w:tab w:val="left" w:pos="1440"/>
        <w:tab w:val="left" w:pos="2160"/>
        <w:tab w:val="left" w:pos="2880"/>
        <w:tab w:val="left" w:pos="3600"/>
        <w:tab w:val="left" w:pos="4320"/>
        <w:tab w:val="left" w:pos="5040"/>
        <w:tab w:val="left" w:pos="5760"/>
        <w:tab w:val="left" w:pos="6480"/>
        <w:tab w:val="left" w:pos="7920"/>
        <w:tab w:val="left" w:pos="8640"/>
      </w:tabs>
    </w:pPr>
    <w:rPr>
      <w:rFonts w:ascii="Comic Sans MS" w:hAnsi="Comic Sans MS" w:cs="Arial"/>
      <w:color w:val="000000"/>
      <w:lang w:eastAsia="en-US"/>
    </w:rPr>
  </w:style>
  <w:style w:type="character" w:customStyle="1" w:styleId="BodyText3Char">
    <w:name w:val="Body Text 3 Char"/>
    <w:basedOn w:val="DefaultParagraphFont"/>
    <w:link w:val="BodyText3"/>
    <w:semiHidden/>
    <w:rsid w:val="00F672A7"/>
    <w:rPr>
      <w:rFonts w:ascii="Comic Sans MS" w:eastAsia="Times New Roman" w:hAnsi="Comic Sans MS" w:cs="Arial"/>
      <w:color w:val="000000"/>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23553">
      <w:bodyDiv w:val="1"/>
      <w:marLeft w:val="0"/>
      <w:marRight w:val="0"/>
      <w:marTop w:val="0"/>
      <w:marBottom w:val="0"/>
      <w:divBdr>
        <w:top w:val="none" w:sz="0" w:space="0" w:color="auto"/>
        <w:left w:val="none" w:sz="0" w:space="0" w:color="auto"/>
        <w:bottom w:val="none" w:sz="0" w:space="0" w:color="auto"/>
        <w:right w:val="none" w:sz="0" w:space="0" w:color="auto"/>
      </w:divBdr>
    </w:div>
    <w:div w:id="800223218">
      <w:bodyDiv w:val="1"/>
      <w:marLeft w:val="0"/>
      <w:marRight w:val="0"/>
      <w:marTop w:val="0"/>
      <w:marBottom w:val="0"/>
      <w:divBdr>
        <w:top w:val="none" w:sz="0" w:space="0" w:color="auto"/>
        <w:left w:val="none" w:sz="0" w:space="0" w:color="auto"/>
        <w:bottom w:val="none" w:sz="0" w:space="0" w:color="auto"/>
        <w:right w:val="none" w:sz="0" w:space="0" w:color="auto"/>
      </w:divBdr>
      <w:divsChild>
        <w:div w:id="946352769">
          <w:marLeft w:val="720"/>
          <w:marRight w:val="0"/>
          <w:marTop w:val="82"/>
          <w:marBottom w:val="0"/>
          <w:divBdr>
            <w:top w:val="none" w:sz="0" w:space="0" w:color="auto"/>
            <w:left w:val="none" w:sz="0" w:space="0" w:color="auto"/>
            <w:bottom w:val="none" w:sz="0" w:space="0" w:color="auto"/>
            <w:right w:val="none" w:sz="0" w:space="0" w:color="auto"/>
          </w:divBdr>
        </w:div>
        <w:div w:id="1804806615">
          <w:marLeft w:val="720"/>
          <w:marRight w:val="0"/>
          <w:marTop w:val="82"/>
          <w:marBottom w:val="0"/>
          <w:divBdr>
            <w:top w:val="none" w:sz="0" w:space="0" w:color="auto"/>
            <w:left w:val="none" w:sz="0" w:space="0" w:color="auto"/>
            <w:bottom w:val="none" w:sz="0" w:space="0" w:color="auto"/>
            <w:right w:val="none" w:sz="0" w:space="0" w:color="auto"/>
          </w:divBdr>
        </w:div>
      </w:divsChild>
    </w:div>
    <w:div w:id="1628052004">
      <w:bodyDiv w:val="1"/>
      <w:marLeft w:val="0"/>
      <w:marRight w:val="0"/>
      <w:marTop w:val="0"/>
      <w:marBottom w:val="0"/>
      <w:divBdr>
        <w:top w:val="none" w:sz="0" w:space="0" w:color="auto"/>
        <w:left w:val="none" w:sz="0" w:space="0" w:color="auto"/>
        <w:bottom w:val="none" w:sz="0" w:space="0" w:color="auto"/>
        <w:right w:val="none" w:sz="0" w:space="0" w:color="auto"/>
      </w:divBdr>
    </w:div>
    <w:div w:id="1707366575">
      <w:bodyDiv w:val="1"/>
      <w:marLeft w:val="0"/>
      <w:marRight w:val="0"/>
      <w:marTop w:val="0"/>
      <w:marBottom w:val="0"/>
      <w:divBdr>
        <w:top w:val="none" w:sz="0" w:space="0" w:color="auto"/>
        <w:left w:val="none" w:sz="0" w:space="0" w:color="auto"/>
        <w:bottom w:val="none" w:sz="0" w:space="0" w:color="auto"/>
        <w:right w:val="none" w:sz="0" w:space="0" w:color="auto"/>
      </w:divBdr>
    </w:div>
    <w:div w:id="200959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Fewster</dc:creator>
  <cp:keywords/>
  <dc:description/>
  <cp:lastModifiedBy>Kathryn Fewster</cp:lastModifiedBy>
  <cp:revision>23</cp:revision>
  <dcterms:created xsi:type="dcterms:W3CDTF">2023-10-07T15:55:00Z</dcterms:created>
  <dcterms:modified xsi:type="dcterms:W3CDTF">2023-10-09T21:13:00Z</dcterms:modified>
</cp:coreProperties>
</file>