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ED9EB" w14:textId="38ACDBCB" w:rsidR="00A64271" w:rsidRDefault="00A64271" w:rsidP="00A64271">
      <w:pPr>
        <w:rPr>
          <w:lang w:eastAsia="en-IN"/>
        </w:rPr>
      </w:pPr>
      <w:r>
        <w:rPr>
          <w:noProof/>
        </w:rPr>
        <w:drawing>
          <wp:inline distT="0" distB="0" distL="0" distR="0" wp14:anchorId="5B568194" wp14:editId="34AEEB45">
            <wp:extent cx="2192215" cy="915649"/>
            <wp:effectExtent l="0" t="0" r="0" b="0"/>
            <wp:docPr id="413069748"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3588" cy="920399"/>
                    </a:xfrm>
                    <a:prstGeom prst="rect">
                      <a:avLst/>
                    </a:prstGeom>
                    <a:noFill/>
                    <a:ln>
                      <a:noFill/>
                    </a:ln>
                  </pic:spPr>
                </pic:pic>
              </a:graphicData>
            </a:graphic>
          </wp:inline>
        </w:drawing>
      </w:r>
    </w:p>
    <w:p w14:paraId="173A794E" w14:textId="77777777" w:rsidR="00A64271" w:rsidRDefault="00A64271" w:rsidP="00A64271">
      <w:pPr>
        <w:rPr>
          <w:lang w:eastAsia="en-IN"/>
        </w:rPr>
      </w:pPr>
    </w:p>
    <w:p w14:paraId="425990D4" w14:textId="77777777" w:rsidR="00A64271" w:rsidRDefault="00A64271" w:rsidP="00A64271">
      <w:pPr>
        <w:rPr>
          <w:lang w:eastAsia="en-IN"/>
        </w:rPr>
      </w:pPr>
    </w:p>
    <w:p w14:paraId="2D6301A1" w14:textId="2CA57427" w:rsidR="00A64271" w:rsidRDefault="00A64271" w:rsidP="008867F9">
      <w:pPr>
        <w:spacing w:before="0" w:after="160"/>
        <w:jc w:val="left"/>
        <w:rPr>
          <w:rFonts w:cs="Arial"/>
          <w:szCs w:val="24"/>
          <w:lang w:val="en-US" w:eastAsia="en-IN"/>
        </w:rPr>
      </w:pPr>
      <w:r w:rsidRPr="00A64271">
        <w:rPr>
          <w:rFonts w:cs="Arial"/>
          <w:b/>
          <w:bCs/>
          <w:szCs w:val="24"/>
          <w:lang w:val="en-US" w:eastAsia="en-IN"/>
        </w:rPr>
        <w:t>Student ID number:</w:t>
      </w:r>
      <w:r w:rsidR="006A63EA">
        <w:rPr>
          <w:rFonts w:cs="Arial"/>
          <w:b/>
          <w:bCs/>
          <w:szCs w:val="24"/>
          <w:lang w:val="en-US" w:eastAsia="en-IN"/>
        </w:rPr>
        <w:t xml:space="preserve"> </w:t>
      </w:r>
      <w:r w:rsidR="006A63EA">
        <w:rPr>
          <w:rFonts w:cs="Arial"/>
          <w:szCs w:val="24"/>
          <w:lang w:val="en-US" w:eastAsia="en-IN"/>
        </w:rPr>
        <w:t>2431174</w:t>
      </w:r>
    </w:p>
    <w:p w14:paraId="3E18B5C4" w14:textId="55020222" w:rsidR="008867F9" w:rsidRDefault="008867F9" w:rsidP="005B70F5">
      <w:pPr>
        <w:jc w:val="left"/>
        <w:rPr>
          <w:rFonts w:cs="Arial"/>
          <w:szCs w:val="24"/>
          <w:lang w:val="en-US" w:eastAsia="en-IN"/>
        </w:rPr>
      </w:pPr>
      <w:r w:rsidRPr="00A64271">
        <w:rPr>
          <w:rFonts w:cs="Arial"/>
          <w:b/>
          <w:bCs/>
          <w:szCs w:val="24"/>
          <w:lang w:val="en-US" w:eastAsia="en-IN"/>
        </w:rPr>
        <w:t>Student name:</w:t>
      </w:r>
      <w:r>
        <w:rPr>
          <w:rFonts w:cs="Arial"/>
          <w:b/>
          <w:bCs/>
          <w:szCs w:val="24"/>
          <w:lang w:val="en-US" w:eastAsia="en-IN"/>
        </w:rPr>
        <w:t xml:space="preserve"> </w:t>
      </w:r>
      <w:proofErr w:type="spellStart"/>
      <w:r>
        <w:rPr>
          <w:rFonts w:cs="Arial"/>
          <w:szCs w:val="24"/>
          <w:lang w:val="en-US" w:eastAsia="en-IN"/>
        </w:rPr>
        <w:t>Rinkeshkumar</w:t>
      </w:r>
      <w:proofErr w:type="spellEnd"/>
      <w:r>
        <w:rPr>
          <w:rFonts w:cs="Arial"/>
          <w:szCs w:val="24"/>
          <w:lang w:val="en-US" w:eastAsia="en-IN"/>
        </w:rPr>
        <w:t xml:space="preserve"> Ahir</w:t>
      </w:r>
    </w:p>
    <w:p w14:paraId="3D97D7CC" w14:textId="77777777" w:rsidR="008867F9" w:rsidRPr="00A64271" w:rsidRDefault="008867F9" w:rsidP="008867F9">
      <w:pPr>
        <w:spacing w:before="0" w:after="160"/>
        <w:jc w:val="left"/>
        <w:rPr>
          <w:rFonts w:cs="Arial"/>
          <w:szCs w:val="24"/>
          <w:lang w:val="en-US" w:eastAsia="en-IN"/>
        </w:rPr>
      </w:pPr>
      <w:proofErr w:type="spellStart"/>
      <w:r w:rsidRPr="00A64271">
        <w:rPr>
          <w:rFonts w:cs="Arial"/>
          <w:b/>
          <w:bCs/>
          <w:szCs w:val="24"/>
          <w:lang w:val="en-US" w:eastAsia="en-IN"/>
        </w:rPr>
        <w:t>Programme</w:t>
      </w:r>
      <w:proofErr w:type="spellEnd"/>
      <w:r w:rsidRPr="00A64271">
        <w:rPr>
          <w:rFonts w:cs="Arial"/>
          <w:b/>
          <w:bCs/>
          <w:szCs w:val="24"/>
          <w:lang w:val="en-US" w:eastAsia="en-IN"/>
        </w:rPr>
        <w:t>:</w:t>
      </w:r>
      <w:r w:rsidRPr="00A64271">
        <w:rPr>
          <w:rFonts w:cs="Arial"/>
          <w:szCs w:val="24"/>
          <w:lang w:val="en-US" w:eastAsia="en-IN"/>
        </w:rPr>
        <w:t xml:space="preserve"> MSc </w:t>
      </w:r>
      <w:r>
        <w:rPr>
          <w:rFonts w:cs="Arial"/>
          <w:szCs w:val="24"/>
          <w:lang w:val="en-US" w:eastAsia="en-IN"/>
        </w:rPr>
        <w:t>in Data And AI</w:t>
      </w:r>
    </w:p>
    <w:p w14:paraId="053E85C1" w14:textId="77777777" w:rsidR="008867F9" w:rsidRPr="00A64271" w:rsidRDefault="008867F9" w:rsidP="008867F9">
      <w:pPr>
        <w:spacing w:before="0" w:after="160"/>
        <w:jc w:val="left"/>
        <w:rPr>
          <w:rFonts w:cs="Arial"/>
          <w:szCs w:val="24"/>
          <w:lang w:val="en-US" w:eastAsia="en-IN"/>
        </w:rPr>
      </w:pPr>
      <w:r w:rsidRPr="00A64271">
        <w:rPr>
          <w:rFonts w:cs="Arial"/>
          <w:b/>
          <w:bCs/>
          <w:szCs w:val="24"/>
          <w:lang w:val="en-US" w:eastAsia="en-IN"/>
        </w:rPr>
        <w:t>Module:</w:t>
      </w:r>
      <w:r w:rsidRPr="00A64271">
        <w:rPr>
          <w:rFonts w:cs="Arial"/>
          <w:szCs w:val="24"/>
          <w:lang w:val="en-US" w:eastAsia="en-IN"/>
        </w:rPr>
        <w:t xml:space="preserve"> Data Security, Governance and Compliance</w:t>
      </w:r>
      <w:r>
        <w:rPr>
          <w:rFonts w:cs="Arial"/>
          <w:szCs w:val="24"/>
          <w:lang w:val="en-US" w:eastAsia="en-IN"/>
        </w:rPr>
        <w:t xml:space="preserve"> (</w:t>
      </w:r>
      <w:r w:rsidRPr="00A64271">
        <w:rPr>
          <w:rFonts w:cs="Arial"/>
          <w:szCs w:val="24"/>
          <w:lang w:val="en-US" w:eastAsia="en-IN"/>
        </w:rPr>
        <w:t>ACCA7028</w:t>
      </w:r>
      <w:r>
        <w:rPr>
          <w:rFonts w:cs="Arial"/>
          <w:szCs w:val="24"/>
          <w:lang w:val="en-US" w:eastAsia="en-IN"/>
        </w:rPr>
        <w:t>)</w:t>
      </w:r>
    </w:p>
    <w:p w14:paraId="75D31349" w14:textId="4A9DEC05" w:rsidR="008867F9" w:rsidRPr="006A63EA" w:rsidRDefault="008867F9" w:rsidP="008867F9">
      <w:pPr>
        <w:jc w:val="left"/>
        <w:rPr>
          <w:rFonts w:cs="Arial"/>
          <w:szCs w:val="24"/>
          <w:lang w:val="en-US" w:eastAsia="en-IN"/>
        </w:rPr>
      </w:pPr>
      <w:r w:rsidRPr="00A64271">
        <w:rPr>
          <w:rFonts w:cs="Arial"/>
          <w:b/>
          <w:bCs/>
          <w:szCs w:val="24"/>
          <w:lang w:val="en-US" w:eastAsia="en-IN"/>
        </w:rPr>
        <w:t>Lecturer:</w:t>
      </w:r>
      <w:r w:rsidRPr="00A64271">
        <w:rPr>
          <w:rFonts w:cs="Arial"/>
          <w:szCs w:val="24"/>
          <w:lang w:val="en-US" w:eastAsia="en-IN"/>
        </w:rPr>
        <w:t xml:space="preserve"> Dr Muhammad A. Abbas / Assoc. Prof. Carlene Campbell</w:t>
      </w:r>
      <w:r w:rsidRPr="00A64271">
        <w:rPr>
          <w:rFonts w:cs="Arial"/>
          <w:szCs w:val="24"/>
          <w:lang w:val="en-US" w:eastAsia="en-IN"/>
        </w:rPr>
        <w:br/>
      </w:r>
    </w:p>
    <w:p w14:paraId="6EEEEEDE" w14:textId="394C6208" w:rsidR="00A64271" w:rsidRPr="00A64271" w:rsidRDefault="00A64271" w:rsidP="005B70F5">
      <w:pPr>
        <w:jc w:val="left"/>
        <w:rPr>
          <w:rFonts w:cs="Arial"/>
          <w:szCs w:val="36"/>
          <w:lang w:eastAsia="en-IN"/>
        </w:rPr>
      </w:pPr>
      <w:r w:rsidRPr="00A64271">
        <w:rPr>
          <w:rFonts w:cs="Arial"/>
          <w:szCs w:val="24"/>
          <w:lang w:eastAsia="en-IN"/>
        </w:rPr>
        <w:br w:type="page"/>
      </w:r>
    </w:p>
    <w:p w14:paraId="120CC36A" w14:textId="20AA0AD2" w:rsidR="008519CF" w:rsidRDefault="00A64271" w:rsidP="00A64271">
      <w:pPr>
        <w:pStyle w:val="Heading1"/>
        <w:rPr>
          <w:lang w:eastAsia="en-IN"/>
        </w:rPr>
      </w:pPr>
      <w:bookmarkStart w:id="0" w:name="_Toc214320661"/>
      <w:bookmarkStart w:id="1" w:name="_Hlk214313394"/>
      <w:r>
        <w:rPr>
          <w:lang w:eastAsia="en-IN"/>
        </w:rPr>
        <w:lastRenderedPageBreak/>
        <w:t xml:space="preserve">Executive </w:t>
      </w:r>
      <w:r w:rsidRPr="00A64271">
        <w:t>Summary</w:t>
      </w:r>
      <w:bookmarkEnd w:id="0"/>
    </w:p>
    <w:bookmarkEnd w:id="1"/>
    <w:p w14:paraId="44D4BA7E" w14:textId="066C8D6F" w:rsidR="00575B73" w:rsidRDefault="00575B73" w:rsidP="00575B73">
      <w:r w:rsidRPr="00575B73">
        <w:t>This report describes a tailored hybrid framework (ISO 27001, NIST CSF, COBIT, ITIL) for establishing a solid security, governance and compliance for Nature Green (NG), a global organization with complex challenges, involving cloud-based services, 95% wireless networks and Bring Your Own Device (BYOD) pressures. The strategy specifically focuses on risks from NG's environment, proposing Zero</w:t>
      </w:r>
      <w:r w:rsidR="003F2877">
        <w:t xml:space="preserve"> </w:t>
      </w:r>
      <w:r w:rsidRPr="00575B73">
        <w:t>Trust architecture and IP Tokenisation to protect billion-dollar intellectual property. The approach is organised with COBIT governance and a Nist-based risk matrix which encompasses measurable KPI's to provide accountability and strategic alignment. In addition, a critical analysis justifies the need for a continuous update of standards (e.g., ISO 27001</w:t>
      </w:r>
      <w:r w:rsidR="002423F9">
        <w:t xml:space="preserve">, </w:t>
      </w:r>
      <w:r w:rsidRPr="00575B73">
        <w:t>2022) versus emergent cyber threats orchestrated by artificial intelligence and new legislation (e.g., NIS2, CRA). Based on the assumptions of NG operating globally and managing over 5,000 staff under the authority of GDPR and CCPA, the plan developed ensures a sustainable and compliant environment to enable business development. </w:t>
      </w:r>
    </w:p>
    <w:p w14:paraId="5A827A6C" w14:textId="77777777" w:rsidR="00E83306" w:rsidRDefault="00E83306" w:rsidP="00575B73"/>
    <w:p w14:paraId="2DEBBFC9" w14:textId="77777777" w:rsidR="00E83306" w:rsidRDefault="00E83306" w:rsidP="00575B73"/>
    <w:p w14:paraId="70CAD13C" w14:textId="77777777" w:rsidR="00E83306" w:rsidRDefault="00E83306" w:rsidP="00575B73"/>
    <w:p w14:paraId="7082AE28" w14:textId="77777777" w:rsidR="00E83306" w:rsidRDefault="00E83306" w:rsidP="00575B73"/>
    <w:p w14:paraId="65F380B2" w14:textId="77777777" w:rsidR="00E83306" w:rsidRDefault="00E83306" w:rsidP="00575B73"/>
    <w:p w14:paraId="29096949" w14:textId="77777777" w:rsidR="00E83306" w:rsidRDefault="00E83306" w:rsidP="00575B73"/>
    <w:p w14:paraId="7A9565C2" w14:textId="77777777" w:rsidR="00E83306" w:rsidRDefault="00E83306" w:rsidP="00575B73"/>
    <w:p w14:paraId="1BF07371" w14:textId="77777777" w:rsidR="00E83306" w:rsidRDefault="00E83306" w:rsidP="00575B73"/>
    <w:p w14:paraId="21341D15" w14:textId="77777777" w:rsidR="00E83306" w:rsidRDefault="00E83306" w:rsidP="00575B73"/>
    <w:p w14:paraId="79E925A1" w14:textId="77777777" w:rsidR="00E83306" w:rsidRDefault="00E83306" w:rsidP="00575B73"/>
    <w:p w14:paraId="6EB47A2F" w14:textId="77777777" w:rsidR="00E83306" w:rsidRDefault="00E83306" w:rsidP="00575B73"/>
    <w:p w14:paraId="15DF255F" w14:textId="77777777" w:rsidR="00E83306" w:rsidRDefault="00E83306" w:rsidP="00575B73"/>
    <w:p w14:paraId="77DE0862" w14:textId="77777777" w:rsidR="00E83306" w:rsidRDefault="00E83306" w:rsidP="00575B73"/>
    <w:p w14:paraId="0F45C49F" w14:textId="77777777" w:rsidR="00E83306" w:rsidRDefault="00E83306" w:rsidP="00575B73"/>
    <w:p w14:paraId="1F5B7F46" w14:textId="77777777" w:rsidR="00E83306" w:rsidRDefault="00E83306" w:rsidP="00575B73"/>
    <w:sdt>
      <w:sdtPr>
        <w:rPr>
          <w:rFonts w:ascii="Arial" w:eastAsiaTheme="minorHAnsi" w:hAnsi="Arial" w:cstheme="minorBidi"/>
          <w:color w:val="auto"/>
          <w:sz w:val="24"/>
          <w:szCs w:val="22"/>
          <w:lang w:val="en-IN"/>
        </w:rPr>
        <w:id w:val="1326324659"/>
        <w:docPartObj>
          <w:docPartGallery w:val="Table of Contents"/>
          <w:docPartUnique/>
        </w:docPartObj>
      </w:sdtPr>
      <w:sdtEndPr>
        <w:rPr>
          <w:b/>
          <w:bCs/>
          <w:noProof/>
        </w:rPr>
      </w:sdtEndPr>
      <w:sdtContent>
        <w:p w14:paraId="32914405" w14:textId="0D4C57E6" w:rsidR="009257E6" w:rsidRDefault="009257E6">
          <w:pPr>
            <w:pStyle w:val="TOCHeading"/>
          </w:pPr>
          <w:r>
            <w:t>Table of Contents</w:t>
          </w:r>
        </w:p>
        <w:p w14:paraId="2823BEF4" w14:textId="20D7839B" w:rsidR="009257E6" w:rsidRDefault="009257E6">
          <w:pPr>
            <w:pStyle w:val="TOC1"/>
            <w:tabs>
              <w:tab w:val="right" w:leader="dot" w:pos="9016"/>
            </w:tabs>
            <w:rPr>
              <w:noProof/>
            </w:rPr>
          </w:pPr>
          <w:r>
            <w:fldChar w:fldCharType="begin"/>
          </w:r>
          <w:r>
            <w:instrText xml:space="preserve"> TOC \o "1-3" \h \z \u </w:instrText>
          </w:r>
          <w:r>
            <w:fldChar w:fldCharType="separate"/>
          </w:r>
          <w:hyperlink w:anchor="_Toc214320661" w:history="1">
            <w:r w:rsidRPr="0008020B">
              <w:rPr>
                <w:rStyle w:val="Hyperlink"/>
                <w:noProof/>
                <w:lang w:eastAsia="en-IN"/>
              </w:rPr>
              <w:t xml:space="preserve">Executive </w:t>
            </w:r>
            <w:r w:rsidRPr="0008020B">
              <w:rPr>
                <w:rStyle w:val="Hyperlink"/>
                <w:noProof/>
              </w:rPr>
              <w:t>Summary</w:t>
            </w:r>
            <w:r>
              <w:rPr>
                <w:noProof/>
                <w:webHidden/>
              </w:rPr>
              <w:tab/>
            </w:r>
            <w:r>
              <w:rPr>
                <w:noProof/>
                <w:webHidden/>
              </w:rPr>
              <w:fldChar w:fldCharType="begin"/>
            </w:r>
            <w:r>
              <w:rPr>
                <w:noProof/>
                <w:webHidden/>
              </w:rPr>
              <w:instrText xml:space="preserve"> PAGEREF _Toc214320661 \h </w:instrText>
            </w:r>
            <w:r>
              <w:rPr>
                <w:noProof/>
                <w:webHidden/>
              </w:rPr>
            </w:r>
            <w:r>
              <w:rPr>
                <w:noProof/>
                <w:webHidden/>
              </w:rPr>
              <w:fldChar w:fldCharType="separate"/>
            </w:r>
            <w:r>
              <w:rPr>
                <w:noProof/>
                <w:webHidden/>
              </w:rPr>
              <w:t>2</w:t>
            </w:r>
            <w:r>
              <w:rPr>
                <w:noProof/>
                <w:webHidden/>
              </w:rPr>
              <w:fldChar w:fldCharType="end"/>
            </w:r>
          </w:hyperlink>
        </w:p>
        <w:p w14:paraId="7E615DAB" w14:textId="6E83C27E" w:rsidR="009257E6" w:rsidRDefault="009257E6">
          <w:pPr>
            <w:pStyle w:val="TOC1"/>
            <w:tabs>
              <w:tab w:val="right" w:leader="dot" w:pos="9016"/>
            </w:tabs>
            <w:rPr>
              <w:noProof/>
            </w:rPr>
          </w:pPr>
          <w:hyperlink w:anchor="_Toc214320662" w:history="1">
            <w:r w:rsidRPr="0008020B">
              <w:rPr>
                <w:rStyle w:val="Hyperlink"/>
                <w:noProof/>
                <w:lang w:eastAsia="en-IN"/>
              </w:rPr>
              <w:t>1. Introduction</w:t>
            </w:r>
            <w:r>
              <w:rPr>
                <w:noProof/>
                <w:webHidden/>
              </w:rPr>
              <w:tab/>
            </w:r>
            <w:r>
              <w:rPr>
                <w:noProof/>
                <w:webHidden/>
              </w:rPr>
              <w:fldChar w:fldCharType="begin"/>
            </w:r>
            <w:r>
              <w:rPr>
                <w:noProof/>
                <w:webHidden/>
              </w:rPr>
              <w:instrText xml:space="preserve"> PAGEREF _Toc214320662 \h </w:instrText>
            </w:r>
            <w:r>
              <w:rPr>
                <w:noProof/>
                <w:webHidden/>
              </w:rPr>
            </w:r>
            <w:r>
              <w:rPr>
                <w:noProof/>
                <w:webHidden/>
              </w:rPr>
              <w:fldChar w:fldCharType="separate"/>
            </w:r>
            <w:r>
              <w:rPr>
                <w:noProof/>
                <w:webHidden/>
              </w:rPr>
              <w:t>4</w:t>
            </w:r>
            <w:r>
              <w:rPr>
                <w:noProof/>
                <w:webHidden/>
              </w:rPr>
              <w:fldChar w:fldCharType="end"/>
            </w:r>
          </w:hyperlink>
        </w:p>
        <w:p w14:paraId="785370D0" w14:textId="76092F1F" w:rsidR="009257E6" w:rsidRDefault="009257E6">
          <w:pPr>
            <w:pStyle w:val="TOC1"/>
            <w:tabs>
              <w:tab w:val="right" w:leader="dot" w:pos="9016"/>
            </w:tabs>
            <w:rPr>
              <w:noProof/>
            </w:rPr>
          </w:pPr>
          <w:hyperlink w:anchor="_Toc214320663" w:history="1">
            <w:r w:rsidRPr="0008020B">
              <w:rPr>
                <w:rStyle w:val="Hyperlink"/>
                <w:noProof/>
                <w:lang w:eastAsia="en-IN"/>
              </w:rPr>
              <w:t>2. Research into Security Frameworks and Models</w:t>
            </w:r>
            <w:r>
              <w:rPr>
                <w:noProof/>
                <w:webHidden/>
              </w:rPr>
              <w:tab/>
            </w:r>
            <w:r>
              <w:rPr>
                <w:noProof/>
                <w:webHidden/>
              </w:rPr>
              <w:fldChar w:fldCharType="begin"/>
            </w:r>
            <w:r>
              <w:rPr>
                <w:noProof/>
                <w:webHidden/>
              </w:rPr>
              <w:instrText xml:space="preserve"> PAGEREF _Toc214320663 \h </w:instrText>
            </w:r>
            <w:r>
              <w:rPr>
                <w:noProof/>
                <w:webHidden/>
              </w:rPr>
            </w:r>
            <w:r>
              <w:rPr>
                <w:noProof/>
                <w:webHidden/>
              </w:rPr>
              <w:fldChar w:fldCharType="separate"/>
            </w:r>
            <w:r>
              <w:rPr>
                <w:noProof/>
                <w:webHidden/>
              </w:rPr>
              <w:t>7</w:t>
            </w:r>
            <w:r>
              <w:rPr>
                <w:noProof/>
                <w:webHidden/>
              </w:rPr>
              <w:fldChar w:fldCharType="end"/>
            </w:r>
          </w:hyperlink>
        </w:p>
        <w:p w14:paraId="341BD9F8" w14:textId="11AFC46E" w:rsidR="009257E6" w:rsidRDefault="009257E6">
          <w:pPr>
            <w:pStyle w:val="TOC2"/>
            <w:tabs>
              <w:tab w:val="right" w:leader="dot" w:pos="9016"/>
            </w:tabs>
            <w:rPr>
              <w:noProof/>
            </w:rPr>
          </w:pPr>
          <w:hyperlink w:anchor="_Toc214320664" w:history="1">
            <w:r w:rsidRPr="0008020B">
              <w:rPr>
                <w:rStyle w:val="Hyperlink"/>
                <w:noProof/>
                <w:lang w:eastAsia="en-IN"/>
              </w:rPr>
              <w:t>2.1 Designed Approach for NG's Information System Security, Governance, and Compliance</w:t>
            </w:r>
            <w:r>
              <w:rPr>
                <w:noProof/>
                <w:webHidden/>
              </w:rPr>
              <w:tab/>
            </w:r>
            <w:r>
              <w:rPr>
                <w:noProof/>
                <w:webHidden/>
              </w:rPr>
              <w:fldChar w:fldCharType="begin"/>
            </w:r>
            <w:r>
              <w:rPr>
                <w:noProof/>
                <w:webHidden/>
              </w:rPr>
              <w:instrText xml:space="preserve"> PAGEREF _Toc214320664 \h </w:instrText>
            </w:r>
            <w:r>
              <w:rPr>
                <w:noProof/>
                <w:webHidden/>
              </w:rPr>
            </w:r>
            <w:r>
              <w:rPr>
                <w:noProof/>
                <w:webHidden/>
              </w:rPr>
              <w:fldChar w:fldCharType="separate"/>
            </w:r>
            <w:r>
              <w:rPr>
                <w:noProof/>
                <w:webHidden/>
              </w:rPr>
              <w:t>9</w:t>
            </w:r>
            <w:r>
              <w:rPr>
                <w:noProof/>
                <w:webHidden/>
              </w:rPr>
              <w:fldChar w:fldCharType="end"/>
            </w:r>
          </w:hyperlink>
        </w:p>
        <w:p w14:paraId="2B85C30E" w14:textId="2EAE171C" w:rsidR="009257E6" w:rsidRDefault="009257E6">
          <w:pPr>
            <w:pStyle w:val="TOC2"/>
            <w:tabs>
              <w:tab w:val="right" w:leader="dot" w:pos="9016"/>
            </w:tabs>
            <w:rPr>
              <w:noProof/>
            </w:rPr>
          </w:pPr>
          <w:hyperlink w:anchor="_Toc214320665" w:history="1">
            <w:r w:rsidRPr="0008020B">
              <w:rPr>
                <w:rStyle w:val="Hyperlink"/>
                <w:noProof/>
                <w:lang w:eastAsia="en-IN"/>
              </w:rPr>
              <w:t>2.2 Critique, Analysis and Discussion of Updating Regulations and Standards</w:t>
            </w:r>
            <w:r>
              <w:rPr>
                <w:noProof/>
                <w:webHidden/>
              </w:rPr>
              <w:tab/>
            </w:r>
            <w:r>
              <w:rPr>
                <w:noProof/>
                <w:webHidden/>
              </w:rPr>
              <w:fldChar w:fldCharType="begin"/>
            </w:r>
            <w:r>
              <w:rPr>
                <w:noProof/>
                <w:webHidden/>
              </w:rPr>
              <w:instrText xml:space="preserve"> PAGEREF _Toc214320665 \h </w:instrText>
            </w:r>
            <w:r>
              <w:rPr>
                <w:noProof/>
                <w:webHidden/>
              </w:rPr>
            </w:r>
            <w:r>
              <w:rPr>
                <w:noProof/>
                <w:webHidden/>
              </w:rPr>
              <w:fldChar w:fldCharType="separate"/>
            </w:r>
            <w:r>
              <w:rPr>
                <w:noProof/>
                <w:webHidden/>
              </w:rPr>
              <w:t>11</w:t>
            </w:r>
            <w:r>
              <w:rPr>
                <w:noProof/>
                <w:webHidden/>
              </w:rPr>
              <w:fldChar w:fldCharType="end"/>
            </w:r>
          </w:hyperlink>
        </w:p>
        <w:p w14:paraId="4598C042" w14:textId="49FD45F3" w:rsidR="009257E6" w:rsidRDefault="009257E6">
          <w:pPr>
            <w:pStyle w:val="TOC2"/>
            <w:tabs>
              <w:tab w:val="right" w:leader="dot" w:pos="9016"/>
            </w:tabs>
            <w:rPr>
              <w:noProof/>
            </w:rPr>
          </w:pPr>
          <w:hyperlink w:anchor="_Toc214320666" w:history="1">
            <w:r w:rsidRPr="0008020B">
              <w:rPr>
                <w:rStyle w:val="Hyperlink"/>
                <w:noProof/>
                <w:lang w:eastAsia="en-IN"/>
              </w:rPr>
              <w:t>2.2.1 Critical Review on the Requirement of continuous updating</w:t>
            </w:r>
            <w:r>
              <w:rPr>
                <w:noProof/>
                <w:webHidden/>
              </w:rPr>
              <w:tab/>
            </w:r>
            <w:r>
              <w:rPr>
                <w:noProof/>
                <w:webHidden/>
              </w:rPr>
              <w:fldChar w:fldCharType="begin"/>
            </w:r>
            <w:r>
              <w:rPr>
                <w:noProof/>
                <w:webHidden/>
              </w:rPr>
              <w:instrText xml:space="preserve"> PAGEREF _Toc214320666 \h </w:instrText>
            </w:r>
            <w:r>
              <w:rPr>
                <w:noProof/>
                <w:webHidden/>
              </w:rPr>
            </w:r>
            <w:r>
              <w:rPr>
                <w:noProof/>
                <w:webHidden/>
              </w:rPr>
              <w:fldChar w:fldCharType="separate"/>
            </w:r>
            <w:r>
              <w:rPr>
                <w:noProof/>
                <w:webHidden/>
              </w:rPr>
              <w:t>11</w:t>
            </w:r>
            <w:r>
              <w:rPr>
                <w:noProof/>
                <w:webHidden/>
              </w:rPr>
              <w:fldChar w:fldCharType="end"/>
            </w:r>
          </w:hyperlink>
        </w:p>
        <w:p w14:paraId="10148B75" w14:textId="5AD851B3" w:rsidR="009257E6" w:rsidRDefault="009257E6">
          <w:pPr>
            <w:pStyle w:val="TOC2"/>
            <w:tabs>
              <w:tab w:val="right" w:leader="dot" w:pos="9016"/>
            </w:tabs>
            <w:rPr>
              <w:noProof/>
            </w:rPr>
          </w:pPr>
          <w:hyperlink w:anchor="_Toc214320667" w:history="1">
            <w:r w:rsidRPr="0008020B">
              <w:rPr>
                <w:rStyle w:val="Hyperlink"/>
                <w:noProof/>
                <w:lang w:eastAsia="en-IN"/>
              </w:rPr>
              <w:t>2.2.2 Threat Analysis and the Revisions of Standards.</w:t>
            </w:r>
            <w:r>
              <w:rPr>
                <w:noProof/>
                <w:webHidden/>
              </w:rPr>
              <w:tab/>
            </w:r>
            <w:r>
              <w:rPr>
                <w:noProof/>
                <w:webHidden/>
              </w:rPr>
              <w:fldChar w:fldCharType="begin"/>
            </w:r>
            <w:r>
              <w:rPr>
                <w:noProof/>
                <w:webHidden/>
              </w:rPr>
              <w:instrText xml:space="preserve"> PAGEREF _Toc214320667 \h </w:instrText>
            </w:r>
            <w:r>
              <w:rPr>
                <w:noProof/>
                <w:webHidden/>
              </w:rPr>
            </w:r>
            <w:r>
              <w:rPr>
                <w:noProof/>
                <w:webHidden/>
              </w:rPr>
              <w:fldChar w:fldCharType="separate"/>
            </w:r>
            <w:r>
              <w:rPr>
                <w:noProof/>
                <w:webHidden/>
              </w:rPr>
              <w:t>12</w:t>
            </w:r>
            <w:r>
              <w:rPr>
                <w:noProof/>
                <w:webHidden/>
              </w:rPr>
              <w:fldChar w:fldCharType="end"/>
            </w:r>
          </w:hyperlink>
        </w:p>
        <w:p w14:paraId="7F36B50F" w14:textId="535104FC" w:rsidR="009257E6" w:rsidRDefault="009257E6">
          <w:pPr>
            <w:pStyle w:val="TOC2"/>
            <w:tabs>
              <w:tab w:val="right" w:leader="dot" w:pos="9016"/>
            </w:tabs>
            <w:rPr>
              <w:noProof/>
            </w:rPr>
          </w:pPr>
          <w:hyperlink w:anchor="_Toc214320668" w:history="1">
            <w:r w:rsidRPr="0008020B">
              <w:rPr>
                <w:rStyle w:val="Hyperlink"/>
                <w:noProof/>
                <w:lang w:eastAsia="en-IN"/>
              </w:rPr>
              <w:t>2.2.3 Discussion on Benefits, Challenges and Implications to NG.</w:t>
            </w:r>
            <w:r>
              <w:rPr>
                <w:noProof/>
                <w:webHidden/>
              </w:rPr>
              <w:tab/>
            </w:r>
            <w:r>
              <w:rPr>
                <w:noProof/>
                <w:webHidden/>
              </w:rPr>
              <w:fldChar w:fldCharType="begin"/>
            </w:r>
            <w:r>
              <w:rPr>
                <w:noProof/>
                <w:webHidden/>
              </w:rPr>
              <w:instrText xml:space="preserve"> PAGEREF _Toc214320668 \h </w:instrText>
            </w:r>
            <w:r>
              <w:rPr>
                <w:noProof/>
                <w:webHidden/>
              </w:rPr>
            </w:r>
            <w:r>
              <w:rPr>
                <w:noProof/>
                <w:webHidden/>
              </w:rPr>
              <w:fldChar w:fldCharType="separate"/>
            </w:r>
            <w:r>
              <w:rPr>
                <w:noProof/>
                <w:webHidden/>
              </w:rPr>
              <w:t>13</w:t>
            </w:r>
            <w:r>
              <w:rPr>
                <w:noProof/>
                <w:webHidden/>
              </w:rPr>
              <w:fldChar w:fldCharType="end"/>
            </w:r>
          </w:hyperlink>
        </w:p>
        <w:p w14:paraId="70CCEB12" w14:textId="34C786DF" w:rsidR="009257E6" w:rsidRDefault="009257E6">
          <w:pPr>
            <w:pStyle w:val="TOC1"/>
            <w:tabs>
              <w:tab w:val="right" w:leader="dot" w:pos="9016"/>
            </w:tabs>
            <w:rPr>
              <w:noProof/>
            </w:rPr>
          </w:pPr>
          <w:hyperlink w:anchor="_Toc214320669" w:history="1">
            <w:r w:rsidRPr="0008020B">
              <w:rPr>
                <w:rStyle w:val="Hyperlink"/>
                <w:noProof/>
                <w:lang w:eastAsia="en-IN"/>
              </w:rPr>
              <w:t>Conclusion</w:t>
            </w:r>
            <w:r>
              <w:rPr>
                <w:noProof/>
                <w:webHidden/>
              </w:rPr>
              <w:tab/>
            </w:r>
            <w:r>
              <w:rPr>
                <w:noProof/>
                <w:webHidden/>
              </w:rPr>
              <w:fldChar w:fldCharType="begin"/>
            </w:r>
            <w:r>
              <w:rPr>
                <w:noProof/>
                <w:webHidden/>
              </w:rPr>
              <w:instrText xml:space="preserve"> PAGEREF _Toc214320669 \h </w:instrText>
            </w:r>
            <w:r>
              <w:rPr>
                <w:noProof/>
                <w:webHidden/>
              </w:rPr>
            </w:r>
            <w:r>
              <w:rPr>
                <w:noProof/>
                <w:webHidden/>
              </w:rPr>
              <w:fldChar w:fldCharType="separate"/>
            </w:r>
            <w:r>
              <w:rPr>
                <w:noProof/>
                <w:webHidden/>
              </w:rPr>
              <w:t>14</w:t>
            </w:r>
            <w:r>
              <w:rPr>
                <w:noProof/>
                <w:webHidden/>
              </w:rPr>
              <w:fldChar w:fldCharType="end"/>
            </w:r>
          </w:hyperlink>
        </w:p>
        <w:p w14:paraId="0062FDAA" w14:textId="1270BDF2" w:rsidR="009257E6" w:rsidRDefault="009257E6">
          <w:pPr>
            <w:pStyle w:val="TOC1"/>
            <w:tabs>
              <w:tab w:val="right" w:leader="dot" w:pos="9016"/>
            </w:tabs>
            <w:rPr>
              <w:noProof/>
            </w:rPr>
          </w:pPr>
          <w:hyperlink w:anchor="_Toc214320670" w:history="1">
            <w:r w:rsidRPr="0008020B">
              <w:rPr>
                <w:rStyle w:val="Hyperlink"/>
                <w:noProof/>
              </w:rPr>
              <w:t>References</w:t>
            </w:r>
            <w:r>
              <w:rPr>
                <w:noProof/>
                <w:webHidden/>
              </w:rPr>
              <w:tab/>
            </w:r>
            <w:r>
              <w:rPr>
                <w:noProof/>
                <w:webHidden/>
              </w:rPr>
              <w:fldChar w:fldCharType="begin"/>
            </w:r>
            <w:r>
              <w:rPr>
                <w:noProof/>
                <w:webHidden/>
              </w:rPr>
              <w:instrText xml:space="preserve"> PAGEREF _Toc214320670 \h </w:instrText>
            </w:r>
            <w:r>
              <w:rPr>
                <w:noProof/>
                <w:webHidden/>
              </w:rPr>
            </w:r>
            <w:r>
              <w:rPr>
                <w:noProof/>
                <w:webHidden/>
              </w:rPr>
              <w:fldChar w:fldCharType="separate"/>
            </w:r>
            <w:r>
              <w:rPr>
                <w:noProof/>
                <w:webHidden/>
              </w:rPr>
              <w:t>15</w:t>
            </w:r>
            <w:r>
              <w:rPr>
                <w:noProof/>
                <w:webHidden/>
              </w:rPr>
              <w:fldChar w:fldCharType="end"/>
            </w:r>
          </w:hyperlink>
        </w:p>
        <w:p w14:paraId="09EB3276" w14:textId="0A33B67F" w:rsidR="009257E6" w:rsidRDefault="009257E6">
          <w:r>
            <w:rPr>
              <w:b/>
              <w:bCs/>
              <w:noProof/>
            </w:rPr>
            <w:fldChar w:fldCharType="end"/>
          </w:r>
        </w:p>
      </w:sdtContent>
    </w:sdt>
    <w:p w14:paraId="4A0E1FCA" w14:textId="77777777" w:rsidR="00A64271" w:rsidRDefault="00A64271" w:rsidP="00A64271">
      <w:pPr>
        <w:rPr>
          <w:lang w:eastAsia="en-IN"/>
        </w:rPr>
      </w:pPr>
    </w:p>
    <w:p w14:paraId="3E2F6009" w14:textId="77777777" w:rsidR="00A64271" w:rsidRDefault="00A64271">
      <w:pPr>
        <w:spacing w:before="0" w:after="160" w:line="259" w:lineRule="auto"/>
        <w:jc w:val="left"/>
        <w:rPr>
          <w:lang w:eastAsia="en-IN"/>
        </w:rPr>
      </w:pPr>
      <w:r>
        <w:rPr>
          <w:lang w:eastAsia="en-IN"/>
        </w:rPr>
        <w:br w:type="page"/>
      </w:r>
    </w:p>
    <w:p w14:paraId="48B46573" w14:textId="09B6932A" w:rsidR="008519CF" w:rsidRDefault="00A64271" w:rsidP="00A64271">
      <w:pPr>
        <w:pStyle w:val="Heading1"/>
        <w:rPr>
          <w:lang w:eastAsia="en-IN"/>
        </w:rPr>
      </w:pPr>
      <w:bookmarkStart w:id="2" w:name="_Toc214320662"/>
      <w:r>
        <w:rPr>
          <w:lang w:eastAsia="en-IN"/>
        </w:rPr>
        <w:lastRenderedPageBreak/>
        <w:t xml:space="preserve">1. </w:t>
      </w:r>
      <w:r w:rsidR="008519CF" w:rsidRPr="008519CF">
        <w:rPr>
          <w:lang w:eastAsia="en-IN"/>
        </w:rPr>
        <w:t>Introduction</w:t>
      </w:r>
      <w:bookmarkEnd w:id="2"/>
      <w:r w:rsidR="008519CF" w:rsidRPr="008519CF">
        <w:rPr>
          <w:lang w:eastAsia="en-IN"/>
        </w:rPr>
        <w:t xml:space="preserve"> </w:t>
      </w:r>
    </w:p>
    <w:p w14:paraId="7125FFAE" w14:textId="2DAC5E5C" w:rsidR="00E83306" w:rsidRDefault="00575B73" w:rsidP="00575B73">
      <w:r w:rsidRPr="00575B73">
        <w:t>The exponential growth of operations with internet has led to the need of establishing of systematic data security, governance, and compliance structures in an urgent manner. This urgency is highlighted by the increasing economic cost of the cyber threats that are estimated to cost $10.5 trillion worldwide by the end of 2025 and potentially cost $15.63 trillion by 2029. The average cost of a data breach is also expected to increase to $4.44 million in 2025, which is a huge financial and reputational impact. These threats have the backing of sophisticated forms of ransomware, phishing frauds, and state-sponsored cyber espionage efforts. 72% of professionals surveyed report an increase in risks such as cyber-enabled fraud and social engineering in the past year</w:t>
      </w:r>
      <w:r w:rsidR="002D1A9F">
        <w:t xml:space="preserve"> </w:t>
      </w:r>
      <w:r w:rsidR="00772CB1">
        <w:t>[</w:t>
      </w:r>
      <w:r w:rsidR="002D1A9F">
        <w:t>1</w:t>
      </w:r>
      <w:r w:rsidR="00772CB1">
        <w:t>]</w:t>
      </w:r>
      <w:r w:rsidRPr="00575B73">
        <w:t>. The continually growing attack surface forces IT professionals to implement an optimal combination of skills, technologies, and strategies. Nature Green (NG), a successful healthy lifestyle product provider in the global market, is one of these companies. NG heavily relies on cloud services (e.g., AWS) to be able to scale at scale, but this comes with key security concerns, such as misconfigurations, unsecured APIs and a lack of visibility identified in multi-cloud deployments</w:t>
      </w:r>
      <w:r w:rsidR="002D1A9F">
        <w:t xml:space="preserve"> </w:t>
      </w:r>
      <w:r w:rsidR="00772CB1">
        <w:t>[</w:t>
      </w:r>
      <w:r w:rsidR="002D1A9F">
        <w:t>2</w:t>
      </w:r>
      <w:r w:rsidR="00772CB1">
        <w:t>]</w:t>
      </w:r>
      <w:r w:rsidRPr="00575B73">
        <w:t>. Furthermore, almost 95% of NG's infrastructure is wireless (Wi-Fi), which makes it more vulnerable to unauthorized access and eavesdropping, although new standards have been required, such as the WPA3</w:t>
      </w:r>
      <w:r w:rsidR="002D1A9F">
        <w:t xml:space="preserve"> [3]</w:t>
      </w:r>
      <w:r w:rsidRPr="00575B73">
        <w:t>.</w:t>
      </w:r>
    </w:p>
    <w:p w14:paraId="65450A1C" w14:textId="7764CD54" w:rsidR="00575B73" w:rsidRPr="00575B73" w:rsidRDefault="00575B73" w:rsidP="00575B73">
      <w:pPr>
        <w:rPr>
          <w:lang w:val="en-US"/>
        </w:rPr>
      </w:pPr>
      <w:r w:rsidRPr="00575B73">
        <w:rPr>
          <w:lang w:val="en-US"/>
        </w:rPr>
        <w:t> </w:t>
      </w:r>
    </w:p>
    <w:p w14:paraId="24A1BC66" w14:textId="54298BC0" w:rsidR="00575B73" w:rsidRPr="00575B73" w:rsidRDefault="00575B73" w:rsidP="00575B73">
      <w:pPr>
        <w:rPr>
          <w:lang w:val="en-US"/>
        </w:rPr>
      </w:pPr>
      <w:r w:rsidRPr="00575B73">
        <w:t xml:space="preserve">The recent adoption of a Bring Your Own Devices (BYOD) </w:t>
      </w:r>
      <w:proofErr w:type="gramStart"/>
      <w:r w:rsidRPr="00575B73">
        <w:t>policy  spurred</w:t>
      </w:r>
      <w:proofErr w:type="gramEnd"/>
      <w:r w:rsidRPr="00575B73">
        <w:t xml:space="preserve"> on by internal and external stakeholder demand - has added even more risks to personal data, client data, and billions of dollars of intellectual property. While 82% of companies implemented BYOD in 2025, 48% of organizations reported data breaches were associated with unsecured personal devices on average, and malware infections were common. In NG's case, this runs the risk of leakage of secret product formulas and analytics</w:t>
      </w:r>
      <w:r w:rsidR="00916E1F">
        <w:t xml:space="preserve"> [4]</w:t>
      </w:r>
      <w:r w:rsidRPr="00575B73">
        <w:t>. Critically, NG is currently characterised by a lack of structured security policies, which means that information security management is currently disorganised and based on ad-hoc decisions that cannot help to successfully manage this dual regulatory and IP burden in a systematic manner.</w:t>
      </w:r>
      <w:r w:rsidRPr="00575B73">
        <w:rPr>
          <w:lang w:val="en-US"/>
        </w:rPr>
        <w:t> </w:t>
      </w:r>
    </w:p>
    <w:p w14:paraId="6BC561EE" w14:textId="77777777" w:rsidR="00575B73" w:rsidRPr="00575B73" w:rsidRDefault="00575B73" w:rsidP="00575B73">
      <w:pPr>
        <w:rPr>
          <w:lang w:val="en-US"/>
        </w:rPr>
      </w:pPr>
      <w:r w:rsidRPr="00575B73">
        <w:t> </w:t>
      </w:r>
      <w:r w:rsidRPr="00575B73">
        <w:rPr>
          <w:lang w:val="en-US"/>
        </w:rPr>
        <w:t> </w:t>
      </w:r>
    </w:p>
    <w:p w14:paraId="0E4ACF3D" w14:textId="622F666E" w:rsidR="00575B73" w:rsidRPr="00575B73" w:rsidRDefault="00575B73" w:rsidP="00575B73">
      <w:pPr>
        <w:rPr>
          <w:lang w:val="en-US"/>
        </w:rPr>
      </w:pPr>
      <w:r w:rsidRPr="00575B73">
        <w:lastRenderedPageBreak/>
        <w:t>To resolve these issues and complete the assignment tasks, this report firstly conducts in</w:t>
      </w:r>
      <w:r w:rsidR="003F2877">
        <w:t xml:space="preserve"> </w:t>
      </w:r>
      <w:r w:rsidRPr="00575B73">
        <w:t>depth research on important frameworks</w:t>
      </w:r>
      <w:r w:rsidR="002423F9">
        <w:t xml:space="preserve"> </w:t>
      </w:r>
      <w:r w:rsidRPr="00575B73">
        <w:t>ISO 27000,</w:t>
      </w:r>
      <w:r w:rsidR="003F2877">
        <w:t xml:space="preserve"> NIST </w:t>
      </w:r>
      <w:r w:rsidRPr="00575B73">
        <w:t>Cybersecurity Framework, C</w:t>
      </w:r>
      <w:r w:rsidR="002423F9">
        <w:t>OBIT</w:t>
      </w:r>
      <w:r w:rsidRPr="00575B73">
        <w:t> and I</w:t>
      </w:r>
      <w:r w:rsidR="002423F9">
        <w:t>TIL</w:t>
      </w:r>
      <w:r w:rsidRPr="00575B73">
        <w:t> using diagrams and charts to illustrate their structure and application</w:t>
      </w:r>
      <w:r w:rsidR="00916E1F">
        <w:t xml:space="preserve"> [5]</w:t>
      </w:r>
      <w:r w:rsidRPr="00575B73">
        <w:t>. This knowledge is then used to build a custom-specified, systematic hybrid solution to meet the integrated security, governance, and compliance needs of NG presented in a tabular and diagrammatic way to maximize clarity and feasibility. This hybrid design makes effective use of COBIT for governance, Nist for risk and ISO 27001 controls for policy setting, targeting the multifaceted threats from cloud, wireless and BYOD</w:t>
      </w:r>
      <w:r w:rsidR="00916E1F">
        <w:t xml:space="preserve"> [6]</w:t>
      </w:r>
      <w:r w:rsidRPr="00575B73">
        <w:t>. Finally, the report analyses and discusses in a critical way the benefits of keeping regulations and standards constantly updated in relation to the evolving threat landscape. For the purpose of the analysis the following assumptions are made: NG is active in the European Union (EU) and the United States of America (US) (and hence is subject to GDPR and CCPA); the company has some 5000 employees worldwide and is serving more than 10 million customers per year</w:t>
      </w:r>
      <w:r w:rsidR="003F2877">
        <w:t>,</w:t>
      </w:r>
      <w:r w:rsidRPr="00575B73">
        <w:t xml:space="preserve"> all wireless networks are Wi-Fi-based, connecting with cloud providers such as AWS. Figure 1 gives an overview of Nature Green's IT Infrastructure and Key Risks.</w:t>
      </w:r>
      <w:r w:rsidRPr="00575B73">
        <w:rPr>
          <w:lang w:val="en-US"/>
        </w:rPr>
        <w:t> </w:t>
      </w:r>
    </w:p>
    <w:p w14:paraId="66FD20AA" w14:textId="77777777" w:rsidR="00575B73" w:rsidRPr="00575B73" w:rsidRDefault="00575B73" w:rsidP="00575B73">
      <w:pPr>
        <w:jc w:val="center"/>
        <w:rPr>
          <w:lang w:val="en-US"/>
        </w:rPr>
      </w:pPr>
      <w:r w:rsidRPr="00575B73">
        <w:rPr>
          <w:lang w:val="en-US"/>
        </w:rPr>
        <w:t> </w:t>
      </w:r>
    </w:p>
    <w:p w14:paraId="692BA600" w14:textId="484524DA" w:rsidR="00A64271" w:rsidRDefault="003F2877" w:rsidP="00A64271">
      <w:pPr>
        <w:jc w:val="center"/>
        <w:rPr>
          <w:lang w:eastAsia="en-IN"/>
        </w:rPr>
      </w:pPr>
      <w:r>
        <w:rPr>
          <w:noProof/>
        </w:rPr>
        <w:drawing>
          <wp:inline distT="0" distB="0" distL="0" distR="0" wp14:anchorId="1FA38CD3" wp14:editId="605E3505">
            <wp:extent cx="3209925" cy="1927860"/>
            <wp:effectExtent l="0" t="0" r="9525" b="0"/>
            <wp:docPr id="20416705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70528" name="Picture 3"/>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9925" cy="1927860"/>
                    </a:xfrm>
                    <a:prstGeom prst="rect">
                      <a:avLst/>
                    </a:prstGeom>
                    <a:noFill/>
                  </pic:spPr>
                </pic:pic>
              </a:graphicData>
            </a:graphic>
          </wp:inline>
        </w:drawing>
      </w:r>
    </w:p>
    <w:p w14:paraId="72FFBAE8" w14:textId="3D6A2CC6" w:rsidR="00C979AD" w:rsidRDefault="00C979AD" w:rsidP="00A64271">
      <w:pPr>
        <w:jc w:val="center"/>
        <w:rPr>
          <w:lang w:eastAsia="en-IN"/>
        </w:rPr>
      </w:pPr>
      <w:r w:rsidRPr="00EB0FBD">
        <w:rPr>
          <w:bCs/>
          <w:lang w:eastAsia="en-IN"/>
        </w:rPr>
        <w:t>Figure 1</w:t>
      </w:r>
      <w:r w:rsidR="00EB0FBD">
        <w:rPr>
          <w:lang w:eastAsia="en-IN"/>
        </w:rPr>
        <w:t>:</w:t>
      </w:r>
      <w:r>
        <w:rPr>
          <w:lang w:eastAsia="en-IN"/>
        </w:rPr>
        <w:t xml:space="preserve"> </w:t>
      </w:r>
      <w:r w:rsidRPr="00C979AD">
        <w:rPr>
          <w:lang w:eastAsia="en-IN"/>
        </w:rPr>
        <w:t>Overview of Nature</w:t>
      </w:r>
      <w:r w:rsidR="00575B73">
        <w:rPr>
          <w:lang w:eastAsia="en-IN"/>
        </w:rPr>
        <w:t xml:space="preserve"> </w:t>
      </w:r>
      <w:r w:rsidRPr="00C979AD">
        <w:rPr>
          <w:lang w:eastAsia="en-IN"/>
        </w:rPr>
        <w:t>Green's IT Infrastructure and Key Risks</w:t>
      </w:r>
    </w:p>
    <w:p w14:paraId="393308BB" w14:textId="77777777" w:rsidR="00916E1F" w:rsidRPr="00C979AD" w:rsidRDefault="00916E1F" w:rsidP="00A64271">
      <w:pPr>
        <w:jc w:val="center"/>
        <w:rPr>
          <w:lang w:eastAsia="en-IN"/>
        </w:rPr>
      </w:pPr>
    </w:p>
    <w:p w14:paraId="4B6060E8" w14:textId="56A5D591" w:rsidR="00575B73" w:rsidRPr="00575B73" w:rsidRDefault="00575B73" w:rsidP="00E83306">
      <w:pPr>
        <w:rPr>
          <w:lang w:val="en-US"/>
        </w:rPr>
      </w:pPr>
      <w:r w:rsidRPr="00575B73">
        <w:t>To ensure scholarly rigor and keep capacity to keep abreast of the cutting edge of the academic discipline, this report is informed by an extensive selection of credible, peer-reviewed sources. These include primary research from the Said international journals of the Institute of Electrical and Electronic Engineers and the American Computer and Mathematical Society (ACM), as well as official texts on cybersecurity governance and authoritative industry documentation</w:t>
      </w:r>
      <w:r w:rsidR="002423F9">
        <w:t>.</w:t>
      </w:r>
      <w:r w:rsidRPr="00575B73">
        <w:t xml:space="preserve"> This extensive methodology not only covers the </w:t>
      </w:r>
      <w:r w:rsidRPr="00575B73">
        <w:lastRenderedPageBreak/>
        <w:t>learning outcomes</w:t>
      </w:r>
      <w:r w:rsidR="003F2877">
        <w:t xml:space="preserve"> </w:t>
      </w:r>
      <w:r w:rsidRPr="00575B73">
        <w:t xml:space="preserve">learning goals of this </w:t>
      </w:r>
      <w:proofErr w:type="gramStart"/>
      <w:r w:rsidRPr="00575B73">
        <w:t>module  by</w:t>
      </w:r>
      <w:proofErr w:type="gramEnd"/>
      <w:r w:rsidRPr="00575B73">
        <w:t xml:space="preserve"> providing a systematic insight into the development of data security and the functionality of applying principles to secure IT environments but also provides practical justifiable recommendations for NG to mitigate complex risks and ensure a sustainable growth in a digitalised global environment</w:t>
      </w:r>
      <w:r w:rsidR="00916E1F">
        <w:t xml:space="preserve"> [7]</w:t>
      </w:r>
      <w:r w:rsidRPr="00575B73">
        <w:t>. The choice of frameworks, especially NIST, is strategic for NG's risk management with its high adoption rate as evidence in Figure 2.</w:t>
      </w:r>
      <w:r w:rsidRPr="00575B73">
        <w:rPr>
          <w:lang w:val="en-US"/>
        </w:rPr>
        <w:t> </w:t>
      </w:r>
    </w:p>
    <w:p w14:paraId="4B727594" w14:textId="77777777" w:rsidR="00575B73" w:rsidRPr="00575B73" w:rsidRDefault="00575B73" w:rsidP="00575B73">
      <w:pPr>
        <w:jc w:val="center"/>
        <w:rPr>
          <w:lang w:val="en-US"/>
        </w:rPr>
      </w:pPr>
      <w:r w:rsidRPr="00575B73">
        <w:rPr>
          <w:lang w:val="en-US"/>
        </w:rPr>
        <w:t> </w:t>
      </w:r>
    </w:p>
    <w:p w14:paraId="61349367" w14:textId="488F7B13" w:rsidR="00A64271" w:rsidRDefault="00A64271" w:rsidP="00A64271">
      <w:pPr>
        <w:jc w:val="center"/>
        <w:rPr>
          <w:lang w:eastAsia="en-IN"/>
        </w:rPr>
      </w:pPr>
      <w:r>
        <w:rPr>
          <w:noProof/>
          <w:lang w:eastAsia="en-IN"/>
        </w:rPr>
        <w:drawing>
          <wp:inline distT="0" distB="0" distL="0" distR="0" wp14:anchorId="7FA42EBC" wp14:editId="48ACCD4F">
            <wp:extent cx="3425748" cy="2573216"/>
            <wp:effectExtent l="0" t="0" r="3810" b="0"/>
            <wp:docPr id="7555756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56872" cy="2596595"/>
                    </a:xfrm>
                    <a:prstGeom prst="rect">
                      <a:avLst/>
                    </a:prstGeom>
                    <a:noFill/>
                  </pic:spPr>
                </pic:pic>
              </a:graphicData>
            </a:graphic>
          </wp:inline>
        </w:drawing>
      </w:r>
    </w:p>
    <w:p w14:paraId="7A6EBADA" w14:textId="32FEF238" w:rsidR="00842562" w:rsidRPr="00A64271" w:rsidRDefault="00B57410" w:rsidP="00A64271">
      <w:pPr>
        <w:jc w:val="center"/>
        <w:rPr>
          <w:lang w:eastAsia="en-IN"/>
        </w:rPr>
      </w:pPr>
      <w:bookmarkStart w:id="3" w:name="_Hlk214309138"/>
      <w:r w:rsidRPr="00EB0FBD">
        <w:rPr>
          <w:bCs/>
          <w:lang w:eastAsia="en-IN"/>
        </w:rPr>
        <w:t xml:space="preserve">Figure </w:t>
      </w:r>
      <w:r w:rsidR="00EB0FBD" w:rsidRPr="00EB0FBD">
        <w:rPr>
          <w:bCs/>
          <w:lang w:eastAsia="en-IN"/>
        </w:rPr>
        <w:t>2</w:t>
      </w:r>
      <w:r w:rsidR="00EB0FBD">
        <w:rPr>
          <w:b/>
          <w:lang w:eastAsia="en-IN"/>
        </w:rPr>
        <w:t>:</w:t>
      </w:r>
      <w:r>
        <w:rPr>
          <w:lang w:eastAsia="en-IN"/>
        </w:rPr>
        <w:t xml:space="preserve"> </w:t>
      </w:r>
      <w:r w:rsidRPr="00B57410">
        <w:rPr>
          <w:lang w:eastAsia="en-IN"/>
        </w:rPr>
        <w:t>Data approximated from 2025 ISO Surveys and NIST Reports. Adoption varies by industry</w:t>
      </w:r>
    </w:p>
    <w:p w14:paraId="05033FCD" w14:textId="1EF8B1F4" w:rsidR="008519CF" w:rsidRDefault="00A64271" w:rsidP="00A64271">
      <w:pPr>
        <w:pStyle w:val="Heading1"/>
        <w:rPr>
          <w:lang w:eastAsia="en-IN"/>
        </w:rPr>
      </w:pPr>
      <w:bookmarkStart w:id="4" w:name="_Toc214320663"/>
      <w:bookmarkEnd w:id="3"/>
      <w:r>
        <w:rPr>
          <w:lang w:eastAsia="en-IN"/>
        </w:rPr>
        <w:t xml:space="preserve">2. </w:t>
      </w:r>
      <w:r w:rsidR="008519CF" w:rsidRPr="008519CF">
        <w:rPr>
          <w:lang w:eastAsia="en-IN"/>
        </w:rPr>
        <w:t>Research into Security Frameworks and Models</w:t>
      </w:r>
      <w:bookmarkEnd w:id="4"/>
      <w:r w:rsidR="008519CF" w:rsidRPr="008519CF">
        <w:rPr>
          <w:lang w:eastAsia="en-IN"/>
        </w:rPr>
        <w:t xml:space="preserve"> </w:t>
      </w:r>
    </w:p>
    <w:p w14:paraId="4FCB2AB3" w14:textId="5B151563" w:rsidR="00575B73" w:rsidRPr="00575B73" w:rsidRDefault="00575B73" w:rsidP="00575B73">
      <w:pPr>
        <w:rPr>
          <w:lang w:val="en-US"/>
        </w:rPr>
      </w:pPr>
      <w:r w:rsidRPr="00575B73">
        <w:t>In the effort to deal with the issues of NG, it is necessary to do research on established security frameworks. These provide the option of using the structured information security, governance, and compliance methodologies. Some of the key frameworks evaluated include the international organisation of standardisation (ISO) 27000 series, National Institute of standards and technology (Nist) cybersecurity framework, control objectives in information and related technology (C</w:t>
      </w:r>
      <w:r w:rsidR="002423F9">
        <w:t>OBIT</w:t>
      </w:r>
      <w:r w:rsidRPr="00575B73">
        <w:t>) and information technology infrastructure library (IT</w:t>
      </w:r>
      <w:r w:rsidR="002423F9">
        <w:t>IL</w:t>
      </w:r>
      <w:r w:rsidRPr="00575B73">
        <w:t>). They were chosen according to the applicability to security of data in clouds, wireless as well as BYOD.</w:t>
      </w:r>
      <w:r w:rsidRPr="00575B73">
        <w:rPr>
          <w:lang w:val="en-US"/>
        </w:rPr>
        <w:t> </w:t>
      </w:r>
    </w:p>
    <w:p w14:paraId="4031EAF8" w14:textId="77777777" w:rsidR="00575B73" w:rsidRPr="00575B73" w:rsidRDefault="00575B73" w:rsidP="00575B73">
      <w:pPr>
        <w:rPr>
          <w:lang w:val="en-US"/>
        </w:rPr>
      </w:pPr>
      <w:r w:rsidRPr="00575B73">
        <w:t> </w:t>
      </w:r>
      <w:r w:rsidRPr="00575B73">
        <w:rPr>
          <w:lang w:val="en-US"/>
        </w:rPr>
        <w:t> </w:t>
      </w:r>
    </w:p>
    <w:p w14:paraId="5610130B" w14:textId="3F9650F4" w:rsidR="00575B73" w:rsidRPr="00575B73" w:rsidRDefault="00575B73" w:rsidP="00575B73">
      <w:pPr>
        <w:rPr>
          <w:lang w:val="en-US"/>
        </w:rPr>
      </w:pPr>
      <w:r w:rsidRPr="00575B73">
        <w:t>ISO 27001 standard contains the requirements of an Information Security Management System (ISMS) with the emphasis on risk assessment, security controls, and the perpetual improvement</w:t>
      </w:r>
      <w:r w:rsidR="00916E1F">
        <w:t xml:space="preserve"> [8]</w:t>
      </w:r>
      <w:r w:rsidRPr="00575B73">
        <w:t xml:space="preserve">. It is complemented by ISO 27002 which gives </w:t>
      </w:r>
      <w:r w:rsidRPr="00575B73">
        <w:lastRenderedPageBreak/>
        <w:t>guidelines of implementation on such controls as access management and encryption. The adoption of the ISO 27001 is very high in the world with more than 60,000 certifications in the world that focuses more on the processual approach to security.</w:t>
      </w:r>
      <w:r w:rsidRPr="00575B73">
        <w:rPr>
          <w:lang w:val="en-US"/>
        </w:rPr>
        <w:t> </w:t>
      </w:r>
    </w:p>
    <w:p w14:paraId="41B77CDD" w14:textId="77777777" w:rsidR="00575B73" w:rsidRPr="00575B73" w:rsidRDefault="00575B73" w:rsidP="00575B73">
      <w:pPr>
        <w:rPr>
          <w:lang w:val="en-US"/>
        </w:rPr>
      </w:pPr>
      <w:r w:rsidRPr="00575B73">
        <w:t> </w:t>
      </w:r>
      <w:r w:rsidRPr="00575B73">
        <w:rPr>
          <w:lang w:val="en-US"/>
        </w:rPr>
        <w:t> </w:t>
      </w:r>
    </w:p>
    <w:p w14:paraId="373E0B65" w14:textId="12C91AD8" w:rsidR="00575B73" w:rsidRPr="00575B73" w:rsidRDefault="00575B73" w:rsidP="00575B73">
      <w:pPr>
        <w:rPr>
          <w:lang w:val="en-US"/>
        </w:rPr>
      </w:pPr>
      <w:r w:rsidRPr="00575B73">
        <w:t>The NIST Cybersecurity Framework (CSF) is a free model that was created by the American government and consists of the 5 basic functions, namely: Identify, Protect, Detect, Respond, and Recover</w:t>
      </w:r>
      <w:r w:rsidR="00916E1F">
        <w:t xml:space="preserve"> [9]</w:t>
      </w:r>
      <w:r w:rsidRPr="00575B73">
        <w:t>. It is also quite handy in handling the risks in the dynamic environments like the wireless and cloud systems of NG. NIST SP 800-53 represents specific security controls which have been used frequently with CSF to be compliant.</w:t>
      </w:r>
      <w:r w:rsidRPr="00575B73">
        <w:rPr>
          <w:lang w:val="en-US"/>
        </w:rPr>
        <w:t> </w:t>
      </w:r>
    </w:p>
    <w:p w14:paraId="6247E4C0" w14:textId="77777777" w:rsidR="00575B73" w:rsidRPr="00575B73" w:rsidRDefault="00575B73" w:rsidP="00575B73">
      <w:pPr>
        <w:rPr>
          <w:lang w:val="en-US"/>
        </w:rPr>
      </w:pPr>
      <w:r w:rsidRPr="00575B73">
        <w:t> </w:t>
      </w:r>
      <w:r w:rsidRPr="00575B73">
        <w:rPr>
          <w:lang w:val="en-US"/>
        </w:rPr>
        <w:t> </w:t>
      </w:r>
    </w:p>
    <w:p w14:paraId="7B1F8964" w14:textId="69BB112F" w:rsidR="00575B73" w:rsidRPr="00575B73" w:rsidRDefault="00575B73" w:rsidP="00575B73">
      <w:pPr>
        <w:rPr>
          <w:lang w:val="en-US"/>
        </w:rPr>
      </w:pPr>
      <w:r w:rsidRPr="00575B73">
        <w:t>ISACA has created COBIT, which is oriented on the IT governance, which is aimed at correlating IT to the business goals, through such processes as risk optimisation and resource management</w:t>
      </w:r>
      <w:r w:rsidR="00B2380B">
        <w:t xml:space="preserve"> [10]</w:t>
      </w:r>
      <w:r w:rsidRPr="00575B73">
        <w:t>. It has 40 governance and management objectives, which makes it perfect in the strategic planning in the organisation with a vast online presence.</w:t>
      </w:r>
      <w:r w:rsidRPr="00575B73">
        <w:rPr>
          <w:lang w:val="en-US"/>
        </w:rPr>
        <w:t> </w:t>
      </w:r>
    </w:p>
    <w:p w14:paraId="03E6B3E6" w14:textId="77777777" w:rsidR="00575B73" w:rsidRPr="00575B73" w:rsidRDefault="00575B73" w:rsidP="00575B73">
      <w:pPr>
        <w:rPr>
          <w:lang w:val="en-US"/>
        </w:rPr>
      </w:pPr>
      <w:r w:rsidRPr="00575B73">
        <w:t> </w:t>
      </w:r>
      <w:r w:rsidRPr="00575B73">
        <w:rPr>
          <w:lang w:val="en-US"/>
        </w:rPr>
        <w:t> </w:t>
      </w:r>
    </w:p>
    <w:p w14:paraId="449027B1" w14:textId="77777777" w:rsidR="00575B73" w:rsidRPr="00575B73" w:rsidRDefault="00575B73" w:rsidP="00575B73">
      <w:pPr>
        <w:rPr>
          <w:lang w:val="en-US"/>
        </w:rPr>
      </w:pPr>
      <w:r w:rsidRPr="00575B73">
        <w:t>ITIL focuses on IT service management, incident management practices, change control practices and service level agreements (SLAs). Although this is not a security framework per se, when combined with security models, works to increase compliance in service delivery. Figure 2 shows NIST Cybersecurity Framework Core Functions. Additional models are the Centre for Internet Security (CIS) Controls which provide 18 prioritised actions to take in guaranteeing cybersecurity and PCI DSS to ensure payment data security, which is relevant in case NG deals with online transactions.</w:t>
      </w:r>
      <w:r w:rsidRPr="00575B73">
        <w:rPr>
          <w:lang w:val="en-US"/>
        </w:rPr>
        <w:t> </w:t>
      </w:r>
    </w:p>
    <w:p w14:paraId="694F806C" w14:textId="77777777" w:rsidR="00575B73" w:rsidRPr="00575B73" w:rsidRDefault="00575B73" w:rsidP="00575B73">
      <w:pPr>
        <w:rPr>
          <w:lang w:val="en-US"/>
        </w:rPr>
      </w:pPr>
      <w:r w:rsidRPr="00575B73">
        <w:t> </w:t>
      </w:r>
      <w:r w:rsidRPr="00575B73">
        <w:rPr>
          <w:lang w:val="en-US"/>
        </w:rPr>
        <w:t> </w:t>
      </w:r>
    </w:p>
    <w:p w14:paraId="29FEA83F" w14:textId="77777777" w:rsidR="00575B73" w:rsidRPr="00575B73" w:rsidRDefault="00575B73" w:rsidP="00575B73">
      <w:pPr>
        <w:rPr>
          <w:lang w:val="en-US"/>
        </w:rPr>
      </w:pPr>
      <w:r w:rsidRPr="00575B73">
        <w:t xml:space="preserve">The four frameworks chosen to provide relevant and complementary methodologies to NG's complex environment. While NIST CSF is widely followed and helps to get the flexible core functions (Identify, Protect, Detect, Respond, Recover) required for managing the dynamic risks within NG's wireless and cloud systems, the ISO 27001 standard is indispensable. Its certifiable, processual approach and recognition worldwide are key to the development of the trust of stakeholders on several </w:t>
      </w:r>
      <w:r w:rsidRPr="00575B73">
        <w:lastRenderedPageBreak/>
        <w:t>continents and the guarantee of compliance with strict international regulations such as GDPR. Furthermore, the COBIT framework is essential to NG's high-level Governance and Strategic Planning as the focus on risk optimization ensures that security investments are directly correlated with the business goal of protecting billions in IP. Finally, although not specific to security, the focus of ITIL on Service Management will be incorporated to ensure that the security measures designed using ISO and NIST are operationally effective and standardizing incident management and improving continuous compliance.</w:t>
      </w:r>
      <w:r w:rsidRPr="00575B73">
        <w:rPr>
          <w:lang w:val="en-US"/>
        </w:rPr>
        <w:t> </w:t>
      </w:r>
    </w:p>
    <w:p w14:paraId="298939C7" w14:textId="77777777" w:rsidR="00575B73" w:rsidRPr="00575B73" w:rsidRDefault="00575B73" w:rsidP="00575B73">
      <w:pPr>
        <w:rPr>
          <w:lang w:val="en-US"/>
        </w:rPr>
      </w:pPr>
      <w:r w:rsidRPr="00575B73">
        <w:rPr>
          <w:lang w:val="en-US"/>
        </w:rPr>
        <w:t> </w:t>
      </w:r>
    </w:p>
    <w:tbl>
      <w:tblPr>
        <w:tblStyle w:val="TableGrid"/>
        <w:tblW w:w="9385" w:type="dxa"/>
        <w:tblLook w:val="04A0" w:firstRow="1" w:lastRow="0" w:firstColumn="1" w:lastColumn="0" w:noHBand="0" w:noVBand="1"/>
      </w:tblPr>
      <w:tblGrid>
        <w:gridCol w:w="1525"/>
        <w:gridCol w:w="1800"/>
        <w:gridCol w:w="2306"/>
        <w:gridCol w:w="1877"/>
        <w:gridCol w:w="1877"/>
      </w:tblGrid>
      <w:tr w:rsidR="008519CF" w:rsidRPr="00A64271" w14:paraId="71B848BF" w14:textId="77777777" w:rsidTr="00A64271">
        <w:trPr>
          <w:trHeight w:val="373"/>
        </w:trPr>
        <w:tc>
          <w:tcPr>
            <w:tcW w:w="1525" w:type="dxa"/>
            <w:vAlign w:val="center"/>
          </w:tcPr>
          <w:p w14:paraId="29310E78" w14:textId="77777777" w:rsidR="008519CF" w:rsidRPr="00A64271" w:rsidRDefault="008519CF" w:rsidP="00A64271">
            <w:pPr>
              <w:spacing w:before="120" w:after="120" w:line="276" w:lineRule="auto"/>
              <w:jc w:val="left"/>
              <w:rPr>
                <w:rFonts w:eastAsia="Times New Roman" w:cs="Arial"/>
                <w:b/>
                <w:bCs/>
                <w:szCs w:val="24"/>
                <w:lang w:eastAsia="en-IN"/>
              </w:rPr>
            </w:pPr>
            <w:bookmarkStart w:id="5" w:name="_Hlk214309190"/>
            <w:r w:rsidRPr="00A64271">
              <w:rPr>
                <w:rFonts w:eastAsia="Times New Roman" w:cs="Arial"/>
                <w:b/>
                <w:bCs/>
                <w:szCs w:val="24"/>
                <w:lang w:eastAsia="en-IN"/>
              </w:rPr>
              <w:t>Framework</w:t>
            </w:r>
          </w:p>
        </w:tc>
        <w:tc>
          <w:tcPr>
            <w:tcW w:w="1800" w:type="dxa"/>
            <w:vAlign w:val="center"/>
          </w:tcPr>
          <w:p w14:paraId="5A04D806" w14:textId="77777777" w:rsidR="008519CF" w:rsidRPr="00A64271" w:rsidRDefault="008519CF" w:rsidP="00A64271">
            <w:pPr>
              <w:spacing w:before="120" w:after="120" w:line="276" w:lineRule="auto"/>
              <w:jc w:val="left"/>
              <w:rPr>
                <w:rFonts w:eastAsia="Times New Roman" w:cs="Arial"/>
                <w:b/>
                <w:bCs/>
                <w:szCs w:val="24"/>
                <w:lang w:eastAsia="en-IN"/>
              </w:rPr>
            </w:pPr>
            <w:r w:rsidRPr="00A64271">
              <w:rPr>
                <w:rFonts w:eastAsia="Times New Roman" w:cs="Arial"/>
                <w:b/>
                <w:bCs/>
                <w:szCs w:val="24"/>
                <w:lang w:eastAsia="en-IN"/>
              </w:rPr>
              <w:t>Focus Area</w:t>
            </w:r>
          </w:p>
        </w:tc>
        <w:tc>
          <w:tcPr>
            <w:tcW w:w="2306" w:type="dxa"/>
            <w:vAlign w:val="center"/>
          </w:tcPr>
          <w:p w14:paraId="06E0547F" w14:textId="77777777" w:rsidR="008519CF" w:rsidRPr="00A64271" w:rsidRDefault="008519CF" w:rsidP="00A64271">
            <w:pPr>
              <w:spacing w:before="120" w:after="120" w:line="276" w:lineRule="auto"/>
              <w:jc w:val="left"/>
              <w:rPr>
                <w:rFonts w:eastAsia="Times New Roman" w:cs="Arial"/>
                <w:b/>
                <w:bCs/>
                <w:szCs w:val="24"/>
                <w:lang w:eastAsia="en-IN"/>
              </w:rPr>
            </w:pPr>
            <w:r w:rsidRPr="00A64271">
              <w:rPr>
                <w:rFonts w:eastAsia="Times New Roman" w:cs="Arial"/>
                <w:b/>
                <w:bCs/>
                <w:szCs w:val="24"/>
                <w:lang w:eastAsia="en-IN"/>
              </w:rPr>
              <w:t>Key Components</w:t>
            </w:r>
          </w:p>
        </w:tc>
        <w:tc>
          <w:tcPr>
            <w:tcW w:w="1877" w:type="dxa"/>
            <w:vAlign w:val="center"/>
          </w:tcPr>
          <w:p w14:paraId="67163858" w14:textId="77777777" w:rsidR="008519CF" w:rsidRPr="00A64271" w:rsidRDefault="008519CF" w:rsidP="00A64271">
            <w:pPr>
              <w:spacing w:before="120" w:after="120" w:line="276" w:lineRule="auto"/>
              <w:jc w:val="left"/>
              <w:rPr>
                <w:rFonts w:eastAsia="Times New Roman" w:cs="Arial"/>
                <w:b/>
                <w:bCs/>
                <w:szCs w:val="24"/>
                <w:lang w:eastAsia="en-IN"/>
              </w:rPr>
            </w:pPr>
            <w:r w:rsidRPr="00A64271">
              <w:rPr>
                <w:rFonts w:eastAsia="Times New Roman" w:cs="Arial"/>
                <w:b/>
                <w:bCs/>
                <w:szCs w:val="24"/>
                <w:lang w:eastAsia="en-IN"/>
              </w:rPr>
              <w:t>Strengths</w:t>
            </w:r>
          </w:p>
        </w:tc>
        <w:tc>
          <w:tcPr>
            <w:tcW w:w="1877" w:type="dxa"/>
            <w:vAlign w:val="center"/>
          </w:tcPr>
          <w:p w14:paraId="5A7C6840" w14:textId="77777777" w:rsidR="008519CF" w:rsidRPr="00A64271" w:rsidRDefault="008519CF" w:rsidP="00A64271">
            <w:pPr>
              <w:spacing w:before="120" w:after="120" w:line="276" w:lineRule="auto"/>
              <w:jc w:val="left"/>
              <w:rPr>
                <w:rFonts w:eastAsia="Times New Roman" w:cs="Arial"/>
                <w:b/>
                <w:bCs/>
                <w:szCs w:val="24"/>
                <w:lang w:eastAsia="en-IN"/>
              </w:rPr>
            </w:pPr>
            <w:r w:rsidRPr="00A64271">
              <w:rPr>
                <w:rFonts w:eastAsia="Times New Roman" w:cs="Arial"/>
                <w:b/>
                <w:bCs/>
                <w:szCs w:val="24"/>
                <w:lang w:eastAsia="en-IN"/>
              </w:rPr>
              <w:t>Limitations</w:t>
            </w:r>
          </w:p>
        </w:tc>
      </w:tr>
      <w:tr w:rsidR="008519CF" w:rsidRPr="00A64271" w14:paraId="74B80324" w14:textId="77777777" w:rsidTr="00A64271">
        <w:trPr>
          <w:trHeight w:val="560"/>
        </w:trPr>
        <w:tc>
          <w:tcPr>
            <w:tcW w:w="1525" w:type="dxa"/>
            <w:vAlign w:val="center"/>
          </w:tcPr>
          <w:p w14:paraId="45CBBE00"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ISO 27001</w:t>
            </w:r>
          </w:p>
        </w:tc>
        <w:tc>
          <w:tcPr>
            <w:tcW w:w="1800" w:type="dxa"/>
            <w:vAlign w:val="center"/>
          </w:tcPr>
          <w:p w14:paraId="3444CE28"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ISMS Establishment</w:t>
            </w:r>
          </w:p>
        </w:tc>
        <w:tc>
          <w:tcPr>
            <w:tcW w:w="2306" w:type="dxa"/>
            <w:vAlign w:val="center"/>
          </w:tcPr>
          <w:p w14:paraId="4EA5AB4C"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Risk treatment, controls (Annex A)</w:t>
            </w:r>
          </w:p>
        </w:tc>
        <w:tc>
          <w:tcPr>
            <w:tcW w:w="1877" w:type="dxa"/>
            <w:vAlign w:val="center"/>
          </w:tcPr>
          <w:p w14:paraId="44A9697C"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Certifiable, global standard</w:t>
            </w:r>
          </w:p>
        </w:tc>
        <w:tc>
          <w:tcPr>
            <w:tcW w:w="1877" w:type="dxa"/>
            <w:vAlign w:val="center"/>
          </w:tcPr>
          <w:p w14:paraId="3240A2F3"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Resource-intensive certification</w:t>
            </w:r>
          </w:p>
        </w:tc>
      </w:tr>
      <w:tr w:rsidR="008519CF" w:rsidRPr="00A64271" w14:paraId="2FEFD04F" w14:textId="77777777" w:rsidTr="00A64271">
        <w:trPr>
          <w:trHeight w:val="739"/>
        </w:trPr>
        <w:tc>
          <w:tcPr>
            <w:tcW w:w="1525" w:type="dxa"/>
            <w:vAlign w:val="center"/>
          </w:tcPr>
          <w:p w14:paraId="525D6520"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NIST CSF</w:t>
            </w:r>
          </w:p>
        </w:tc>
        <w:tc>
          <w:tcPr>
            <w:tcW w:w="1800" w:type="dxa"/>
            <w:vAlign w:val="center"/>
          </w:tcPr>
          <w:p w14:paraId="63FD6FF0"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Cybersecurity Risk Management</w:t>
            </w:r>
          </w:p>
        </w:tc>
        <w:tc>
          <w:tcPr>
            <w:tcW w:w="2306" w:type="dxa"/>
            <w:vAlign w:val="center"/>
          </w:tcPr>
          <w:p w14:paraId="0CBC38EF"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Identify, Protect, Detect, Respond, Recover</w:t>
            </w:r>
          </w:p>
        </w:tc>
        <w:tc>
          <w:tcPr>
            <w:tcW w:w="1877" w:type="dxa"/>
            <w:vAlign w:val="center"/>
          </w:tcPr>
          <w:p w14:paraId="2BE0EE22"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Flexible, scalable</w:t>
            </w:r>
          </w:p>
        </w:tc>
        <w:tc>
          <w:tcPr>
            <w:tcW w:w="1877" w:type="dxa"/>
            <w:vAlign w:val="center"/>
          </w:tcPr>
          <w:p w14:paraId="6F1C68DD"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Voluntary, less prescriptive</w:t>
            </w:r>
          </w:p>
        </w:tc>
      </w:tr>
      <w:tr w:rsidR="008519CF" w:rsidRPr="00A64271" w14:paraId="07259989" w14:textId="77777777" w:rsidTr="00A64271">
        <w:trPr>
          <w:trHeight w:val="560"/>
        </w:trPr>
        <w:tc>
          <w:tcPr>
            <w:tcW w:w="1525" w:type="dxa"/>
            <w:vAlign w:val="center"/>
          </w:tcPr>
          <w:p w14:paraId="1E174171"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COBIT</w:t>
            </w:r>
          </w:p>
        </w:tc>
        <w:tc>
          <w:tcPr>
            <w:tcW w:w="1800" w:type="dxa"/>
            <w:vAlign w:val="center"/>
          </w:tcPr>
          <w:p w14:paraId="7D363E40"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IT Governance</w:t>
            </w:r>
          </w:p>
        </w:tc>
        <w:tc>
          <w:tcPr>
            <w:tcW w:w="2306" w:type="dxa"/>
            <w:vAlign w:val="center"/>
          </w:tcPr>
          <w:p w14:paraId="24FF11EA"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Governance objectives, enablers</w:t>
            </w:r>
          </w:p>
        </w:tc>
        <w:tc>
          <w:tcPr>
            <w:tcW w:w="1877" w:type="dxa"/>
            <w:vAlign w:val="center"/>
          </w:tcPr>
          <w:p w14:paraId="685F10CD"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Aligns IT with business</w:t>
            </w:r>
          </w:p>
        </w:tc>
        <w:tc>
          <w:tcPr>
            <w:tcW w:w="1877" w:type="dxa"/>
            <w:vAlign w:val="center"/>
          </w:tcPr>
          <w:p w14:paraId="22147DAA"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Complex for small teams</w:t>
            </w:r>
          </w:p>
        </w:tc>
      </w:tr>
      <w:tr w:rsidR="008519CF" w:rsidRPr="00A64271" w14:paraId="6D4C7AE6" w14:textId="77777777" w:rsidTr="00A64271">
        <w:trPr>
          <w:trHeight w:val="747"/>
        </w:trPr>
        <w:tc>
          <w:tcPr>
            <w:tcW w:w="1525" w:type="dxa"/>
            <w:vAlign w:val="center"/>
          </w:tcPr>
          <w:p w14:paraId="487FC7C7"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ITIL</w:t>
            </w:r>
          </w:p>
        </w:tc>
        <w:tc>
          <w:tcPr>
            <w:tcW w:w="1800" w:type="dxa"/>
            <w:vAlign w:val="center"/>
          </w:tcPr>
          <w:p w14:paraId="6920012C"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Service Management</w:t>
            </w:r>
          </w:p>
        </w:tc>
        <w:tc>
          <w:tcPr>
            <w:tcW w:w="2306" w:type="dxa"/>
            <w:vAlign w:val="center"/>
          </w:tcPr>
          <w:p w14:paraId="0BD9D3B2"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Service strategy, design, transition, operation</w:t>
            </w:r>
          </w:p>
        </w:tc>
        <w:tc>
          <w:tcPr>
            <w:tcW w:w="1877" w:type="dxa"/>
            <w:vAlign w:val="center"/>
          </w:tcPr>
          <w:p w14:paraId="3E9B1DEB"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Improves service delivery</w:t>
            </w:r>
          </w:p>
        </w:tc>
        <w:tc>
          <w:tcPr>
            <w:tcW w:w="1877" w:type="dxa"/>
            <w:vAlign w:val="center"/>
          </w:tcPr>
          <w:p w14:paraId="5FD79A6F" w14:textId="77777777" w:rsidR="008519CF" w:rsidRPr="00A64271" w:rsidRDefault="008519CF" w:rsidP="00A64271">
            <w:pPr>
              <w:spacing w:before="120" w:after="120" w:line="276" w:lineRule="auto"/>
              <w:jc w:val="left"/>
              <w:rPr>
                <w:rFonts w:eastAsia="Times New Roman" w:cs="Arial"/>
                <w:szCs w:val="24"/>
                <w:lang w:eastAsia="en-IN"/>
              </w:rPr>
            </w:pPr>
            <w:r w:rsidRPr="00A64271">
              <w:rPr>
                <w:rFonts w:eastAsia="Times New Roman" w:cs="Arial"/>
                <w:szCs w:val="24"/>
                <w:lang w:eastAsia="en-IN"/>
              </w:rPr>
              <w:t>Not security-specific</w:t>
            </w:r>
          </w:p>
        </w:tc>
      </w:tr>
    </w:tbl>
    <w:p w14:paraId="240774E5" w14:textId="16F72492" w:rsidR="00F36C9F" w:rsidRDefault="00A46BDD" w:rsidP="00A64271">
      <w:pPr>
        <w:spacing w:before="240"/>
        <w:jc w:val="center"/>
        <w:rPr>
          <w:lang w:eastAsia="en-IN"/>
        </w:rPr>
      </w:pPr>
      <w:bookmarkStart w:id="6" w:name="_Hlk214309200"/>
      <w:bookmarkEnd w:id="5"/>
      <w:r w:rsidRPr="000F5F88">
        <w:rPr>
          <w:bCs/>
          <w:lang w:eastAsia="en-IN"/>
        </w:rPr>
        <w:t>Table 1:</w:t>
      </w:r>
      <w:r w:rsidRPr="008519CF">
        <w:rPr>
          <w:b/>
          <w:lang w:eastAsia="en-IN"/>
        </w:rPr>
        <w:t xml:space="preserve"> </w:t>
      </w:r>
      <w:r w:rsidRPr="00A46BDD">
        <w:rPr>
          <w:lang w:eastAsia="en-IN"/>
        </w:rPr>
        <w:t>Comparison of Key Security Frameworks</w:t>
      </w:r>
    </w:p>
    <w:bookmarkEnd w:id="6"/>
    <w:p w14:paraId="4D1C29B7" w14:textId="43C93F0C" w:rsidR="00F36C9F" w:rsidRPr="00A64271" w:rsidRDefault="003F2877" w:rsidP="00A64271">
      <w:pPr>
        <w:spacing w:before="240"/>
        <w:jc w:val="center"/>
        <w:rPr>
          <w:b/>
          <w:lang w:eastAsia="en-IN"/>
        </w:rPr>
      </w:pPr>
      <w:r>
        <w:rPr>
          <w:noProof/>
        </w:rPr>
        <w:lastRenderedPageBreak/>
        <w:drawing>
          <wp:anchor distT="0" distB="0" distL="114300" distR="114300" simplePos="0" relativeHeight="251661312" behindDoc="0" locked="0" layoutInCell="1" hidden="0" allowOverlap="1" wp14:anchorId="435AA51D" wp14:editId="077D19F0">
            <wp:simplePos x="0" y="0"/>
            <wp:positionH relativeFrom="column">
              <wp:posOffset>907473</wp:posOffset>
            </wp:positionH>
            <wp:positionV relativeFrom="paragraph">
              <wp:posOffset>0</wp:posOffset>
            </wp:positionV>
            <wp:extent cx="4655820" cy="3688080"/>
            <wp:effectExtent l="0" t="0" r="0" b="0"/>
            <wp:wrapTopAndBottom distT="0" distB="0"/>
            <wp:docPr id="1" name="image1.png" descr="F:\NEWWWWW]\Security Frameworks for Next-Generation (NG) Environments - visual selection.png"/>
            <wp:cNvGraphicFramePr/>
            <a:graphic xmlns:a="http://schemas.openxmlformats.org/drawingml/2006/main">
              <a:graphicData uri="http://schemas.openxmlformats.org/drawingml/2006/picture">
                <pic:pic xmlns:pic="http://schemas.openxmlformats.org/drawingml/2006/picture">
                  <pic:nvPicPr>
                    <pic:cNvPr id="0" name="image1.png" descr="F:\NEWWWWW]\Security Frameworks for Next-Generation (NG) Environments - visual selection.png"/>
                    <pic:cNvPicPr preferRelativeResize="0"/>
                  </pic:nvPicPr>
                  <pic:blipFill>
                    <a:blip r:embed="rId11"/>
                    <a:srcRect l="9998" t="18450" r="6301" b="6510"/>
                    <a:stretch>
                      <a:fillRect/>
                    </a:stretch>
                  </pic:blipFill>
                  <pic:spPr>
                    <a:xfrm>
                      <a:off x="0" y="0"/>
                      <a:ext cx="4655820" cy="3688080"/>
                    </a:xfrm>
                    <a:prstGeom prst="rect">
                      <a:avLst/>
                    </a:prstGeom>
                    <a:ln/>
                  </pic:spPr>
                </pic:pic>
              </a:graphicData>
            </a:graphic>
          </wp:anchor>
        </w:drawing>
      </w:r>
    </w:p>
    <w:p w14:paraId="4C7937FB" w14:textId="43D6FF7B" w:rsidR="00F36C9F" w:rsidRPr="00A46BDD" w:rsidRDefault="00C979AD" w:rsidP="00A64271">
      <w:pPr>
        <w:jc w:val="center"/>
        <w:rPr>
          <w:lang w:eastAsia="en-IN"/>
        </w:rPr>
      </w:pPr>
      <w:bookmarkStart w:id="7" w:name="_Hlk214309221"/>
      <w:r w:rsidRPr="00EB0FBD">
        <w:rPr>
          <w:bCs/>
          <w:lang w:eastAsia="en-IN"/>
        </w:rPr>
        <w:t xml:space="preserve">Figure </w:t>
      </w:r>
      <w:r w:rsidR="00EB0FBD" w:rsidRPr="00EB0FBD">
        <w:rPr>
          <w:bCs/>
          <w:lang w:eastAsia="en-IN"/>
        </w:rPr>
        <w:t>3</w:t>
      </w:r>
      <w:r w:rsidR="008519CF" w:rsidRPr="008519CF">
        <w:rPr>
          <w:b/>
          <w:lang w:eastAsia="en-IN"/>
        </w:rPr>
        <w:t xml:space="preserve">: </w:t>
      </w:r>
      <w:r w:rsidR="008519CF" w:rsidRPr="00A46BDD">
        <w:rPr>
          <w:lang w:eastAsia="en-IN"/>
        </w:rPr>
        <w:t>NIST Cybersecurity Framework Core Functions</w:t>
      </w:r>
    </w:p>
    <w:p w14:paraId="48746F6F" w14:textId="6A197572" w:rsidR="00575B73" w:rsidRDefault="00575B73" w:rsidP="00334F8C">
      <w:pPr>
        <w:rPr>
          <w:lang w:val="en-US"/>
        </w:rPr>
      </w:pPr>
      <w:bookmarkStart w:id="8" w:name="_Toc214320664"/>
      <w:bookmarkEnd w:id="7"/>
      <w:r w:rsidRPr="00575B73">
        <w:t>These frameworks illustrate the state of the art in research, such as integration for hybrid models (e.g., NIST with ISO) and adaptation to emerging technologies such as AI-driven threat detection. By using a multi-framework approach, organizations are showing that they can deal with complex issues in a systematic manner. Charts from recent studies show that organizations that are using multiple frameworks can cut breach risks by 30-50%</w:t>
      </w:r>
      <w:r w:rsidR="00B2380B">
        <w:t xml:space="preserve"> [11]</w:t>
      </w:r>
      <w:r w:rsidRPr="00575B73">
        <w:t>. This synthesis and adaptation are the necessary development in advanced scholarship.</w:t>
      </w:r>
      <w:r w:rsidRPr="00575B73">
        <w:rPr>
          <w:lang w:val="en-US"/>
        </w:rPr>
        <w:t> </w:t>
      </w:r>
    </w:p>
    <w:p w14:paraId="69C017AF" w14:textId="77777777" w:rsidR="00E83306" w:rsidRPr="00575B73" w:rsidRDefault="00E83306" w:rsidP="00334F8C">
      <w:pPr>
        <w:rPr>
          <w:lang w:val="en-US"/>
        </w:rPr>
      </w:pPr>
    </w:p>
    <w:p w14:paraId="0E9D01C8" w14:textId="04431C2D" w:rsidR="00F36C9F" w:rsidRDefault="00F36C9F" w:rsidP="00A64271">
      <w:pPr>
        <w:pStyle w:val="Heading2"/>
        <w:rPr>
          <w:lang w:eastAsia="en-IN"/>
        </w:rPr>
      </w:pPr>
      <w:r>
        <w:rPr>
          <w:lang w:eastAsia="en-IN"/>
        </w:rPr>
        <w:t>2.1</w:t>
      </w:r>
      <w:r w:rsidR="00A64271">
        <w:rPr>
          <w:lang w:eastAsia="en-IN"/>
        </w:rPr>
        <w:t xml:space="preserve"> </w:t>
      </w:r>
      <w:r w:rsidR="008519CF" w:rsidRPr="008519CF">
        <w:rPr>
          <w:lang w:eastAsia="en-IN"/>
        </w:rPr>
        <w:t>Designed Approach for NG's Information System Security, Governance, and Compliance</w:t>
      </w:r>
      <w:bookmarkEnd w:id="8"/>
      <w:r w:rsidR="008519CF" w:rsidRPr="008519CF">
        <w:rPr>
          <w:lang w:eastAsia="en-IN"/>
        </w:rPr>
        <w:t xml:space="preserve"> </w:t>
      </w:r>
    </w:p>
    <w:p w14:paraId="45742721" w14:textId="7CA4DBF0" w:rsidR="008867F9" w:rsidRPr="008867F9" w:rsidRDefault="008867F9" w:rsidP="008867F9">
      <w:pPr>
        <w:spacing w:after="120"/>
        <w:rPr>
          <w:lang w:val="en-US"/>
        </w:rPr>
      </w:pPr>
      <w:r w:rsidRPr="008867F9">
        <w:t>Based on the frameworks discussed, a custom approach is presented to NG, which is a combination of the features of the ISO 27001, NIST, COBIT, and ITIL. This is a hybrid model which will satisfy the specific needs of NG: provision of cloud/wireless network security, BYOD, IP protection, policies. The strategy is organised based on the given factors.</w:t>
      </w:r>
      <w:r w:rsidRPr="008867F9">
        <w:rPr>
          <w:lang w:val="en-US"/>
        </w:rPr>
        <w:t> </w:t>
      </w:r>
    </w:p>
    <w:p w14:paraId="74C34BB4" w14:textId="67AF0499" w:rsidR="008867F9" w:rsidRDefault="008867F9" w:rsidP="008867F9">
      <w:pPr>
        <w:spacing w:after="120"/>
        <w:rPr>
          <w:lang w:val="en-US"/>
        </w:rPr>
      </w:pPr>
      <w:r w:rsidRPr="008867F9">
        <w:lastRenderedPageBreak/>
        <w:t>Governance and Strategic Planning of Security (COBIT Core): Implement the goals of governance promoted by COBIT to make security, consistent with the business strategy of NG. Create a Security Governance Committee (SGC) of C-level executives, IT leaders and those who are experts in legal matters</w:t>
      </w:r>
      <w:r w:rsidR="00B2380B">
        <w:t xml:space="preserve"> [12]</w:t>
      </w:r>
      <w:r w:rsidRPr="008867F9">
        <w:t>. Strategic planning includes security audit on every year basis and integration with cloud SLAs. Example: NG have a Security Governance Committee to manage the cloud security and wireless security as Coca-Cola has a security committee to protect the sensitive information.</w:t>
      </w:r>
      <w:r w:rsidRPr="008867F9">
        <w:rPr>
          <w:lang w:val="en-US"/>
        </w:rPr>
        <w:t> </w:t>
      </w:r>
    </w:p>
    <w:p w14:paraId="3E040078" w14:textId="77777777" w:rsidR="00E83306" w:rsidRPr="008867F9" w:rsidRDefault="00E83306" w:rsidP="008867F9">
      <w:pPr>
        <w:spacing w:after="120"/>
        <w:rPr>
          <w:lang w:val="en-US"/>
        </w:rPr>
      </w:pPr>
    </w:p>
    <w:p w14:paraId="26B73DF8" w14:textId="3BF54BE8" w:rsidR="008867F9" w:rsidRDefault="008867F9" w:rsidP="008867F9">
      <w:pPr>
        <w:spacing w:after="120"/>
        <w:rPr>
          <w:lang w:val="en-US"/>
        </w:rPr>
      </w:pPr>
      <w:r w:rsidRPr="008867F9">
        <w:t>Security Policies (ISO 27002 Core): Design a full set of policies according to ISO 27002 such as Acceptable Use Policy (AUP) of BYOD. Policies such as use of multi-factor authentication (MFA) and encrypted data and updates. Example: BYOD policy of Google implies MFA and encryption; NG applies similar regulations to get control over personal devices</w:t>
      </w:r>
      <w:r w:rsidR="00B2380B">
        <w:t xml:space="preserve"> [13]</w:t>
      </w:r>
      <w:r w:rsidRPr="008867F9">
        <w:t>.</w:t>
      </w:r>
      <w:r w:rsidRPr="008867F9">
        <w:rPr>
          <w:lang w:val="en-US"/>
        </w:rPr>
        <w:t> </w:t>
      </w:r>
    </w:p>
    <w:p w14:paraId="5A04E094" w14:textId="77777777" w:rsidR="00E83306" w:rsidRPr="008867F9" w:rsidRDefault="00E83306" w:rsidP="008867F9">
      <w:pPr>
        <w:spacing w:after="120"/>
        <w:rPr>
          <w:lang w:val="en-US"/>
        </w:rPr>
      </w:pPr>
    </w:p>
    <w:p w14:paraId="5ED122D1" w14:textId="1B081DE5" w:rsidR="008867F9" w:rsidRPr="008867F9" w:rsidRDefault="008867F9" w:rsidP="008867F9">
      <w:pPr>
        <w:spacing w:after="120"/>
        <w:rPr>
          <w:lang w:val="en-US"/>
        </w:rPr>
      </w:pPr>
      <w:r w:rsidRPr="008867F9">
        <w:t>Risk Management (NIST Identify &amp; Protect): Risk assessments should be made using the assistance of NIST CSF Identify and Protect functions. Periodically (i.e., every quarter) conduct a risk analysis related to wireless risks (e.g., WPA3 encryption) and BYOD risks</w:t>
      </w:r>
      <w:r w:rsidR="00B2380B">
        <w:t xml:space="preserve"> [14]</w:t>
      </w:r>
      <w:r w:rsidRPr="008867F9">
        <w:t>. Example: malware on personal devices, following a Wi-Fi attack of Marriott they started to do regular risk evaluations. NG also conducts quarterly risk assessment of wireless and BYOD based on NIST.</w:t>
      </w:r>
      <w:r w:rsidRPr="008867F9">
        <w:rPr>
          <w:lang w:val="en-US"/>
        </w:rPr>
        <w:t> </w:t>
      </w:r>
    </w:p>
    <w:p w14:paraId="18318FF5" w14:textId="77777777" w:rsidR="008867F9" w:rsidRPr="008867F9" w:rsidRDefault="008867F9" w:rsidP="008867F9">
      <w:pPr>
        <w:spacing w:after="120"/>
        <w:rPr>
          <w:lang w:val="en-US"/>
        </w:rPr>
      </w:pPr>
      <w:r w:rsidRPr="008867F9">
        <w:t> </w:t>
      </w:r>
      <w:r w:rsidRPr="008867F9">
        <w:rPr>
          <w:lang w:val="en-US"/>
        </w:rPr>
        <w:t> </w:t>
      </w:r>
    </w:p>
    <w:p w14:paraId="1B1C88E6" w14:textId="4D155359" w:rsidR="008867F9" w:rsidRPr="008867F9" w:rsidRDefault="008867F9" w:rsidP="008867F9">
      <w:pPr>
        <w:spacing w:after="120"/>
        <w:rPr>
          <w:lang w:val="en-US"/>
        </w:rPr>
      </w:pPr>
      <w:r w:rsidRPr="008867F9">
        <w:t>Security Management Models and Practices (ITL &amp; Innovation): Enhance it, ITL service management together with an Artificial Intelligence enabled (AI) Security Operations Centre (SOC) to automate threat detection (NIST Detect) and fast orchestrate incident response using SOA (Security Orchestration, Automation, and Response) platforms. Training the employees of the phishing and data handling is also practiced</w:t>
      </w:r>
      <w:r w:rsidR="00B2380B">
        <w:t xml:space="preserve"> [15]</w:t>
      </w:r>
      <w:r w:rsidRPr="008867F9">
        <w:t>. Example: Netflix has used ITIL, which has helped in responding to incidents promptly. NG has the same setup in dealing with phishing and disruption in services.</w:t>
      </w:r>
      <w:r w:rsidRPr="008867F9">
        <w:rPr>
          <w:lang w:val="en-US"/>
        </w:rPr>
        <w:t> </w:t>
      </w:r>
    </w:p>
    <w:p w14:paraId="30BC9401" w14:textId="77777777" w:rsidR="008867F9" w:rsidRPr="008867F9" w:rsidRDefault="008867F9" w:rsidP="008867F9">
      <w:pPr>
        <w:spacing w:after="120"/>
        <w:rPr>
          <w:lang w:val="en-US"/>
        </w:rPr>
      </w:pPr>
      <w:r w:rsidRPr="008867F9">
        <w:t> </w:t>
      </w:r>
      <w:r w:rsidRPr="008867F9">
        <w:rPr>
          <w:lang w:val="en-US"/>
        </w:rPr>
        <w:t> </w:t>
      </w:r>
    </w:p>
    <w:p w14:paraId="4D86C9E5" w14:textId="77777777" w:rsidR="008867F9" w:rsidRPr="008867F9" w:rsidRDefault="008867F9" w:rsidP="008867F9">
      <w:pPr>
        <w:spacing w:after="120"/>
        <w:rPr>
          <w:lang w:val="en-US"/>
        </w:rPr>
      </w:pPr>
      <w:r w:rsidRPr="008867F9">
        <w:lastRenderedPageBreak/>
        <w:t>Contingency Planning (NIST Recover): According to NIST Recover function, develop Business Continuity Plans (BCP) which has offsite backups and disaster recovery drills. Example: AWS performs disaster recovery tests on a regular basis. NG goes on to test backups and recovery once a year.</w:t>
      </w:r>
      <w:r w:rsidRPr="008867F9">
        <w:rPr>
          <w:lang w:val="en-US"/>
        </w:rPr>
        <w:t> </w:t>
      </w:r>
    </w:p>
    <w:p w14:paraId="46FC46BC" w14:textId="77777777" w:rsidR="008867F9" w:rsidRPr="008867F9" w:rsidRDefault="008867F9" w:rsidP="008867F9">
      <w:pPr>
        <w:spacing w:after="120"/>
        <w:rPr>
          <w:lang w:val="en-US"/>
        </w:rPr>
      </w:pPr>
      <w:r w:rsidRPr="008867F9">
        <w:t> </w:t>
      </w:r>
      <w:r w:rsidRPr="008867F9">
        <w:rPr>
          <w:lang w:val="en-US"/>
        </w:rPr>
        <w:t> </w:t>
      </w:r>
    </w:p>
    <w:p w14:paraId="57326D64" w14:textId="7E1DFDFE" w:rsidR="008867F9" w:rsidRPr="008867F9" w:rsidRDefault="008867F9" w:rsidP="008867F9">
      <w:pPr>
        <w:spacing w:after="120"/>
        <w:rPr>
          <w:lang w:val="en-US"/>
        </w:rPr>
      </w:pPr>
      <w:r w:rsidRPr="008867F9">
        <w:t>Protection Mechanisms (Zero-Trust &amp; IP Innovation): BYOD Mobile device management (MDM) tools, containerisation (i.e., isolate work/personal data), Zero Trust architecture to access the cloud. Crucially, high-value Intellectual Property (IP) needs to be secured using tokenisation or blockchain technology, to ensure data immutability and protect NG's billions of dollars in IP</w:t>
      </w:r>
      <w:r w:rsidR="00B2380B">
        <w:t xml:space="preserve"> [16]</w:t>
      </w:r>
      <w:r w:rsidRPr="008867F9">
        <w:t>. Example: MDM is being used by IBM to separate work-related information on personal computers. NG has implemented MDM and Zero-Trust to implement cloud security.</w:t>
      </w:r>
      <w:r w:rsidRPr="008867F9">
        <w:rPr>
          <w:lang w:val="en-US"/>
        </w:rPr>
        <w:t> </w:t>
      </w:r>
    </w:p>
    <w:p w14:paraId="449B8007" w14:textId="77777777" w:rsidR="008867F9" w:rsidRPr="008867F9" w:rsidRDefault="008867F9" w:rsidP="008867F9">
      <w:pPr>
        <w:spacing w:after="120"/>
        <w:rPr>
          <w:lang w:val="en-US"/>
        </w:rPr>
      </w:pPr>
      <w:r w:rsidRPr="008867F9">
        <w:t> </w:t>
      </w:r>
      <w:r w:rsidRPr="008867F9">
        <w:rPr>
          <w:lang w:val="en-US"/>
        </w:rPr>
        <w:t> </w:t>
      </w:r>
    </w:p>
    <w:p w14:paraId="1C8B5932" w14:textId="2945DC3D" w:rsidR="008867F9" w:rsidRPr="008867F9" w:rsidRDefault="008867F9" w:rsidP="008867F9">
      <w:pPr>
        <w:spacing w:after="120"/>
        <w:rPr>
          <w:lang w:val="en-US"/>
        </w:rPr>
      </w:pPr>
      <w:r w:rsidRPr="008867F9">
        <w:t>Compliance (Laws and Ethics): Data privacy (GDPR) and data consumer rights (CCPA) must be complied with; ethical principles of data use need to be followed</w:t>
      </w:r>
      <w:r w:rsidR="002423F9">
        <w:t xml:space="preserve"> </w:t>
      </w:r>
      <w:r w:rsidR="004E564C">
        <w:t>[17][18]</w:t>
      </w:r>
      <w:r w:rsidRPr="008867F9">
        <w:t>. Example: Meta paid heavy GDPR fines. NG does not do it by conducting frequent GDPR audits and ethical data processing.</w:t>
      </w:r>
      <w:r w:rsidRPr="008867F9">
        <w:rPr>
          <w:lang w:val="en-US"/>
        </w:rPr>
        <w:t> </w:t>
      </w:r>
    </w:p>
    <w:p w14:paraId="28E9A609" w14:textId="77777777" w:rsidR="008867F9" w:rsidRPr="008867F9" w:rsidRDefault="008867F9" w:rsidP="008867F9">
      <w:pPr>
        <w:spacing w:after="120"/>
        <w:rPr>
          <w:lang w:val="en-US"/>
        </w:rPr>
      </w:pPr>
      <w:r w:rsidRPr="008867F9">
        <w:t> </w:t>
      </w:r>
      <w:r w:rsidRPr="008867F9">
        <w:rPr>
          <w:lang w:val="en-US"/>
        </w:rPr>
        <w:t> </w:t>
      </w:r>
    </w:p>
    <w:p w14:paraId="26937D10" w14:textId="5D8D573E" w:rsidR="008867F9" w:rsidRPr="008867F9" w:rsidRDefault="008867F9" w:rsidP="008867F9">
      <w:pPr>
        <w:spacing w:after="120"/>
        <w:rPr>
          <w:lang w:val="en-US"/>
        </w:rPr>
      </w:pPr>
      <w:r w:rsidRPr="008867F9">
        <w:t>Service Level Agreement (SLA): Make SLAs agreements with a cloud provider regarding 99.9% availability and timely response to breaches</w:t>
      </w:r>
      <w:r w:rsidR="004E564C">
        <w:t xml:space="preserve"> [19]</w:t>
      </w:r>
      <w:r w:rsidRPr="008867F9">
        <w:t>. Example: Microsoft Azure has uptime SLA of 99.9% with timelines of incidents response guaranteed. On the same note, NG develops SLAs with cloud vendors, to ensure important level of availability, breaching notification and responsibility of security.</w:t>
      </w:r>
      <w:r w:rsidRPr="008867F9">
        <w:rPr>
          <w:lang w:val="en-US"/>
        </w:rPr>
        <w:t> </w:t>
      </w:r>
    </w:p>
    <w:p w14:paraId="0331A7D5" w14:textId="77777777" w:rsidR="008867F9" w:rsidRPr="008867F9" w:rsidRDefault="008867F9" w:rsidP="008867F9">
      <w:pPr>
        <w:spacing w:after="120"/>
        <w:rPr>
          <w:lang w:val="en-US"/>
        </w:rPr>
      </w:pPr>
      <w:r w:rsidRPr="008867F9">
        <w:rPr>
          <w:lang w:val="en-US"/>
        </w:rPr>
        <w:t> </w:t>
      </w:r>
    </w:p>
    <w:p w14:paraId="7F67EE70" w14:textId="77777777" w:rsidR="00EB0FBD" w:rsidRDefault="00EB0FBD" w:rsidP="00EB0FBD">
      <w:pPr>
        <w:spacing w:after="120"/>
        <w:rPr>
          <w:lang w:eastAsia="en-IN"/>
        </w:rPr>
      </w:pPr>
    </w:p>
    <w:p w14:paraId="46BDE6CA" w14:textId="77777777" w:rsidR="00EB0FBD" w:rsidRDefault="00EB0FBD" w:rsidP="00EB0FBD">
      <w:pPr>
        <w:spacing w:after="120"/>
        <w:rPr>
          <w:lang w:eastAsia="en-IN"/>
        </w:rPr>
      </w:pPr>
    </w:p>
    <w:p w14:paraId="3AF31657" w14:textId="77777777" w:rsidR="00EB0FBD" w:rsidRDefault="00EB0FBD" w:rsidP="00EB0FBD">
      <w:pPr>
        <w:spacing w:after="120"/>
        <w:rPr>
          <w:lang w:eastAsia="en-IN"/>
        </w:rPr>
      </w:pPr>
    </w:p>
    <w:p w14:paraId="7688161E" w14:textId="77777777" w:rsidR="00EB0FBD" w:rsidRDefault="00EB0FBD" w:rsidP="00EB0FBD">
      <w:pPr>
        <w:spacing w:after="120"/>
        <w:rPr>
          <w:lang w:eastAsia="en-IN"/>
        </w:rPr>
      </w:pPr>
    </w:p>
    <w:p w14:paraId="78D688CC" w14:textId="77777777" w:rsidR="00EB0FBD" w:rsidRDefault="00EB0FBD" w:rsidP="00EB0FBD">
      <w:pPr>
        <w:spacing w:after="120"/>
        <w:rPr>
          <w:lang w:eastAsia="en-IN"/>
        </w:rPr>
      </w:pPr>
    </w:p>
    <w:p w14:paraId="2BDF0755" w14:textId="77777777" w:rsidR="00EB0FBD" w:rsidRDefault="00EB0FBD" w:rsidP="00EB0FBD">
      <w:pPr>
        <w:spacing w:after="120"/>
        <w:rPr>
          <w:lang w:eastAsia="en-IN"/>
        </w:rPr>
      </w:pPr>
    </w:p>
    <w:p w14:paraId="0FEEA4D3" w14:textId="77777777" w:rsidR="00EB0FBD" w:rsidRDefault="00EB0FBD" w:rsidP="00EB0FBD">
      <w:pPr>
        <w:spacing w:after="120"/>
        <w:rPr>
          <w:lang w:eastAsia="en-IN"/>
        </w:rPr>
      </w:pPr>
    </w:p>
    <w:p w14:paraId="1D991CD7" w14:textId="77777777" w:rsidR="00EB0FBD" w:rsidRDefault="00EB0FBD" w:rsidP="00EB0FBD">
      <w:pPr>
        <w:spacing w:after="120"/>
        <w:rPr>
          <w:lang w:eastAsia="en-IN"/>
        </w:rPr>
      </w:pPr>
    </w:p>
    <w:p w14:paraId="5435F2E4" w14:textId="77777777" w:rsidR="00EB0FBD" w:rsidRDefault="00EB0FBD" w:rsidP="00EB0FBD">
      <w:pPr>
        <w:spacing w:after="120"/>
        <w:rPr>
          <w:lang w:eastAsia="en-IN"/>
        </w:rPr>
      </w:pPr>
    </w:p>
    <w:p w14:paraId="7500517D" w14:textId="77777777" w:rsidR="00EB0FBD" w:rsidRDefault="00EB0FBD" w:rsidP="00EB0FBD">
      <w:pPr>
        <w:spacing w:after="120"/>
        <w:rPr>
          <w:lang w:eastAsia="en-IN"/>
        </w:rPr>
      </w:pPr>
    </w:p>
    <w:p w14:paraId="1506B71D" w14:textId="77777777" w:rsidR="00EB0FBD" w:rsidRDefault="00EB0FBD" w:rsidP="00EB0FBD">
      <w:pPr>
        <w:spacing w:after="120"/>
        <w:rPr>
          <w:lang w:eastAsia="en-IN"/>
        </w:rPr>
      </w:pPr>
    </w:p>
    <w:p w14:paraId="7B838BEF" w14:textId="77777777" w:rsidR="00EB0FBD" w:rsidRPr="008519CF" w:rsidRDefault="00EB0FBD" w:rsidP="00EB0FBD">
      <w:pPr>
        <w:spacing w:after="120"/>
        <w:rPr>
          <w:lang w:eastAsia="en-IN"/>
        </w:rPr>
      </w:pPr>
    </w:p>
    <w:tbl>
      <w:tblPr>
        <w:tblStyle w:val="TableGrid"/>
        <w:tblW w:w="0" w:type="auto"/>
        <w:tblLook w:val="04A0" w:firstRow="1" w:lastRow="0" w:firstColumn="1" w:lastColumn="0" w:noHBand="0" w:noVBand="1"/>
      </w:tblPr>
      <w:tblGrid>
        <w:gridCol w:w="2878"/>
        <w:gridCol w:w="1416"/>
        <w:gridCol w:w="1070"/>
        <w:gridCol w:w="3652"/>
      </w:tblGrid>
      <w:tr w:rsidR="008519CF" w:rsidRPr="00A64271" w14:paraId="358A3D0A" w14:textId="77777777" w:rsidTr="00F36C9F">
        <w:tc>
          <w:tcPr>
            <w:tcW w:w="0" w:type="auto"/>
            <w:hideMark/>
          </w:tcPr>
          <w:p w14:paraId="615FE734" w14:textId="77777777" w:rsidR="008519CF" w:rsidRPr="00A64271" w:rsidRDefault="008519CF" w:rsidP="008519CF">
            <w:pPr>
              <w:jc w:val="center"/>
              <w:rPr>
                <w:rFonts w:eastAsia="Times New Roman" w:cs="Arial"/>
                <w:b/>
                <w:bCs/>
                <w:szCs w:val="24"/>
                <w:lang w:eastAsia="en-IN"/>
              </w:rPr>
            </w:pPr>
            <w:bookmarkStart w:id="9" w:name="_Hlk214309447"/>
            <w:r w:rsidRPr="00A64271">
              <w:rPr>
                <w:rFonts w:eastAsia="Times New Roman" w:cs="Arial"/>
                <w:b/>
                <w:bCs/>
                <w:szCs w:val="24"/>
                <w:lang w:eastAsia="en-IN"/>
              </w:rPr>
              <w:t>Risk</w:t>
            </w:r>
          </w:p>
        </w:tc>
        <w:tc>
          <w:tcPr>
            <w:tcW w:w="0" w:type="auto"/>
            <w:hideMark/>
          </w:tcPr>
          <w:p w14:paraId="37359F8A" w14:textId="77777777" w:rsidR="008519CF" w:rsidRPr="00A64271" w:rsidRDefault="008519CF" w:rsidP="008519CF">
            <w:pPr>
              <w:jc w:val="center"/>
              <w:rPr>
                <w:rFonts w:eastAsia="Times New Roman" w:cs="Arial"/>
                <w:b/>
                <w:bCs/>
                <w:szCs w:val="24"/>
                <w:lang w:eastAsia="en-IN"/>
              </w:rPr>
            </w:pPr>
            <w:r w:rsidRPr="00A64271">
              <w:rPr>
                <w:rFonts w:eastAsia="Times New Roman" w:cs="Arial"/>
                <w:b/>
                <w:bCs/>
                <w:szCs w:val="24"/>
                <w:lang w:eastAsia="en-IN"/>
              </w:rPr>
              <w:t>Likelihood</w:t>
            </w:r>
          </w:p>
        </w:tc>
        <w:tc>
          <w:tcPr>
            <w:tcW w:w="0" w:type="auto"/>
            <w:hideMark/>
          </w:tcPr>
          <w:p w14:paraId="1F364F52" w14:textId="77777777" w:rsidR="008519CF" w:rsidRPr="00A64271" w:rsidRDefault="008519CF" w:rsidP="008519CF">
            <w:pPr>
              <w:jc w:val="center"/>
              <w:rPr>
                <w:rFonts w:eastAsia="Times New Roman" w:cs="Arial"/>
                <w:b/>
                <w:bCs/>
                <w:szCs w:val="24"/>
                <w:lang w:eastAsia="en-IN"/>
              </w:rPr>
            </w:pPr>
            <w:r w:rsidRPr="00A64271">
              <w:rPr>
                <w:rFonts w:eastAsia="Times New Roman" w:cs="Arial"/>
                <w:b/>
                <w:bCs/>
                <w:szCs w:val="24"/>
                <w:lang w:eastAsia="en-IN"/>
              </w:rPr>
              <w:t>Impact</w:t>
            </w:r>
          </w:p>
        </w:tc>
        <w:tc>
          <w:tcPr>
            <w:tcW w:w="0" w:type="auto"/>
            <w:hideMark/>
          </w:tcPr>
          <w:p w14:paraId="018DBCA2" w14:textId="77777777" w:rsidR="008519CF" w:rsidRPr="00A64271" w:rsidRDefault="008519CF" w:rsidP="008519CF">
            <w:pPr>
              <w:jc w:val="center"/>
              <w:rPr>
                <w:rFonts w:eastAsia="Times New Roman" w:cs="Arial"/>
                <w:b/>
                <w:bCs/>
                <w:szCs w:val="24"/>
                <w:lang w:eastAsia="en-IN"/>
              </w:rPr>
            </w:pPr>
            <w:r w:rsidRPr="00A64271">
              <w:rPr>
                <w:rFonts w:eastAsia="Times New Roman" w:cs="Arial"/>
                <w:b/>
                <w:bCs/>
                <w:szCs w:val="24"/>
                <w:lang w:eastAsia="en-IN"/>
              </w:rPr>
              <w:t>Mitigation (from Frameworks)</w:t>
            </w:r>
          </w:p>
        </w:tc>
      </w:tr>
      <w:tr w:rsidR="008519CF" w:rsidRPr="00A64271" w14:paraId="02304766" w14:textId="77777777" w:rsidTr="00F36C9F">
        <w:tc>
          <w:tcPr>
            <w:tcW w:w="0" w:type="auto"/>
            <w:hideMark/>
          </w:tcPr>
          <w:p w14:paraId="1354663A"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BYOD Malware Infection</w:t>
            </w:r>
          </w:p>
        </w:tc>
        <w:tc>
          <w:tcPr>
            <w:tcW w:w="0" w:type="auto"/>
            <w:hideMark/>
          </w:tcPr>
          <w:p w14:paraId="27E289DA"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High</w:t>
            </w:r>
          </w:p>
        </w:tc>
        <w:tc>
          <w:tcPr>
            <w:tcW w:w="0" w:type="auto"/>
            <w:hideMark/>
          </w:tcPr>
          <w:p w14:paraId="38CF2E50"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High</w:t>
            </w:r>
          </w:p>
        </w:tc>
        <w:tc>
          <w:tcPr>
            <w:tcW w:w="0" w:type="auto"/>
            <w:hideMark/>
          </w:tcPr>
          <w:p w14:paraId="7F307CCA"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MDM enforcement, NIST Protect</w:t>
            </w:r>
          </w:p>
        </w:tc>
      </w:tr>
      <w:tr w:rsidR="008519CF" w:rsidRPr="00A64271" w14:paraId="38B3ED66" w14:textId="77777777" w:rsidTr="00F36C9F">
        <w:tc>
          <w:tcPr>
            <w:tcW w:w="0" w:type="auto"/>
            <w:hideMark/>
          </w:tcPr>
          <w:p w14:paraId="112FCAD5"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Wireless Network Breach</w:t>
            </w:r>
          </w:p>
        </w:tc>
        <w:tc>
          <w:tcPr>
            <w:tcW w:w="0" w:type="auto"/>
            <w:hideMark/>
          </w:tcPr>
          <w:p w14:paraId="7184F863"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Medium</w:t>
            </w:r>
          </w:p>
        </w:tc>
        <w:tc>
          <w:tcPr>
            <w:tcW w:w="0" w:type="auto"/>
            <w:hideMark/>
          </w:tcPr>
          <w:p w14:paraId="1539E8DA"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High</w:t>
            </w:r>
          </w:p>
        </w:tc>
        <w:tc>
          <w:tcPr>
            <w:tcW w:w="0" w:type="auto"/>
            <w:hideMark/>
          </w:tcPr>
          <w:p w14:paraId="69A6A279"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ISO 27001 controls, encryption</w:t>
            </w:r>
          </w:p>
        </w:tc>
      </w:tr>
      <w:tr w:rsidR="008519CF" w:rsidRPr="00A64271" w14:paraId="1F570665" w14:textId="77777777" w:rsidTr="00F36C9F">
        <w:tc>
          <w:tcPr>
            <w:tcW w:w="0" w:type="auto"/>
            <w:hideMark/>
          </w:tcPr>
          <w:p w14:paraId="69A73C0B"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IP Theft via Cloud</w:t>
            </w:r>
          </w:p>
        </w:tc>
        <w:tc>
          <w:tcPr>
            <w:tcW w:w="0" w:type="auto"/>
            <w:hideMark/>
          </w:tcPr>
          <w:p w14:paraId="4FB7519B"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Low</w:t>
            </w:r>
          </w:p>
        </w:tc>
        <w:tc>
          <w:tcPr>
            <w:tcW w:w="0" w:type="auto"/>
            <w:hideMark/>
          </w:tcPr>
          <w:p w14:paraId="46C27875"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Critical</w:t>
            </w:r>
          </w:p>
        </w:tc>
        <w:tc>
          <w:tcPr>
            <w:tcW w:w="0" w:type="auto"/>
            <w:hideMark/>
          </w:tcPr>
          <w:p w14:paraId="2D93EF7B"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COBIT governance, access logs</w:t>
            </w:r>
          </w:p>
        </w:tc>
      </w:tr>
      <w:tr w:rsidR="008519CF" w:rsidRPr="00A64271" w14:paraId="53AAE42F" w14:textId="77777777" w:rsidTr="00F36C9F">
        <w:tc>
          <w:tcPr>
            <w:tcW w:w="0" w:type="auto"/>
            <w:hideMark/>
          </w:tcPr>
          <w:p w14:paraId="689D19D2"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Non-Compliance Fines</w:t>
            </w:r>
          </w:p>
        </w:tc>
        <w:tc>
          <w:tcPr>
            <w:tcW w:w="0" w:type="auto"/>
            <w:hideMark/>
          </w:tcPr>
          <w:p w14:paraId="6DF471EA"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Medium</w:t>
            </w:r>
          </w:p>
        </w:tc>
        <w:tc>
          <w:tcPr>
            <w:tcW w:w="0" w:type="auto"/>
            <w:hideMark/>
          </w:tcPr>
          <w:p w14:paraId="55C31C09"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Medium</w:t>
            </w:r>
          </w:p>
        </w:tc>
        <w:tc>
          <w:tcPr>
            <w:tcW w:w="0" w:type="auto"/>
            <w:hideMark/>
          </w:tcPr>
          <w:p w14:paraId="39177331" w14:textId="77777777" w:rsidR="008519CF" w:rsidRPr="00A64271" w:rsidRDefault="008519CF" w:rsidP="008519CF">
            <w:pPr>
              <w:rPr>
                <w:rFonts w:eastAsia="Times New Roman" w:cs="Arial"/>
                <w:szCs w:val="24"/>
                <w:lang w:eastAsia="en-IN"/>
              </w:rPr>
            </w:pPr>
            <w:r w:rsidRPr="00A64271">
              <w:rPr>
                <w:rFonts w:eastAsia="Times New Roman" w:cs="Arial"/>
                <w:szCs w:val="24"/>
                <w:lang w:eastAsia="en-IN"/>
              </w:rPr>
              <w:t>Regular audits, GDPR alignment</w:t>
            </w:r>
          </w:p>
        </w:tc>
      </w:tr>
    </w:tbl>
    <w:p w14:paraId="090CFEFB" w14:textId="77777777" w:rsidR="00EB0FBD" w:rsidRDefault="00261EBC" w:rsidP="00EB0FBD">
      <w:pPr>
        <w:spacing w:before="240"/>
        <w:jc w:val="center"/>
        <w:rPr>
          <w:lang w:eastAsia="en-IN"/>
        </w:rPr>
      </w:pPr>
      <w:bookmarkStart w:id="10" w:name="_Hlk214309461"/>
      <w:bookmarkEnd w:id="9"/>
      <w:r w:rsidRPr="00B937DA">
        <w:rPr>
          <w:bCs/>
          <w:noProof/>
          <w:lang w:eastAsia="en-IN"/>
        </w:rPr>
        <w:drawing>
          <wp:anchor distT="0" distB="0" distL="114300" distR="114300" simplePos="0" relativeHeight="251659264" behindDoc="0" locked="0" layoutInCell="1" allowOverlap="1" wp14:anchorId="634CC6EB" wp14:editId="13781B3D">
            <wp:simplePos x="0" y="0"/>
            <wp:positionH relativeFrom="margin">
              <wp:posOffset>929640</wp:posOffset>
            </wp:positionH>
            <wp:positionV relativeFrom="paragraph">
              <wp:posOffset>748665</wp:posOffset>
            </wp:positionV>
            <wp:extent cx="4004310" cy="2669540"/>
            <wp:effectExtent l="0" t="0" r="0" b="0"/>
            <wp:wrapTopAndBottom/>
            <wp:docPr id="2" name="Picture 2" descr="F:\NEWWWWW]\ChatGPT Image Nov 17, 2025, 05_08_47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NEWWWWW]\ChatGPT Image Nov 17, 2025, 05_08_47 AM.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4310" cy="2669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6C9F" w:rsidRPr="00B937DA">
        <w:rPr>
          <w:bCs/>
          <w:lang w:eastAsia="en-IN"/>
        </w:rPr>
        <w:t>Table 2:</w:t>
      </w:r>
      <w:r w:rsidR="00F36C9F" w:rsidRPr="008519CF">
        <w:rPr>
          <w:b/>
          <w:lang w:eastAsia="en-IN"/>
        </w:rPr>
        <w:t xml:space="preserve"> </w:t>
      </w:r>
      <w:r w:rsidR="00F36C9F" w:rsidRPr="00F36C9F">
        <w:rPr>
          <w:lang w:eastAsia="en-IN"/>
        </w:rPr>
        <w:t>Risk Management Matrix for NG</w:t>
      </w:r>
    </w:p>
    <w:bookmarkEnd w:id="10"/>
    <w:p w14:paraId="258EAF73" w14:textId="0DBE1739" w:rsidR="008519CF" w:rsidRDefault="008519CF" w:rsidP="00EB0FBD">
      <w:pPr>
        <w:spacing w:before="240"/>
        <w:jc w:val="center"/>
        <w:rPr>
          <w:lang w:eastAsia="en-IN"/>
        </w:rPr>
      </w:pPr>
    </w:p>
    <w:p w14:paraId="35B48364" w14:textId="7FD07870" w:rsidR="003E7A0B" w:rsidRPr="003E7A0B" w:rsidRDefault="003E7A0B" w:rsidP="003E7A0B">
      <w:pPr>
        <w:jc w:val="center"/>
        <w:rPr>
          <w:lang w:eastAsia="en-IN"/>
        </w:rPr>
      </w:pPr>
      <w:bookmarkStart w:id="11" w:name="_Hlk214309478"/>
      <w:r w:rsidRPr="003E7A0B">
        <w:rPr>
          <w:lang w:eastAsia="en-IN"/>
        </w:rPr>
        <w:t xml:space="preserve">Figure </w:t>
      </w:r>
      <w:r>
        <w:rPr>
          <w:lang w:eastAsia="en-IN"/>
        </w:rPr>
        <w:t>4</w:t>
      </w:r>
      <w:r w:rsidRPr="003E7A0B">
        <w:rPr>
          <w:lang w:eastAsia="en-IN"/>
        </w:rPr>
        <w:t>: Hybrid security framework integrating COBIT, ISO 27001/27002, NIST CSF, and ITIL for NG’s security and compliance.</w:t>
      </w:r>
    </w:p>
    <w:bookmarkEnd w:id="11"/>
    <w:p w14:paraId="079038C9" w14:textId="77777777" w:rsidR="003E7A0B" w:rsidRPr="003E7A0B" w:rsidRDefault="003E7A0B" w:rsidP="003E7A0B">
      <w:pPr>
        <w:rPr>
          <w:lang w:eastAsia="en-IN"/>
        </w:rPr>
      </w:pPr>
    </w:p>
    <w:p w14:paraId="073472E4" w14:textId="77777777" w:rsidR="003E7A0B" w:rsidRPr="003E7A0B" w:rsidRDefault="003E7A0B" w:rsidP="003E7A0B">
      <w:pPr>
        <w:rPr>
          <w:lang w:eastAsia="en-IN"/>
        </w:rPr>
      </w:pPr>
    </w:p>
    <w:p w14:paraId="6486A022" w14:textId="77777777" w:rsidR="00334F8C" w:rsidRDefault="00334F8C" w:rsidP="00334F8C">
      <w:pPr>
        <w:rPr>
          <w:lang w:eastAsia="en-IN"/>
        </w:rPr>
      </w:pPr>
      <w:r w:rsidRPr="00B937DA">
        <w:rPr>
          <w:lang w:eastAsia="en-IN"/>
        </w:rPr>
        <w:t xml:space="preserve">The hybrid security model provided by NG will be based on the integration of COBIT to govern the organization, ISO 27001/27002 to lay out policies, NIST CSF to </w:t>
      </w:r>
      <w:r w:rsidRPr="00B937DA">
        <w:rPr>
          <w:lang w:eastAsia="en-IN"/>
        </w:rPr>
        <w:lastRenderedPageBreak/>
        <w:t>implement risk management, and operational security with the use of ITIL to support compliance and protection tools.</w:t>
      </w:r>
    </w:p>
    <w:p w14:paraId="55E31ABC" w14:textId="77777777" w:rsidR="00F419CE" w:rsidRDefault="00F419CE" w:rsidP="00334F8C">
      <w:pPr>
        <w:rPr>
          <w:lang w:eastAsia="en-IN"/>
        </w:rPr>
      </w:pPr>
    </w:p>
    <w:p w14:paraId="2C90E26A" w14:textId="0A264351" w:rsidR="00F419CE" w:rsidRDefault="00F419CE" w:rsidP="00334F8C">
      <w:pPr>
        <w:rPr>
          <w:lang w:eastAsia="en-IN"/>
        </w:rPr>
      </w:pPr>
      <w:r w:rsidRPr="00F419CE">
        <w:rPr>
          <w:lang w:eastAsia="en-IN"/>
        </w:rPr>
        <w:t>A more granular alignment of frameworks shows that each one covers different layers of the security requirements of NG</w:t>
      </w:r>
      <w:r w:rsidR="004E564C">
        <w:rPr>
          <w:lang w:eastAsia="en-IN"/>
        </w:rPr>
        <w:t xml:space="preserve"> [20]</w:t>
      </w:r>
      <w:r w:rsidRPr="00F419CE">
        <w:rPr>
          <w:lang w:eastAsia="en-IN"/>
        </w:rPr>
        <w:t>. ISO 27001/27002 offers policy-level controls (such as access control, cryptography, and supplier management that address directly NG's cloud and BYOD policies. NIST CSF is a contribution of hands-on operational guidance for risk identification, detection and incident response, and fills in gaps where ISO offers high-level requirements. COBIT 2019 adds governance mechanisms via EDM (Evaluate</w:t>
      </w:r>
      <w:r w:rsidR="002423F9">
        <w:rPr>
          <w:lang w:eastAsia="en-IN"/>
        </w:rPr>
        <w:t xml:space="preserve"> </w:t>
      </w:r>
      <w:r w:rsidRPr="00F419CE">
        <w:rPr>
          <w:lang w:eastAsia="en-IN"/>
        </w:rPr>
        <w:t>Direct</w:t>
      </w:r>
      <w:r w:rsidR="002423F9">
        <w:rPr>
          <w:lang w:eastAsia="en-IN"/>
        </w:rPr>
        <w:t xml:space="preserve"> </w:t>
      </w:r>
      <w:r w:rsidRPr="00F419CE">
        <w:rPr>
          <w:lang w:eastAsia="en-IN"/>
        </w:rPr>
        <w:t>Monitor) objectives to ensure security initiatives shift towards NG's strategic priority of securing billion-dollar IP assets. ITIL V4 reinforces the operational lifecycle through structured change, incident and problem management. This layered approach ensures that none of the frameworks are running in isolation: ISO tells NG what needs to be controlled, NIST and ITIL defines how controls work on a day-to-day basis and COBIT makes sure why they are important on a strategic level.</w:t>
      </w:r>
    </w:p>
    <w:p w14:paraId="74CB80C3" w14:textId="77777777" w:rsidR="004E564C" w:rsidRDefault="004E564C" w:rsidP="00334F8C">
      <w:pPr>
        <w:rPr>
          <w:lang w:eastAsia="en-IN"/>
        </w:rPr>
      </w:pPr>
    </w:p>
    <w:tbl>
      <w:tblPr>
        <w:tblStyle w:val="TableGrid"/>
        <w:tblW w:w="10165" w:type="dxa"/>
        <w:tblLook w:val="04A0" w:firstRow="1" w:lastRow="0" w:firstColumn="1" w:lastColumn="0" w:noHBand="0" w:noVBand="1"/>
      </w:tblPr>
      <w:tblGrid>
        <w:gridCol w:w="1697"/>
        <w:gridCol w:w="1831"/>
        <w:gridCol w:w="1564"/>
        <w:gridCol w:w="1684"/>
        <w:gridCol w:w="1617"/>
        <w:gridCol w:w="1772"/>
      </w:tblGrid>
      <w:tr w:rsidR="00EA3574" w:rsidRPr="00EA3574" w14:paraId="57B52AB1" w14:textId="77777777" w:rsidTr="00EA3574">
        <w:tc>
          <w:tcPr>
            <w:tcW w:w="0" w:type="auto"/>
            <w:hideMark/>
          </w:tcPr>
          <w:p w14:paraId="5F638D30" w14:textId="77777777" w:rsidR="00EA3574" w:rsidRPr="00EA3574" w:rsidRDefault="00EA3574" w:rsidP="00EA3574">
            <w:pPr>
              <w:tabs>
                <w:tab w:val="left" w:pos="3684"/>
              </w:tabs>
              <w:jc w:val="center"/>
              <w:rPr>
                <w:b/>
                <w:bCs/>
                <w:lang w:val="en-US" w:eastAsia="en-IN"/>
              </w:rPr>
            </w:pPr>
            <w:r w:rsidRPr="00EA3574">
              <w:rPr>
                <w:b/>
                <w:bCs/>
                <w:lang w:val="en-US" w:eastAsia="en-IN"/>
              </w:rPr>
              <w:t>NG Requirement</w:t>
            </w:r>
          </w:p>
        </w:tc>
        <w:tc>
          <w:tcPr>
            <w:tcW w:w="0" w:type="auto"/>
            <w:hideMark/>
          </w:tcPr>
          <w:p w14:paraId="092C6459" w14:textId="77777777" w:rsidR="00EA3574" w:rsidRPr="00EA3574" w:rsidRDefault="00EA3574" w:rsidP="00EA3574">
            <w:pPr>
              <w:tabs>
                <w:tab w:val="left" w:pos="3684"/>
              </w:tabs>
              <w:jc w:val="center"/>
              <w:rPr>
                <w:b/>
                <w:bCs/>
                <w:lang w:val="en-US" w:eastAsia="en-IN"/>
              </w:rPr>
            </w:pPr>
            <w:r w:rsidRPr="00EA3574">
              <w:rPr>
                <w:b/>
                <w:bCs/>
                <w:lang w:val="en-US" w:eastAsia="en-IN"/>
              </w:rPr>
              <w:t>ISO 27001/27002 (Descriptive Controls Only)</w:t>
            </w:r>
          </w:p>
        </w:tc>
        <w:tc>
          <w:tcPr>
            <w:tcW w:w="0" w:type="auto"/>
            <w:hideMark/>
          </w:tcPr>
          <w:p w14:paraId="0712721E" w14:textId="77777777" w:rsidR="00EA3574" w:rsidRPr="00EA3574" w:rsidRDefault="00EA3574" w:rsidP="00EA3574">
            <w:pPr>
              <w:tabs>
                <w:tab w:val="left" w:pos="3684"/>
              </w:tabs>
              <w:jc w:val="center"/>
              <w:rPr>
                <w:b/>
                <w:bCs/>
                <w:lang w:val="en-US" w:eastAsia="en-IN"/>
              </w:rPr>
            </w:pPr>
            <w:r w:rsidRPr="00EA3574">
              <w:rPr>
                <w:b/>
                <w:bCs/>
                <w:lang w:val="en-US" w:eastAsia="en-IN"/>
              </w:rPr>
              <w:t>NIST CSF</w:t>
            </w:r>
          </w:p>
        </w:tc>
        <w:tc>
          <w:tcPr>
            <w:tcW w:w="0" w:type="auto"/>
            <w:hideMark/>
          </w:tcPr>
          <w:p w14:paraId="69B09CD2" w14:textId="77777777" w:rsidR="00EA3574" w:rsidRPr="00EA3574" w:rsidRDefault="00EA3574" w:rsidP="00EA3574">
            <w:pPr>
              <w:tabs>
                <w:tab w:val="left" w:pos="3684"/>
              </w:tabs>
              <w:jc w:val="center"/>
              <w:rPr>
                <w:b/>
                <w:bCs/>
                <w:lang w:val="en-US" w:eastAsia="en-IN"/>
              </w:rPr>
            </w:pPr>
            <w:r w:rsidRPr="00EA3574">
              <w:rPr>
                <w:b/>
                <w:bCs/>
                <w:lang w:val="en-US" w:eastAsia="en-IN"/>
              </w:rPr>
              <w:t>COBIT 2019</w:t>
            </w:r>
          </w:p>
        </w:tc>
        <w:tc>
          <w:tcPr>
            <w:tcW w:w="0" w:type="auto"/>
            <w:hideMark/>
          </w:tcPr>
          <w:p w14:paraId="377D1FC6" w14:textId="77777777" w:rsidR="00EA3574" w:rsidRPr="00EA3574" w:rsidRDefault="00EA3574" w:rsidP="00EA3574">
            <w:pPr>
              <w:tabs>
                <w:tab w:val="left" w:pos="3684"/>
              </w:tabs>
              <w:jc w:val="center"/>
              <w:rPr>
                <w:b/>
                <w:bCs/>
                <w:lang w:val="en-US" w:eastAsia="en-IN"/>
              </w:rPr>
            </w:pPr>
            <w:r w:rsidRPr="00EA3574">
              <w:rPr>
                <w:b/>
                <w:bCs/>
                <w:lang w:val="en-US" w:eastAsia="en-IN"/>
              </w:rPr>
              <w:t>ITIL V4</w:t>
            </w:r>
          </w:p>
        </w:tc>
        <w:tc>
          <w:tcPr>
            <w:tcW w:w="2685" w:type="dxa"/>
            <w:hideMark/>
          </w:tcPr>
          <w:p w14:paraId="5638AF97" w14:textId="77777777" w:rsidR="00EA3574" w:rsidRPr="00EA3574" w:rsidRDefault="00EA3574" w:rsidP="00EA3574">
            <w:pPr>
              <w:tabs>
                <w:tab w:val="left" w:pos="3684"/>
              </w:tabs>
              <w:jc w:val="center"/>
              <w:rPr>
                <w:b/>
                <w:bCs/>
                <w:lang w:val="en-US" w:eastAsia="en-IN"/>
              </w:rPr>
            </w:pPr>
            <w:r w:rsidRPr="00EA3574">
              <w:rPr>
                <w:b/>
                <w:bCs/>
                <w:lang w:val="en-US" w:eastAsia="en-IN"/>
              </w:rPr>
              <w:t>Outcome</w:t>
            </w:r>
          </w:p>
        </w:tc>
      </w:tr>
      <w:tr w:rsidR="00EA3574" w:rsidRPr="00EA3574" w14:paraId="3EB6A440" w14:textId="77777777" w:rsidTr="00EA3574">
        <w:tc>
          <w:tcPr>
            <w:tcW w:w="0" w:type="auto"/>
            <w:hideMark/>
          </w:tcPr>
          <w:p w14:paraId="5C33A549" w14:textId="77777777" w:rsidR="00EA3574" w:rsidRPr="00EA3574" w:rsidRDefault="00EA3574" w:rsidP="00EA3574">
            <w:pPr>
              <w:tabs>
                <w:tab w:val="left" w:pos="3684"/>
              </w:tabs>
              <w:jc w:val="center"/>
              <w:rPr>
                <w:lang w:val="en-US" w:eastAsia="en-IN"/>
              </w:rPr>
            </w:pPr>
            <w:r w:rsidRPr="00EA3574">
              <w:rPr>
                <w:b/>
                <w:bCs/>
                <w:lang w:val="en-US" w:eastAsia="en-IN"/>
              </w:rPr>
              <w:t>BYOD governance</w:t>
            </w:r>
          </w:p>
        </w:tc>
        <w:tc>
          <w:tcPr>
            <w:tcW w:w="0" w:type="auto"/>
            <w:hideMark/>
          </w:tcPr>
          <w:p w14:paraId="4458CB51" w14:textId="77777777" w:rsidR="00EA3574" w:rsidRPr="00EA3574" w:rsidRDefault="00EA3574" w:rsidP="00EA3574">
            <w:pPr>
              <w:tabs>
                <w:tab w:val="left" w:pos="3684"/>
              </w:tabs>
              <w:jc w:val="center"/>
              <w:rPr>
                <w:lang w:val="en-US" w:eastAsia="en-IN"/>
              </w:rPr>
            </w:pPr>
            <w:r w:rsidRPr="00EA3574">
              <w:rPr>
                <w:lang w:val="en-US" w:eastAsia="en-IN"/>
              </w:rPr>
              <w:t>Security policies, mobile device management, access rules</w:t>
            </w:r>
          </w:p>
        </w:tc>
        <w:tc>
          <w:tcPr>
            <w:tcW w:w="0" w:type="auto"/>
            <w:hideMark/>
          </w:tcPr>
          <w:p w14:paraId="1D7CCE8D" w14:textId="77777777" w:rsidR="00EA3574" w:rsidRPr="00EA3574" w:rsidRDefault="00EA3574" w:rsidP="00EA3574">
            <w:pPr>
              <w:tabs>
                <w:tab w:val="left" w:pos="3684"/>
              </w:tabs>
              <w:jc w:val="center"/>
              <w:rPr>
                <w:lang w:val="en-US" w:eastAsia="en-IN"/>
              </w:rPr>
            </w:pPr>
            <w:r w:rsidRPr="00EA3574">
              <w:rPr>
                <w:lang w:val="en-US" w:eastAsia="en-IN"/>
              </w:rPr>
              <w:t>Access control</w:t>
            </w:r>
          </w:p>
        </w:tc>
        <w:tc>
          <w:tcPr>
            <w:tcW w:w="0" w:type="auto"/>
            <w:hideMark/>
          </w:tcPr>
          <w:p w14:paraId="580CAED1" w14:textId="77777777" w:rsidR="00EA3574" w:rsidRPr="00EA3574" w:rsidRDefault="00EA3574" w:rsidP="00EA3574">
            <w:pPr>
              <w:tabs>
                <w:tab w:val="left" w:pos="3684"/>
              </w:tabs>
              <w:jc w:val="center"/>
              <w:rPr>
                <w:lang w:val="en-US" w:eastAsia="en-IN"/>
              </w:rPr>
            </w:pPr>
            <w:r w:rsidRPr="00EA3574">
              <w:rPr>
                <w:lang w:val="en-US" w:eastAsia="en-IN"/>
              </w:rPr>
              <w:t>HR management, IT operations</w:t>
            </w:r>
          </w:p>
        </w:tc>
        <w:tc>
          <w:tcPr>
            <w:tcW w:w="0" w:type="auto"/>
            <w:hideMark/>
          </w:tcPr>
          <w:p w14:paraId="799B7F95" w14:textId="77777777" w:rsidR="00EA3574" w:rsidRPr="00EA3574" w:rsidRDefault="00EA3574" w:rsidP="00EA3574">
            <w:pPr>
              <w:tabs>
                <w:tab w:val="left" w:pos="3684"/>
              </w:tabs>
              <w:jc w:val="center"/>
              <w:rPr>
                <w:lang w:val="en-US" w:eastAsia="en-IN"/>
              </w:rPr>
            </w:pPr>
            <w:r w:rsidRPr="00EA3574">
              <w:rPr>
                <w:lang w:val="en-US" w:eastAsia="en-IN"/>
              </w:rPr>
              <w:t>Service configuration management</w:t>
            </w:r>
          </w:p>
        </w:tc>
        <w:tc>
          <w:tcPr>
            <w:tcW w:w="2685" w:type="dxa"/>
            <w:hideMark/>
          </w:tcPr>
          <w:p w14:paraId="5D7A7A67" w14:textId="77777777" w:rsidR="00EA3574" w:rsidRPr="00EA3574" w:rsidRDefault="00EA3574" w:rsidP="00EA3574">
            <w:pPr>
              <w:tabs>
                <w:tab w:val="left" w:pos="3684"/>
              </w:tabs>
              <w:jc w:val="center"/>
              <w:rPr>
                <w:lang w:val="en-US" w:eastAsia="en-IN"/>
              </w:rPr>
            </w:pPr>
            <w:r w:rsidRPr="00EA3574">
              <w:rPr>
                <w:lang w:val="en-US" w:eastAsia="en-IN"/>
              </w:rPr>
              <w:t>Policy-driven, enforced and monitored BYOD environment</w:t>
            </w:r>
          </w:p>
        </w:tc>
      </w:tr>
      <w:tr w:rsidR="00EA3574" w:rsidRPr="00EA3574" w14:paraId="41CE2DF6" w14:textId="77777777" w:rsidTr="00EA3574">
        <w:tc>
          <w:tcPr>
            <w:tcW w:w="0" w:type="auto"/>
            <w:hideMark/>
          </w:tcPr>
          <w:p w14:paraId="7FC7F520" w14:textId="77777777" w:rsidR="00EA3574" w:rsidRPr="00EA3574" w:rsidRDefault="00EA3574" w:rsidP="00EA3574">
            <w:pPr>
              <w:tabs>
                <w:tab w:val="left" w:pos="3684"/>
              </w:tabs>
              <w:jc w:val="center"/>
              <w:rPr>
                <w:lang w:val="en-US" w:eastAsia="en-IN"/>
              </w:rPr>
            </w:pPr>
            <w:r w:rsidRPr="00EA3574">
              <w:rPr>
                <w:b/>
                <w:bCs/>
                <w:lang w:val="en-US" w:eastAsia="en-IN"/>
              </w:rPr>
              <w:t>Wireless security</w:t>
            </w:r>
          </w:p>
        </w:tc>
        <w:tc>
          <w:tcPr>
            <w:tcW w:w="0" w:type="auto"/>
            <w:hideMark/>
          </w:tcPr>
          <w:p w14:paraId="3513D093" w14:textId="77777777" w:rsidR="00EA3574" w:rsidRPr="00EA3574" w:rsidRDefault="00EA3574" w:rsidP="00EA3574">
            <w:pPr>
              <w:tabs>
                <w:tab w:val="left" w:pos="3684"/>
              </w:tabs>
              <w:jc w:val="center"/>
              <w:rPr>
                <w:lang w:val="en-US" w:eastAsia="en-IN"/>
              </w:rPr>
            </w:pPr>
            <w:r w:rsidRPr="00EA3574">
              <w:rPr>
                <w:lang w:val="en-US" w:eastAsia="en-IN"/>
              </w:rPr>
              <w:t>Secure communication controls, network protection measures</w:t>
            </w:r>
          </w:p>
        </w:tc>
        <w:tc>
          <w:tcPr>
            <w:tcW w:w="0" w:type="auto"/>
            <w:hideMark/>
          </w:tcPr>
          <w:p w14:paraId="54356C4C" w14:textId="77777777" w:rsidR="00EA3574" w:rsidRPr="00EA3574" w:rsidRDefault="00EA3574" w:rsidP="00EA3574">
            <w:pPr>
              <w:tabs>
                <w:tab w:val="left" w:pos="3684"/>
              </w:tabs>
              <w:jc w:val="center"/>
              <w:rPr>
                <w:lang w:val="en-US" w:eastAsia="en-IN"/>
              </w:rPr>
            </w:pPr>
            <w:r w:rsidRPr="00EA3574">
              <w:rPr>
                <w:lang w:val="en-US" w:eastAsia="en-IN"/>
              </w:rPr>
              <w:t>Protective technologies</w:t>
            </w:r>
          </w:p>
        </w:tc>
        <w:tc>
          <w:tcPr>
            <w:tcW w:w="0" w:type="auto"/>
            <w:hideMark/>
          </w:tcPr>
          <w:p w14:paraId="208871BC" w14:textId="77777777" w:rsidR="00EA3574" w:rsidRPr="00EA3574" w:rsidRDefault="00EA3574" w:rsidP="00EA3574">
            <w:pPr>
              <w:tabs>
                <w:tab w:val="left" w:pos="3684"/>
              </w:tabs>
              <w:jc w:val="center"/>
              <w:rPr>
                <w:lang w:val="en-US" w:eastAsia="en-IN"/>
              </w:rPr>
            </w:pPr>
            <w:r w:rsidRPr="00EA3574">
              <w:rPr>
                <w:lang w:val="en-US" w:eastAsia="en-IN"/>
              </w:rPr>
              <w:t>Security service operations</w:t>
            </w:r>
          </w:p>
        </w:tc>
        <w:tc>
          <w:tcPr>
            <w:tcW w:w="0" w:type="auto"/>
            <w:hideMark/>
          </w:tcPr>
          <w:p w14:paraId="2D7FEFC5" w14:textId="77777777" w:rsidR="00EA3574" w:rsidRPr="00EA3574" w:rsidRDefault="00EA3574" w:rsidP="00EA3574">
            <w:pPr>
              <w:tabs>
                <w:tab w:val="left" w:pos="3684"/>
              </w:tabs>
              <w:jc w:val="center"/>
              <w:rPr>
                <w:lang w:val="en-US" w:eastAsia="en-IN"/>
              </w:rPr>
            </w:pPr>
            <w:r w:rsidRPr="00EA3574">
              <w:rPr>
                <w:lang w:val="en-US" w:eastAsia="en-IN"/>
              </w:rPr>
              <w:t>Incident management</w:t>
            </w:r>
          </w:p>
        </w:tc>
        <w:tc>
          <w:tcPr>
            <w:tcW w:w="2685" w:type="dxa"/>
            <w:hideMark/>
          </w:tcPr>
          <w:p w14:paraId="201E346E" w14:textId="77777777" w:rsidR="00EA3574" w:rsidRPr="00EA3574" w:rsidRDefault="00EA3574" w:rsidP="00EA3574">
            <w:pPr>
              <w:tabs>
                <w:tab w:val="left" w:pos="3684"/>
              </w:tabs>
              <w:jc w:val="center"/>
              <w:rPr>
                <w:lang w:val="en-US" w:eastAsia="en-IN"/>
              </w:rPr>
            </w:pPr>
            <w:r w:rsidRPr="00EA3574">
              <w:rPr>
                <w:lang w:val="en-US" w:eastAsia="en-IN"/>
              </w:rPr>
              <w:t>WPA3, segmentation, continuous monitoring</w:t>
            </w:r>
          </w:p>
        </w:tc>
      </w:tr>
      <w:tr w:rsidR="00EA3574" w:rsidRPr="00EA3574" w14:paraId="39CADE43" w14:textId="77777777" w:rsidTr="00EA3574">
        <w:tc>
          <w:tcPr>
            <w:tcW w:w="0" w:type="auto"/>
            <w:hideMark/>
          </w:tcPr>
          <w:p w14:paraId="1DC61395" w14:textId="77777777" w:rsidR="00EA3574" w:rsidRPr="00EA3574" w:rsidRDefault="00EA3574" w:rsidP="00EA3574">
            <w:pPr>
              <w:tabs>
                <w:tab w:val="left" w:pos="3684"/>
              </w:tabs>
              <w:jc w:val="center"/>
              <w:rPr>
                <w:lang w:val="en-US" w:eastAsia="en-IN"/>
              </w:rPr>
            </w:pPr>
            <w:r w:rsidRPr="00EA3574">
              <w:rPr>
                <w:b/>
                <w:bCs/>
                <w:lang w:val="en-US" w:eastAsia="en-IN"/>
              </w:rPr>
              <w:lastRenderedPageBreak/>
              <w:t>Cloud risk management</w:t>
            </w:r>
          </w:p>
        </w:tc>
        <w:tc>
          <w:tcPr>
            <w:tcW w:w="0" w:type="auto"/>
            <w:hideMark/>
          </w:tcPr>
          <w:p w14:paraId="52E9ED1B" w14:textId="77777777" w:rsidR="00EA3574" w:rsidRPr="00EA3574" w:rsidRDefault="00EA3574" w:rsidP="00EA3574">
            <w:pPr>
              <w:tabs>
                <w:tab w:val="left" w:pos="3684"/>
              </w:tabs>
              <w:jc w:val="center"/>
              <w:rPr>
                <w:lang w:val="en-US" w:eastAsia="en-IN"/>
              </w:rPr>
            </w:pPr>
            <w:r w:rsidRPr="00EA3574">
              <w:rPr>
                <w:lang w:val="en-US" w:eastAsia="en-IN"/>
              </w:rPr>
              <w:t>Supplier security requirements, secure system acquisition process</w:t>
            </w:r>
          </w:p>
        </w:tc>
        <w:tc>
          <w:tcPr>
            <w:tcW w:w="0" w:type="auto"/>
            <w:hideMark/>
          </w:tcPr>
          <w:p w14:paraId="733A0490" w14:textId="77777777" w:rsidR="00EA3574" w:rsidRPr="00EA3574" w:rsidRDefault="00EA3574" w:rsidP="00EA3574">
            <w:pPr>
              <w:tabs>
                <w:tab w:val="left" w:pos="3684"/>
              </w:tabs>
              <w:jc w:val="center"/>
              <w:rPr>
                <w:lang w:val="en-US" w:eastAsia="en-IN"/>
              </w:rPr>
            </w:pPr>
            <w:r w:rsidRPr="00EA3574">
              <w:rPr>
                <w:lang w:val="en-US" w:eastAsia="en-IN"/>
              </w:rPr>
              <w:t>Risk assessment</w:t>
            </w:r>
          </w:p>
        </w:tc>
        <w:tc>
          <w:tcPr>
            <w:tcW w:w="0" w:type="auto"/>
            <w:hideMark/>
          </w:tcPr>
          <w:p w14:paraId="13CE0DC3" w14:textId="77777777" w:rsidR="00EA3574" w:rsidRPr="00EA3574" w:rsidRDefault="00EA3574" w:rsidP="00EA3574">
            <w:pPr>
              <w:tabs>
                <w:tab w:val="left" w:pos="3684"/>
              </w:tabs>
              <w:jc w:val="center"/>
              <w:rPr>
                <w:lang w:val="en-US" w:eastAsia="en-IN"/>
              </w:rPr>
            </w:pPr>
            <w:r w:rsidRPr="00EA3574">
              <w:rPr>
                <w:lang w:val="en-US" w:eastAsia="en-IN"/>
              </w:rPr>
              <w:t xml:space="preserve">Risk </w:t>
            </w:r>
            <w:proofErr w:type="spellStart"/>
            <w:r w:rsidRPr="00EA3574">
              <w:rPr>
                <w:lang w:val="en-US" w:eastAsia="en-IN"/>
              </w:rPr>
              <w:t>optimisation</w:t>
            </w:r>
            <w:proofErr w:type="spellEnd"/>
          </w:p>
        </w:tc>
        <w:tc>
          <w:tcPr>
            <w:tcW w:w="0" w:type="auto"/>
            <w:hideMark/>
          </w:tcPr>
          <w:p w14:paraId="62F2B8A5" w14:textId="77777777" w:rsidR="00EA3574" w:rsidRPr="00EA3574" w:rsidRDefault="00EA3574" w:rsidP="00EA3574">
            <w:pPr>
              <w:tabs>
                <w:tab w:val="left" w:pos="3684"/>
              </w:tabs>
              <w:jc w:val="center"/>
              <w:rPr>
                <w:lang w:val="en-US" w:eastAsia="en-IN"/>
              </w:rPr>
            </w:pPr>
            <w:r w:rsidRPr="00EA3574">
              <w:rPr>
                <w:lang w:val="en-US" w:eastAsia="en-IN"/>
              </w:rPr>
              <w:t>Change control</w:t>
            </w:r>
          </w:p>
        </w:tc>
        <w:tc>
          <w:tcPr>
            <w:tcW w:w="2685" w:type="dxa"/>
            <w:hideMark/>
          </w:tcPr>
          <w:p w14:paraId="14A284BC" w14:textId="77777777" w:rsidR="00EA3574" w:rsidRPr="00EA3574" w:rsidRDefault="00EA3574" w:rsidP="00EA3574">
            <w:pPr>
              <w:tabs>
                <w:tab w:val="left" w:pos="3684"/>
              </w:tabs>
              <w:jc w:val="center"/>
              <w:rPr>
                <w:lang w:val="en-US" w:eastAsia="en-IN"/>
              </w:rPr>
            </w:pPr>
            <w:r w:rsidRPr="00EA3574">
              <w:rPr>
                <w:lang w:val="en-US" w:eastAsia="en-IN"/>
              </w:rPr>
              <w:t>Secure cloud SLAs, strong vendor governance</w:t>
            </w:r>
          </w:p>
        </w:tc>
      </w:tr>
      <w:tr w:rsidR="00EA3574" w:rsidRPr="00EA3574" w14:paraId="5485F79F" w14:textId="77777777" w:rsidTr="00EA3574">
        <w:tc>
          <w:tcPr>
            <w:tcW w:w="0" w:type="auto"/>
            <w:hideMark/>
          </w:tcPr>
          <w:p w14:paraId="36BD927F" w14:textId="77777777" w:rsidR="00EA3574" w:rsidRPr="00EA3574" w:rsidRDefault="00EA3574" w:rsidP="00EA3574">
            <w:pPr>
              <w:tabs>
                <w:tab w:val="left" w:pos="3684"/>
              </w:tabs>
              <w:jc w:val="center"/>
              <w:rPr>
                <w:lang w:val="en-US" w:eastAsia="en-IN"/>
              </w:rPr>
            </w:pPr>
            <w:r w:rsidRPr="00EA3574">
              <w:rPr>
                <w:b/>
                <w:bCs/>
                <w:lang w:val="en-US" w:eastAsia="en-IN"/>
              </w:rPr>
              <w:t>IP protection</w:t>
            </w:r>
          </w:p>
        </w:tc>
        <w:tc>
          <w:tcPr>
            <w:tcW w:w="0" w:type="auto"/>
            <w:hideMark/>
          </w:tcPr>
          <w:p w14:paraId="21A9EA08" w14:textId="77777777" w:rsidR="00EA3574" w:rsidRPr="00EA3574" w:rsidRDefault="00EA3574" w:rsidP="00EA3574">
            <w:pPr>
              <w:tabs>
                <w:tab w:val="left" w:pos="3684"/>
              </w:tabs>
              <w:jc w:val="center"/>
              <w:rPr>
                <w:lang w:val="en-US" w:eastAsia="en-IN"/>
              </w:rPr>
            </w:pPr>
            <w:r w:rsidRPr="00EA3574">
              <w:rPr>
                <w:lang w:val="en-US" w:eastAsia="en-IN"/>
              </w:rPr>
              <w:t>Access restrictions, encryption practices</w:t>
            </w:r>
          </w:p>
        </w:tc>
        <w:tc>
          <w:tcPr>
            <w:tcW w:w="0" w:type="auto"/>
            <w:hideMark/>
          </w:tcPr>
          <w:p w14:paraId="0E83EADC" w14:textId="77777777" w:rsidR="00EA3574" w:rsidRPr="00EA3574" w:rsidRDefault="00EA3574" w:rsidP="00EA3574">
            <w:pPr>
              <w:tabs>
                <w:tab w:val="left" w:pos="3684"/>
              </w:tabs>
              <w:jc w:val="center"/>
              <w:rPr>
                <w:lang w:val="en-US" w:eastAsia="en-IN"/>
              </w:rPr>
            </w:pPr>
            <w:r w:rsidRPr="00EA3574">
              <w:rPr>
                <w:lang w:val="en-US" w:eastAsia="en-IN"/>
              </w:rPr>
              <w:t>Data security</w:t>
            </w:r>
          </w:p>
        </w:tc>
        <w:tc>
          <w:tcPr>
            <w:tcW w:w="0" w:type="auto"/>
            <w:hideMark/>
          </w:tcPr>
          <w:p w14:paraId="75D5A501" w14:textId="77777777" w:rsidR="00EA3574" w:rsidRPr="00EA3574" w:rsidRDefault="00EA3574" w:rsidP="00EA3574">
            <w:pPr>
              <w:tabs>
                <w:tab w:val="left" w:pos="3684"/>
              </w:tabs>
              <w:jc w:val="center"/>
              <w:rPr>
                <w:lang w:val="en-US" w:eastAsia="en-IN"/>
              </w:rPr>
            </w:pPr>
            <w:r w:rsidRPr="00EA3574">
              <w:rPr>
                <w:lang w:val="en-US" w:eastAsia="en-IN"/>
              </w:rPr>
              <w:t>Risk-managed environment</w:t>
            </w:r>
          </w:p>
        </w:tc>
        <w:tc>
          <w:tcPr>
            <w:tcW w:w="0" w:type="auto"/>
            <w:hideMark/>
          </w:tcPr>
          <w:p w14:paraId="20280237" w14:textId="77777777" w:rsidR="00EA3574" w:rsidRPr="00EA3574" w:rsidRDefault="00EA3574" w:rsidP="00EA3574">
            <w:pPr>
              <w:tabs>
                <w:tab w:val="left" w:pos="3684"/>
              </w:tabs>
              <w:jc w:val="center"/>
              <w:rPr>
                <w:lang w:val="en-US" w:eastAsia="en-IN"/>
              </w:rPr>
            </w:pPr>
            <w:r w:rsidRPr="00EA3574">
              <w:rPr>
                <w:lang w:val="en-US" w:eastAsia="en-IN"/>
              </w:rPr>
              <w:t>Service operations</w:t>
            </w:r>
          </w:p>
        </w:tc>
        <w:tc>
          <w:tcPr>
            <w:tcW w:w="2685" w:type="dxa"/>
            <w:hideMark/>
          </w:tcPr>
          <w:p w14:paraId="39E9AC5B" w14:textId="77777777" w:rsidR="00EA3574" w:rsidRPr="00EA3574" w:rsidRDefault="00EA3574" w:rsidP="00EA3574">
            <w:pPr>
              <w:tabs>
                <w:tab w:val="left" w:pos="3684"/>
              </w:tabs>
              <w:jc w:val="center"/>
              <w:rPr>
                <w:lang w:val="en-US" w:eastAsia="en-IN"/>
              </w:rPr>
            </w:pPr>
            <w:r w:rsidRPr="00EA3574">
              <w:rPr>
                <w:lang w:val="en-US" w:eastAsia="en-IN"/>
              </w:rPr>
              <w:t xml:space="preserve">Zero-Trust, </w:t>
            </w:r>
            <w:proofErr w:type="spellStart"/>
            <w:r w:rsidRPr="00EA3574">
              <w:rPr>
                <w:lang w:val="en-US" w:eastAsia="en-IN"/>
              </w:rPr>
              <w:t>tokenisation</w:t>
            </w:r>
            <w:proofErr w:type="spellEnd"/>
            <w:r w:rsidRPr="00EA3574">
              <w:rPr>
                <w:lang w:val="en-US" w:eastAsia="en-IN"/>
              </w:rPr>
              <w:t>, continuous logging</w:t>
            </w:r>
          </w:p>
        </w:tc>
      </w:tr>
      <w:tr w:rsidR="00EA3574" w:rsidRPr="00EA3574" w14:paraId="70FE66C8" w14:textId="77777777" w:rsidTr="00EA3574">
        <w:tc>
          <w:tcPr>
            <w:tcW w:w="0" w:type="auto"/>
            <w:hideMark/>
          </w:tcPr>
          <w:p w14:paraId="3279836D" w14:textId="77777777" w:rsidR="00EA3574" w:rsidRPr="00EA3574" w:rsidRDefault="00EA3574" w:rsidP="00EA3574">
            <w:pPr>
              <w:tabs>
                <w:tab w:val="left" w:pos="3684"/>
              </w:tabs>
              <w:jc w:val="center"/>
              <w:rPr>
                <w:lang w:val="en-US" w:eastAsia="en-IN"/>
              </w:rPr>
            </w:pPr>
            <w:r w:rsidRPr="00EA3574">
              <w:rPr>
                <w:b/>
                <w:bCs/>
                <w:lang w:val="en-US" w:eastAsia="en-IN"/>
              </w:rPr>
              <w:t>Incident response</w:t>
            </w:r>
          </w:p>
        </w:tc>
        <w:tc>
          <w:tcPr>
            <w:tcW w:w="0" w:type="auto"/>
            <w:hideMark/>
          </w:tcPr>
          <w:p w14:paraId="7AB3BF51" w14:textId="77777777" w:rsidR="00EA3574" w:rsidRPr="00EA3574" w:rsidRDefault="00EA3574" w:rsidP="00EA3574">
            <w:pPr>
              <w:tabs>
                <w:tab w:val="left" w:pos="3684"/>
              </w:tabs>
              <w:jc w:val="center"/>
              <w:rPr>
                <w:lang w:val="en-US" w:eastAsia="en-IN"/>
              </w:rPr>
            </w:pPr>
            <w:r w:rsidRPr="00EA3574">
              <w:rPr>
                <w:lang w:val="en-US" w:eastAsia="en-IN"/>
              </w:rPr>
              <w:t>Incident reporting and management procedures</w:t>
            </w:r>
          </w:p>
        </w:tc>
        <w:tc>
          <w:tcPr>
            <w:tcW w:w="0" w:type="auto"/>
            <w:hideMark/>
          </w:tcPr>
          <w:p w14:paraId="5CBF74A5" w14:textId="77777777" w:rsidR="00EA3574" w:rsidRPr="00EA3574" w:rsidRDefault="00EA3574" w:rsidP="00EA3574">
            <w:pPr>
              <w:tabs>
                <w:tab w:val="left" w:pos="3684"/>
              </w:tabs>
              <w:jc w:val="center"/>
              <w:rPr>
                <w:lang w:val="en-US" w:eastAsia="en-IN"/>
              </w:rPr>
            </w:pPr>
            <w:r w:rsidRPr="00EA3574">
              <w:rPr>
                <w:lang w:val="en-US" w:eastAsia="en-IN"/>
              </w:rPr>
              <w:t>Respond function</w:t>
            </w:r>
          </w:p>
        </w:tc>
        <w:tc>
          <w:tcPr>
            <w:tcW w:w="0" w:type="auto"/>
            <w:hideMark/>
          </w:tcPr>
          <w:p w14:paraId="37EABF46" w14:textId="77777777" w:rsidR="00EA3574" w:rsidRPr="00EA3574" w:rsidRDefault="00EA3574" w:rsidP="00EA3574">
            <w:pPr>
              <w:tabs>
                <w:tab w:val="left" w:pos="3684"/>
              </w:tabs>
              <w:jc w:val="center"/>
              <w:rPr>
                <w:lang w:val="en-US" w:eastAsia="en-IN"/>
              </w:rPr>
            </w:pPr>
            <w:r w:rsidRPr="00EA3574">
              <w:rPr>
                <w:lang w:val="en-US" w:eastAsia="en-IN"/>
              </w:rPr>
              <w:t>Incident management</w:t>
            </w:r>
          </w:p>
        </w:tc>
        <w:tc>
          <w:tcPr>
            <w:tcW w:w="0" w:type="auto"/>
            <w:hideMark/>
          </w:tcPr>
          <w:p w14:paraId="43B8B865" w14:textId="77777777" w:rsidR="00EA3574" w:rsidRPr="00EA3574" w:rsidRDefault="00EA3574" w:rsidP="00EA3574">
            <w:pPr>
              <w:tabs>
                <w:tab w:val="left" w:pos="3684"/>
              </w:tabs>
              <w:jc w:val="center"/>
              <w:rPr>
                <w:lang w:val="en-US" w:eastAsia="en-IN"/>
              </w:rPr>
            </w:pPr>
            <w:r w:rsidRPr="00EA3574">
              <w:rPr>
                <w:lang w:val="en-US" w:eastAsia="en-IN"/>
              </w:rPr>
              <w:t>Major incident management</w:t>
            </w:r>
          </w:p>
        </w:tc>
        <w:tc>
          <w:tcPr>
            <w:tcW w:w="2685" w:type="dxa"/>
            <w:hideMark/>
          </w:tcPr>
          <w:p w14:paraId="2086DDF9" w14:textId="77777777" w:rsidR="00EA3574" w:rsidRPr="00EA3574" w:rsidRDefault="00EA3574" w:rsidP="00EA3574">
            <w:pPr>
              <w:tabs>
                <w:tab w:val="left" w:pos="3684"/>
              </w:tabs>
              <w:jc w:val="center"/>
              <w:rPr>
                <w:lang w:val="en-US" w:eastAsia="en-IN"/>
              </w:rPr>
            </w:pPr>
            <w:r w:rsidRPr="00EA3574">
              <w:rPr>
                <w:lang w:val="en-US" w:eastAsia="en-IN"/>
              </w:rPr>
              <w:t>Coordinated and measurable incident response</w:t>
            </w:r>
          </w:p>
        </w:tc>
      </w:tr>
    </w:tbl>
    <w:p w14:paraId="127244F4" w14:textId="3E5D1D5A" w:rsidR="00F419CE" w:rsidRDefault="00205BE0" w:rsidP="00205BE0">
      <w:pPr>
        <w:tabs>
          <w:tab w:val="left" w:pos="3684"/>
        </w:tabs>
        <w:jc w:val="center"/>
        <w:rPr>
          <w:lang w:eastAsia="en-IN"/>
        </w:rPr>
      </w:pPr>
      <w:r w:rsidRPr="00205BE0">
        <w:rPr>
          <w:lang w:eastAsia="en-IN"/>
        </w:rPr>
        <w:t xml:space="preserve">Table </w:t>
      </w:r>
      <w:r>
        <w:rPr>
          <w:lang w:eastAsia="en-IN"/>
        </w:rPr>
        <w:t>3</w:t>
      </w:r>
      <w:r w:rsidRPr="00205BE0">
        <w:rPr>
          <w:lang w:eastAsia="en-IN"/>
        </w:rPr>
        <w:t>: Integrated Framework Mapping for NG’s Security Requirements</w:t>
      </w:r>
    </w:p>
    <w:p w14:paraId="310DB2D1" w14:textId="77777777" w:rsidR="00031E27" w:rsidRDefault="00031E27" w:rsidP="00205BE0">
      <w:pPr>
        <w:tabs>
          <w:tab w:val="left" w:pos="3684"/>
        </w:tabs>
        <w:jc w:val="center"/>
        <w:rPr>
          <w:lang w:eastAsia="en-IN"/>
        </w:rPr>
      </w:pPr>
    </w:p>
    <w:p w14:paraId="75CE3CDD" w14:textId="47441D64" w:rsidR="00031E27" w:rsidRDefault="00031E27" w:rsidP="00031E27">
      <w:pPr>
        <w:tabs>
          <w:tab w:val="left" w:pos="3684"/>
        </w:tabs>
        <w:rPr>
          <w:lang w:eastAsia="en-IN"/>
        </w:rPr>
      </w:pPr>
      <w:r w:rsidRPr="00031E27">
        <w:rPr>
          <w:lang w:eastAsia="en-IN"/>
        </w:rPr>
        <w:t xml:space="preserve">While there is some overlap between ISO, NIST and COBIT, this is actually a strategic benefit because it allows for layered security assurance - policy level, operational level and governance </w:t>
      </w:r>
      <w:proofErr w:type="gramStart"/>
      <w:r w:rsidRPr="00031E27">
        <w:rPr>
          <w:lang w:eastAsia="en-IN"/>
        </w:rPr>
        <w:t>level  ensuring</w:t>
      </w:r>
      <w:proofErr w:type="gramEnd"/>
      <w:r w:rsidRPr="00031E27">
        <w:rPr>
          <w:lang w:eastAsia="en-IN"/>
        </w:rPr>
        <w:t xml:space="preserve"> that single points of failure are eliminated</w:t>
      </w:r>
      <w:r w:rsidR="004E564C">
        <w:rPr>
          <w:lang w:eastAsia="en-IN"/>
        </w:rPr>
        <w:t xml:space="preserve"> [21]</w:t>
      </w:r>
      <w:r w:rsidRPr="00031E27">
        <w:rPr>
          <w:lang w:eastAsia="en-IN"/>
        </w:rPr>
        <w:t>.</w:t>
      </w:r>
    </w:p>
    <w:p w14:paraId="1B9BEDE9" w14:textId="77777777" w:rsidR="00F419CE" w:rsidRDefault="00F419CE" w:rsidP="00334F8C">
      <w:pPr>
        <w:rPr>
          <w:lang w:eastAsia="en-IN"/>
        </w:rPr>
      </w:pPr>
    </w:p>
    <w:p w14:paraId="0E7132CC" w14:textId="77777777" w:rsidR="00F419CE" w:rsidRPr="003E7A0B" w:rsidRDefault="00F419CE" w:rsidP="00334F8C">
      <w:pPr>
        <w:rPr>
          <w:lang w:eastAsia="en-IN"/>
        </w:rPr>
      </w:pPr>
    </w:p>
    <w:p w14:paraId="4E0DB020" w14:textId="77777777" w:rsidR="003E7A0B" w:rsidRPr="003E7A0B" w:rsidRDefault="003E7A0B" w:rsidP="003E7A0B">
      <w:pPr>
        <w:rPr>
          <w:lang w:eastAsia="en-IN"/>
        </w:rPr>
      </w:pPr>
    </w:p>
    <w:p w14:paraId="448672F4" w14:textId="77777777" w:rsidR="003E7A0B" w:rsidRPr="003E7A0B" w:rsidRDefault="003E7A0B" w:rsidP="003E7A0B">
      <w:pPr>
        <w:rPr>
          <w:lang w:eastAsia="en-IN"/>
        </w:rPr>
      </w:pPr>
    </w:p>
    <w:p w14:paraId="6D26DFC5" w14:textId="77777777" w:rsidR="003E7A0B" w:rsidRPr="003E7A0B" w:rsidRDefault="003E7A0B" w:rsidP="003E7A0B">
      <w:pPr>
        <w:rPr>
          <w:lang w:eastAsia="en-IN"/>
        </w:rPr>
      </w:pPr>
    </w:p>
    <w:p w14:paraId="0F29CED6" w14:textId="77777777" w:rsidR="003E7A0B" w:rsidRPr="003E7A0B" w:rsidRDefault="003E7A0B" w:rsidP="003E7A0B">
      <w:pPr>
        <w:rPr>
          <w:lang w:eastAsia="en-IN"/>
        </w:rPr>
      </w:pPr>
    </w:p>
    <w:p w14:paraId="1ABCCE1B" w14:textId="24F4354E" w:rsidR="005B70F5" w:rsidRDefault="005B70F5" w:rsidP="00C10AEA">
      <w:pPr>
        <w:spacing w:before="240"/>
        <w:jc w:val="center"/>
        <w:rPr>
          <w:b/>
        </w:rPr>
      </w:pPr>
      <w:r>
        <w:rPr>
          <w:noProof/>
        </w:rPr>
        <w:lastRenderedPageBreak/>
        <w:drawing>
          <wp:inline distT="0" distB="0" distL="0" distR="0" wp14:anchorId="225EB099" wp14:editId="659CA02F">
            <wp:extent cx="5731510" cy="6913880"/>
            <wp:effectExtent l="0" t="0" r="2540" b="0"/>
            <wp:docPr id="20450838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6913880"/>
                    </a:xfrm>
                    <a:prstGeom prst="rect">
                      <a:avLst/>
                    </a:prstGeom>
                    <a:noFill/>
                    <a:ln>
                      <a:noFill/>
                    </a:ln>
                  </pic:spPr>
                </pic:pic>
              </a:graphicData>
            </a:graphic>
          </wp:inline>
        </w:drawing>
      </w:r>
    </w:p>
    <w:p w14:paraId="6DED9CDA" w14:textId="12AAEDFA" w:rsidR="00B57410" w:rsidRDefault="00B57410" w:rsidP="00C10AEA">
      <w:pPr>
        <w:spacing w:before="240"/>
        <w:jc w:val="center"/>
      </w:pPr>
      <w:bookmarkStart w:id="12" w:name="_Hlk214309537"/>
      <w:r w:rsidRPr="003E7A0B">
        <w:rPr>
          <w:bCs/>
        </w:rPr>
        <w:t xml:space="preserve">Figure </w:t>
      </w:r>
      <w:r w:rsidR="003E7A0B" w:rsidRPr="003E7A0B">
        <w:rPr>
          <w:bCs/>
        </w:rPr>
        <w:t>5:</w:t>
      </w:r>
      <w:r>
        <w:t xml:space="preserve"> BYOD Implementation for NG</w:t>
      </w:r>
    </w:p>
    <w:bookmarkEnd w:id="12"/>
    <w:p w14:paraId="59973046" w14:textId="77777777" w:rsidR="002423F9" w:rsidRDefault="005B51E3" w:rsidP="00334F8C">
      <w:r w:rsidRPr="005B51E3">
        <w:t>This approach enables an improved security posture founded on established benchmarks for the frameworks which are used across industry</w:t>
      </w:r>
      <w:r w:rsidR="004E564C">
        <w:t xml:space="preserve"> [22]</w:t>
      </w:r>
      <w:r w:rsidRPr="005B51E3">
        <w:t>.</w:t>
      </w:r>
      <w:r w:rsidR="00334F8C" w:rsidRPr="005B57E6">
        <w:t xml:space="preserve"> Figure </w:t>
      </w:r>
      <w:r w:rsidR="00334F8C">
        <w:t>5</w:t>
      </w:r>
      <w:r w:rsidR="00334F8C" w:rsidRPr="005B57E6">
        <w:t xml:space="preserve"> shows the BYOD implementation process, with some decision points for compliance.</w:t>
      </w:r>
    </w:p>
    <w:p w14:paraId="731592C3" w14:textId="78F13BFC" w:rsidR="00334F8C" w:rsidRDefault="00334F8C" w:rsidP="00334F8C">
      <w:r w:rsidRPr="005B57E6">
        <w:t xml:space="preserve"> Figure </w:t>
      </w:r>
      <w:r>
        <w:t>6</w:t>
      </w:r>
      <w:r w:rsidRPr="005B57E6">
        <w:t xml:space="preserve"> offers a systematic and phased timeline for framework implementation, to ensure strategic implementation, and to identify significant governance dependencies.</w:t>
      </w:r>
    </w:p>
    <w:p w14:paraId="64C081C6" w14:textId="09D4A6AD" w:rsidR="00C10AEA" w:rsidRDefault="00C10AEA" w:rsidP="00637B4D">
      <w:pPr>
        <w:spacing w:before="100" w:beforeAutospacing="1" w:after="100" w:afterAutospacing="1" w:line="240" w:lineRule="auto"/>
        <w:jc w:val="center"/>
        <w:rPr>
          <w:rFonts w:ascii="Times New Roman" w:eastAsia="Times New Roman" w:hAnsi="Times New Roman" w:cs="Times New Roman"/>
          <w:b/>
          <w:szCs w:val="24"/>
          <w:lang w:eastAsia="en-IN"/>
        </w:rPr>
      </w:pPr>
      <w:r>
        <w:rPr>
          <w:rFonts w:ascii="Times New Roman" w:eastAsia="Times New Roman" w:hAnsi="Times New Roman" w:cs="Times New Roman"/>
          <w:b/>
          <w:noProof/>
          <w:szCs w:val="24"/>
          <w:lang w:eastAsia="en-IN"/>
        </w:rPr>
        <w:lastRenderedPageBreak/>
        <w:drawing>
          <wp:inline distT="0" distB="0" distL="0" distR="0" wp14:anchorId="29654604" wp14:editId="3AAF227F">
            <wp:extent cx="4660900" cy="2761543"/>
            <wp:effectExtent l="0" t="0" r="6350" b="1270"/>
            <wp:docPr id="291159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t="11263"/>
                    <a:stretch>
                      <a:fillRect/>
                    </a:stretch>
                  </pic:blipFill>
                  <pic:spPr bwMode="auto">
                    <a:xfrm>
                      <a:off x="0" y="0"/>
                      <a:ext cx="4667052" cy="2765188"/>
                    </a:xfrm>
                    <a:prstGeom prst="rect">
                      <a:avLst/>
                    </a:prstGeom>
                    <a:noFill/>
                    <a:ln>
                      <a:noFill/>
                    </a:ln>
                    <a:extLst>
                      <a:ext uri="{53640926-AAD7-44D8-BBD7-CCE9431645EC}">
                        <a14:shadowObscured xmlns:a14="http://schemas.microsoft.com/office/drawing/2010/main"/>
                      </a:ext>
                    </a:extLst>
                  </pic:spPr>
                </pic:pic>
              </a:graphicData>
            </a:graphic>
          </wp:inline>
        </w:drawing>
      </w:r>
    </w:p>
    <w:p w14:paraId="5D9DA62B" w14:textId="45113EB4" w:rsidR="00CA44C4" w:rsidRDefault="00637B4D" w:rsidP="00C10AEA">
      <w:pPr>
        <w:jc w:val="center"/>
        <w:rPr>
          <w:lang w:eastAsia="en-IN"/>
        </w:rPr>
      </w:pPr>
      <w:bookmarkStart w:id="13" w:name="_Hlk214309681"/>
      <w:r w:rsidRPr="003E7A0B">
        <w:rPr>
          <w:bCs/>
          <w:lang w:eastAsia="en-IN"/>
        </w:rPr>
        <w:t xml:space="preserve">Figure </w:t>
      </w:r>
      <w:r w:rsidR="003E7A0B" w:rsidRPr="003E7A0B">
        <w:rPr>
          <w:bCs/>
          <w:lang w:eastAsia="en-IN"/>
        </w:rPr>
        <w:t>6</w:t>
      </w:r>
      <w:r w:rsidR="003E7A0B">
        <w:rPr>
          <w:b/>
          <w:lang w:eastAsia="en-IN"/>
        </w:rPr>
        <w:t>:</w:t>
      </w:r>
      <w:r>
        <w:rPr>
          <w:lang w:eastAsia="en-IN"/>
        </w:rPr>
        <w:t xml:space="preserve"> Timeline Gantt Chart for Framework Implementation</w:t>
      </w:r>
    </w:p>
    <w:p w14:paraId="20B52B60" w14:textId="77777777" w:rsidR="00D603D6" w:rsidRDefault="00D603D6" w:rsidP="00C10AEA">
      <w:pPr>
        <w:jc w:val="center"/>
        <w:rPr>
          <w:lang w:eastAsia="en-IN"/>
        </w:rPr>
      </w:pPr>
    </w:p>
    <w:p w14:paraId="02FFDC66" w14:textId="6B9D4B5D" w:rsidR="006F462B" w:rsidRDefault="006F462B" w:rsidP="006F462B">
      <w:pPr>
        <w:rPr>
          <w:lang w:eastAsia="en-IN"/>
        </w:rPr>
      </w:pPr>
      <w:r w:rsidRPr="006F462B">
        <w:rPr>
          <w:lang w:eastAsia="en-IN"/>
        </w:rPr>
        <w:t>Although the hybrid framework provides comprehensive coverage, it depends on the organisational maturity and resource capacity of NG. A multi-framework approach may lead to duplication of controls, greater workload on documentation as well as resistance from staff that are not used to structured governance</w:t>
      </w:r>
      <w:r w:rsidR="004E564C">
        <w:rPr>
          <w:lang w:eastAsia="en-IN"/>
        </w:rPr>
        <w:t xml:space="preserve"> [23]</w:t>
      </w:r>
      <w:r w:rsidRPr="006F462B">
        <w:rPr>
          <w:lang w:eastAsia="en-IN"/>
        </w:rPr>
        <w:t>. NG must therefore ensure phased adoption, strong change management programmes and periodic rationalisation of overlapping controls. Without these the hybrid model could become administratively heavy as opposed to strategically beneficial.</w:t>
      </w:r>
    </w:p>
    <w:p w14:paraId="53936ADC" w14:textId="77777777" w:rsidR="00E83306" w:rsidRDefault="00E83306" w:rsidP="006F462B">
      <w:pPr>
        <w:rPr>
          <w:lang w:eastAsia="en-IN"/>
        </w:rPr>
      </w:pPr>
    </w:p>
    <w:p w14:paraId="03FCA6BA" w14:textId="35ADCE94" w:rsidR="00611134" w:rsidRPr="00611134" w:rsidRDefault="00611134" w:rsidP="00C10AEA">
      <w:pPr>
        <w:pStyle w:val="Heading2"/>
        <w:rPr>
          <w:lang w:eastAsia="en-IN"/>
        </w:rPr>
      </w:pPr>
      <w:bookmarkStart w:id="14" w:name="_Toc214320665"/>
      <w:bookmarkStart w:id="15" w:name="_Hlk214309817"/>
      <w:bookmarkEnd w:id="13"/>
      <w:r w:rsidRPr="00611134">
        <w:rPr>
          <w:lang w:eastAsia="en-IN"/>
        </w:rPr>
        <w:t>2.2 Critique, Analysis and Discussion of Updating Regulations and Standards</w:t>
      </w:r>
      <w:bookmarkEnd w:id="14"/>
    </w:p>
    <w:p w14:paraId="3A470489" w14:textId="4C41608F" w:rsidR="008867F9" w:rsidRPr="008867F9" w:rsidRDefault="008867F9" w:rsidP="00334F8C">
      <w:pPr>
        <w:tabs>
          <w:tab w:val="left" w:pos="3000"/>
        </w:tabs>
        <w:rPr>
          <w:lang w:val="en-US"/>
        </w:rPr>
      </w:pPr>
      <w:bookmarkStart w:id="16" w:name="_Toc214320666"/>
      <w:bookmarkEnd w:id="15"/>
      <w:r w:rsidRPr="008867F9">
        <w:t>The need for constant updating of the rules and standards of data security, governance and compliance is a result of the dynamic nature of cybersecurity sphere. This volatility is caused by the acceleration of technology change, the fast-paced change of threat vector, and the change of regulatory needs</w:t>
      </w:r>
      <w:r w:rsidR="004E564C">
        <w:t xml:space="preserve"> [24]</w:t>
      </w:r>
      <w:r w:rsidRPr="008867F9">
        <w:t>. This section is a critical analysis of the threats of stagnation, an evaluation of the current threat developments, and comments on the overall advantage and challenges of revision, especially for Nature Green's (NG) environment. Using modern studies to support the assertion that proactive updates are the key to decreasing risks within NG's wireless-dominated, cloud-integrated, and BYOD-enabled infrastructure.</w:t>
      </w:r>
      <w:r w:rsidRPr="008867F9">
        <w:rPr>
          <w:lang w:val="en-US"/>
        </w:rPr>
        <w:t> </w:t>
      </w:r>
    </w:p>
    <w:p w14:paraId="002E5F2D" w14:textId="30CF3B05" w:rsidR="00611134" w:rsidRPr="00611134" w:rsidRDefault="00611134" w:rsidP="00C10AEA">
      <w:pPr>
        <w:pStyle w:val="Heading2"/>
        <w:rPr>
          <w:lang w:eastAsia="en-IN"/>
        </w:rPr>
      </w:pPr>
      <w:r w:rsidRPr="00611134">
        <w:rPr>
          <w:lang w:eastAsia="en-IN"/>
        </w:rPr>
        <w:lastRenderedPageBreak/>
        <w:t>2.2.1 Critical Review on the Requirement of continuous updating</w:t>
      </w:r>
      <w:bookmarkEnd w:id="16"/>
    </w:p>
    <w:p w14:paraId="5CF4D0CA" w14:textId="38F17374" w:rsidR="00334F8C" w:rsidRDefault="00334F8C" w:rsidP="00334F8C">
      <w:pPr>
        <w:tabs>
          <w:tab w:val="left" w:pos="3000"/>
        </w:tabs>
      </w:pPr>
      <w:r>
        <w:t>The biggest concern raised against fixed regulations and standards is that they do not address new threats that were not expected in the earlier iterations and leave the organization vulnerable as a way of exploitation. One such critical example is that advanced risks, such as AI-based attacks, where machine learning algorithms automatically phish or deepfake or quantum computing threats that could breach current encryption cannot be considered by old policies</w:t>
      </w:r>
      <w:r w:rsidR="004E564C">
        <w:t xml:space="preserve"> [25]</w:t>
      </w:r>
      <w:r>
        <w:t>. The environment presented by NG could expose the intellectual property of its worth in the billions of dollars to a set of new vectors, the older models, including older versions of ISO standards, does not specifically cover cloud-specific controls, or AI governance. Not only does this obsolescence create the risk of breaches but also leads to loss of ethical data handling that is likely to destroy customer trust in an organization that deals with sensitive health-related data.</w:t>
      </w:r>
    </w:p>
    <w:p w14:paraId="52AFC82B" w14:textId="77777777" w:rsidR="00E83306" w:rsidRDefault="00E83306" w:rsidP="00334F8C">
      <w:pPr>
        <w:tabs>
          <w:tab w:val="left" w:pos="3000"/>
        </w:tabs>
      </w:pPr>
    </w:p>
    <w:p w14:paraId="50910DBC" w14:textId="63A3D853" w:rsidR="00334F8C" w:rsidRDefault="00611134" w:rsidP="00334F8C">
      <w:pPr>
        <w:tabs>
          <w:tab w:val="left" w:pos="3000"/>
        </w:tabs>
      </w:pPr>
      <w:r w:rsidRPr="00611134">
        <w:rPr>
          <w:lang w:eastAsia="en-IN"/>
        </w:rPr>
        <w:t xml:space="preserve">More importantly, </w:t>
      </w:r>
      <w:r w:rsidR="00334F8C">
        <w:t>the failure to update will result in a reactive and not a proactive security position as has been experienced in the past breaches where systems were not updated</w:t>
      </w:r>
      <w:r w:rsidR="000B3C36">
        <w:t xml:space="preserve"> [26]</w:t>
      </w:r>
      <w:r w:rsidR="00334F8C">
        <w:t>. Resource strain is an issue, but in the case of a large organization such as NG, the structural problem is organizational inertia: the challenge of managing the huge cross-functional change that would be necessary to systematically implement new standards. Firms with unchanging rules end up with compliance gaps, which in most cases leads to the failure to abide by rules and costs are incurred in a big way. This critique focuses on a systemic problem: unless standards are updated on a regular basis, they turn counterproductive and create the illusion of security as the attack surface is expanded as the internet spreads globally.</w:t>
      </w:r>
    </w:p>
    <w:p w14:paraId="57F73779" w14:textId="77777777" w:rsidR="00E83306" w:rsidRPr="00334F8C" w:rsidRDefault="00E83306" w:rsidP="00334F8C">
      <w:pPr>
        <w:tabs>
          <w:tab w:val="left" w:pos="3000"/>
        </w:tabs>
      </w:pPr>
    </w:p>
    <w:p w14:paraId="61D1000D" w14:textId="38C76B1D" w:rsidR="00611134" w:rsidRPr="00611134" w:rsidRDefault="00611134" w:rsidP="00C10AEA">
      <w:pPr>
        <w:pStyle w:val="Heading2"/>
        <w:rPr>
          <w:lang w:eastAsia="en-IN"/>
        </w:rPr>
      </w:pPr>
      <w:bookmarkStart w:id="17" w:name="_Toc214320667"/>
      <w:r w:rsidRPr="00611134">
        <w:rPr>
          <w:lang w:eastAsia="en-IN"/>
        </w:rPr>
        <w:t>2.2.2 Threat Analysis and the Revisions of Standards.</w:t>
      </w:r>
      <w:bookmarkEnd w:id="17"/>
    </w:p>
    <w:p w14:paraId="7FEE71AB" w14:textId="4527ACDF" w:rsidR="008867F9" w:rsidRPr="008867F9" w:rsidRDefault="008867F9" w:rsidP="008867F9">
      <w:pPr>
        <w:tabs>
          <w:tab w:val="left" w:pos="3000"/>
        </w:tabs>
        <w:rPr>
          <w:lang w:val="en-US"/>
        </w:rPr>
      </w:pPr>
      <w:bookmarkStart w:id="18" w:name="_Toc214320668"/>
      <w:r w:rsidRPr="008867F9">
        <w:t xml:space="preserve">Threat analysis shows that it is necessary to upgrade the defences and add new mechanisms as soon as possible. An example is ransomware, which went up by 34 percent globally in 2025, and more than 5,600 ransomware attacks were publicly reported last </w:t>
      </w:r>
      <w:proofErr w:type="gramStart"/>
      <w:r w:rsidRPr="008867F9">
        <w:t>year</w:t>
      </w:r>
      <w:r w:rsidR="002423F9">
        <w:t xml:space="preserve"> </w:t>
      </w:r>
      <w:r w:rsidRPr="008867F9">
        <w:t>.</w:t>
      </w:r>
      <w:proofErr w:type="gramEnd"/>
      <w:r w:rsidRPr="008867F9">
        <w:t xml:space="preserve"> This expansion that amounts to attack every 19 seconds worldwide makes it necessary to add new mechanisms, including a Zero-Trust model, to authenticate any access request regardless of its source. Industry reaction backs this change, as 81 percent of organizations are set to adopt Zero-Trust by 2026 and 60 </w:t>
      </w:r>
      <w:r w:rsidRPr="008867F9">
        <w:lastRenderedPageBreak/>
        <w:t>percent already adopt it as a policy by 2025, indicating a clear transformation of the security policy as perimeter-oriented security</w:t>
      </w:r>
      <w:r w:rsidR="000B3C36">
        <w:t xml:space="preserve"> [</w:t>
      </w:r>
      <w:r w:rsidR="002423F9">
        <w:t>27</w:t>
      </w:r>
      <w:r w:rsidR="000B3C36">
        <w:t>]</w:t>
      </w:r>
      <w:r w:rsidRPr="008867F9">
        <w:t>.</w:t>
      </w:r>
      <w:r w:rsidRPr="008867F9">
        <w:rPr>
          <w:lang w:val="en-US"/>
        </w:rPr>
        <w:t> </w:t>
      </w:r>
    </w:p>
    <w:p w14:paraId="798BAAEC" w14:textId="77777777" w:rsidR="008867F9" w:rsidRPr="008867F9" w:rsidRDefault="008867F9" w:rsidP="008867F9">
      <w:pPr>
        <w:tabs>
          <w:tab w:val="left" w:pos="3000"/>
        </w:tabs>
        <w:rPr>
          <w:lang w:val="en-US"/>
        </w:rPr>
      </w:pPr>
      <w:r w:rsidRPr="008867F9">
        <w:t> </w:t>
      </w:r>
      <w:r w:rsidRPr="008867F9">
        <w:rPr>
          <w:lang w:val="en-US"/>
        </w:rPr>
        <w:t> </w:t>
      </w:r>
    </w:p>
    <w:p w14:paraId="7E291F09" w14:textId="438D52B4" w:rsidR="008867F9" w:rsidRPr="008867F9" w:rsidRDefault="008867F9" w:rsidP="008867F9">
      <w:pPr>
        <w:tabs>
          <w:tab w:val="left" w:pos="3000"/>
        </w:tabs>
        <w:rPr>
          <w:lang w:val="en-US"/>
        </w:rPr>
      </w:pPr>
      <w:r w:rsidRPr="008867F9">
        <w:t>The tool of such needed adaptation is standard revisions. To provide an example, the latest version of ISO 27001:2022 that includes new cloud controls and risk treatment processes demands certified organizations to complete the transition deadline before October 31, 2025. Most recently, the ISO/IEC 27701</w:t>
      </w:r>
      <w:r w:rsidR="002423F9">
        <w:t>,</w:t>
      </w:r>
      <w:r w:rsidRPr="008867F9">
        <w:t>2025 was released in October 2025, namely improving AI/data processing with respect to privacy management, in line with the threats as automated data exfiltration. Without these updates, there is a massive compliance loophole which attracts huge fines. In 2025, Tik Tok was hefty fined EUR530 million by the lack of protecting child data and Google was EUR200</w:t>
      </w:r>
      <w:r w:rsidR="002423F9">
        <w:t xml:space="preserve"> </w:t>
      </w:r>
      <w:r w:rsidRPr="008867F9">
        <w:t>million due to the violation of cookie consents, which is a massive amount of money in monetary terms. This discussion demonstrates that revisions are effective in sealing weak points and that standards are on time in relation to a future threat environment in which the cost of damage by ransomware is projected to be up to $57 billion annually.</w:t>
      </w:r>
      <w:r w:rsidRPr="008867F9">
        <w:rPr>
          <w:lang w:val="en-US"/>
        </w:rPr>
        <w:t> </w:t>
      </w:r>
    </w:p>
    <w:p w14:paraId="2157B5C0" w14:textId="4217FAFE" w:rsidR="008867F9" w:rsidRPr="00E83306" w:rsidRDefault="008867F9" w:rsidP="008867F9">
      <w:pPr>
        <w:tabs>
          <w:tab w:val="left" w:pos="3000"/>
        </w:tabs>
        <w:rPr>
          <w:lang w:val="en-US"/>
        </w:rPr>
      </w:pPr>
      <w:r w:rsidRPr="008867F9">
        <w:rPr>
          <w:lang w:val="en-US"/>
        </w:rPr>
        <w:t> </w:t>
      </w:r>
    </w:p>
    <w:p w14:paraId="660D84B2" w14:textId="77777777" w:rsidR="00611134" w:rsidRPr="00611134" w:rsidRDefault="00611134" w:rsidP="00C10AEA">
      <w:pPr>
        <w:pStyle w:val="Heading2"/>
        <w:rPr>
          <w:lang w:eastAsia="en-IN"/>
        </w:rPr>
      </w:pPr>
      <w:r>
        <w:rPr>
          <w:lang w:eastAsia="en-IN"/>
        </w:rPr>
        <w:t xml:space="preserve">2.2.3 </w:t>
      </w:r>
      <w:r w:rsidRPr="00611134">
        <w:rPr>
          <w:lang w:eastAsia="en-IN"/>
        </w:rPr>
        <w:t>Discussion on Benefits, Challenges and Implications to NG.</w:t>
      </w:r>
      <w:bookmarkEnd w:id="18"/>
    </w:p>
    <w:p w14:paraId="29346C25" w14:textId="1F4E6B62" w:rsidR="008867F9" w:rsidRPr="008867F9" w:rsidRDefault="008867F9" w:rsidP="008867F9">
      <w:pPr>
        <w:rPr>
          <w:lang w:val="en-US" w:eastAsia="en-IN"/>
        </w:rPr>
      </w:pPr>
      <w:r w:rsidRPr="008867F9">
        <w:rPr>
          <w:lang w:eastAsia="en-IN"/>
        </w:rPr>
        <w:t>Regulatory and standards changes encourage the innovation by adopting the latest practices and advances, such as around-the-clock monitoring and AI-enabled threat detection that can help to reduce the number of breaches by 50-70 percent as defined by industry standards. These improvements result in a stronger organisational resilience, encourage ethical behaviour by maintaining high-quality data governance, and will end up benefiting more than harming by reducing liability and penalties. To give an example, NIS2 will extend cybersecurity requirements to additional areas, enhancing the overall resiliency at the cost of strong risk management, whereas the CRA would both increase the timeliness of vulnerability disclosure of digital products, decreasing systemic risks across supply chains [28].</w:t>
      </w:r>
      <w:r w:rsidRPr="008867F9">
        <w:rPr>
          <w:lang w:val="en-US" w:eastAsia="en-IN"/>
        </w:rPr>
        <w:t> </w:t>
      </w:r>
    </w:p>
    <w:p w14:paraId="5B25A301" w14:textId="420086F2" w:rsidR="008867F9" w:rsidRPr="008867F9" w:rsidRDefault="008867F9" w:rsidP="008867F9">
      <w:pPr>
        <w:rPr>
          <w:lang w:val="en-US" w:eastAsia="en-IN"/>
        </w:rPr>
      </w:pPr>
      <w:r w:rsidRPr="008867F9">
        <w:rPr>
          <w:lang w:eastAsia="en-IN"/>
        </w:rPr>
        <w:t>Despite that, the problems like resource strain due to constant updates, overwhelming smaller teams with implementation burdens, and requiring balanced and gradual rollouts to avoid operational disruptions remain </w:t>
      </w:r>
      <w:r w:rsidR="000B3C36">
        <w:rPr>
          <w:lang w:eastAsia="en-IN"/>
        </w:rPr>
        <w:t>[29]</w:t>
      </w:r>
      <w:r w:rsidRPr="008867F9">
        <w:rPr>
          <w:lang w:eastAsia="en-IN"/>
        </w:rPr>
        <w:t xml:space="preserve">. Studies have shown that most organisations are facing the challenge of the current cyber laws because of their </w:t>
      </w:r>
      <w:r w:rsidRPr="008867F9">
        <w:rPr>
          <w:lang w:eastAsia="en-IN"/>
        </w:rPr>
        <w:lastRenderedPageBreak/>
        <w:t>complexity and limited resources, which requires enabling frameworks to reduce the challenges.</w:t>
      </w:r>
      <w:r w:rsidRPr="008867F9">
        <w:rPr>
          <w:lang w:val="en-US" w:eastAsia="en-IN"/>
        </w:rPr>
        <w:t> </w:t>
      </w:r>
    </w:p>
    <w:p w14:paraId="53644BF7" w14:textId="4D35EAD1" w:rsidR="008867F9" w:rsidRPr="008867F9" w:rsidRDefault="008867F9" w:rsidP="008867F9">
      <w:pPr>
        <w:rPr>
          <w:lang w:val="en-US" w:eastAsia="en-IN"/>
        </w:rPr>
      </w:pPr>
      <w:r w:rsidRPr="008867F9">
        <w:rPr>
          <w:lang w:eastAsia="en-IN"/>
        </w:rPr>
        <w:t>The rapid updates, in case of NG, will play a vital role in safeguarding intellectual property and data in its wireless and BYOD ecosystem, which will contribute to the increase of competitiveness due to created stakeholder trust and responsive reaction to threats. Overall, proactive updates are better risk mitigation measures than their counterparts, with the ability to ensure long-term sustainability in the digital age as the threat posed by AI-organised attacks adjusts to the changing circumstance.</w:t>
      </w:r>
      <w:r w:rsidRPr="008867F9">
        <w:rPr>
          <w:lang w:val="en-US" w:eastAsia="en-IN"/>
        </w:rPr>
        <w:t> </w:t>
      </w:r>
    </w:p>
    <w:p w14:paraId="1E4306E1" w14:textId="77777777" w:rsidR="008867F9" w:rsidRPr="008519CF" w:rsidRDefault="008867F9" w:rsidP="00C10AEA">
      <w:pPr>
        <w:rPr>
          <w:lang w:eastAsia="en-IN"/>
        </w:rPr>
      </w:pPr>
    </w:p>
    <w:p w14:paraId="2B5FAABE" w14:textId="760C5FA6" w:rsidR="00F36C9F" w:rsidRDefault="009257E6" w:rsidP="00C10AEA">
      <w:pPr>
        <w:pStyle w:val="Heading1"/>
        <w:rPr>
          <w:lang w:eastAsia="en-IN"/>
        </w:rPr>
      </w:pPr>
      <w:bookmarkStart w:id="19" w:name="_Toc214320669"/>
      <w:r>
        <w:rPr>
          <w:lang w:eastAsia="en-IN"/>
        </w:rPr>
        <w:t xml:space="preserve">3. </w:t>
      </w:r>
      <w:r w:rsidR="008519CF" w:rsidRPr="008519CF">
        <w:rPr>
          <w:lang w:eastAsia="en-IN"/>
        </w:rPr>
        <w:t>Conclusion</w:t>
      </w:r>
      <w:bookmarkEnd w:id="19"/>
    </w:p>
    <w:p w14:paraId="461B5C3A" w14:textId="651541A7" w:rsidR="008867F9" w:rsidRPr="008867F9" w:rsidRDefault="008867F9" w:rsidP="00E83306">
      <w:pPr>
        <w:rPr>
          <w:lang w:val="en-US" w:eastAsia="en-IN"/>
        </w:rPr>
      </w:pPr>
      <w:r w:rsidRPr="008867F9">
        <w:rPr>
          <w:lang w:eastAsia="en-IN"/>
        </w:rPr>
        <w:t>To conclude, the current report has conducted a comprehensive study of notable security frameworks and models, such as ISO 27001, NIST Cybersecurity Framework, COBIT, and ITIL, which have been explained by their systems, advantages, and suitability in comparative tables, diagrams, and charts. Based on this, a custom hybrid framework has been developed to fit Nature Green (NG), blending governance based on COBIT, risk management based on NIST, policy controls based on ISO and operational practices based on ITIL to comprehensively deal with some of the unique challenges of the company including its preponderance of wireless technology, reliance on clouds, the pressures of BYOD and billions of dollars of intellectual property (IP) at risk</w:t>
      </w:r>
      <w:r w:rsidR="000B3C36">
        <w:rPr>
          <w:lang w:eastAsia="en-IN"/>
        </w:rPr>
        <w:t xml:space="preserve"> [30]</w:t>
      </w:r>
      <w:r w:rsidRPr="008867F9">
        <w:rPr>
          <w:lang w:eastAsia="en-IN"/>
        </w:rPr>
        <w:t>. Bespoke model not only addresses such weaknesses as information breaches and unauthorised access but also ensures an important level of adherence to regulations such as GDPR and CCPA, which creates a strong IT environment that aligns security with strategic business goals</w:t>
      </w:r>
      <w:r w:rsidR="000B3C36">
        <w:rPr>
          <w:lang w:eastAsia="en-IN"/>
        </w:rPr>
        <w:t xml:space="preserve"> [31]</w:t>
      </w:r>
      <w:r w:rsidRPr="008867F9">
        <w:rPr>
          <w:lang w:eastAsia="en-IN"/>
        </w:rPr>
        <w:t>.</w:t>
      </w:r>
      <w:r w:rsidRPr="008867F9">
        <w:rPr>
          <w:lang w:val="en-US" w:eastAsia="en-IN"/>
        </w:rPr>
        <w:t> </w:t>
      </w:r>
    </w:p>
    <w:p w14:paraId="22ADFF01" w14:textId="77777777" w:rsidR="008867F9" w:rsidRPr="008867F9" w:rsidRDefault="008867F9" w:rsidP="00E83306">
      <w:pPr>
        <w:rPr>
          <w:lang w:val="en-US" w:eastAsia="en-IN"/>
        </w:rPr>
      </w:pPr>
      <w:r w:rsidRPr="008867F9">
        <w:rPr>
          <w:lang w:eastAsia="en-IN"/>
        </w:rPr>
        <w:t>To continue working in the future, pilot projects on the suggested framework in a few NG departments would confirm its effectiveness, and then a complete implementation of this framework can be launched with measures to monitor it (i.e., a decline in incidents). Also, one should consider the integration of recent technologies such as AI in identifying threats or blockchain to protect IP. Overall, this report can serve as a case example of how data security principles can be applied, thus leading to a safer and more law-abiding digital ecosystem of organisations such as NG in an age of unabated cyber development.</w:t>
      </w:r>
      <w:r w:rsidRPr="008867F9">
        <w:rPr>
          <w:lang w:val="en-US" w:eastAsia="en-IN"/>
        </w:rPr>
        <w:t> </w:t>
      </w:r>
    </w:p>
    <w:p w14:paraId="081C8C5A" w14:textId="77777777" w:rsidR="008867F9" w:rsidRPr="008867F9" w:rsidRDefault="008867F9" w:rsidP="008867F9">
      <w:pPr>
        <w:spacing w:before="0" w:after="160" w:line="259" w:lineRule="auto"/>
        <w:jc w:val="left"/>
        <w:rPr>
          <w:lang w:val="en-US" w:eastAsia="en-IN"/>
        </w:rPr>
      </w:pPr>
      <w:r w:rsidRPr="008867F9">
        <w:rPr>
          <w:lang w:val="en-US" w:eastAsia="en-IN"/>
        </w:rPr>
        <w:t> </w:t>
      </w:r>
    </w:p>
    <w:p w14:paraId="51B0A964" w14:textId="77777777" w:rsidR="00C10AEA" w:rsidRDefault="00C10AEA">
      <w:pPr>
        <w:spacing w:before="0" w:after="160" w:line="259" w:lineRule="auto"/>
        <w:jc w:val="left"/>
        <w:rPr>
          <w:rFonts w:ascii="Times New Roman" w:hAnsi="Times New Roman" w:cs="Times New Roman"/>
          <w:b/>
        </w:rPr>
      </w:pPr>
      <w:r>
        <w:rPr>
          <w:rFonts w:ascii="Times New Roman" w:hAnsi="Times New Roman" w:cs="Times New Roman"/>
          <w:b/>
        </w:rPr>
        <w:lastRenderedPageBreak/>
        <w:br w:type="page"/>
      </w:r>
    </w:p>
    <w:p w14:paraId="4775C32A" w14:textId="641C62D0" w:rsidR="00391529" w:rsidRPr="00EF5A60" w:rsidRDefault="00C979AD" w:rsidP="00EF5A60">
      <w:pPr>
        <w:pStyle w:val="Heading1"/>
      </w:pPr>
      <w:bookmarkStart w:id="20" w:name="_Toc214320670"/>
      <w:r w:rsidRPr="00C979AD">
        <w:lastRenderedPageBreak/>
        <w:t>References</w:t>
      </w:r>
      <w:bookmarkEnd w:id="20"/>
    </w:p>
    <w:p w14:paraId="4230CB53" w14:textId="77777777" w:rsidR="00FE126C" w:rsidRPr="00FE126C" w:rsidRDefault="00FE126C" w:rsidP="00FE126C">
      <w:pPr>
        <w:jc w:val="left"/>
        <w:rPr>
          <w:color w:val="000000" w:themeColor="text1"/>
          <w:lang w:val="en-US"/>
        </w:rPr>
      </w:pPr>
      <w:r w:rsidRPr="00FE126C">
        <w:rPr>
          <w:color w:val="000000" w:themeColor="text1"/>
          <w:lang w:val="en-US"/>
        </w:rPr>
        <w:t>[1] N. Z. Bawany, J. A. Shamsi, and K. Salah, “DDoS Attack Detection and Mitigation Using SDN: Methods, Practices, and Solutions,” Journal of Network and Computer Applications, vol. 112, pp. 65–79, 2018.</w:t>
      </w:r>
    </w:p>
    <w:p w14:paraId="64F4F642" w14:textId="77777777" w:rsidR="00FE126C" w:rsidRPr="00FE126C" w:rsidRDefault="00FE126C" w:rsidP="00FE126C">
      <w:pPr>
        <w:jc w:val="left"/>
        <w:rPr>
          <w:color w:val="000000" w:themeColor="text1"/>
          <w:lang w:val="en-US"/>
        </w:rPr>
      </w:pPr>
      <w:r w:rsidRPr="00FE126C">
        <w:rPr>
          <w:color w:val="000000" w:themeColor="text1"/>
          <w:lang w:val="en-US"/>
        </w:rPr>
        <w:t xml:space="preserve">[2] A. </w:t>
      </w:r>
      <w:proofErr w:type="spellStart"/>
      <w:r w:rsidRPr="00FE126C">
        <w:rPr>
          <w:color w:val="000000" w:themeColor="text1"/>
          <w:lang w:val="en-US"/>
        </w:rPr>
        <w:t>Alharkan</w:t>
      </w:r>
      <w:proofErr w:type="spellEnd"/>
      <w:r w:rsidRPr="00FE126C">
        <w:rPr>
          <w:color w:val="000000" w:themeColor="text1"/>
          <w:lang w:val="en-US"/>
        </w:rPr>
        <w:t xml:space="preserve"> and H. S. Al-Khalifa, “An Analysis of Security Challenges in Cloud Computing,” Future Generation Computer Systems, vol. 105, pp. 501–509, 2020.</w:t>
      </w:r>
    </w:p>
    <w:p w14:paraId="24982A47" w14:textId="77777777" w:rsidR="00FE126C" w:rsidRPr="00FE126C" w:rsidRDefault="00FE126C" w:rsidP="00FE126C">
      <w:pPr>
        <w:jc w:val="left"/>
        <w:rPr>
          <w:color w:val="000000" w:themeColor="text1"/>
          <w:lang w:val="en-US"/>
        </w:rPr>
      </w:pPr>
      <w:r w:rsidRPr="00FE126C">
        <w:rPr>
          <w:color w:val="000000" w:themeColor="text1"/>
          <w:lang w:val="en-US"/>
        </w:rPr>
        <w:t>[3] M. Singh, M. Sood and S. K. Sharma, “Security Enhancements in IEEE 802.11 Networks with WPA3: A Comprehensive Review,” Computer Communications, vol. 176, pp. 150–164, 2021.</w:t>
      </w:r>
    </w:p>
    <w:p w14:paraId="7C9AB9A2" w14:textId="77777777" w:rsidR="00FE126C" w:rsidRPr="00FE126C" w:rsidRDefault="00FE126C" w:rsidP="00FE126C">
      <w:pPr>
        <w:jc w:val="left"/>
        <w:rPr>
          <w:color w:val="000000" w:themeColor="text1"/>
          <w:lang w:val="en-US"/>
        </w:rPr>
      </w:pPr>
      <w:r w:rsidRPr="00FE126C">
        <w:rPr>
          <w:color w:val="000000" w:themeColor="text1"/>
          <w:lang w:val="en-US"/>
        </w:rPr>
        <w:t>[4] S. Sohail and Y. Ding, “BYOD Security Risks and Mitigation in Enterprise Environments,” Computers &amp; Security, vol. 97, Art. no. 101887, 2020.</w:t>
      </w:r>
    </w:p>
    <w:p w14:paraId="56D085DE" w14:textId="77777777" w:rsidR="00FE126C" w:rsidRPr="00FE126C" w:rsidRDefault="00FE126C" w:rsidP="00FE126C">
      <w:pPr>
        <w:jc w:val="left"/>
        <w:rPr>
          <w:color w:val="000000" w:themeColor="text1"/>
          <w:lang w:val="en-US"/>
        </w:rPr>
      </w:pPr>
      <w:r w:rsidRPr="00FE126C">
        <w:rPr>
          <w:color w:val="000000" w:themeColor="text1"/>
          <w:lang w:val="en-US"/>
        </w:rPr>
        <w:t>[5] M. A. Alshaikh, “Developing Cybersecurity Frameworks: A Systematic Literature Review,” Computers &amp; Security, vol. 111, Art. no. 102490, 2021.</w:t>
      </w:r>
    </w:p>
    <w:p w14:paraId="18AC85F8" w14:textId="77777777" w:rsidR="00FE126C" w:rsidRPr="00FE126C" w:rsidRDefault="00FE126C" w:rsidP="00FE126C">
      <w:pPr>
        <w:jc w:val="left"/>
        <w:rPr>
          <w:color w:val="000000" w:themeColor="text1"/>
          <w:lang w:val="en-US"/>
        </w:rPr>
      </w:pPr>
      <w:r w:rsidRPr="00FE126C">
        <w:rPr>
          <w:color w:val="000000" w:themeColor="text1"/>
          <w:lang w:val="en-US"/>
        </w:rPr>
        <w:t>[6] H. H. Kim, S. J. Lee and J. H. Park, “A Comparative Study on Major Information Security Frameworks: ISO 27001, NIST and COBIT,” Journal of Information Security and Applications, vol. 63, Art. no. 102981, 2021.</w:t>
      </w:r>
    </w:p>
    <w:p w14:paraId="2D9C3949" w14:textId="77777777" w:rsidR="00FE126C" w:rsidRPr="00FE126C" w:rsidRDefault="00FE126C" w:rsidP="00FE126C">
      <w:pPr>
        <w:jc w:val="left"/>
        <w:rPr>
          <w:color w:val="000000" w:themeColor="text1"/>
          <w:lang w:val="en-US"/>
        </w:rPr>
      </w:pPr>
      <w:r w:rsidRPr="00FE126C">
        <w:rPr>
          <w:color w:val="000000" w:themeColor="text1"/>
          <w:lang w:val="en-US"/>
        </w:rPr>
        <w:t>[7] K. Stouffer, V. Pillitteri, S. Lightman, M. Abrams, and A. Hahn, “Guide to Industrial Control Systems (ICS) Security,” NIST SP 800-82 Rev. 2, 2015.</w:t>
      </w:r>
    </w:p>
    <w:p w14:paraId="5D4E7637" w14:textId="77777777" w:rsidR="00FE126C" w:rsidRPr="00FE126C" w:rsidRDefault="00FE126C" w:rsidP="00FE126C">
      <w:pPr>
        <w:jc w:val="left"/>
        <w:rPr>
          <w:color w:val="000000" w:themeColor="text1"/>
          <w:lang w:val="en-US"/>
        </w:rPr>
      </w:pPr>
      <w:r w:rsidRPr="00FE126C">
        <w:rPr>
          <w:color w:val="000000" w:themeColor="text1"/>
          <w:lang w:val="en-US"/>
        </w:rPr>
        <w:t>[8] ISO/IEC, “ISO/IEC 27001 Information Security Management Systems—Requirements,” International Organization for Standardization, 2022.</w:t>
      </w:r>
    </w:p>
    <w:p w14:paraId="261A0DE0" w14:textId="77777777" w:rsidR="00FE126C" w:rsidRPr="00FE126C" w:rsidRDefault="00FE126C" w:rsidP="00FE126C">
      <w:pPr>
        <w:jc w:val="left"/>
        <w:rPr>
          <w:color w:val="000000" w:themeColor="text1"/>
          <w:lang w:val="en-US"/>
        </w:rPr>
      </w:pPr>
      <w:r w:rsidRPr="00FE126C">
        <w:rPr>
          <w:color w:val="000000" w:themeColor="text1"/>
          <w:lang w:val="en-US"/>
        </w:rPr>
        <w:t>[9] National Institute of Standards and Technology, “Framework for Improving Critical Infrastructure Cybersecurity,” NIST, Gaithersburg, MD, USA, 2018.</w:t>
      </w:r>
    </w:p>
    <w:p w14:paraId="50930172" w14:textId="77777777" w:rsidR="00FE126C" w:rsidRPr="00FE126C" w:rsidRDefault="00FE126C" w:rsidP="00FE126C">
      <w:pPr>
        <w:jc w:val="left"/>
        <w:rPr>
          <w:color w:val="000000" w:themeColor="text1"/>
          <w:lang w:val="en-US"/>
        </w:rPr>
      </w:pPr>
      <w:r w:rsidRPr="00FE126C">
        <w:rPr>
          <w:color w:val="000000" w:themeColor="text1"/>
          <w:lang w:val="en-US"/>
        </w:rPr>
        <w:t>[10] ISACA, “COBIT 2019 Framework: Governance and Management Objectives,” ISACA, 2019.</w:t>
      </w:r>
    </w:p>
    <w:p w14:paraId="32AB5FA9" w14:textId="77777777" w:rsidR="00FE126C" w:rsidRPr="00FE126C" w:rsidRDefault="00FE126C" w:rsidP="00FE126C">
      <w:pPr>
        <w:jc w:val="left"/>
        <w:rPr>
          <w:color w:val="000000" w:themeColor="text1"/>
          <w:lang w:val="en-US"/>
        </w:rPr>
      </w:pPr>
      <w:r w:rsidRPr="00FE126C">
        <w:rPr>
          <w:color w:val="000000" w:themeColor="text1"/>
          <w:lang w:val="en-US"/>
        </w:rPr>
        <w:t>[11] M. A. Khan and K. Salah, “IoT Security: Review, Blockchain Solutions, and Open Challenges,” Future Generation Computer Systems, vol. 82, pp. 395–411, 2018.</w:t>
      </w:r>
    </w:p>
    <w:p w14:paraId="7381A9C9" w14:textId="77777777" w:rsidR="00FE126C" w:rsidRPr="00FE126C" w:rsidRDefault="00FE126C" w:rsidP="00FE126C">
      <w:pPr>
        <w:jc w:val="left"/>
        <w:rPr>
          <w:color w:val="000000" w:themeColor="text1"/>
          <w:lang w:val="en-US"/>
        </w:rPr>
      </w:pPr>
      <w:r w:rsidRPr="00FE126C">
        <w:rPr>
          <w:color w:val="000000" w:themeColor="text1"/>
          <w:lang w:val="en-US"/>
        </w:rPr>
        <w:t>[12] A. Shameli-Sendi, M. F. Esfahani, and M. Dagenais, “Taxonomy of Security Requirements for Cloud Computing,” Journal of Network and Computer Applications, vol. 54, pp. 1–16, 2015.</w:t>
      </w:r>
    </w:p>
    <w:p w14:paraId="505B8A97" w14:textId="77777777" w:rsidR="00FE126C" w:rsidRPr="00FE126C" w:rsidRDefault="00FE126C" w:rsidP="00FE126C">
      <w:pPr>
        <w:jc w:val="left"/>
        <w:rPr>
          <w:color w:val="000000" w:themeColor="text1"/>
          <w:lang w:val="en-US"/>
        </w:rPr>
      </w:pPr>
      <w:r w:rsidRPr="00FE126C">
        <w:rPr>
          <w:color w:val="000000" w:themeColor="text1"/>
          <w:lang w:val="en-US"/>
        </w:rPr>
        <w:lastRenderedPageBreak/>
        <w:t>[13] A. M. Lone and R. Mir, “Forensic Investigation of Cloud Computing Systems,” Journal of King Saud University – Computer and Information Sciences, vol. 32, no. 1, pp. 1–10, 2020.</w:t>
      </w:r>
    </w:p>
    <w:p w14:paraId="62E0A562" w14:textId="77777777" w:rsidR="00FE126C" w:rsidRPr="00FE126C" w:rsidRDefault="00FE126C" w:rsidP="00FE126C">
      <w:pPr>
        <w:jc w:val="left"/>
        <w:rPr>
          <w:color w:val="000000" w:themeColor="text1"/>
          <w:lang w:val="en-US"/>
        </w:rPr>
      </w:pPr>
      <w:r w:rsidRPr="00FE126C">
        <w:rPr>
          <w:color w:val="000000" w:themeColor="text1"/>
          <w:lang w:val="en-US"/>
        </w:rPr>
        <w:t xml:space="preserve">[14] M. Shurman, S. </w:t>
      </w:r>
      <w:proofErr w:type="spellStart"/>
      <w:r w:rsidRPr="00FE126C">
        <w:rPr>
          <w:color w:val="000000" w:themeColor="text1"/>
          <w:lang w:val="en-US"/>
        </w:rPr>
        <w:t>Alsmadi</w:t>
      </w:r>
      <w:proofErr w:type="spellEnd"/>
      <w:r w:rsidRPr="00FE126C">
        <w:rPr>
          <w:color w:val="000000" w:themeColor="text1"/>
          <w:lang w:val="en-US"/>
        </w:rPr>
        <w:t xml:space="preserve"> and M. Al-Akhras, “A Review of Zero-Trust Architecture: Components, Benefits and Challenges,” Computers &amp; Security, vol. 114, 102577, 2022.</w:t>
      </w:r>
    </w:p>
    <w:p w14:paraId="5F359B55" w14:textId="77777777" w:rsidR="00FE126C" w:rsidRPr="00FE126C" w:rsidRDefault="00FE126C" w:rsidP="00FE126C">
      <w:pPr>
        <w:jc w:val="left"/>
        <w:rPr>
          <w:color w:val="000000" w:themeColor="text1"/>
          <w:lang w:val="en-US"/>
        </w:rPr>
      </w:pPr>
      <w:r w:rsidRPr="00FE126C">
        <w:rPr>
          <w:color w:val="000000" w:themeColor="text1"/>
          <w:lang w:val="en-US"/>
        </w:rPr>
        <w:t>[15] D. Basin, S. Debois, and T. Hildebrandt, “On Purpose and by Necessity: Compliance Under the GDPR,” Communications of the ACM, vol. 62, no. 5, pp. 30–33, 2019.</w:t>
      </w:r>
    </w:p>
    <w:p w14:paraId="2694F9F3" w14:textId="77777777" w:rsidR="00FE126C" w:rsidRPr="00FE126C" w:rsidRDefault="00FE126C" w:rsidP="00FE126C">
      <w:pPr>
        <w:jc w:val="left"/>
        <w:rPr>
          <w:color w:val="000000" w:themeColor="text1"/>
          <w:lang w:val="en-US"/>
        </w:rPr>
      </w:pPr>
      <w:r w:rsidRPr="00FE126C">
        <w:rPr>
          <w:color w:val="000000" w:themeColor="text1"/>
          <w:lang w:val="en-US"/>
        </w:rPr>
        <w:t>[16] Microsoft, “Microsoft Azure Service Level Agreements,” Microsoft Documentation, 2023.</w:t>
      </w:r>
    </w:p>
    <w:p w14:paraId="3C45B299" w14:textId="77777777" w:rsidR="00FE126C" w:rsidRPr="00FE126C" w:rsidRDefault="00FE126C" w:rsidP="00FE126C">
      <w:pPr>
        <w:jc w:val="left"/>
        <w:rPr>
          <w:color w:val="000000" w:themeColor="text1"/>
          <w:lang w:val="en-US"/>
        </w:rPr>
      </w:pPr>
      <w:r w:rsidRPr="00FE126C">
        <w:rPr>
          <w:color w:val="000000" w:themeColor="text1"/>
          <w:lang w:val="en-US"/>
        </w:rPr>
        <w:t>[17] K. Salloum, “Cloud SLAs: A Survey and Taxonomy,” Journal of Cloud Computing, vol. 7, no. 1, pp. 1–17, 2018.</w:t>
      </w:r>
    </w:p>
    <w:p w14:paraId="58E170D2" w14:textId="77777777" w:rsidR="00FE126C" w:rsidRPr="00FE126C" w:rsidRDefault="00FE126C" w:rsidP="00FE126C">
      <w:pPr>
        <w:jc w:val="left"/>
        <w:rPr>
          <w:color w:val="000000" w:themeColor="text1"/>
          <w:lang w:val="en-US"/>
        </w:rPr>
      </w:pPr>
      <w:r w:rsidRPr="00FE126C">
        <w:rPr>
          <w:color w:val="000000" w:themeColor="text1"/>
          <w:lang w:val="en-US"/>
        </w:rPr>
        <w:t>[18] J. Mace, R. E. Isaac and S. Knight, “A Survey of Cloud Service Level Agreement Management,” ACM Computing Surveys, vol. 53, no. 3, pp. 1–39, 2020.</w:t>
      </w:r>
    </w:p>
    <w:p w14:paraId="5BB20EF1" w14:textId="77777777" w:rsidR="00FE126C" w:rsidRPr="00FE126C" w:rsidRDefault="00FE126C" w:rsidP="00FE126C">
      <w:pPr>
        <w:jc w:val="left"/>
        <w:rPr>
          <w:color w:val="000000" w:themeColor="text1"/>
          <w:lang w:val="en-US"/>
        </w:rPr>
      </w:pPr>
      <w:r w:rsidRPr="00FE126C">
        <w:rPr>
          <w:color w:val="000000" w:themeColor="text1"/>
          <w:lang w:val="en-US"/>
        </w:rPr>
        <w:t>[19] A. Almutairi, “Techniques for SLA Monitoring in Cloud Environments,” IEEE Access, vol. 8, pp. 1–13, 2020.</w:t>
      </w:r>
    </w:p>
    <w:p w14:paraId="58F4078B" w14:textId="77777777" w:rsidR="00FE126C" w:rsidRPr="00FE126C" w:rsidRDefault="00FE126C" w:rsidP="00FE126C">
      <w:pPr>
        <w:jc w:val="left"/>
        <w:rPr>
          <w:color w:val="000000" w:themeColor="text1"/>
          <w:lang w:val="en-US"/>
        </w:rPr>
      </w:pPr>
      <w:r w:rsidRPr="00FE126C">
        <w:rPr>
          <w:color w:val="000000" w:themeColor="text1"/>
          <w:lang w:val="en-US"/>
        </w:rPr>
        <w:t>[20] J. Brooke, “Framework Integration Approaches: The Interplay Between COBIT, ITIL, ISO 27001 and NIST,” Procedia Computer Science, vol. 181, pp. 782–791, 2021.</w:t>
      </w:r>
    </w:p>
    <w:p w14:paraId="24D25117" w14:textId="77777777" w:rsidR="00FE126C" w:rsidRPr="00FE126C" w:rsidRDefault="00FE126C" w:rsidP="00FE126C">
      <w:pPr>
        <w:jc w:val="left"/>
        <w:rPr>
          <w:color w:val="000000" w:themeColor="text1"/>
          <w:lang w:val="en-US"/>
        </w:rPr>
      </w:pPr>
      <w:r w:rsidRPr="00FE126C">
        <w:rPr>
          <w:color w:val="000000" w:themeColor="text1"/>
          <w:lang w:val="en-US"/>
        </w:rPr>
        <w:t xml:space="preserve">[21] S. </w:t>
      </w:r>
      <w:proofErr w:type="spellStart"/>
      <w:r w:rsidRPr="00FE126C">
        <w:rPr>
          <w:color w:val="000000" w:themeColor="text1"/>
          <w:lang w:val="en-US"/>
        </w:rPr>
        <w:t>Alahmari</w:t>
      </w:r>
      <w:proofErr w:type="spellEnd"/>
      <w:r w:rsidRPr="00FE126C">
        <w:rPr>
          <w:color w:val="000000" w:themeColor="text1"/>
          <w:lang w:val="en-US"/>
        </w:rPr>
        <w:t>, T. Watson, and F. Maxim, “Hybrid Security Frameworks for Enterprise Environments: A Comparative Analysis,” Computers &amp; Security, vol. 120, 102805, 2022.</w:t>
      </w:r>
    </w:p>
    <w:p w14:paraId="337DA0EB" w14:textId="77777777" w:rsidR="00FE126C" w:rsidRPr="00FE126C" w:rsidRDefault="00FE126C" w:rsidP="00FE126C">
      <w:pPr>
        <w:jc w:val="left"/>
        <w:rPr>
          <w:color w:val="000000" w:themeColor="text1"/>
          <w:lang w:val="en-US"/>
        </w:rPr>
      </w:pPr>
      <w:r w:rsidRPr="00FE126C">
        <w:rPr>
          <w:color w:val="000000" w:themeColor="text1"/>
          <w:lang w:val="en-US"/>
        </w:rPr>
        <w:t>[22] S. Ben-Asher and C. Gonzalez, “Cybersecurity Training for the Workforce,” Computers &amp; Security, vol. 70, pp. 1–16, 2017.</w:t>
      </w:r>
    </w:p>
    <w:p w14:paraId="75932EBC" w14:textId="77777777" w:rsidR="00FE126C" w:rsidRPr="00FE126C" w:rsidRDefault="00FE126C" w:rsidP="00FE126C">
      <w:pPr>
        <w:jc w:val="left"/>
        <w:rPr>
          <w:color w:val="000000" w:themeColor="text1"/>
          <w:lang w:val="en-US"/>
        </w:rPr>
      </w:pPr>
      <w:r w:rsidRPr="00FE126C">
        <w:rPr>
          <w:color w:val="000000" w:themeColor="text1"/>
          <w:lang w:val="en-US"/>
        </w:rPr>
        <w:t>[23] S. M. Alqahtani, “Cybersecurity Change Management and Framework Adoption Challenges,” IEEE Access, vol. 9, pp. 1–12, 2021.</w:t>
      </w:r>
    </w:p>
    <w:p w14:paraId="2A74DA8F" w14:textId="77777777" w:rsidR="00FE126C" w:rsidRPr="00FE126C" w:rsidRDefault="00FE126C" w:rsidP="00FE126C">
      <w:pPr>
        <w:jc w:val="left"/>
        <w:rPr>
          <w:color w:val="000000" w:themeColor="text1"/>
          <w:lang w:val="en-US"/>
        </w:rPr>
      </w:pPr>
      <w:r w:rsidRPr="00FE126C">
        <w:rPr>
          <w:color w:val="000000" w:themeColor="text1"/>
          <w:lang w:val="en-US"/>
        </w:rPr>
        <w:t xml:space="preserve">[24] R. Ahmad and A. B. </w:t>
      </w:r>
      <w:proofErr w:type="spellStart"/>
      <w:r w:rsidRPr="00FE126C">
        <w:rPr>
          <w:color w:val="000000" w:themeColor="text1"/>
          <w:lang w:val="en-US"/>
        </w:rPr>
        <w:t>Hasibuan</w:t>
      </w:r>
      <w:proofErr w:type="spellEnd"/>
      <w:r w:rsidRPr="00FE126C">
        <w:rPr>
          <w:color w:val="000000" w:themeColor="text1"/>
          <w:lang w:val="en-US"/>
        </w:rPr>
        <w:t>, “Updating Cybersecurity Standards to Address Emerging AI Threats,” Journal of Information Security and Applications, vol. 71, 103319, 2023.</w:t>
      </w:r>
    </w:p>
    <w:p w14:paraId="5FF167F4" w14:textId="77777777" w:rsidR="00FE126C" w:rsidRPr="00FE126C" w:rsidRDefault="00FE126C" w:rsidP="00FE126C">
      <w:pPr>
        <w:jc w:val="left"/>
        <w:rPr>
          <w:color w:val="000000" w:themeColor="text1"/>
          <w:lang w:val="en-US"/>
        </w:rPr>
      </w:pPr>
      <w:r w:rsidRPr="00FE126C">
        <w:rPr>
          <w:color w:val="000000" w:themeColor="text1"/>
          <w:lang w:val="en-US"/>
        </w:rPr>
        <w:t xml:space="preserve">[25] National Cyber Security Centre (NCSC), “Artificial Intelligence and Cyber </w:t>
      </w:r>
      <w:proofErr w:type="spellStart"/>
      <w:r w:rsidRPr="00FE126C">
        <w:rPr>
          <w:color w:val="000000" w:themeColor="text1"/>
          <w:lang w:val="en-US"/>
        </w:rPr>
        <w:t>Defence</w:t>
      </w:r>
      <w:proofErr w:type="spellEnd"/>
      <w:r w:rsidRPr="00FE126C">
        <w:rPr>
          <w:color w:val="000000" w:themeColor="text1"/>
          <w:lang w:val="en-US"/>
        </w:rPr>
        <w:t>,” 2023.</w:t>
      </w:r>
    </w:p>
    <w:p w14:paraId="4B2DEAD5" w14:textId="77777777" w:rsidR="00FE126C" w:rsidRPr="00FE126C" w:rsidRDefault="00FE126C" w:rsidP="00FE126C">
      <w:pPr>
        <w:jc w:val="left"/>
        <w:rPr>
          <w:color w:val="000000" w:themeColor="text1"/>
          <w:lang w:val="en-US"/>
        </w:rPr>
      </w:pPr>
      <w:r w:rsidRPr="00FE126C">
        <w:rPr>
          <w:color w:val="000000" w:themeColor="text1"/>
          <w:lang w:val="en-US"/>
        </w:rPr>
        <w:lastRenderedPageBreak/>
        <w:t xml:space="preserve">[26] S. Garg, P. K. Sharma, and M. </w:t>
      </w:r>
      <w:proofErr w:type="spellStart"/>
      <w:r w:rsidRPr="00FE126C">
        <w:rPr>
          <w:color w:val="000000" w:themeColor="text1"/>
          <w:lang w:val="en-US"/>
        </w:rPr>
        <w:t>Alazab</w:t>
      </w:r>
      <w:proofErr w:type="spellEnd"/>
      <w:r w:rsidRPr="00FE126C">
        <w:rPr>
          <w:color w:val="000000" w:themeColor="text1"/>
          <w:lang w:val="en-US"/>
        </w:rPr>
        <w:t>, “The Rise of AI-Driven Cyber Attacks,” IEEE Access, vol. 8, pp. 1–14, 2020.</w:t>
      </w:r>
    </w:p>
    <w:p w14:paraId="3B96DC80" w14:textId="77777777" w:rsidR="00FE126C" w:rsidRPr="00FE126C" w:rsidRDefault="00FE126C" w:rsidP="00FE126C">
      <w:pPr>
        <w:jc w:val="left"/>
        <w:rPr>
          <w:color w:val="000000" w:themeColor="text1"/>
          <w:lang w:val="en-US"/>
        </w:rPr>
      </w:pPr>
      <w:r w:rsidRPr="00FE126C">
        <w:rPr>
          <w:color w:val="000000" w:themeColor="text1"/>
          <w:lang w:val="en-US"/>
        </w:rPr>
        <w:t>[27] P. Shakarian, A. Shakarian, and C. Ruef, “Zero-Trust Security in Modern Enterprises,” IEEE Security &amp; Privacy, vol. 20, no. 3, pp. 12–21, 2022.</w:t>
      </w:r>
    </w:p>
    <w:p w14:paraId="2595DC4A" w14:textId="77777777" w:rsidR="00FE126C" w:rsidRPr="00FE126C" w:rsidRDefault="00FE126C" w:rsidP="00FE126C">
      <w:pPr>
        <w:jc w:val="left"/>
        <w:rPr>
          <w:color w:val="000000" w:themeColor="text1"/>
          <w:lang w:val="en-US"/>
        </w:rPr>
      </w:pPr>
      <w:r w:rsidRPr="00FE126C">
        <w:rPr>
          <w:color w:val="000000" w:themeColor="text1"/>
          <w:lang w:val="en-US"/>
        </w:rPr>
        <w:t>[28] European Commission, “NIS2 Directive and Cyber Resilience Act,” EU Publications, 2023.</w:t>
      </w:r>
    </w:p>
    <w:p w14:paraId="0130C8CC" w14:textId="77777777" w:rsidR="00FE126C" w:rsidRPr="00FE126C" w:rsidRDefault="00FE126C" w:rsidP="00FE126C">
      <w:pPr>
        <w:jc w:val="left"/>
        <w:rPr>
          <w:color w:val="000000" w:themeColor="text1"/>
          <w:lang w:val="en-US"/>
        </w:rPr>
      </w:pPr>
      <w:r w:rsidRPr="00FE126C">
        <w:rPr>
          <w:color w:val="000000" w:themeColor="text1"/>
          <w:lang w:val="en-US"/>
        </w:rPr>
        <w:t>[29] B. Kitchenham, S. Charters, “Challenges in Cybersecurity Standard Adoption,” Journal of Systems and Software, vol. 150, pp. 50–65, 2019.</w:t>
      </w:r>
    </w:p>
    <w:p w14:paraId="4793D948" w14:textId="77777777" w:rsidR="00FE126C" w:rsidRPr="00FE126C" w:rsidRDefault="00FE126C" w:rsidP="00FE126C">
      <w:pPr>
        <w:jc w:val="left"/>
        <w:rPr>
          <w:color w:val="000000" w:themeColor="text1"/>
          <w:lang w:val="en-US"/>
        </w:rPr>
      </w:pPr>
      <w:r w:rsidRPr="00FE126C">
        <w:rPr>
          <w:color w:val="000000" w:themeColor="text1"/>
          <w:lang w:val="en-US"/>
        </w:rPr>
        <w:t>[30] S. Barlette and A. Fomin, “Exploring the Resource Constraints in Cybersecurity Compliance,” Computers &amp; Security, vol. 99, 102030, 2020.</w:t>
      </w:r>
    </w:p>
    <w:p w14:paraId="0E036837" w14:textId="77777777" w:rsidR="00FE126C" w:rsidRPr="00FE126C" w:rsidRDefault="00FE126C" w:rsidP="00FE126C">
      <w:pPr>
        <w:jc w:val="left"/>
        <w:rPr>
          <w:color w:val="000000" w:themeColor="text1"/>
          <w:lang w:val="en-US"/>
        </w:rPr>
      </w:pPr>
      <w:r w:rsidRPr="00FE126C">
        <w:rPr>
          <w:color w:val="000000" w:themeColor="text1"/>
          <w:lang w:val="en-US"/>
        </w:rPr>
        <w:t>[31] A. Dutta and R. McCrohan, “Complexity and Challenges of Modern Cyber Law,” Information &amp; Computer Security, vol. 28, no. 2, pp. 315–330, 2020.</w:t>
      </w:r>
    </w:p>
    <w:p w14:paraId="53A50918" w14:textId="77777777" w:rsidR="00391529" w:rsidRPr="00FE126C" w:rsidRDefault="00391529" w:rsidP="00FE126C">
      <w:pPr>
        <w:jc w:val="left"/>
        <w:rPr>
          <w:color w:val="000000" w:themeColor="text1"/>
          <w:lang w:val="en-US"/>
        </w:rPr>
      </w:pPr>
    </w:p>
    <w:sectPr w:rsidR="00391529" w:rsidRPr="00FE126C" w:rsidSect="00B87FFC">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0D96D" w14:textId="77777777" w:rsidR="008B690E" w:rsidRDefault="008B690E" w:rsidP="00637B4D">
      <w:pPr>
        <w:spacing w:line="240" w:lineRule="auto"/>
      </w:pPr>
      <w:r>
        <w:separator/>
      </w:r>
    </w:p>
  </w:endnote>
  <w:endnote w:type="continuationSeparator" w:id="0">
    <w:p w14:paraId="150B4A5F" w14:textId="77777777" w:rsidR="008B690E" w:rsidRDefault="008B690E" w:rsidP="00637B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130546"/>
      <w:docPartObj>
        <w:docPartGallery w:val="Page Numbers (Bottom of Page)"/>
        <w:docPartUnique/>
      </w:docPartObj>
    </w:sdtPr>
    <w:sdtEndPr>
      <w:rPr>
        <w:noProof/>
      </w:rPr>
    </w:sdtEndPr>
    <w:sdtContent>
      <w:p w14:paraId="054D4A89" w14:textId="6D29352D" w:rsidR="00B87FFC" w:rsidRDefault="00B87F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D742B" w14:textId="77777777" w:rsidR="00B87FFC" w:rsidRDefault="00B87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B158B" w14:textId="77777777" w:rsidR="008B690E" w:rsidRDefault="008B690E" w:rsidP="00637B4D">
      <w:pPr>
        <w:spacing w:line="240" w:lineRule="auto"/>
      </w:pPr>
      <w:r>
        <w:separator/>
      </w:r>
    </w:p>
  </w:footnote>
  <w:footnote w:type="continuationSeparator" w:id="0">
    <w:p w14:paraId="1F935002" w14:textId="77777777" w:rsidR="008B690E" w:rsidRDefault="008B690E" w:rsidP="00637B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30587"/>
    <w:multiLevelType w:val="hybridMultilevel"/>
    <w:tmpl w:val="60F63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BE2666"/>
    <w:multiLevelType w:val="hybridMultilevel"/>
    <w:tmpl w:val="E392FF0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513CB2"/>
    <w:multiLevelType w:val="hybridMultilevel"/>
    <w:tmpl w:val="6756DE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423C44"/>
    <w:multiLevelType w:val="multilevel"/>
    <w:tmpl w:val="948C3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7893631">
    <w:abstractNumId w:val="3"/>
  </w:num>
  <w:num w:numId="2" w16cid:durableId="308679988">
    <w:abstractNumId w:val="0"/>
  </w:num>
  <w:num w:numId="3" w16cid:durableId="914624967">
    <w:abstractNumId w:val="2"/>
  </w:num>
  <w:num w:numId="4" w16cid:durableId="1497653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9CF"/>
    <w:rsid w:val="00031E27"/>
    <w:rsid w:val="000377B8"/>
    <w:rsid w:val="000607F7"/>
    <w:rsid w:val="000948FB"/>
    <w:rsid w:val="00095EBA"/>
    <w:rsid w:val="000B3C36"/>
    <w:rsid w:val="000F5F88"/>
    <w:rsid w:val="000F6612"/>
    <w:rsid w:val="00102AB9"/>
    <w:rsid w:val="001C43AE"/>
    <w:rsid w:val="00205BE0"/>
    <w:rsid w:val="002423F9"/>
    <w:rsid w:val="00261EBC"/>
    <w:rsid w:val="00270D98"/>
    <w:rsid w:val="002B3467"/>
    <w:rsid w:val="002D1A9F"/>
    <w:rsid w:val="00330592"/>
    <w:rsid w:val="00334F8C"/>
    <w:rsid w:val="003838A4"/>
    <w:rsid w:val="00391529"/>
    <w:rsid w:val="003E7A0B"/>
    <w:rsid w:val="003F2877"/>
    <w:rsid w:val="00424358"/>
    <w:rsid w:val="004B2B4C"/>
    <w:rsid w:val="004E564C"/>
    <w:rsid w:val="005337FB"/>
    <w:rsid w:val="00541BA4"/>
    <w:rsid w:val="00561845"/>
    <w:rsid w:val="00575B73"/>
    <w:rsid w:val="005B2B90"/>
    <w:rsid w:val="005B51E3"/>
    <w:rsid w:val="005B70F5"/>
    <w:rsid w:val="00611134"/>
    <w:rsid w:val="00637B4D"/>
    <w:rsid w:val="006A63EA"/>
    <w:rsid w:val="006A71C6"/>
    <w:rsid w:val="006F462B"/>
    <w:rsid w:val="00772CB1"/>
    <w:rsid w:val="007B4411"/>
    <w:rsid w:val="0080058D"/>
    <w:rsid w:val="00842562"/>
    <w:rsid w:val="008519CF"/>
    <w:rsid w:val="00857B06"/>
    <w:rsid w:val="008867F9"/>
    <w:rsid w:val="008B24D9"/>
    <w:rsid w:val="008B690E"/>
    <w:rsid w:val="008E280D"/>
    <w:rsid w:val="00916E1F"/>
    <w:rsid w:val="009257E6"/>
    <w:rsid w:val="00A46BDD"/>
    <w:rsid w:val="00A64271"/>
    <w:rsid w:val="00B0352D"/>
    <w:rsid w:val="00B2380B"/>
    <w:rsid w:val="00B33978"/>
    <w:rsid w:val="00B57410"/>
    <w:rsid w:val="00B87FFC"/>
    <w:rsid w:val="00B937DA"/>
    <w:rsid w:val="00C10AEA"/>
    <w:rsid w:val="00C66A98"/>
    <w:rsid w:val="00C979AD"/>
    <w:rsid w:val="00CA44C4"/>
    <w:rsid w:val="00CF2291"/>
    <w:rsid w:val="00D603D6"/>
    <w:rsid w:val="00D76F2D"/>
    <w:rsid w:val="00DB2CBA"/>
    <w:rsid w:val="00DE6999"/>
    <w:rsid w:val="00E83306"/>
    <w:rsid w:val="00EA3574"/>
    <w:rsid w:val="00EB0FBD"/>
    <w:rsid w:val="00EF5A60"/>
    <w:rsid w:val="00F15CBE"/>
    <w:rsid w:val="00F36C9F"/>
    <w:rsid w:val="00F419CE"/>
    <w:rsid w:val="00FE126C"/>
    <w:rsid w:val="00FF48F8"/>
    <w:rsid w:val="00FF59F9"/>
    <w:rsid w:val="00FF7AE8"/>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89A0D"/>
  <w15:chartTrackingRefBased/>
  <w15:docId w15:val="{565150DF-52C3-4D07-A404-523CD5101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271"/>
    <w:pPr>
      <w:spacing w:before="60" w:after="0" w:line="360" w:lineRule="auto"/>
      <w:jc w:val="both"/>
    </w:pPr>
    <w:rPr>
      <w:rFonts w:ascii="Arial" w:hAnsi="Arial"/>
      <w:sz w:val="24"/>
    </w:rPr>
  </w:style>
  <w:style w:type="paragraph" w:styleId="Heading1">
    <w:name w:val="heading 1"/>
    <w:basedOn w:val="Normal"/>
    <w:next w:val="Normal"/>
    <w:link w:val="Heading1Char"/>
    <w:uiPriority w:val="9"/>
    <w:qFormat/>
    <w:rsid w:val="00A64271"/>
    <w:pPr>
      <w:keepNext/>
      <w:keepLines/>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C10AEA"/>
    <w:pPr>
      <w:keepNext/>
      <w:keepLines/>
      <w:spacing w:before="40"/>
      <w:jc w:val="left"/>
      <w:outlineLvl w:val="1"/>
    </w:pPr>
    <w:rPr>
      <w:rFonts w:eastAsiaTheme="majorEastAsia" w:cstheme="majorBidi"/>
      <w:b/>
      <w:color w:val="1F4E79" w:themeColor="accent1" w:themeShade="80"/>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19CF"/>
    <w:pPr>
      <w:spacing w:before="100" w:beforeAutospacing="1" w:after="100" w:afterAutospacing="1" w:line="240" w:lineRule="auto"/>
    </w:pPr>
    <w:rPr>
      <w:rFonts w:ascii="Times New Roman" w:eastAsia="Times New Roman" w:hAnsi="Times New Roman" w:cs="Times New Roman"/>
      <w:szCs w:val="24"/>
      <w:lang w:eastAsia="en-IN"/>
    </w:rPr>
  </w:style>
  <w:style w:type="character" w:styleId="Strong">
    <w:name w:val="Strong"/>
    <w:basedOn w:val="DefaultParagraphFont"/>
    <w:uiPriority w:val="22"/>
    <w:qFormat/>
    <w:rsid w:val="008519CF"/>
    <w:rPr>
      <w:b/>
      <w:bCs/>
    </w:rPr>
  </w:style>
  <w:style w:type="table" w:styleId="TableGrid">
    <w:name w:val="Table Grid"/>
    <w:basedOn w:val="TableNormal"/>
    <w:uiPriority w:val="39"/>
    <w:rsid w:val="008519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64271"/>
    <w:rPr>
      <w:rFonts w:ascii="Arial" w:eastAsiaTheme="majorEastAsia" w:hAnsi="Arial" w:cstheme="majorBidi"/>
      <w:b/>
      <w:color w:val="1F4E79" w:themeColor="accent1" w:themeShade="80"/>
      <w:sz w:val="32"/>
      <w:szCs w:val="32"/>
    </w:rPr>
  </w:style>
  <w:style w:type="character" w:styleId="Emphasis">
    <w:name w:val="Emphasis"/>
    <w:basedOn w:val="DefaultParagraphFont"/>
    <w:uiPriority w:val="20"/>
    <w:qFormat/>
    <w:rsid w:val="00C979AD"/>
    <w:rPr>
      <w:i/>
      <w:iCs/>
    </w:rPr>
  </w:style>
  <w:style w:type="character" w:styleId="Hyperlink">
    <w:name w:val="Hyperlink"/>
    <w:basedOn w:val="DefaultParagraphFont"/>
    <w:uiPriority w:val="99"/>
    <w:unhideWhenUsed/>
    <w:rsid w:val="00C979AD"/>
    <w:rPr>
      <w:color w:val="0000FF"/>
      <w:u w:val="single"/>
    </w:rPr>
  </w:style>
  <w:style w:type="paragraph" w:styleId="Header">
    <w:name w:val="header"/>
    <w:basedOn w:val="Normal"/>
    <w:link w:val="HeaderChar"/>
    <w:uiPriority w:val="99"/>
    <w:unhideWhenUsed/>
    <w:rsid w:val="00637B4D"/>
    <w:pPr>
      <w:tabs>
        <w:tab w:val="center" w:pos="4513"/>
        <w:tab w:val="right" w:pos="9026"/>
      </w:tabs>
      <w:spacing w:line="240" w:lineRule="auto"/>
    </w:pPr>
  </w:style>
  <w:style w:type="character" w:customStyle="1" w:styleId="HeaderChar">
    <w:name w:val="Header Char"/>
    <w:basedOn w:val="DefaultParagraphFont"/>
    <w:link w:val="Header"/>
    <w:uiPriority w:val="99"/>
    <w:rsid w:val="00637B4D"/>
  </w:style>
  <w:style w:type="paragraph" w:styleId="Footer">
    <w:name w:val="footer"/>
    <w:basedOn w:val="Normal"/>
    <w:link w:val="FooterChar"/>
    <w:uiPriority w:val="99"/>
    <w:unhideWhenUsed/>
    <w:rsid w:val="00637B4D"/>
    <w:pPr>
      <w:tabs>
        <w:tab w:val="center" w:pos="4513"/>
        <w:tab w:val="right" w:pos="9026"/>
      </w:tabs>
      <w:spacing w:line="240" w:lineRule="auto"/>
    </w:pPr>
  </w:style>
  <w:style w:type="character" w:customStyle="1" w:styleId="FooterChar">
    <w:name w:val="Footer Char"/>
    <w:basedOn w:val="DefaultParagraphFont"/>
    <w:link w:val="Footer"/>
    <w:uiPriority w:val="99"/>
    <w:rsid w:val="00637B4D"/>
  </w:style>
  <w:style w:type="character" w:customStyle="1" w:styleId="Heading2Char">
    <w:name w:val="Heading 2 Char"/>
    <w:basedOn w:val="DefaultParagraphFont"/>
    <w:link w:val="Heading2"/>
    <w:uiPriority w:val="9"/>
    <w:rsid w:val="00C10AEA"/>
    <w:rPr>
      <w:rFonts w:ascii="Arial" w:eastAsiaTheme="majorEastAsia" w:hAnsi="Arial" w:cstheme="majorBidi"/>
      <w:b/>
      <w:color w:val="1F4E79" w:themeColor="accent1" w:themeShade="80"/>
      <w:sz w:val="24"/>
      <w:szCs w:val="26"/>
    </w:rPr>
  </w:style>
  <w:style w:type="paragraph" w:styleId="ListParagraph">
    <w:name w:val="List Paragraph"/>
    <w:basedOn w:val="Normal"/>
    <w:uiPriority w:val="34"/>
    <w:qFormat/>
    <w:rsid w:val="00A64271"/>
    <w:pPr>
      <w:ind w:left="720"/>
      <w:contextualSpacing/>
    </w:pPr>
  </w:style>
  <w:style w:type="character" w:styleId="FollowedHyperlink">
    <w:name w:val="FollowedHyperlink"/>
    <w:basedOn w:val="DefaultParagraphFont"/>
    <w:uiPriority w:val="99"/>
    <w:semiHidden/>
    <w:unhideWhenUsed/>
    <w:rsid w:val="00C10AEA"/>
    <w:rPr>
      <w:color w:val="954F72" w:themeColor="followedHyperlink"/>
      <w:u w:val="single"/>
    </w:rPr>
  </w:style>
  <w:style w:type="character" w:styleId="UnresolvedMention">
    <w:name w:val="Unresolved Mention"/>
    <w:basedOn w:val="DefaultParagraphFont"/>
    <w:uiPriority w:val="99"/>
    <w:semiHidden/>
    <w:unhideWhenUsed/>
    <w:rsid w:val="00C10AEA"/>
    <w:rPr>
      <w:color w:val="605E5C"/>
      <w:shd w:val="clear" w:color="auto" w:fill="E1DFDD"/>
    </w:rPr>
  </w:style>
  <w:style w:type="paragraph" w:styleId="TOCHeading">
    <w:name w:val="TOC Heading"/>
    <w:basedOn w:val="Heading1"/>
    <w:next w:val="Normal"/>
    <w:uiPriority w:val="39"/>
    <w:unhideWhenUsed/>
    <w:qFormat/>
    <w:rsid w:val="009257E6"/>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257E6"/>
    <w:pPr>
      <w:spacing w:after="100"/>
    </w:pPr>
  </w:style>
  <w:style w:type="paragraph" w:styleId="TOC2">
    <w:name w:val="toc 2"/>
    <w:basedOn w:val="Normal"/>
    <w:next w:val="Normal"/>
    <w:autoRedefine/>
    <w:uiPriority w:val="39"/>
    <w:unhideWhenUsed/>
    <w:rsid w:val="009257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93338">
      <w:bodyDiv w:val="1"/>
      <w:marLeft w:val="0"/>
      <w:marRight w:val="0"/>
      <w:marTop w:val="0"/>
      <w:marBottom w:val="0"/>
      <w:divBdr>
        <w:top w:val="none" w:sz="0" w:space="0" w:color="auto"/>
        <w:left w:val="none" w:sz="0" w:space="0" w:color="auto"/>
        <w:bottom w:val="none" w:sz="0" w:space="0" w:color="auto"/>
        <w:right w:val="none" w:sz="0" w:space="0" w:color="auto"/>
      </w:divBdr>
    </w:div>
    <w:div w:id="136724784">
      <w:bodyDiv w:val="1"/>
      <w:marLeft w:val="0"/>
      <w:marRight w:val="0"/>
      <w:marTop w:val="0"/>
      <w:marBottom w:val="0"/>
      <w:divBdr>
        <w:top w:val="none" w:sz="0" w:space="0" w:color="auto"/>
        <w:left w:val="none" w:sz="0" w:space="0" w:color="auto"/>
        <w:bottom w:val="none" w:sz="0" w:space="0" w:color="auto"/>
        <w:right w:val="none" w:sz="0" w:space="0" w:color="auto"/>
      </w:divBdr>
    </w:div>
    <w:div w:id="141118672">
      <w:bodyDiv w:val="1"/>
      <w:marLeft w:val="0"/>
      <w:marRight w:val="0"/>
      <w:marTop w:val="0"/>
      <w:marBottom w:val="0"/>
      <w:divBdr>
        <w:top w:val="none" w:sz="0" w:space="0" w:color="auto"/>
        <w:left w:val="none" w:sz="0" w:space="0" w:color="auto"/>
        <w:bottom w:val="none" w:sz="0" w:space="0" w:color="auto"/>
        <w:right w:val="none" w:sz="0" w:space="0" w:color="auto"/>
      </w:divBdr>
    </w:div>
    <w:div w:id="149493135">
      <w:bodyDiv w:val="1"/>
      <w:marLeft w:val="0"/>
      <w:marRight w:val="0"/>
      <w:marTop w:val="0"/>
      <w:marBottom w:val="0"/>
      <w:divBdr>
        <w:top w:val="none" w:sz="0" w:space="0" w:color="auto"/>
        <w:left w:val="none" w:sz="0" w:space="0" w:color="auto"/>
        <w:bottom w:val="none" w:sz="0" w:space="0" w:color="auto"/>
        <w:right w:val="none" w:sz="0" w:space="0" w:color="auto"/>
      </w:divBdr>
      <w:divsChild>
        <w:div w:id="836921888">
          <w:marLeft w:val="0"/>
          <w:marRight w:val="0"/>
          <w:marTop w:val="0"/>
          <w:marBottom w:val="0"/>
          <w:divBdr>
            <w:top w:val="none" w:sz="0" w:space="0" w:color="auto"/>
            <w:left w:val="none" w:sz="0" w:space="0" w:color="auto"/>
            <w:bottom w:val="none" w:sz="0" w:space="0" w:color="auto"/>
            <w:right w:val="none" w:sz="0" w:space="0" w:color="auto"/>
          </w:divBdr>
          <w:divsChild>
            <w:div w:id="901260625">
              <w:marLeft w:val="0"/>
              <w:marRight w:val="0"/>
              <w:marTop w:val="0"/>
              <w:marBottom w:val="0"/>
              <w:divBdr>
                <w:top w:val="none" w:sz="0" w:space="0" w:color="auto"/>
                <w:left w:val="none" w:sz="0" w:space="0" w:color="auto"/>
                <w:bottom w:val="none" w:sz="0" w:space="0" w:color="auto"/>
                <w:right w:val="none" w:sz="0" w:space="0" w:color="auto"/>
              </w:divBdr>
            </w:div>
          </w:divsChild>
        </w:div>
        <w:div w:id="979191973">
          <w:marLeft w:val="0"/>
          <w:marRight w:val="0"/>
          <w:marTop w:val="0"/>
          <w:marBottom w:val="0"/>
          <w:divBdr>
            <w:top w:val="none" w:sz="0" w:space="0" w:color="auto"/>
            <w:left w:val="none" w:sz="0" w:space="0" w:color="auto"/>
            <w:bottom w:val="none" w:sz="0" w:space="0" w:color="auto"/>
            <w:right w:val="none" w:sz="0" w:space="0" w:color="auto"/>
          </w:divBdr>
          <w:divsChild>
            <w:div w:id="196218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57723">
      <w:bodyDiv w:val="1"/>
      <w:marLeft w:val="0"/>
      <w:marRight w:val="0"/>
      <w:marTop w:val="0"/>
      <w:marBottom w:val="0"/>
      <w:divBdr>
        <w:top w:val="none" w:sz="0" w:space="0" w:color="auto"/>
        <w:left w:val="none" w:sz="0" w:space="0" w:color="auto"/>
        <w:bottom w:val="none" w:sz="0" w:space="0" w:color="auto"/>
        <w:right w:val="none" w:sz="0" w:space="0" w:color="auto"/>
      </w:divBdr>
    </w:div>
    <w:div w:id="428892444">
      <w:bodyDiv w:val="1"/>
      <w:marLeft w:val="0"/>
      <w:marRight w:val="0"/>
      <w:marTop w:val="0"/>
      <w:marBottom w:val="0"/>
      <w:divBdr>
        <w:top w:val="none" w:sz="0" w:space="0" w:color="auto"/>
        <w:left w:val="none" w:sz="0" w:space="0" w:color="auto"/>
        <w:bottom w:val="none" w:sz="0" w:space="0" w:color="auto"/>
        <w:right w:val="none" w:sz="0" w:space="0" w:color="auto"/>
      </w:divBdr>
    </w:div>
    <w:div w:id="462582730">
      <w:bodyDiv w:val="1"/>
      <w:marLeft w:val="0"/>
      <w:marRight w:val="0"/>
      <w:marTop w:val="0"/>
      <w:marBottom w:val="0"/>
      <w:divBdr>
        <w:top w:val="none" w:sz="0" w:space="0" w:color="auto"/>
        <w:left w:val="none" w:sz="0" w:space="0" w:color="auto"/>
        <w:bottom w:val="none" w:sz="0" w:space="0" w:color="auto"/>
        <w:right w:val="none" w:sz="0" w:space="0" w:color="auto"/>
      </w:divBdr>
    </w:div>
    <w:div w:id="615984493">
      <w:bodyDiv w:val="1"/>
      <w:marLeft w:val="0"/>
      <w:marRight w:val="0"/>
      <w:marTop w:val="0"/>
      <w:marBottom w:val="0"/>
      <w:divBdr>
        <w:top w:val="none" w:sz="0" w:space="0" w:color="auto"/>
        <w:left w:val="none" w:sz="0" w:space="0" w:color="auto"/>
        <w:bottom w:val="none" w:sz="0" w:space="0" w:color="auto"/>
        <w:right w:val="none" w:sz="0" w:space="0" w:color="auto"/>
      </w:divBdr>
    </w:div>
    <w:div w:id="746998145">
      <w:bodyDiv w:val="1"/>
      <w:marLeft w:val="0"/>
      <w:marRight w:val="0"/>
      <w:marTop w:val="0"/>
      <w:marBottom w:val="0"/>
      <w:divBdr>
        <w:top w:val="none" w:sz="0" w:space="0" w:color="auto"/>
        <w:left w:val="none" w:sz="0" w:space="0" w:color="auto"/>
        <w:bottom w:val="none" w:sz="0" w:space="0" w:color="auto"/>
        <w:right w:val="none" w:sz="0" w:space="0" w:color="auto"/>
      </w:divBdr>
    </w:div>
    <w:div w:id="1434933866">
      <w:bodyDiv w:val="1"/>
      <w:marLeft w:val="0"/>
      <w:marRight w:val="0"/>
      <w:marTop w:val="0"/>
      <w:marBottom w:val="0"/>
      <w:divBdr>
        <w:top w:val="none" w:sz="0" w:space="0" w:color="auto"/>
        <w:left w:val="none" w:sz="0" w:space="0" w:color="auto"/>
        <w:bottom w:val="none" w:sz="0" w:space="0" w:color="auto"/>
        <w:right w:val="none" w:sz="0" w:space="0" w:color="auto"/>
      </w:divBdr>
    </w:div>
    <w:div w:id="1730879998">
      <w:bodyDiv w:val="1"/>
      <w:marLeft w:val="0"/>
      <w:marRight w:val="0"/>
      <w:marTop w:val="0"/>
      <w:marBottom w:val="0"/>
      <w:divBdr>
        <w:top w:val="none" w:sz="0" w:space="0" w:color="auto"/>
        <w:left w:val="none" w:sz="0" w:space="0" w:color="auto"/>
        <w:bottom w:val="none" w:sz="0" w:space="0" w:color="auto"/>
        <w:right w:val="none" w:sz="0" w:space="0" w:color="auto"/>
      </w:divBdr>
      <w:divsChild>
        <w:div w:id="83772091">
          <w:marLeft w:val="0"/>
          <w:marRight w:val="0"/>
          <w:marTop w:val="0"/>
          <w:marBottom w:val="0"/>
          <w:divBdr>
            <w:top w:val="none" w:sz="0" w:space="0" w:color="auto"/>
            <w:left w:val="none" w:sz="0" w:space="0" w:color="auto"/>
            <w:bottom w:val="none" w:sz="0" w:space="0" w:color="auto"/>
            <w:right w:val="none" w:sz="0" w:space="0" w:color="auto"/>
          </w:divBdr>
        </w:div>
        <w:div w:id="912202950">
          <w:marLeft w:val="0"/>
          <w:marRight w:val="0"/>
          <w:marTop w:val="0"/>
          <w:marBottom w:val="0"/>
          <w:divBdr>
            <w:top w:val="none" w:sz="0" w:space="0" w:color="auto"/>
            <w:left w:val="none" w:sz="0" w:space="0" w:color="auto"/>
            <w:bottom w:val="none" w:sz="0" w:space="0" w:color="auto"/>
            <w:right w:val="none" w:sz="0" w:space="0" w:color="auto"/>
          </w:divBdr>
          <w:divsChild>
            <w:div w:id="221335919">
              <w:marLeft w:val="0"/>
              <w:marRight w:val="0"/>
              <w:marTop w:val="0"/>
              <w:marBottom w:val="0"/>
              <w:divBdr>
                <w:top w:val="none" w:sz="0" w:space="0" w:color="auto"/>
                <w:left w:val="none" w:sz="0" w:space="0" w:color="auto"/>
                <w:bottom w:val="none" w:sz="0" w:space="0" w:color="auto"/>
                <w:right w:val="none" w:sz="0" w:space="0" w:color="auto"/>
              </w:divBdr>
              <w:divsChild>
                <w:div w:id="1020815314">
                  <w:marLeft w:val="0"/>
                  <w:marRight w:val="0"/>
                  <w:marTop w:val="0"/>
                  <w:marBottom w:val="0"/>
                  <w:divBdr>
                    <w:top w:val="none" w:sz="0" w:space="0" w:color="auto"/>
                    <w:left w:val="none" w:sz="0" w:space="0" w:color="auto"/>
                    <w:bottom w:val="none" w:sz="0" w:space="0" w:color="auto"/>
                    <w:right w:val="none" w:sz="0" w:space="0" w:color="auto"/>
                  </w:divBdr>
                  <w:divsChild>
                    <w:div w:id="29387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483048">
      <w:bodyDiv w:val="1"/>
      <w:marLeft w:val="0"/>
      <w:marRight w:val="0"/>
      <w:marTop w:val="0"/>
      <w:marBottom w:val="0"/>
      <w:divBdr>
        <w:top w:val="none" w:sz="0" w:space="0" w:color="auto"/>
        <w:left w:val="none" w:sz="0" w:space="0" w:color="auto"/>
        <w:bottom w:val="none" w:sz="0" w:space="0" w:color="auto"/>
        <w:right w:val="none" w:sz="0" w:space="0" w:color="auto"/>
      </w:divBdr>
    </w:div>
    <w:div w:id="2093352834">
      <w:bodyDiv w:val="1"/>
      <w:marLeft w:val="0"/>
      <w:marRight w:val="0"/>
      <w:marTop w:val="0"/>
      <w:marBottom w:val="0"/>
      <w:divBdr>
        <w:top w:val="none" w:sz="0" w:space="0" w:color="auto"/>
        <w:left w:val="none" w:sz="0" w:space="0" w:color="auto"/>
        <w:bottom w:val="none" w:sz="0" w:space="0" w:color="auto"/>
        <w:right w:val="none" w:sz="0" w:space="0" w:color="auto"/>
      </w:divBdr>
      <w:divsChild>
        <w:div w:id="27414203">
          <w:marLeft w:val="0"/>
          <w:marRight w:val="0"/>
          <w:marTop w:val="0"/>
          <w:marBottom w:val="0"/>
          <w:divBdr>
            <w:top w:val="none" w:sz="0" w:space="0" w:color="auto"/>
            <w:left w:val="none" w:sz="0" w:space="0" w:color="auto"/>
            <w:bottom w:val="none" w:sz="0" w:space="0" w:color="auto"/>
            <w:right w:val="none" w:sz="0" w:space="0" w:color="auto"/>
          </w:divBdr>
          <w:divsChild>
            <w:div w:id="14752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E51A0-13CC-4C56-8109-A9A9B33DF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23</Pages>
  <Words>4879</Words>
  <Characters>27814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RINKESH AHIR</cp:lastModifiedBy>
  <cp:revision>30</cp:revision>
  <dcterms:created xsi:type="dcterms:W3CDTF">2025-11-17T19:31:00Z</dcterms:created>
  <dcterms:modified xsi:type="dcterms:W3CDTF">2025-11-18T02:31:00Z</dcterms:modified>
</cp:coreProperties>
</file>