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41604378"/>
        <w:docPartObj>
          <w:docPartGallery w:val="Cover Pages"/>
          <w:docPartUnique/>
        </w:docPartObj>
      </w:sdtPr>
      <w:sdtEndPr/>
      <w:sdtContent>
        <w:p w14:paraId="700C352F" w14:textId="3D3968C0" w:rsidR="003E0A33" w:rsidRDefault="003E0A33">
          <w:r>
            <w:rPr>
              <w:noProof/>
              <w:lang w:eastAsia="en-GB"/>
            </w:rPr>
            <w:drawing>
              <wp:anchor distT="0" distB="0" distL="114300" distR="114300" simplePos="0" relativeHeight="251661312" behindDoc="0" locked="0" layoutInCell="1" allowOverlap="1" wp14:anchorId="0A150A5E" wp14:editId="0C71F9CD">
                <wp:simplePos x="0" y="0"/>
                <wp:positionH relativeFrom="margin">
                  <wp:align>left</wp:align>
                </wp:positionH>
                <wp:positionV relativeFrom="paragraph">
                  <wp:posOffset>0</wp:posOffset>
                </wp:positionV>
                <wp:extent cx="2341245" cy="92075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1245" cy="920750"/>
                        </a:xfrm>
                        <a:prstGeom prst="rect">
                          <a:avLst/>
                        </a:prstGeom>
                        <a:noFill/>
                      </pic:spPr>
                    </pic:pic>
                  </a:graphicData>
                </a:graphic>
              </wp:anchor>
            </w:drawing>
          </w:r>
        </w:p>
        <w:p w14:paraId="5736B7C6" w14:textId="75CA3F79" w:rsidR="003E0A33" w:rsidRDefault="003E0A33">
          <w:r>
            <w:rPr>
              <w:noProof/>
              <w:lang w:eastAsia="en-GB"/>
            </w:rPr>
            <mc:AlternateContent>
              <mc:Choice Requires="wps">
                <w:drawing>
                  <wp:anchor distT="0" distB="0" distL="182880" distR="182880" simplePos="0" relativeHeight="251660288" behindDoc="0" locked="0" layoutInCell="1" allowOverlap="1" wp14:anchorId="709BA9DA" wp14:editId="1ECFF80C">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4F7D4B" w14:textId="139D97B6" w:rsidR="003E0A33" w:rsidRDefault="006503C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07EA5" w:rsidRPr="00A07EA5">
                                      <w:rPr>
                                        <w:color w:val="4472C4" w:themeColor="accent1"/>
                                        <w:sz w:val="72"/>
                                        <w:szCs w:val="72"/>
                                      </w:rPr>
                                      <w:t>Asda-Sainsbury merger</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9866ABB" w14:textId="121A5F39" w:rsidR="003E0A33" w:rsidRDefault="00A07EA5">
                                    <w:pPr>
                                      <w:pStyle w:val="NoSpacing"/>
                                      <w:spacing w:before="40" w:after="40"/>
                                      <w:rPr>
                                        <w:caps/>
                                        <w:color w:val="1F4E79" w:themeColor="accent5" w:themeShade="80"/>
                                        <w:sz w:val="28"/>
                                        <w:szCs w:val="28"/>
                                      </w:rPr>
                                    </w:pPr>
                                    <w:r w:rsidRPr="00A07EA5">
                                      <w:rPr>
                                        <w:caps/>
                                        <w:color w:val="1F4E79" w:themeColor="accent5" w:themeShade="80"/>
                                        <w:sz w:val="28"/>
                                        <w:szCs w:val="28"/>
                                      </w:rPr>
                                      <w:t>Financial and Human Resource Management</w:t>
                                    </w:r>
                                  </w:p>
                                </w:sdtContent>
                              </w:sdt>
                              <w:p w14:paraId="4BC9AB53" w14:textId="77777777" w:rsidR="00A07EA5" w:rsidRDefault="006503C8">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3E0A33">
                                      <w:rPr>
                                        <w:caps/>
                                        <w:color w:val="5B9BD5" w:themeColor="accent5"/>
                                        <w:sz w:val="24"/>
                                        <w:szCs w:val="24"/>
                                      </w:rPr>
                                      <w:t>lewis jones</w:t>
                                    </w:r>
                                  </w:sdtContent>
                                </w:sdt>
                                <w:r w:rsidR="00A07EA5">
                                  <w:rPr>
                                    <w:caps/>
                                    <w:color w:val="5B9BD5" w:themeColor="accent5"/>
                                    <w:sz w:val="24"/>
                                    <w:szCs w:val="24"/>
                                  </w:rPr>
                                  <w:t xml:space="preserve"> </w:t>
                                </w:r>
                              </w:p>
                              <w:p w14:paraId="74B96285" w14:textId="6278B521" w:rsidR="003E0A33" w:rsidRDefault="00A07EA5">
                                <w:pPr>
                                  <w:pStyle w:val="NoSpacing"/>
                                  <w:spacing w:before="80" w:after="40"/>
                                  <w:rPr>
                                    <w:caps/>
                                    <w:color w:val="5B9BD5" w:themeColor="accent5"/>
                                    <w:sz w:val="24"/>
                                    <w:szCs w:val="24"/>
                                  </w:rPr>
                                </w:pPr>
                                <w:r>
                                  <w:rPr>
                                    <w:caps/>
                                    <w:color w:val="5B9BD5" w:themeColor="accent5"/>
                                    <w:sz w:val="24"/>
                                    <w:szCs w:val="24"/>
                                  </w:rPr>
                                  <w:t>1804902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09BA9DA"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394F7D4B" w14:textId="139D97B6" w:rsidR="003E0A33" w:rsidRDefault="006503C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07EA5" w:rsidRPr="00A07EA5">
                                <w:rPr>
                                  <w:color w:val="4472C4" w:themeColor="accent1"/>
                                  <w:sz w:val="72"/>
                                  <w:szCs w:val="72"/>
                                </w:rPr>
                                <w:t>Asda-Sainsbury merger</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9866ABB" w14:textId="121A5F39" w:rsidR="003E0A33" w:rsidRDefault="00A07EA5">
                              <w:pPr>
                                <w:pStyle w:val="NoSpacing"/>
                                <w:spacing w:before="40" w:after="40"/>
                                <w:rPr>
                                  <w:caps/>
                                  <w:color w:val="1F4E79" w:themeColor="accent5" w:themeShade="80"/>
                                  <w:sz w:val="28"/>
                                  <w:szCs w:val="28"/>
                                </w:rPr>
                              </w:pPr>
                              <w:r w:rsidRPr="00A07EA5">
                                <w:rPr>
                                  <w:caps/>
                                  <w:color w:val="1F4E79" w:themeColor="accent5" w:themeShade="80"/>
                                  <w:sz w:val="28"/>
                                  <w:szCs w:val="28"/>
                                </w:rPr>
                                <w:t>Financial and Human Resource Management</w:t>
                              </w:r>
                            </w:p>
                          </w:sdtContent>
                        </w:sdt>
                        <w:p w14:paraId="4BC9AB53" w14:textId="77777777" w:rsidR="00A07EA5" w:rsidRDefault="006503C8">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3E0A33">
                                <w:rPr>
                                  <w:caps/>
                                  <w:color w:val="5B9BD5" w:themeColor="accent5"/>
                                  <w:sz w:val="24"/>
                                  <w:szCs w:val="24"/>
                                </w:rPr>
                                <w:t>lewis jones</w:t>
                              </w:r>
                            </w:sdtContent>
                          </w:sdt>
                          <w:r w:rsidR="00A07EA5">
                            <w:rPr>
                              <w:caps/>
                              <w:color w:val="5B9BD5" w:themeColor="accent5"/>
                              <w:sz w:val="24"/>
                              <w:szCs w:val="24"/>
                            </w:rPr>
                            <w:t xml:space="preserve"> </w:t>
                          </w:r>
                        </w:p>
                        <w:p w14:paraId="74B96285" w14:textId="6278B521" w:rsidR="003E0A33" w:rsidRDefault="00A07EA5">
                          <w:pPr>
                            <w:pStyle w:val="NoSpacing"/>
                            <w:spacing w:before="80" w:after="40"/>
                            <w:rPr>
                              <w:caps/>
                              <w:color w:val="5B9BD5" w:themeColor="accent5"/>
                              <w:sz w:val="24"/>
                              <w:szCs w:val="24"/>
                            </w:rPr>
                          </w:pPr>
                          <w:r>
                            <w:rPr>
                              <w:caps/>
                              <w:color w:val="5B9BD5" w:themeColor="accent5"/>
                              <w:sz w:val="24"/>
                              <w:szCs w:val="24"/>
                            </w:rPr>
                            <w:t>1804902</w:t>
                          </w:r>
                        </w:p>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B6BB4E9" wp14:editId="5E080C3C">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780BA23D" w14:textId="6A90D971" w:rsidR="003E0A33" w:rsidRDefault="00A07EA5">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B6BB4E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780BA23D" w14:textId="6A90D971" w:rsidR="003E0A33" w:rsidRDefault="00A07EA5">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378476159"/>
        <w:docPartObj>
          <w:docPartGallery w:val="Table of Contents"/>
          <w:docPartUnique/>
        </w:docPartObj>
      </w:sdtPr>
      <w:sdtEndPr>
        <w:rPr>
          <w:b/>
          <w:bCs/>
          <w:noProof/>
        </w:rPr>
      </w:sdtEndPr>
      <w:sdtContent>
        <w:p w14:paraId="782532D2" w14:textId="003462A4" w:rsidR="002700EF" w:rsidRDefault="002700EF">
          <w:pPr>
            <w:pStyle w:val="TOCHeading"/>
          </w:pPr>
          <w:r>
            <w:t>Contents</w:t>
          </w:r>
        </w:p>
        <w:p w14:paraId="326C32A2" w14:textId="77777777" w:rsidR="003028B3" w:rsidRDefault="002700EF">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386945" w:history="1">
            <w:r w:rsidR="003028B3" w:rsidRPr="001A5A4D">
              <w:rPr>
                <w:rStyle w:val="Hyperlink"/>
                <w:noProof/>
              </w:rPr>
              <w:t>Introduction</w:t>
            </w:r>
            <w:r w:rsidR="003028B3">
              <w:rPr>
                <w:noProof/>
                <w:webHidden/>
              </w:rPr>
              <w:tab/>
            </w:r>
            <w:r w:rsidR="003028B3">
              <w:rPr>
                <w:noProof/>
                <w:webHidden/>
              </w:rPr>
              <w:fldChar w:fldCharType="begin"/>
            </w:r>
            <w:r w:rsidR="003028B3">
              <w:rPr>
                <w:noProof/>
                <w:webHidden/>
              </w:rPr>
              <w:instrText xml:space="preserve"> PAGEREF _Toc12386945 \h </w:instrText>
            </w:r>
            <w:r w:rsidR="003028B3">
              <w:rPr>
                <w:noProof/>
                <w:webHidden/>
              </w:rPr>
            </w:r>
            <w:r w:rsidR="003028B3">
              <w:rPr>
                <w:noProof/>
                <w:webHidden/>
              </w:rPr>
              <w:fldChar w:fldCharType="separate"/>
            </w:r>
            <w:r w:rsidR="003028B3">
              <w:rPr>
                <w:noProof/>
                <w:webHidden/>
              </w:rPr>
              <w:t>2</w:t>
            </w:r>
            <w:r w:rsidR="003028B3">
              <w:rPr>
                <w:noProof/>
                <w:webHidden/>
              </w:rPr>
              <w:fldChar w:fldCharType="end"/>
            </w:r>
          </w:hyperlink>
        </w:p>
        <w:p w14:paraId="7BDF4106" w14:textId="77777777" w:rsidR="003028B3" w:rsidRDefault="003028B3">
          <w:pPr>
            <w:pStyle w:val="TOC2"/>
            <w:tabs>
              <w:tab w:val="right" w:leader="dot" w:pos="9350"/>
            </w:tabs>
            <w:rPr>
              <w:rFonts w:eastAsiaTheme="minorEastAsia"/>
              <w:noProof/>
              <w:lang w:eastAsia="en-GB"/>
            </w:rPr>
          </w:pPr>
          <w:hyperlink w:anchor="_Toc12386946" w:history="1">
            <w:r w:rsidRPr="001A5A4D">
              <w:rPr>
                <w:rStyle w:val="Hyperlink"/>
                <w:noProof/>
              </w:rPr>
              <w:t>Transfer of Undertakings (Protection of Employment) (2014)</w:t>
            </w:r>
            <w:r>
              <w:rPr>
                <w:noProof/>
                <w:webHidden/>
              </w:rPr>
              <w:tab/>
            </w:r>
            <w:r>
              <w:rPr>
                <w:noProof/>
                <w:webHidden/>
              </w:rPr>
              <w:fldChar w:fldCharType="begin"/>
            </w:r>
            <w:r>
              <w:rPr>
                <w:noProof/>
                <w:webHidden/>
              </w:rPr>
              <w:instrText xml:space="preserve"> PAGEREF _Toc12386946 \h </w:instrText>
            </w:r>
            <w:r>
              <w:rPr>
                <w:noProof/>
                <w:webHidden/>
              </w:rPr>
            </w:r>
            <w:r>
              <w:rPr>
                <w:noProof/>
                <w:webHidden/>
              </w:rPr>
              <w:fldChar w:fldCharType="separate"/>
            </w:r>
            <w:r>
              <w:rPr>
                <w:noProof/>
                <w:webHidden/>
              </w:rPr>
              <w:t>3</w:t>
            </w:r>
            <w:r>
              <w:rPr>
                <w:noProof/>
                <w:webHidden/>
              </w:rPr>
              <w:fldChar w:fldCharType="end"/>
            </w:r>
          </w:hyperlink>
        </w:p>
        <w:p w14:paraId="3ECE6AA8" w14:textId="77777777" w:rsidR="003028B3" w:rsidRDefault="003028B3">
          <w:pPr>
            <w:pStyle w:val="TOC3"/>
            <w:tabs>
              <w:tab w:val="right" w:leader="dot" w:pos="9350"/>
            </w:tabs>
            <w:rPr>
              <w:rFonts w:eastAsiaTheme="minorEastAsia"/>
              <w:noProof/>
              <w:lang w:eastAsia="en-GB"/>
            </w:rPr>
          </w:pPr>
          <w:hyperlink w:anchor="_Toc12386947" w:history="1">
            <w:r w:rsidRPr="001A5A4D">
              <w:rPr>
                <w:rStyle w:val="Hyperlink"/>
                <w:noProof/>
              </w:rPr>
              <w:t>Transfer of Contracts</w:t>
            </w:r>
            <w:r>
              <w:rPr>
                <w:noProof/>
                <w:webHidden/>
              </w:rPr>
              <w:tab/>
            </w:r>
            <w:r>
              <w:rPr>
                <w:noProof/>
                <w:webHidden/>
              </w:rPr>
              <w:fldChar w:fldCharType="begin"/>
            </w:r>
            <w:r>
              <w:rPr>
                <w:noProof/>
                <w:webHidden/>
              </w:rPr>
              <w:instrText xml:space="preserve"> PAGEREF _Toc12386947 \h </w:instrText>
            </w:r>
            <w:r>
              <w:rPr>
                <w:noProof/>
                <w:webHidden/>
              </w:rPr>
            </w:r>
            <w:r>
              <w:rPr>
                <w:noProof/>
                <w:webHidden/>
              </w:rPr>
              <w:fldChar w:fldCharType="separate"/>
            </w:r>
            <w:r>
              <w:rPr>
                <w:noProof/>
                <w:webHidden/>
              </w:rPr>
              <w:t>4</w:t>
            </w:r>
            <w:r>
              <w:rPr>
                <w:noProof/>
                <w:webHidden/>
              </w:rPr>
              <w:fldChar w:fldCharType="end"/>
            </w:r>
          </w:hyperlink>
        </w:p>
        <w:p w14:paraId="0FDE8307" w14:textId="77777777" w:rsidR="003028B3" w:rsidRDefault="003028B3">
          <w:pPr>
            <w:pStyle w:val="TOC3"/>
            <w:tabs>
              <w:tab w:val="right" w:leader="dot" w:pos="9350"/>
            </w:tabs>
            <w:rPr>
              <w:rFonts w:eastAsiaTheme="minorEastAsia"/>
              <w:noProof/>
              <w:lang w:eastAsia="en-GB"/>
            </w:rPr>
          </w:pPr>
          <w:hyperlink w:anchor="_Toc12386948" w:history="1">
            <w:r w:rsidRPr="001A5A4D">
              <w:rPr>
                <w:rStyle w:val="Hyperlink"/>
                <w:noProof/>
              </w:rPr>
              <w:t>Redundancy</w:t>
            </w:r>
            <w:r>
              <w:rPr>
                <w:noProof/>
                <w:webHidden/>
              </w:rPr>
              <w:tab/>
            </w:r>
            <w:r>
              <w:rPr>
                <w:noProof/>
                <w:webHidden/>
              </w:rPr>
              <w:fldChar w:fldCharType="begin"/>
            </w:r>
            <w:r>
              <w:rPr>
                <w:noProof/>
                <w:webHidden/>
              </w:rPr>
              <w:instrText xml:space="preserve"> PAGEREF _Toc12386948 \h </w:instrText>
            </w:r>
            <w:r>
              <w:rPr>
                <w:noProof/>
                <w:webHidden/>
              </w:rPr>
            </w:r>
            <w:r>
              <w:rPr>
                <w:noProof/>
                <w:webHidden/>
              </w:rPr>
              <w:fldChar w:fldCharType="separate"/>
            </w:r>
            <w:r>
              <w:rPr>
                <w:noProof/>
                <w:webHidden/>
              </w:rPr>
              <w:t>4</w:t>
            </w:r>
            <w:r>
              <w:rPr>
                <w:noProof/>
                <w:webHidden/>
              </w:rPr>
              <w:fldChar w:fldCharType="end"/>
            </w:r>
          </w:hyperlink>
        </w:p>
        <w:p w14:paraId="66556EC5" w14:textId="77777777" w:rsidR="003028B3" w:rsidRDefault="003028B3">
          <w:pPr>
            <w:pStyle w:val="TOC2"/>
            <w:tabs>
              <w:tab w:val="right" w:leader="dot" w:pos="9350"/>
            </w:tabs>
            <w:rPr>
              <w:rFonts w:eastAsiaTheme="minorEastAsia"/>
              <w:noProof/>
              <w:lang w:eastAsia="en-GB"/>
            </w:rPr>
          </w:pPr>
          <w:hyperlink w:anchor="_Toc12386949" w:history="1">
            <w:r w:rsidRPr="001A5A4D">
              <w:rPr>
                <w:rStyle w:val="Hyperlink"/>
                <w:noProof/>
              </w:rPr>
              <w:t>The Enterprise and Regulatory Reform Act (2013)</w:t>
            </w:r>
            <w:r>
              <w:rPr>
                <w:noProof/>
                <w:webHidden/>
              </w:rPr>
              <w:tab/>
            </w:r>
            <w:r>
              <w:rPr>
                <w:noProof/>
                <w:webHidden/>
              </w:rPr>
              <w:fldChar w:fldCharType="begin"/>
            </w:r>
            <w:r>
              <w:rPr>
                <w:noProof/>
                <w:webHidden/>
              </w:rPr>
              <w:instrText xml:space="preserve"> PAGEREF _Toc12386949 \h </w:instrText>
            </w:r>
            <w:r>
              <w:rPr>
                <w:noProof/>
                <w:webHidden/>
              </w:rPr>
            </w:r>
            <w:r>
              <w:rPr>
                <w:noProof/>
                <w:webHidden/>
              </w:rPr>
              <w:fldChar w:fldCharType="separate"/>
            </w:r>
            <w:r>
              <w:rPr>
                <w:noProof/>
                <w:webHidden/>
              </w:rPr>
              <w:t>5</w:t>
            </w:r>
            <w:r>
              <w:rPr>
                <w:noProof/>
                <w:webHidden/>
              </w:rPr>
              <w:fldChar w:fldCharType="end"/>
            </w:r>
          </w:hyperlink>
        </w:p>
        <w:p w14:paraId="7687637D" w14:textId="77777777" w:rsidR="003028B3" w:rsidRDefault="003028B3">
          <w:pPr>
            <w:pStyle w:val="TOC2"/>
            <w:tabs>
              <w:tab w:val="right" w:leader="dot" w:pos="9350"/>
            </w:tabs>
            <w:rPr>
              <w:rFonts w:eastAsiaTheme="minorEastAsia"/>
              <w:noProof/>
              <w:lang w:eastAsia="en-GB"/>
            </w:rPr>
          </w:pPr>
          <w:hyperlink w:anchor="_Toc12386950" w:history="1">
            <w:r w:rsidRPr="001A5A4D">
              <w:rPr>
                <w:rStyle w:val="Hyperlink"/>
                <w:noProof/>
              </w:rPr>
              <w:t>Cultural Differences</w:t>
            </w:r>
            <w:r>
              <w:rPr>
                <w:noProof/>
                <w:webHidden/>
              </w:rPr>
              <w:tab/>
            </w:r>
            <w:r>
              <w:rPr>
                <w:noProof/>
                <w:webHidden/>
              </w:rPr>
              <w:fldChar w:fldCharType="begin"/>
            </w:r>
            <w:r>
              <w:rPr>
                <w:noProof/>
                <w:webHidden/>
              </w:rPr>
              <w:instrText xml:space="preserve"> PAGEREF _Toc12386950 \h </w:instrText>
            </w:r>
            <w:r>
              <w:rPr>
                <w:noProof/>
                <w:webHidden/>
              </w:rPr>
            </w:r>
            <w:r>
              <w:rPr>
                <w:noProof/>
                <w:webHidden/>
              </w:rPr>
              <w:fldChar w:fldCharType="separate"/>
            </w:r>
            <w:r>
              <w:rPr>
                <w:noProof/>
                <w:webHidden/>
              </w:rPr>
              <w:t>7</w:t>
            </w:r>
            <w:r>
              <w:rPr>
                <w:noProof/>
                <w:webHidden/>
              </w:rPr>
              <w:fldChar w:fldCharType="end"/>
            </w:r>
          </w:hyperlink>
        </w:p>
        <w:p w14:paraId="4300B024" w14:textId="77777777" w:rsidR="003028B3" w:rsidRDefault="003028B3">
          <w:pPr>
            <w:pStyle w:val="TOC2"/>
            <w:tabs>
              <w:tab w:val="right" w:leader="dot" w:pos="9350"/>
            </w:tabs>
            <w:rPr>
              <w:rFonts w:eastAsiaTheme="minorEastAsia"/>
              <w:noProof/>
              <w:lang w:eastAsia="en-GB"/>
            </w:rPr>
          </w:pPr>
          <w:hyperlink w:anchor="_Toc12386951" w:history="1">
            <w:r w:rsidRPr="001A5A4D">
              <w:rPr>
                <w:rStyle w:val="Hyperlink"/>
                <w:noProof/>
              </w:rPr>
              <w:t>Employees Perception</w:t>
            </w:r>
            <w:r>
              <w:rPr>
                <w:noProof/>
                <w:webHidden/>
              </w:rPr>
              <w:tab/>
            </w:r>
            <w:r>
              <w:rPr>
                <w:noProof/>
                <w:webHidden/>
              </w:rPr>
              <w:fldChar w:fldCharType="begin"/>
            </w:r>
            <w:r>
              <w:rPr>
                <w:noProof/>
                <w:webHidden/>
              </w:rPr>
              <w:instrText xml:space="preserve"> PAGEREF _Toc12386951 \h </w:instrText>
            </w:r>
            <w:r>
              <w:rPr>
                <w:noProof/>
                <w:webHidden/>
              </w:rPr>
            </w:r>
            <w:r>
              <w:rPr>
                <w:noProof/>
                <w:webHidden/>
              </w:rPr>
              <w:fldChar w:fldCharType="separate"/>
            </w:r>
            <w:r>
              <w:rPr>
                <w:noProof/>
                <w:webHidden/>
              </w:rPr>
              <w:t>8</w:t>
            </w:r>
            <w:r>
              <w:rPr>
                <w:noProof/>
                <w:webHidden/>
              </w:rPr>
              <w:fldChar w:fldCharType="end"/>
            </w:r>
          </w:hyperlink>
        </w:p>
        <w:p w14:paraId="0C722721" w14:textId="77777777" w:rsidR="003028B3" w:rsidRDefault="003028B3">
          <w:pPr>
            <w:pStyle w:val="TOC1"/>
            <w:tabs>
              <w:tab w:val="right" w:leader="dot" w:pos="9350"/>
            </w:tabs>
            <w:rPr>
              <w:rFonts w:eastAsiaTheme="minorEastAsia"/>
              <w:noProof/>
              <w:lang w:eastAsia="en-GB"/>
            </w:rPr>
          </w:pPr>
          <w:hyperlink w:anchor="_Toc12386952" w:history="1">
            <w:r w:rsidRPr="001A5A4D">
              <w:rPr>
                <w:rStyle w:val="Hyperlink"/>
                <w:noProof/>
              </w:rPr>
              <w:t>Conclusion</w:t>
            </w:r>
            <w:r>
              <w:rPr>
                <w:noProof/>
                <w:webHidden/>
              </w:rPr>
              <w:tab/>
            </w:r>
            <w:r>
              <w:rPr>
                <w:noProof/>
                <w:webHidden/>
              </w:rPr>
              <w:fldChar w:fldCharType="begin"/>
            </w:r>
            <w:r>
              <w:rPr>
                <w:noProof/>
                <w:webHidden/>
              </w:rPr>
              <w:instrText xml:space="preserve"> PAGEREF _Toc12386952 \h </w:instrText>
            </w:r>
            <w:r>
              <w:rPr>
                <w:noProof/>
                <w:webHidden/>
              </w:rPr>
            </w:r>
            <w:r>
              <w:rPr>
                <w:noProof/>
                <w:webHidden/>
              </w:rPr>
              <w:fldChar w:fldCharType="separate"/>
            </w:r>
            <w:r>
              <w:rPr>
                <w:noProof/>
                <w:webHidden/>
              </w:rPr>
              <w:t>9</w:t>
            </w:r>
            <w:r>
              <w:rPr>
                <w:noProof/>
                <w:webHidden/>
              </w:rPr>
              <w:fldChar w:fldCharType="end"/>
            </w:r>
          </w:hyperlink>
        </w:p>
        <w:p w14:paraId="1253CC7F" w14:textId="77777777" w:rsidR="003028B3" w:rsidRDefault="003028B3">
          <w:pPr>
            <w:pStyle w:val="TOC1"/>
            <w:tabs>
              <w:tab w:val="right" w:leader="dot" w:pos="9350"/>
            </w:tabs>
            <w:rPr>
              <w:rFonts w:eastAsiaTheme="minorEastAsia"/>
              <w:noProof/>
              <w:lang w:eastAsia="en-GB"/>
            </w:rPr>
          </w:pPr>
          <w:hyperlink w:anchor="_Toc12386953" w:history="1">
            <w:r w:rsidRPr="001A5A4D">
              <w:rPr>
                <w:rStyle w:val="Hyperlink"/>
                <w:noProof/>
              </w:rPr>
              <w:t>References</w:t>
            </w:r>
            <w:r>
              <w:rPr>
                <w:noProof/>
                <w:webHidden/>
              </w:rPr>
              <w:tab/>
            </w:r>
            <w:r>
              <w:rPr>
                <w:noProof/>
                <w:webHidden/>
              </w:rPr>
              <w:fldChar w:fldCharType="begin"/>
            </w:r>
            <w:r>
              <w:rPr>
                <w:noProof/>
                <w:webHidden/>
              </w:rPr>
              <w:instrText xml:space="preserve"> PAGEREF _Toc12386953 \h </w:instrText>
            </w:r>
            <w:r>
              <w:rPr>
                <w:noProof/>
                <w:webHidden/>
              </w:rPr>
            </w:r>
            <w:r>
              <w:rPr>
                <w:noProof/>
                <w:webHidden/>
              </w:rPr>
              <w:fldChar w:fldCharType="separate"/>
            </w:r>
            <w:r>
              <w:rPr>
                <w:noProof/>
                <w:webHidden/>
              </w:rPr>
              <w:t>10</w:t>
            </w:r>
            <w:r>
              <w:rPr>
                <w:noProof/>
                <w:webHidden/>
              </w:rPr>
              <w:fldChar w:fldCharType="end"/>
            </w:r>
          </w:hyperlink>
        </w:p>
        <w:p w14:paraId="461B87D1" w14:textId="27A1AB46" w:rsidR="002700EF" w:rsidRDefault="002700EF">
          <w:r>
            <w:rPr>
              <w:b/>
              <w:bCs/>
              <w:noProof/>
            </w:rPr>
            <w:fldChar w:fldCharType="end"/>
          </w:r>
        </w:p>
      </w:sdtContent>
    </w:sdt>
    <w:p w14:paraId="6CE47F98" w14:textId="036CFC79" w:rsidR="00BF27B5" w:rsidRDefault="00BF27B5" w:rsidP="002700EF"/>
    <w:p w14:paraId="071E5A2B" w14:textId="3275DD8B" w:rsidR="002700EF" w:rsidRDefault="002700EF" w:rsidP="002700EF"/>
    <w:p w14:paraId="6EC0E0A1" w14:textId="78767719" w:rsidR="002700EF" w:rsidRDefault="002700EF" w:rsidP="002700EF"/>
    <w:p w14:paraId="73C3E899" w14:textId="3DBF32CA" w:rsidR="002700EF" w:rsidRDefault="002700EF" w:rsidP="002700EF"/>
    <w:p w14:paraId="6B0C36F0" w14:textId="4EA480EF" w:rsidR="002700EF" w:rsidRDefault="002700EF" w:rsidP="002700EF"/>
    <w:p w14:paraId="17F33275" w14:textId="67E37FFA" w:rsidR="002700EF" w:rsidRDefault="002700EF" w:rsidP="002700EF"/>
    <w:p w14:paraId="1DB192FB" w14:textId="40607602" w:rsidR="002700EF" w:rsidRDefault="002700EF" w:rsidP="002700EF"/>
    <w:p w14:paraId="4F9C07DD" w14:textId="2FE67AA9" w:rsidR="002700EF" w:rsidRDefault="002700EF" w:rsidP="002700EF"/>
    <w:p w14:paraId="37FC62E9" w14:textId="686B635A" w:rsidR="002700EF" w:rsidRDefault="002700EF" w:rsidP="002700EF"/>
    <w:p w14:paraId="7ACF644F" w14:textId="01482B21" w:rsidR="002700EF" w:rsidRDefault="002700EF" w:rsidP="002700EF"/>
    <w:p w14:paraId="48AB515A" w14:textId="6F5CC4A8" w:rsidR="002700EF" w:rsidRDefault="002700EF" w:rsidP="002700EF"/>
    <w:p w14:paraId="54F159F7" w14:textId="4A15392A" w:rsidR="002700EF" w:rsidRDefault="002700EF" w:rsidP="002700EF"/>
    <w:p w14:paraId="2B3ED155" w14:textId="23F171E3" w:rsidR="002700EF" w:rsidRDefault="002700EF" w:rsidP="002700EF"/>
    <w:p w14:paraId="00AADA4D" w14:textId="35855E5E" w:rsidR="002700EF" w:rsidRDefault="002700EF" w:rsidP="002700EF"/>
    <w:p w14:paraId="5881FDEF" w14:textId="0DF7B190" w:rsidR="002700EF" w:rsidRDefault="002700EF" w:rsidP="002700EF"/>
    <w:p w14:paraId="72639ED3" w14:textId="72D109B9" w:rsidR="002700EF" w:rsidRDefault="002700EF" w:rsidP="002700EF"/>
    <w:p w14:paraId="586EEED3" w14:textId="32CCEECB" w:rsidR="002700EF" w:rsidRDefault="002700EF" w:rsidP="002700EF"/>
    <w:p w14:paraId="7AF1A8ED" w14:textId="23EA7B5E" w:rsidR="002700EF" w:rsidRDefault="002700EF" w:rsidP="002700EF"/>
    <w:p w14:paraId="44F2FA76" w14:textId="387F5623" w:rsidR="002700EF" w:rsidRDefault="002700EF" w:rsidP="003028B3">
      <w:pPr>
        <w:spacing w:line="360" w:lineRule="auto"/>
      </w:pPr>
    </w:p>
    <w:p w14:paraId="08184B52" w14:textId="4E25C6ED" w:rsidR="002700EF" w:rsidRPr="00086AB8" w:rsidRDefault="002700EF" w:rsidP="003028B3">
      <w:pPr>
        <w:pStyle w:val="Heading1"/>
        <w:spacing w:line="360" w:lineRule="auto"/>
        <w:jc w:val="center"/>
      </w:pPr>
      <w:bookmarkStart w:id="0" w:name="_Toc12386945"/>
      <w:r w:rsidRPr="00086AB8">
        <w:lastRenderedPageBreak/>
        <w:t>Introduction</w:t>
      </w:r>
      <w:bookmarkEnd w:id="0"/>
    </w:p>
    <w:p w14:paraId="1A4D5515" w14:textId="23C5B815" w:rsidR="002700EF" w:rsidRPr="00086AB8" w:rsidRDefault="002700EF" w:rsidP="003028B3">
      <w:pPr>
        <w:spacing w:line="360" w:lineRule="auto"/>
        <w:rPr>
          <w:rFonts w:cstheme="minorHAnsi"/>
          <w:sz w:val="24"/>
          <w:szCs w:val="24"/>
        </w:rPr>
      </w:pPr>
    </w:p>
    <w:p w14:paraId="7002DFDD" w14:textId="779FEB5C" w:rsidR="0081004F" w:rsidRPr="00086AB8" w:rsidRDefault="00B039CE" w:rsidP="003028B3">
      <w:pPr>
        <w:spacing w:line="360" w:lineRule="auto"/>
        <w:rPr>
          <w:rFonts w:cstheme="minorHAnsi"/>
          <w:sz w:val="24"/>
          <w:szCs w:val="24"/>
        </w:rPr>
      </w:pPr>
      <w:r w:rsidRPr="00086AB8">
        <w:rPr>
          <w:rFonts w:cstheme="minorHAnsi"/>
          <w:sz w:val="24"/>
          <w:szCs w:val="24"/>
        </w:rPr>
        <w:t>On 30th April 2018 Sainsbury’s and Asda, the 2nd and 3rd largest grocery retailers in the U</w:t>
      </w:r>
      <w:r w:rsidR="00EA08A5" w:rsidRPr="00086AB8">
        <w:rPr>
          <w:rFonts w:cstheme="minorHAnsi"/>
          <w:sz w:val="24"/>
          <w:szCs w:val="24"/>
        </w:rPr>
        <w:t xml:space="preserve">nited </w:t>
      </w:r>
      <w:r w:rsidRPr="00086AB8">
        <w:rPr>
          <w:rFonts w:cstheme="minorHAnsi"/>
          <w:sz w:val="24"/>
          <w:szCs w:val="24"/>
        </w:rPr>
        <w:t>K</w:t>
      </w:r>
      <w:r w:rsidR="00EA08A5" w:rsidRPr="00086AB8">
        <w:rPr>
          <w:rFonts w:cstheme="minorHAnsi"/>
          <w:sz w:val="24"/>
          <w:szCs w:val="24"/>
        </w:rPr>
        <w:t>ingdom (UK)</w:t>
      </w:r>
      <w:r w:rsidRPr="00086AB8">
        <w:rPr>
          <w:rFonts w:cstheme="minorHAnsi"/>
          <w:sz w:val="24"/>
          <w:szCs w:val="24"/>
        </w:rPr>
        <w:t xml:space="preserve"> </w:t>
      </w:r>
      <w:r w:rsidR="00EA08A5" w:rsidRPr="00086AB8">
        <w:rPr>
          <w:rFonts w:cstheme="minorHAnsi"/>
          <w:sz w:val="24"/>
          <w:szCs w:val="24"/>
        </w:rPr>
        <w:t>broadcasted</w:t>
      </w:r>
      <w:r w:rsidRPr="00086AB8">
        <w:rPr>
          <w:rFonts w:cstheme="minorHAnsi"/>
          <w:sz w:val="24"/>
          <w:szCs w:val="24"/>
        </w:rPr>
        <w:t xml:space="preserve"> </w:t>
      </w:r>
      <w:r w:rsidR="00EA08A5" w:rsidRPr="00086AB8">
        <w:rPr>
          <w:rFonts w:cstheme="minorHAnsi"/>
          <w:sz w:val="24"/>
          <w:szCs w:val="24"/>
        </w:rPr>
        <w:t>their intention to merge</w:t>
      </w:r>
      <w:r w:rsidR="00833E1D" w:rsidRPr="00086AB8">
        <w:rPr>
          <w:rFonts w:cstheme="minorHAnsi"/>
          <w:sz w:val="24"/>
          <w:szCs w:val="24"/>
        </w:rPr>
        <w:t>. A merger is the voluntary fusion of two companies on broadly equal terms into one new legal entity, unlike an acquisition which involves one company actively purchasing another (</w:t>
      </w:r>
      <w:proofErr w:type="spellStart"/>
      <w:r w:rsidR="004E739A" w:rsidRPr="00086AB8">
        <w:rPr>
          <w:rFonts w:cstheme="minorHAnsi"/>
          <w:sz w:val="24"/>
          <w:szCs w:val="24"/>
        </w:rPr>
        <w:t>Dinc</w:t>
      </w:r>
      <w:proofErr w:type="spellEnd"/>
      <w:r w:rsidR="004E739A" w:rsidRPr="00086AB8">
        <w:rPr>
          <w:rFonts w:cstheme="minorHAnsi"/>
          <w:sz w:val="24"/>
          <w:szCs w:val="24"/>
        </w:rPr>
        <w:t xml:space="preserve"> AND </w:t>
      </w:r>
      <w:proofErr w:type="spellStart"/>
      <w:r w:rsidR="004E739A" w:rsidRPr="00086AB8">
        <w:rPr>
          <w:rFonts w:cstheme="minorHAnsi"/>
          <w:sz w:val="24"/>
          <w:szCs w:val="24"/>
        </w:rPr>
        <w:t>Erel</w:t>
      </w:r>
      <w:proofErr w:type="spellEnd"/>
      <w:r w:rsidR="00833E1D" w:rsidRPr="00086AB8">
        <w:rPr>
          <w:rFonts w:cstheme="minorHAnsi"/>
          <w:sz w:val="24"/>
          <w:szCs w:val="24"/>
        </w:rPr>
        <w:t xml:space="preserve">, </w:t>
      </w:r>
      <w:r w:rsidR="004E739A" w:rsidRPr="00086AB8">
        <w:rPr>
          <w:rFonts w:cstheme="minorHAnsi"/>
          <w:sz w:val="24"/>
          <w:szCs w:val="24"/>
        </w:rPr>
        <w:t>2013</w:t>
      </w:r>
      <w:r w:rsidR="00833E1D" w:rsidRPr="00086AB8">
        <w:rPr>
          <w:rFonts w:cstheme="minorHAnsi"/>
          <w:sz w:val="24"/>
          <w:szCs w:val="24"/>
        </w:rPr>
        <w:t xml:space="preserve">). </w:t>
      </w:r>
      <w:r w:rsidR="00843862" w:rsidRPr="00086AB8">
        <w:rPr>
          <w:rFonts w:cstheme="minorHAnsi"/>
          <w:sz w:val="24"/>
          <w:szCs w:val="24"/>
        </w:rPr>
        <w:t>According to</w:t>
      </w:r>
      <w:r w:rsidR="00C87EF3" w:rsidRPr="00086AB8">
        <w:rPr>
          <w:rFonts w:cstheme="minorHAnsi"/>
          <w:sz w:val="24"/>
          <w:szCs w:val="24"/>
        </w:rPr>
        <w:t xml:space="preserve"> </w:t>
      </w:r>
      <w:proofErr w:type="spellStart"/>
      <w:r w:rsidR="00C87EF3" w:rsidRPr="00086AB8">
        <w:rPr>
          <w:rFonts w:cstheme="minorHAnsi"/>
          <w:sz w:val="24"/>
          <w:szCs w:val="24"/>
        </w:rPr>
        <w:t>Sinkin</w:t>
      </w:r>
      <w:proofErr w:type="spellEnd"/>
      <w:r w:rsidR="00C87EF3" w:rsidRPr="00086AB8">
        <w:rPr>
          <w:rFonts w:cstheme="minorHAnsi"/>
          <w:sz w:val="24"/>
          <w:szCs w:val="24"/>
        </w:rPr>
        <w:t xml:space="preserve"> and Putney</w:t>
      </w:r>
      <w:r w:rsidR="00843862" w:rsidRPr="00086AB8">
        <w:rPr>
          <w:rFonts w:cstheme="minorHAnsi"/>
          <w:sz w:val="24"/>
          <w:szCs w:val="24"/>
        </w:rPr>
        <w:t xml:space="preserve"> (</w:t>
      </w:r>
      <w:r w:rsidR="00234A01" w:rsidRPr="00086AB8">
        <w:rPr>
          <w:rFonts w:cstheme="minorHAnsi"/>
          <w:sz w:val="24"/>
          <w:szCs w:val="24"/>
        </w:rPr>
        <w:t>2017</w:t>
      </w:r>
      <w:r w:rsidR="00843862" w:rsidRPr="00086AB8">
        <w:rPr>
          <w:rFonts w:cstheme="minorHAnsi"/>
          <w:sz w:val="24"/>
          <w:szCs w:val="24"/>
        </w:rPr>
        <w:t>) t</w:t>
      </w:r>
      <w:r w:rsidR="00833E1D" w:rsidRPr="00086AB8">
        <w:rPr>
          <w:rFonts w:cstheme="minorHAnsi"/>
          <w:sz w:val="24"/>
          <w:szCs w:val="24"/>
        </w:rPr>
        <w:t xml:space="preserve">his process is commonly done to gain market share and grow revenues and in this assignments case, </w:t>
      </w:r>
      <w:r w:rsidRPr="00086AB8">
        <w:rPr>
          <w:rFonts w:cstheme="minorHAnsi"/>
          <w:sz w:val="24"/>
          <w:szCs w:val="24"/>
        </w:rPr>
        <w:t xml:space="preserve">creating the largest grocery retailer in the </w:t>
      </w:r>
      <w:r w:rsidR="00EA08A5" w:rsidRPr="00086AB8">
        <w:rPr>
          <w:rFonts w:cstheme="minorHAnsi"/>
          <w:sz w:val="24"/>
          <w:szCs w:val="24"/>
        </w:rPr>
        <w:t>country</w:t>
      </w:r>
      <w:r w:rsidR="00833E1D" w:rsidRPr="00086AB8">
        <w:rPr>
          <w:rFonts w:cstheme="minorHAnsi"/>
          <w:sz w:val="24"/>
          <w:szCs w:val="24"/>
        </w:rPr>
        <w:t xml:space="preserve"> to compete with</w:t>
      </w:r>
      <w:r w:rsidR="0010343C" w:rsidRPr="00086AB8">
        <w:rPr>
          <w:rFonts w:cstheme="minorHAnsi"/>
          <w:sz w:val="24"/>
          <w:szCs w:val="24"/>
        </w:rPr>
        <w:t xml:space="preserve"> the recent success of</w:t>
      </w:r>
      <w:r w:rsidR="00833E1D" w:rsidRPr="00086AB8">
        <w:rPr>
          <w:rFonts w:cstheme="minorHAnsi"/>
          <w:sz w:val="24"/>
          <w:szCs w:val="24"/>
        </w:rPr>
        <w:t xml:space="preserve"> Aldi and Lidl’s</w:t>
      </w:r>
      <w:r w:rsidR="0010343C" w:rsidRPr="00086AB8">
        <w:rPr>
          <w:rFonts w:cstheme="minorHAnsi"/>
          <w:sz w:val="24"/>
          <w:szCs w:val="24"/>
        </w:rPr>
        <w:t xml:space="preserve"> in UK markets (</w:t>
      </w:r>
      <w:r w:rsidR="00611108" w:rsidRPr="00086AB8">
        <w:rPr>
          <w:rFonts w:cstheme="minorHAnsi"/>
          <w:sz w:val="24"/>
          <w:szCs w:val="24"/>
        </w:rPr>
        <w:t>Sainsburys</w:t>
      </w:r>
      <w:r w:rsidR="0010343C" w:rsidRPr="00086AB8">
        <w:rPr>
          <w:rFonts w:cstheme="minorHAnsi"/>
          <w:sz w:val="24"/>
          <w:szCs w:val="24"/>
        </w:rPr>
        <w:t xml:space="preserve">, </w:t>
      </w:r>
      <w:r w:rsidR="00611108" w:rsidRPr="00086AB8">
        <w:rPr>
          <w:rFonts w:cstheme="minorHAnsi"/>
          <w:sz w:val="24"/>
          <w:szCs w:val="24"/>
        </w:rPr>
        <w:t>2018</w:t>
      </w:r>
      <w:r w:rsidR="0010343C" w:rsidRPr="00086AB8">
        <w:rPr>
          <w:rFonts w:cstheme="minorHAnsi"/>
          <w:sz w:val="24"/>
          <w:szCs w:val="24"/>
        </w:rPr>
        <w:t>)</w:t>
      </w:r>
      <w:r w:rsidRPr="00086AB8">
        <w:rPr>
          <w:rFonts w:cstheme="minorHAnsi"/>
          <w:sz w:val="24"/>
          <w:szCs w:val="24"/>
        </w:rPr>
        <w:t xml:space="preserve">. Such a merger </w:t>
      </w:r>
      <w:r w:rsidR="002E7675" w:rsidRPr="00086AB8">
        <w:rPr>
          <w:rFonts w:cstheme="minorHAnsi"/>
          <w:sz w:val="24"/>
          <w:szCs w:val="24"/>
        </w:rPr>
        <w:t>would be</w:t>
      </w:r>
      <w:r w:rsidRPr="00086AB8">
        <w:rPr>
          <w:rFonts w:cstheme="minorHAnsi"/>
          <w:sz w:val="24"/>
          <w:szCs w:val="24"/>
        </w:rPr>
        <w:t xml:space="preserve"> highly complex, with numerous implications across both organisations</w:t>
      </w:r>
      <w:r w:rsidR="00EA08A5" w:rsidRPr="00086AB8">
        <w:rPr>
          <w:rFonts w:cstheme="minorHAnsi"/>
          <w:sz w:val="24"/>
          <w:szCs w:val="24"/>
        </w:rPr>
        <w:t xml:space="preserve">. </w:t>
      </w:r>
      <w:r w:rsidR="002E7675" w:rsidRPr="00086AB8">
        <w:rPr>
          <w:rFonts w:cstheme="minorHAnsi"/>
          <w:sz w:val="24"/>
          <w:szCs w:val="24"/>
        </w:rPr>
        <w:t>However</w:t>
      </w:r>
      <w:r w:rsidR="00EA08A5" w:rsidRPr="00086AB8">
        <w:rPr>
          <w:rFonts w:cstheme="minorHAnsi"/>
          <w:sz w:val="24"/>
          <w:szCs w:val="24"/>
        </w:rPr>
        <w:t>, this essay will</w:t>
      </w:r>
      <w:r w:rsidR="002E7675" w:rsidRPr="00086AB8">
        <w:rPr>
          <w:rFonts w:cstheme="minorHAnsi"/>
          <w:sz w:val="24"/>
          <w:szCs w:val="24"/>
        </w:rPr>
        <w:t xml:space="preserve"> specifically</w:t>
      </w:r>
      <w:r w:rsidR="00EA08A5" w:rsidRPr="00086AB8">
        <w:rPr>
          <w:rFonts w:cstheme="minorHAnsi"/>
          <w:sz w:val="24"/>
          <w:szCs w:val="24"/>
        </w:rPr>
        <w:t xml:space="preserve"> focus on the Human Resource Management (HRM) implications of the merger. </w:t>
      </w:r>
    </w:p>
    <w:p w14:paraId="3B372EB3" w14:textId="24D82ECF" w:rsidR="00020354" w:rsidRPr="00086AB8" w:rsidRDefault="00EA08A5" w:rsidP="003028B3">
      <w:pPr>
        <w:spacing w:line="360" w:lineRule="auto"/>
        <w:rPr>
          <w:rFonts w:cstheme="minorHAnsi"/>
          <w:sz w:val="24"/>
          <w:szCs w:val="24"/>
        </w:rPr>
      </w:pPr>
      <w:r w:rsidRPr="00086AB8">
        <w:rPr>
          <w:rFonts w:cstheme="minorHAnsi"/>
          <w:sz w:val="24"/>
          <w:szCs w:val="24"/>
        </w:rPr>
        <w:t>More specifically two broad categories</w:t>
      </w:r>
      <w:r w:rsidR="0081004F" w:rsidRPr="00086AB8">
        <w:rPr>
          <w:rFonts w:cstheme="minorHAnsi"/>
          <w:sz w:val="24"/>
          <w:szCs w:val="24"/>
        </w:rPr>
        <w:t xml:space="preserve"> will be explored. Firstly, the relevant employment laws regarding mergers and acquisitions for example, the Transfer of Undertakings (Protection of Employment) regulations also know as the “TUPE” rules. Secondly, the impact on leadership due to </w:t>
      </w:r>
      <w:r w:rsidR="00020354" w:rsidRPr="00086AB8">
        <w:rPr>
          <w:rFonts w:cstheme="minorHAnsi"/>
          <w:sz w:val="24"/>
          <w:szCs w:val="24"/>
        </w:rPr>
        <w:t xml:space="preserve">the </w:t>
      </w:r>
      <w:r w:rsidR="0081004F" w:rsidRPr="00086AB8">
        <w:rPr>
          <w:rFonts w:cstheme="minorHAnsi"/>
          <w:sz w:val="24"/>
          <w:szCs w:val="24"/>
        </w:rPr>
        <w:t>differences of culture between two organisations</w:t>
      </w:r>
      <w:r w:rsidR="00020354" w:rsidRPr="00086AB8">
        <w:rPr>
          <w:rFonts w:cstheme="minorHAnsi"/>
          <w:sz w:val="24"/>
          <w:szCs w:val="24"/>
        </w:rPr>
        <w:t xml:space="preserve"> can be common causes of failure. For example, the merger between HP and Compaq in 2001. The companies had completely different operating procedures as HP was engineering driven and decisions were made on consen</w:t>
      </w:r>
      <w:r w:rsidR="002F052B" w:rsidRPr="00086AB8">
        <w:rPr>
          <w:rFonts w:cstheme="minorHAnsi"/>
          <w:sz w:val="24"/>
          <w:szCs w:val="24"/>
        </w:rPr>
        <w:t>sus. Whereas, Compaq who adopted a rapid decision-making process driven by sales, thus resulting in intercompany fighting and a loss of an estimated 13 billion dollars in market capitalisation (</w:t>
      </w:r>
      <w:proofErr w:type="spellStart"/>
      <w:r w:rsidR="008E76FB" w:rsidRPr="00086AB8">
        <w:rPr>
          <w:rFonts w:cstheme="minorHAnsi"/>
          <w:sz w:val="24"/>
          <w:szCs w:val="24"/>
        </w:rPr>
        <w:t>Stachowicz-Stanusch</w:t>
      </w:r>
      <w:proofErr w:type="spellEnd"/>
      <w:r w:rsidR="002F052B" w:rsidRPr="00086AB8">
        <w:rPr>
          <w:rFonts w:cstheme="minorHAnsi"/>
          <w:sz w:val="24"/>
          <w:szCs w:val="24"/>
        </w:rPr>
        <w:t xml:space="preserve">, </w:t>
      </w:r>
      <w:r w:rsidR="008E76FB" w:rsidRPr="00086AB8">
        <w:rPr>
          <w:rFonts w:cstheme="minorHAnsi"/>
          <w:sz w:val="24"/>
          <w:szCs w:val="24"/>
        </w:rPr>
        <w:t>2009</w:t>
      </w:r>
      <w:r w:rsidR="002F052B" w:rsidRPr="00086AB8">
        <w:rPr>
          <w:rFonts w:cstheme="minorHAnsi"/>
          <w:sz w:val="24"/>
          <w:szCs w:val="24"/>
        </w:rPr>
        <w:t>). However, it is important to note the company endured the difficult period and was able to make leadership and cultural changes resulting in long-term success.</w:t>
      </w:r>
    </w:p>
    <w:p w14:paraId="25B92F0A" w14:textId="274D5F50" w:rsidR="00B039CE" w:rsidRPr="00086AB8" w:rsidRDefault="00B039CE" w:rsidP="003028B3">
      <w:pPr>
        <w:spacing w:line="360" w:lineRule="auto"/>
        <w:rPr>
          <w:rFonts w:cstheme="minorHAnsi"/>
          <w:sz w:val="24"/>
          <w:szCs w:val="24"/>
        </w:rPr>
      </w:pPr>
    </w:p>
    <w:p w14:paraId="5E4E3F86" w14:textId="7AE7F21C" w:rsidR="007A7357" w:rsidRPr="00086AB8" w:rsidRDefault="007A7357" w:rsidP="003028B3">
      <w:pPr>
        <w:spacing w:line="360" w:lineRule="auto"/>
        <w:rPr>
          <w:rFonts w:cstheme="minorHAnsi"/>
          <w:sz w:val="24"/>
          <w:szCs w:val="24"/>
        </w:rPr>
      </w:pPr>
    </w:p>
    <w:p w14:paraId="0772BCF2" w14:textId="77777777" w:rsidR="00E35970" w:rsidRDefault="00E35970" w:rsidP="003028B3">
      <w:pPr>
        <w:spacing w:line="360" w:lineRule="auto"/>
        <w:rPr>
          <w:rFonts w:cstheme="minorHAnsi"/>
          <w:sz w:val="24"/>
          <w:szCs w:val="24"/>
        </w:rPr>
      </w:pPr>
    </w:p>
    <w:p w14:paraId="33D8DDC2" w14:textId="77777777" w:rsidR="003028B3" w:rsidRPr="00086AB8" w:rsidRDefault="003028B3" w:rsidP="003028B3">
      <w:pPr>
        <w:spacing w:line="360" w:lineRule="auto"/>
        <w:rPr>
          <w:rFonts w:cstheme="minorHAnsi"/>
          <w:sz w:val="24"/>
          <w:szCs w:val="24"/>
        </w:rPr>
      </w:pPr>
    </w:p>
    <w:p w14:paraId="1C69C3F0" w14:textId="0452D0A9" w:rsidR="007A7357" w:rsidRPr="00086AB8" w:rsidRDefault="00000415" w:rsidP="003028B3">
      <w:pPr>
        <w:spacing w:line="360" w:lineRule="auto"/>
        <w:jc w:val="center"/>
      </w:pPr>
      <w:r w:rsidRPr="00086AB8">
        <w:rPr>
          <w:rFonts w:asciiTheme="majorHAnsi" w:eastAsiaTheme="majorEastAsia" w:hAnsiTheme="majorHAnsi" w:cstheme="majorBidi"/>
          <w:color w:val="2F5496" w:themeColor="accent1" w:themeShade="BF"/>
          <w:sz w:val="32"/>
          <w:szCs w:val="32"/>
        </w:rPr>
        <w:lastRenderedPageBreak/>
        <w:t>Employment Law</w:t>
      </w:r>
      <w:r w:rsidR="00E35970" w:rsidRPr="00086AB8">
        <w:rPr>
          <w:rFonts w:asciiTheme="majorHAnsi" w:eastAsiaTheme="majorEastAsia" w:hAnsiTheme="majorHAnsi" w:cstheme="majorBidi"/>
          <w:color w:val="2F5496" w:themeColor="accent1" w:themeShade="BF"/>
          <w:sz w:val="32"/>
          <w:szCs w:val="32"/>
        </w:rPr>
        <w:t xml:space="preserve"> </w:t>
      </w:r>
      <w:r w:rsidRPr="00086AB8">
        <w:rPr>
          <w:rFonts w:asciiTheme="majorHAnsi" w:eastAsiaTheme="majorEastAsia" w:hAnsiTheme="majorHAnsi" w:cstheme="majorBidi"/>
          <w:color w:val="2F5496" w:themeColor="accent1" w:themeShade="BF"/>
          <w:sz w:val="32"/>
          <w:szCs w:val="32"/>
        </w:rPr>
        <w:t>I</w:t>
      </w:r>
      <w:r w:rsidR="00E35970" w:rsidRPr="00086AB8">
        <w:rPr>
          <w:rFonts w:asciiTheme="majorHAnsi" w:eastAsiaTheme="majorEastAsia" w:hAnsiTheme="majorHAnsi" w:cstheme="majorBidi"/>
          <w:color w:val="2F5496" w:themeColor="accent1" w:themeShade="BF"/>
          <w:sz w:val="32"/>
          <w:szCs w:val="32"/>
        </w:rPr>
        <w:t>mplications</w:t>
      </w:r>
    </w:p>
    <w:p w14:paraId="0C3B576C" w14:textId="1B71AC71" w:rsidR="004D4DFC" w:rsidRPr="00086AB8" w:rsidRDefault="004D4DFC" w:rsidP="003028B3">
      <w:pPr>
        <w:spacing w:line="360" w:lineRule="auto"/>
      </w:pPr>
    </w:p>
    <w:p w14:paraId="2B13A9DF" w14:textId="2C68A847" w:rsidR="00FA05CF" w:rsidRPr="00086AB8" w:rsidRDefault="006C0AFB" w:rsidP="003028B3">
      <w:pPr>
        <w:spacing w:line="360" w:lineRule="auto"/>
        <w:rPr>
          <w:sz w:val="24"/>
          <w:szCs w:val="24"/>
        </w:rPr>
      </w:pPr>
      <w:r w:rsidRPr="00086AB8">
        <w:rPr>
          <w:sz w:val="24"/>
          <w:szCs w:val="24"/>
        </w:rPr>
        <w:t xml:space="preserve">All mergers and acquisitions </w:t>
      </w:r>
      <w:r w:rsidR="005265E3" w:rsidRPr="00086AB8">
        <w:rPr>
          <w:sz w:val="24"/>
          <w:szCs w:val="24"/>
        </w:rPr>
        <w:t>involve various aspects of employment law, in this case Sainsbury’s and ASDA are merging to form one company</w:t>
      </w:r>
      <w:r w:rsidR="00486B0B" w:rsidRPr="00086AB8">
        <w:rPr>
          <w:sz w:val="24"/>
          <w:szCs w:val="24"/>
        </w:rPr>
        <w:t>, and as part of the proposed merger it has been suggested that Sainsbury’s head office in London may be closed and make way for a new joint headquarters in Leeds. This</w:t>
      </w:r>
      <w:r w:rsidR="005265E3" w:rsidRPr="00086AB8">
        <w:rPr>
          <w:sz w:val="24"/>
          <w:szCs w:val="24"/>
        </w:rPr>
        <w:t xml:space="preserve"> mea</w:t>
      </w:r>
      <w:r w:rsidR="00486B0B" w:rsidRPr="00086AB8">
        <w:rPr>
          <w:sz w:val="24"/>
          <w:szCs w:val="24"/>
        </w:rPr>
        <w:t>ns</w:t>
      </w:r>
      <w:r w:rsidR="005265E3" w:rsidRPr="00086AB8">
        <w:rPr>
          <w:sz w:val="24"/>
          <w:szCs w:val="24"/>
        </w:rPr>
        <w:t xml:space="preserve"> all staff are going to transfer their employment contracts to one central firm</w:t>
      </w:r>
      <w:r w:rsidR="00486B0B" w:rsidRPr="00086AB8">
        <w:rPr>
          <w:sz w:val="24"/>
          <w:szCs w:val="24"/>
        </w:rPr>
        <w:t xml:space="preserve"> and being UK based organisation are subject to UK employment laws. </w:t>
      </w:r>
      <w:r w:rsidR="00FA05CF" w:rsidRPr="00086AB8">
        <w:rPr>
          <w:sz w:val="24"/>
          <w:szCs w:val="24"/>
        </w:rPr>
        <w:t xml:space="preserve">However, there is another important element to consider is the impact of BREXIT and the impact this will have on UK law as the majority of UK current laws are a result of European Directives, such as the Working Time Regulations (1998), the Agency Workers Regulations (2010) and the Transfer of Undertakings (Protection of Employment) Regulations (2006). </w:t>
      </w:r>
    </w:p>
    <w:p w14:paraId="43401CF2" w14:textId="76175AB2" w:rsidR="005265E3" w:rsidRPr="00086AB8" w:rsidRDefault="00FA05CF" w:rsidP="003028B3">
      <w:pPr>
        <w:spacing w:line="360" w:lineRule="auto"/>
        <w:rPr>
          <w:sz w:val="24"/>
          <w:szCs w:val="24"/>
        </w:rPr>
      </w:pPr>
      <w:r w:rsidRPr="00086AB8">
        <w:rPr>
          <w:sz w:val="24"/>
          <w:szCs w:val="24"/>
        </w:rPr>
        <w:t xml:space="preserve">Once the UK has triggered article 50 and formally begins the process of leaving the European Union (EU), in theory the UK will no longer be legally bound by these obligations to implement these European Directives. Meaning UK government could repeal any legislation and create new </w:t>
      </w:r>
      <w:r w:rsidR="00577D5A" w:rsidRPr="00086AB8">
        <w:rPr>
          <w:sz w:val="24"/>
          <w:szCs w:val="24"/>
        </w:rPr>
        <w:t>policies and labour laws</w:t>
      </w:r>
      <w:r w:rsidRPr="00086AB8">
        <w:rPr>
          <w:sz w:val="24"/>
          <w:szCs w:val="24"/>
        </w:rPr>
        <w:t xml:space="preserve"> for UK businesses. However, this could take a long time and any decisions to chang</w:t>
      </w:r>
      <w:r w:rsidR="00CD2033" w:rsidRPr="00086AB8">
        <w:rPr>
          <w:sz w:val="24"/>
          <w:szCs w:val="24"/>
        </w:rPr>
        <w:t>e won’t be implemented overnight so for the purpose of this essay and date of the merger the</w:t>
      </w:r>
      <w:r w:rsidR="00FD46ED" w:rsidRPr="00086AB8">
        <w:rPr>
          <w:sz w:val="24"/>
          <w:szCs w:val="24"/>
        </w:rPr>
        <w:t xml:space="preserve"> current European adaptations</w:t>
      </w:r>
      <w:r w:rsidR="00CD2033" w:rsidRPr="00086AB8">
        <w:rPr>
          <w:sz w:val="24"/>
          <w:szCs w:val="24"/>
        </w:rPr>
        <w:t xml:space="preserve"> are the most current and up to date policies</w:t>
      </w:r>
      <w:r w:rsidR="00FD46ED" w:rsidRPr="00086AB8">
        <w:rPr>
          <w:sz w:val="24"/>
          <w:szCs w:val="24"/>
        </w:rPr>
        <w:t xml:space="preserve"> and will therefore be discussed in this essay</w:t>
      </w:r>
      <w:r w:rsidR="00CD2033" w:rsidRPr="00086AB8">
        <w:rPr>
          <w:sz w:val="24"/>
          <w:szCs w:val="24"/>
        </w:rPr>
        <w:t xml:space="preserve"> (</w:t>
      </w:r>
      <w:proofErr w:type="spellStart"/>
      <w:r w:rsidR="00CD2033" w:rsidRPr="00086AB8">
        <w:rPr>
          <w:sz w:val="24"/>
          <w:szCs w:val="24"/>
        </w:rPr>
        <w:t>Cuckney</w:t>
      </w:r>
      <w:proofErr w:type="spellEnd"/>
      <w:r w:rsidR="00CD2033" w:rsidRPr="00086AB8">
        <w:rPr>
          <w:sz w:val="24"/>
          <w:szCs w:val="24"/>
        </w:rPr>
        <w:t xml:space="preserve">, 2016). </w:t>
      </w:r>
    </w:p>
    <w:p w14:paraId="4D5A8AA6" w14:textId="77777777" w:rsidR="00726CAB" w:rsidRPr="00086AB8" w:rsidRDefault="00726CAB" w:rsidP="003028B3">
      <w:pPr>
        <w:spacing w:line="360" w:lineRule="auto"/>
      </w:pPr>
    </w:p>
    <w:p w14:paraId="14B3D7BF" w14:textId="1E4F0C74" w:rsidR="00183861" w:rsidRPr="00086AB8" w:rsidRDefault="004D4DFC" w:rsidP="003028B3">
      <w:pPr>
        <w:pStyle w:val="Heading2"/>
        <w:spacing w:line="360" w:lineRule="auto"/>
      </w:pPr>
      <w:bookmarkStart w:id="1" w:name="_Toc12386946"/>
      <w:r w:rsidRPr="00086AB8">
        <w:t xml:space="preserve">Transfer of Undertakings </w:t>
      </w:r>
      <w:r w:rsidR="00726CAB" w:rsidRPr="00086AB8">
        <w:t>(Protection of Employment)</w:t>
      </w:r>
      <w:r w:rsidRPr="00086AB8">
        <w:t xml:space="preserve"> (20</w:t>
      </w:r>
      <w:r w:rsidR="00726CAB" w:rsidRPr="00086AB8">
        <w:t>14</w:t>
      </w:r>
      <w:r w:rsidRPr="00086AB8">
        <w:t>)</w:t>
      </w:r>
      <w:bookmarkEnd w:id="1"/>
    </w:p>
    <w:p w14:paraId="41270F04" w14:textId="77777777" w:rsidR="00726CAB" w:rsidRPr="00086AB8" w:rsidRDefault="00726CAB" w:rsidP="003028B3">
      <w:pPr>
        <w:spacing w:line="360" w:lineRule="auto"/>
      </w:pPr>
    </w:p>
    <w:p w14:paraId="72836A3B" w14:textId="42F68EB2" w:rsidR="00DF2D0C" w:rsidRPr="00086AB8" w:rsidRDefault="00C01AF7" w:rsidP="003028B3">
      <w:pPr>
        <w:spacing w:line="360" w:lineRule="auto"/>
        <w:rPr>
          <w:sz w:val="24"/>
          <w:szCs w:val="24"/>
        </w:rPr>
      </w:pPr>
      <w:r w:rsidRPr="00086AB8">
        <w:rPr>
          <w:sz w:val="24"/>
          <w:szCs w:val="24"/>
        </w:rPr>
        <w:t>The Transfer of Undertakings (Protection of Employment) regulations (2006) known colloquially as TUPE is the UK’s implementation of the European Union (EU) Transfer of Undertakings Directive (2001)</w:t>
      </w:r>
      <w:r w:rsidR="00611B1F" w:rsidRPr="00086AB8">
        <w:rPr>
          <w:sz w:val="24"/>
          <w:szCs w:val="24"/>
        </w:rPr>
        <w:t xml:space="preserve">. </w:t>
      </w:r>
      <w:r w:rsidR="000818A2" w:rsidRPr="00086AB8">
        <w:rPr>
          <w:sz w:val="24"/>
          <w:szCs w:val="24"/>
        </w:rPr>
        <w:t xml:space="preserve">These regulations apply regardless of the size of the transferred business, so if the business in question has thousands of employees (such as Sainsbury’s and ASDA) or a very small one such as a local shop or motor vehicle repair garage the regulations equally apply and business are required by law to abide by them or they may face repercussions through civil </w:t>
      </w:r>
      <w:r w:rsidR="000818A2" w:rsidRPr="00086AB8">
        <w:rPr>
          <w:sz w:val="24"/>
          <w:szCs w:val="24"/>
        </w:rPr>
        <w:lastRenderedPageBreak/>
        <w:t xml:space="preserve">court or employment tribunals </w:t>
      </w:r>
      <w:r w:rsidR="004B1F9E" w:rsidRPr="00086AB8">
        <w:rPr>
          <w:sz w:val="24"/>
          <w:szCs w:val="24"/>
        </w:rPr>
        <w:t>(Mirza, 2013</w:t>
      </w:r>
      <w:r w:rsidR="000818A2" w:rsidRPr="00086AB8">
        <w:rPr>
          <w:sz w:val="24"/>
          <w:szCs w:val="24"/>
        </w:rPr>
        <w:t xml:space="preserve">). </w:t>
      </w:r>
      <w:r w:rsidR="00B67FD7" w:rsidRPr="00086AB8">
        <w:rPr>
          <w:sz w:val="24"/>
          <w:szCs w:val="24"/>
        </w:rPr>
        <w:t>Such</w:t>
      </w:r>
      <w:r w:rsidR="0076464A" w:rsidRPr="00086AB8">
        <w:rPr>
          <w:sz w:val="24"/>
          <w:szCs w:val="24"/>
        </w:rPr>
        <w:t xml:space="preserve"> as ASDA and Sainsbury’s where the two companies are merging to become a third,</w:t>
      </w:r>
      <w:r w:rsidR="00B67FD7" w:rsidRPr="00086AB8">
        <w:rPr>
          <w:sz w:val="24"/>
          <w:szCs w:val="24"/>
        </w:rPr>
        <w:t xml:space="preserve"> meaning</w:t>
      </w:r>
      <w:r w:rsidR="0076464A" w:rsidRPr="00086AB8">
        <w:rPr>
          <w:sz w:val="24"/>
          <w:szCs w:val="24"/>
        </w:rPr>
        <w:t xml:space="preserve"> they </w:t>
      </w:r>
      <w:r w:rsidR="00B67FD7" w:rsidRPr="00086AB8">
        <w:rPr>
          <w:sz w:val="24"/>
          <w:szCs w:val="24"/>
        </w:rPr>
        <w:t>are bound by these regulation’s.</w:t>
      </w:r>
      <w:r w:rsidR="007A2FFD" w:rsidRPr="00086AB8">
        <w:rPr>
          <w:sz w:val="24"/>
          <w:szCs w:val="24"/>
        </w:rPr>
        <w:t xml:space="preserve"> </w:t>
      </w:r>
      <w:r w:rsidR="00DA1E23" w:rsidRPr="00086AB8">
        <w:rPr>
          <w:sz w:val="24"/>
          <w:szCs w:val="24"/>
        </w:rPr>
        <w:t>(</w:t>
      </w:r>
      <w:proofErr w:type="spellStart"/>
      <w:r w:rsidR="00DA1E23" w:rsidRPr="00086AB8">
        <w:rPr>
          <w:sz w:val="24"/>
          <w:szCs w:val="24"/>
        </w:rPr>
        <w:t>Mcmullen</w:t>
      </w:r>
      <w:proofErr w:type="spellEnd"/>
      <w:r w:rsidR="00DA1E23" w:rsidRPr="00086AB8">
        <w:rPr>
          <w:sz w:val="24"/>
          <w:szCs w:val="24"/>
        </w:rPr>
        <w:t>, 2012</w:t>
      </w:r>
      <w:r w:rsidR="007A2FFD" w:rsidRPr="00086AB8">
        <w:rPr>
          <w:sz w:val="24"/>
          <w:szCs w:val="24"/>
        </w:rPr>
        <w:t xml:space="preserve">). </w:t>
      </w:r>
      <w:r w:rsidR="00B67FD7" w:rsidRPr="00086AB8">
        <w:rPr>
          <w:sz w:val="24"/>
          <w:szCs w:val="24"/>
        </w:rPr>
        <w:t xml:space="preserve"> </w:t>
      </w:r>
      <w:r w:rsidR="0076464A" w:rsidRPr="00086AB8">
        <w:rPr>
          <w:sz w:val="24"/>
          <w:szCs w:val="24"/>
        </w:rPr>
        <w:t xml:space="preserve">However, they would not apply to transfer </w:t>
      </w:r>
      <w:r w:rsidR="007A0FB7" w:rsidRPr="00086AB8">
        <w:rPr>
          <w:sz w:val="24"/>
          <w:szCs w:val="24"/>
        </w:rPr>
        <w:t xml:space="preserve">initiated by share take-overs as when the </w:t>
      </w:r>
      <w:r w:rsidR="00EC3EB4" w:rsidRPr="00086AB8">
        <w:rPr>
          <w:sz w:val="24"/>
          <w:szCs w:val="24"/>
        </w:rPr>
        <w:t>company’s</w:t>
      </w:r>
      <w:r w:rsidR="007A0FB7" w:rsidRPr="00086AB8">
        <w:rPr>
          <w:sz w:val="24"/>
          <w:szCs w:val="24"/>
        </w:rPr>
        <w:t xml:space="preserve"> shares are sold to new shareholders, there is no transfer of business or undertaking a</w:t>
      </w:r>
      <w:r w:rsidR="00245C98" w:rsidRPr="00086AB8">
        <w:rPr>
          <w:sz w:val="24"/>
          <w:szCs w:val="24"/>
        </w:rPr>
        <w:t>s</w:t>
      </w:r>
      <w:r w:rsidR="007A0FB7" w:rsidRPr="00086AB8">
        <w:rPr>
          <w:sz w:val="24"/>
          <w:szCs w:val="24"/>
        </w:rPr>
        <w:t xml:space="preserve"> effectively the same company continues to be the employer (</w:t>
      </w:r>
      <w:r w:rsidR="0062746A" w:rsidRPr="00086AB8">
        <w:rPr>
          <w:sz w:val="24"/>
          <w:szCs w:val="24"/>
        </w:rPr>
        <w:t>Nicholas, 2013</w:t>
      </w:r>
      <w:r w:rsidR="007A0FB7" w:rsidRPr="00086AB8">
        <w:rPr>
          <w:sz w:val="24"/>
          <w:szCs w:val="24"/>
        </w:rPr>
        <w:t>).</w:t>
      </w:r>
      <w:r w:rsidR="0084172F" w:rsidRPr="00086AB8">
        <w:rPr>
          <w:sz w:val="24"/>
          <w:szCs w:val="24"/>
        </w:rPr>
        <w:t xml:space="preserve"> </w:t>
      </w:r>
      <w:r w:rsidR="007A2FFD" w:rsidRPr="00086AB8">
        <w:rPr>
          <w:sz w:val="24"/>
          <w:szCs w:val="24"/>
        </w:rPr>
        <w:t>Part of these regulations are as follows:</w:t>
      </w:r>
    </w:p>
    <w:p w14:paraId="0EFC8B0A" w14:textId="55F5CAA5" w:rsidR="00416875" w:rsidRPr="00086AB8" w:rsidRDefault="00416875" w:rsidP="003028B3">
      <w:pPr>
        <w:pStyle w:val="Heading3"/>
        <w:spacing w:line="360" w:lineRule="auto"/>
      </w:pPr>
      <w:bookmarkStart w:id="2" w:name="_Toc12386947"/>
      <w:r w:rsidRPr="00086AB8">
        <w:t>Transfer of Contracts</w:t>
      </w:r>
      <w:bookmarkEnd w:id="2"/>
      <w:r w:rsidRPr="00086AB8">
        <w:t xml:space="preserve"> </w:t>
      </w:r>
    </w:p>
    <w:p w14:paraId="09477436" w14:textId="4B2E5851" w:rsidR="00416875" w:rsidRPr="00086AB8" w:rsidRDefault="00416875" w:rsidP="003028B3">
      <w:pPr>
        <w:spacing w:line="360" w:lineRule="auto"/>
      </w:pPr>
      <w:r w:rsidRPr="00086AB8">
        <w:rPr>
          <w:sz w:val="24"/>
          <w:szCs w:val="24"/>
        </w:rPr>
        <w:t xml:space="preserve">TUPE regulations state that employment contracts in the event of a transfer between two organisations must be kept the same as if they were originally made between the employer and the transferee </w:t>
      </w:r>
      <w:r w:rsidR="003F13C0" w:rsidRPr="00086AB8">
        <w:rPr>
          <w:sz w:val="24"/>
          <w:szCs w:val="24"/>
        </w:rPr>
        <w:t>(</w:t>
      </w:r>
      <w:proofErr w:type="spellStart"/>
      <w:r w:rsidR="003F13C0" w:rsidRPr="00086AB8">
        <w:rPr>
          <w:sz w:val="24"/>
          <w:szCs w:val="24"/>
        </w:rPr>
        <w:t>Mcmullen</w:t>
      </w:r>
      <w:proofErr w:type="spellEnd"/>
      <w:r w:rsidR="003F13C0" w:rsidRPr="00086AB8">
        <w:rPr>
          <w:sz w:val="24"/>
          <w:szCs w:val="24"/>
        </w:rPr>
        <w:t>, 2018</w:t>
      </w:r>
      <w:r w:rsidRPr="00086AB8">
        <w:rPr>
          <w:sz w:val="24"/>
          <w:szCs w:val="24"/>
        </w:rPr>
        <w:t>).</w:t>
      </w:r>
      <w:r w:rsidR="008A177D" w:rsidRPr="00086AB8">
        <w:rPr>
          <w:sz w:val="24"/>
          <w:szCs w:val="24"/>
        </w:rPr>
        <w:t xml:space="preserve"> This is so the new buyers cannot escape the organisations obligations to its workforce.</w:t>
      </w:r>
      <w:r w:rsidR="006F2EFB" w:rsidRPr="00086AB8">
        <w:rPr>
          <w:sz w:val="24"/>
          <w:szCs w:val="24"/>
        </w:rPr>
        <w:t xml:space="preserve"> If any employee objects to the employer changing its identity they have no obligation to become one. They will be treated as if their contract was terminated when the transfer takes place, but they will not be dismissed and therefore not required compensation </w:t>
      </w:r>
      <w:r w:rsidR="00F27E9B" w:rsidRPr="00086AB8">
        <w:rPr>
          <w:sz w:val="24"/>
          <w:szCs w:val="24"/>
        </w:rPr>
        <w:t>(Wynn-Evans, 2011</w:t>
      </w:r>
      <w:r w:rsidR="006F2EFB" w:rsidRPr="00086AB8">
        <w:rPr>
          <w:sz w:val="24"/>
          <w:szCs w:val="24"/>
        </w:rPr>
        <w:t>).</w:t>
      </w:r>
      <w:r w:rsidR="006F2EFB" w:rsidRPr="00086AB8">
        <w:rPr>
          <w:sz w:val="24"/>
          <w:szCs w:val="24"/>
        </w:rPr>
        <w:t xml:space="preserve"> </w:t>
      </w:r>
    </w:p>
    <w:p w14:paraId="46969A2C" w14:textId="4E4D9A81" w:rsidR="007A2FFD" w:rsidRPr="00086AB8" w:rsidRDefault="007A2FFD" w:rsidP="003028B3">
      <w:pPr>
        <w:pStyle w:val="Heading3"/>
        <w:spacing w:line="360" w:lineRule="auto"/>
      </w:pPr>
      <w:bookmarkStart w:id="3" w:name="_Toc12386948"/>
      <w:r w:rsidRPr="00086AB8">
        <w:t>Redundancy</w:t>
      </w:r>
      <w:bookmarkEnd w:id="3"/>
      <w:r w:rsidRPr="00086AB8">
        <w:t xml:space="preserve"> </w:t>
      </w:r>
    </w:p>
    <w:p w14:paraId="6170357A" w14:textId="7D68BD46" w:rsidR="00785AB1" w:rsidRPr="00086AB8" w:rsidRDefault="00AC614D" w:rsidP="003028B3">
      <w:pPr>
        <w:spacing w:line="360" w:lineRule="auto"/>
        <w:rPr>
          <w:sz w:val="24"/>
          <w:szCs w:val="24"/>
        </w:rPr>
      </w:pPr>
      <w:r w:rsidRPr="00086AB8">
        <w:rPr>
          <w:sz w:val="24"/>
          <w:szCs w:val="24"/>
        </w:rPr>
        <w:t xml:space="preserve">The new organisation are unable to make employees redundant for the express reason they were transferred from another employer. More specifically it states that any dismissals without the employer presenting an economic, technical or organisational reason for dismissal will be considered an “unfair dismissal” </w:t>
      </w:r>
      <w:r w:rsidR="00F24C99" w:rsidRPr="00086AB8">
        <w:rPr>
          <w:sz w:val="24"/>
          <w:szCs w:val="24"/>
        </w:rPr>
        <w:t>(O’Neill AND Faulkner, 2015</w:t>
      </w:r>
      <w:r w:rsidRPr="00086AB8">
        <w:rPr>
          <w:sz w:val="24"/>
          <w:szCs w:val="24"/>
        </w:rPr>
        <w:t xml:space="preserve">). However, it is important to note dismissing employees for the reason of improving the price of the company before its sale is not a valid reason </w:t>
      </w:r>
      <w:r w:rsidR="0000221F" w:rsidRPr="00086AB8">
        <w:rPr>
          <w:sz w:val="24"/>
          <w:szCs w:val="24"/>
        </w:rPr>
        <w:t>(</w:t>
      </w:r>
      <w:proofErr w:type="spellStart"/>
      <w:r w:rsidR="0000221F" w:rsidRPr="00086AB8">
        <w:rPr>
          <w:sz w:val="24"/>
          <w:szCs w:val="24"/>
        </w:rPr>
        <w:t>Bejan</w:t>
      </w:r>
      <w:proofErr w:type="spellEnd"/>
      <w:r w:rsidR="0000221F" w:rsidRPr="00086AB8">
        <w:rPr>
          <w:sz w:val="24"/>
          <w:szCs w:val="24"/>
        </w:rPr>
        <w:t>, 2013</w:t>
      </w:r>
      <w:r w:rsidRPr="00086AB8">
        <w:rPr>
          <w:sz w:val="24"/>
          <w:szCs w:val="24"/>
        </w:rPr>
        <w:t xml:space="preserve">).  </w:t>
      </w:r>
      <w:r w:rsidR="005D46F3" w:rsidRPr="00086AB8">
        <w:rPr>
          <w:sz w:val="24"/>
          <w:szCs w:val="24"/>
        </w:rPr>
        <w:t xml:space="preserve">Importantly, an employee dismissed by the one organisation is deemed to have been dismissed by the newly formed company, so unless lawful compensation has been provided for redundancy the newly formed company is liable for any legal action </w:t>
      </w:r>
      <w:r w:rsidR="000435E0" w:rsidRPr="00086AB8">
        <w:rPr>
          <w:sz w:val="24"/>
          <w:szCs w:val="24"/>
        </w:rPr>
        <w:t>(Mirza, 2013)</w:t>
      </w:r>
      <w:r w:rsidR="00D65899" w:rsidRPr="00086AB8">
        <w:rPr>
          <w:sz w:val="24"/>
          <w:szCs w:val="24"/>
        </w:rPr>
        <w:t>.</w:t>
      </w:r>
    </w:p>
    <w:p w14:paraId="6A89535C" w14:textId="04569AEB" w:rsidR="001B1134" w:rsidRPr="00086AB8" w:rsidRDefault="003569E8" w:rsidP="003028B3">
      <w:pPr>
        <w:spacing w:line="360" w:lineRule="auto"/>
        <w:rPr>
          <w:sz w:val="24"/>
          <w:szCs w:val="24"/>
        </w:rPr>
      </w:pPr>
      <w:r w:rsidRPr="00086AB8">
        <w:rPr>
          <w:sz w:val="24"/>
          <w:szCs w:val="24"/>
        </w:rPr>
        <w:t>However, before enterprises can consider merging there are regulations regarding competition amongst various markets. Again</w:t>
      </w:r>
      <w:r w:rsidR="00E12810" w:rsidRPr="00086AB8">
        <w:rPr>
          <w:sz w:val="24"/>
          <w:szCs w:val="24"/>
        </w:rPr>
        <w:t>,</w:t>
      </w:r>
      <w:r w:rsidRPr="00086AB8">
        <w:rPr>
          <w:sz w:val="24"/>
          <w:szCs w:val="24"/>
        </w:rPr>
        <w:t xml:space="preserve"> these </w:t>
      </w:r>
      <w:r w:rsidR="00E12810" w:rsidRPr="00086AB8">
        <w:rPr>
          <w:sz w:val="24"/>
          <w:szCs w:val="24"/>
        </w:rPr>
        <w:t>are derived from EU regulation for implementation in the UK, but as mentioned above they are the current regulation at the time of this essay and thus will be included:</w:t>
      </w:r>
    </w:p>
    <w:p w14:paraId="7776848B" w14:textId="77777777" w:rsidR="003B6192" w:rsidRPr="00086AB8" w:rsidRDefault="003B6192" w:rsidP="003028B3">
      <w:pPr>
        <w:spacing w:line="360" w:lineRule="auto"/>
        <w:rPr>
          <w:sz w:val="24"/>
          <w:szCs w:val="24"/>
        </w:rPr>
      </w:pPr>
    </w:p>
    <w:p w14:paraId="02E0B319" w14:textId="2C2B41A8" w:rsidR="00625827" w:rsidRPr="00086AB8" w:rsidRDefault="00625827" w:rsidP="003028B3">
      <w:pPr>
        <w:pStyle w:val="Heading2"/>
        <w:tabs>
          <w:tab w:val="left" w:pos="3408"/>
        </w:tabs>
        <w:spacing w:line="360" w:lineRule="auto"/>
      </w:pPr>
      <w:bookmarkStart w:id="4" w:name="_Toc12386949"/>
      <w:r w:rsidRPr="00086AB8">
        <w:t>The Enterprise</w:t>
      </w:r>
      <w:r w:rsidR="00916CD2" w:rsidRPr="00086AB8">
        <w:t xml:space="preserve"> and Regulatory Reform</w:t>
      </w:r>
      <w:r w:rsidRPr="00086AB8">
        <w:t xml:space="preserve"> Act (20</w:t>
      </w:r>
      <w:r w:rsidR="003324E3" w:rsidRPr="00086AB8">
        <w:t>13</w:t>
      </w:r>
      <w:r w:rsidRPr="00086AB8">
        <w:t>)</w:t>
      </w:r>
      <w:bookmarkEnd w:id="4"/>
      <w:r w:rsidR="00DB777C" w:rsidRPr="00086AB8">
        <w:tab/>
      </w:r>
    </w:p>
    <w:p w14:paraId="3166FB5D" w14:textId="56C5F33A" w:rsidR="00625827" w:rsidRPr="00086AB8" w:rsidRDefault="00625827" w:rsidP="003028B3">
      <w:pPr>
        <w:spacing w:line="360" w:lineRule="auto"/>
      </w:pPr>
    </w:p>
    <w:p w14:paraId="0310ED1D" w14:textId="196B84C2" w:rsidR="00625827" w:rsidRPr="00086AB8" w:rsidRDefault="00E42557" w:rsidP="003028B3">
      <w:pPr>
        <w:spacing w:line="360" w:lineRule="auto"/>
        <w:rPr>
          <w:sz w:val="24"/>
          <w:szCs w:val="24"/>
        </w:rPr>
      </w:pPr>
      <w:r w:rsidRPr="00086AB8">
        <w:rPr>
          <w:sz w:val="24"/>
          <w:szCs w:val="24"/>
        </w:rPr>
        <w:t xml:space="preserve">The Enterprise and Regulatory Reform Act (ERRA) is a major act of parliament in the UK aimed at reforming the regulatory environment around UK businesses. Specifically, to this report is parts three and four which strengthens the regulatory settlement on mergers and anti-competitive behaviour. This act saw the creation of </w:t>
      </w:r>
      <w:r w:rsidR="00345084" w:rsidRPr="00086AB8">
        <w:rPr>
          <w:sz w:val="24"/>
          <w:szCs w:val="24"/>
        </w:rPr>
        <w:t>a regulatory body to investigate mergers to ensure they are complying with the above act known as</w:t>
      </w:r>
      <w:r w:rsidRPr="00086AB8">
        <w:rPr>
          <w:sz w:val="24"/>
          <w:szCs w:val="24"/>
        </w:rPr>
        <w:t>,</w:t>
      </w:r>
      <w:r w:rsidR="00345084" w:rsidRPr="00086AB8">
        <w:rPr>
          <w:sz w:val="24"/>
          <w:szCs w:val="24"/>
        </w:rPr>
        <w:t xml:space="preserve"> the Competition and Markets Authority (CMA)</w:t>
      </w:r>
      <w:r w:rsidRPr="00086AB8">
        <w:rPr>
          <w:sz w:val="24"/>
          <w:szCs w:val="24"/>
        </w:rPr>
        <w:t>.</w:t>
      </w:r>
      <w:r w:rsidR="00555AE6" w:rsidRPr="00086AB8">
        <w:rPr>
          <w:sz w:val="24"/>
          <w:szCs w:val="24"/>
        </w:rPr>
        <w:t xml:space="preserve"> This body has replaced the Office of Fair Trade (OFT) and </w:t>
      </w:r>
      <w:r w:rsidR="00345084" w:rsidRPr="00086AB8">
        <w:rPr>
          <w:sz w:val="24"/>
          <w:szCs w:val="24"/>
        </w:rPr>
        <w:t>will</w:t>
      </w:r>
      <w:r w:rsidR="00555AE6" w:rsidRPr="00086AB8">
        <w:rPr>
          <w:sz w:val="24"/>
          <w:szCs w:val="24"/>
        </w:rPr>
        <w:t xml:space="preserve"> be utilised </w:t>
      </w:r>
      <w:r w:rsidR="006867D1" w:rsidRPr="00086AB8">
        <w:rPr>
          <w:sz w:val="24"/>
          <w:szCs w:val="24"/>
        </w:rPr>
        <w:t>to investigate</w:t>
      </w:r>
      <w:r w:rsidR="00345084" w:rsidRPr="00086AB8">
        <w:rPr>
          <w:sz w:val="24"/>
          <w:szCs w:val="24"/>
        </w:rPr>
        <w:t xml:space="preserve"> a merger if the following factors are in effect:</w:t>
      </w:r>
    </w:p>
    <w:p w14:paraId="76FF2BF1" w14:textId="409535D4" w:rsidR="00345084" w:rsidRPr="00086AB8" w:rsidRDefault="00345084" w:rsidP="003028B3">
      <w:pPr>
        <w:pStyle w:val="ListParagraph"/>
        <w:numPr>
          <w:ilvl w:val="0"/>
          <w:numId w:val="1"/>
        </w:numPr>
        <w:spacing w:line="360" w:lineRule="auto"/>
        <w:jc w:val="both"/>
        <w:rPr>
          <w:sz w:val="24"/>
          <w:szCs w:val="24"/>
        </w:rPr>
      </w:pPr>
      <w:r w:rsidRPr="00086AB8">
        <w:rPr>
          <w:sz w:val="24"/>
          <w:szCs w:val="24"/>
        </w:rPr>
        <w:t>The business being taken over has an annual turnover of £70 million pounds within the UK</w:t>
      </w:r>
      <w:r w:rsidR="00C9435F" w:rsidRPr="00086AB8">
        <w:rPr>
          <w:sz w:val="24"/>
          <w:szCs w:val="24"/>
        </w:rPr>
        <w:t xml:space="preserve"> (</w:t>
      </w:r>
      <w:r w:rsidR="002F6760" w:rsidRPr="00086AB8">
        <w:rPr>
          <w:sz w:val="24"/>
          <w:szCs w:val="24"/>
        </w:rPr>
        <w:t>GOV.UK</w:t>
      </w:r>
      <w:r w:rsidR="00C9435F" w:rsidRPr="00086AB8">
        <w:rPr>
          <w:sz w:val="24"/>
          <w:szCs w:val="24"/>
        </w:rPr>
        <w:t xml:space="preserve">, </w:t>
      </w:r>
      <w:r w:rsidR="002F6760" w:rsidRPr="00086AB8">
        <w:rPr>
          <w:sz w:val="24"/>
          <w:szCs w:val="24"/>
        </w:rPr>
        <w:t>2019</w:t>
      </w:r>
      <w:r w:rsidR="00C9435F" w:rsidRPr="00086AB8">
        <w:rPr>
          <w:sz w:val="24"/>
          <w:szCs w:val="24"/>
        </w:rPr>
        <w:t>)</w:t>
      </w:r>
      <w:r w:rsidRPr="00086AB8">
        <w:rPr>
          <w:sz w:val="24"/>
          <w:szCs w:val="24"/>
        </w:rPr>
        <w:t>. According to a recent report Sainsburys generated £28.5 billion pounds of group sales in 2018 and ASDA generated £22.9 billion in 2018 (</w:t>
      </w:r>
      <w:r w:rsidR="00516906" w:rsidRPr="00086AB8">
        <w:rPr>
          <w:sz w:val="24"/>
          <w:szCs w:val="24"/>
        </w:rPr>
        <w:t>Competition and Market Authority</w:t>
      </w:r>
      <w:r w:rsidRPr="00086AB8">
        <w:rPr>
          <w:sz w:val="24"/>
          <w:szCs w:val="24"/>
        </w:rPr>
        <w:t xml:space="preserve">, </w:t>
      </w:r>
      <w:r w:rsidR="00531661" w:rsidRPr="00086AB8">
        <w:rPr>
          <w:sz w:val="24"/>
          <w:szCs w:val="24"/>
        </w:rPr>
        <w:t>2019</w:t>
      </w:r>
      <w:r w:rsidRPr="00086AB8">
        <w:rPr>
          <w:sz w:val="24"/>
          <w:szCs w:val="24"/>
        </w:rPr>
        <w:t xml:space="preserve">). Thus, more than qualifying the companies for investigation </w:t>
      </w:r>
    </w:p>
    <w:p w14:paraId="6D17729F" w14:textId="02B965FF" w:rsidR="00345084" w:rsidRPr="00086AB8" w:rsidRDefault="00345084" w:rsidP="003028B3">
      <w:pPr>
        <w:pStyle w:val="ListParagraph"/>
        <w:numPr>
          <w:ilvl w:val="0"/>
          <w:numId w:val="1"/>
        </w:numPr>
        <w:spacing w:line="360" w:lineRule="auto"/>
        <w:jc w:val="both"/>
        <w:rPr>
          <w:sz w:val="24"/>
          <w:szCs w:val="24"/>
        </w:rPr>
      </w:pPr>
      <w:r w:rsidRPr="00086AB8">
        <w:rPr>
          <w:sz w:val="24"/>
          <w:szCs w:val="24"/>
        </w:rPr>
        <w:t>The combined companies have a</w:t>
      </w:r>
      <w:r w:rsidR="00C9435F" w:rsidRPr="00086AB8">
        <w:rPr>
          <w:sz w:val="24"/>
          <w:szCs w:val="24"/>
        </w:rPr>
        <w:t>t least a 25% of any reasonable market (</w:t>
      </w:r>
      <w:r w:rsidR="002F6760" w:rsidRPr="00086AB8">
        <w:rPr>
          <w:sz w:val="24"/>
          <w:szCs w:val="24"/>
        </w:rPr>
        <w:t>GOV.UK</w:t>
      </w:r>
      <w:r w:rsidR="00C9435F" w:rsidRPr="00086AB8">
        <w:rPr>
          <w:sz w:val="24"/>
          <w:szCs w:val="24"/>
        </w:rPr>
        <w:t xml:space="preserve">, </w:t>
      </w:r>
      <w:r w:rsidR="002F6760" w:rsidRPr="00086AB8">
        <w:rPr>
          <w:sz w:val="24"/>
          <w:szCs w:val="24"/>
        </w:rPr>
        <w:t>2019</w:t>
      </w:r>
      <w:r w:rsidR="00C9435F" w:rsidRPr="00086AB8">
        <w:rPr>
          <w:sz w:val="24"/>
          <w:szCs w:val="24"/>
        </w:rPr>
        <w:t>).</w:t>
      </w:r>
      <w:r w:rsidR="00D77715" w:rsidRPr="00086AB8">
        <w:rPr>
          <w:sz w:val="24"/>
          <w:szCs w:val="24"/>
        </w:rPr>
        <w:t xml:space="preserve"> As the potential merger would create the largest </w:t>
      </w:r>
      <w:r w:rsidR="00BE3D06" w:rsidRPr="00086AB8">
        <w:rPr>
          <w:sz w:val="24"/>
          <w:szCs w:val="24"/>
        </w:rPr>
        <w:t>volume of retailers of groceries and largest retailer of fuel by volume in the UK this category is satisfied for investigation (Competition and Market Authority, 2019).</w:t>
      </w:r>
    </w:p>
    <w:p w14:paraId="1D8A962B" w14:textId="6EEC5FE6" w:rsidR="005D7A00" w:rsidRPr="00086AB8" w:rsidRDefault="005D7A00" w:rsidP="003028B3">
      <w:pPr>
        <w:spacing w:line="360" w:lineRule="auto"/>
        <w:jc w:val="both"/>
        <w:rPr>
          <w:sz w:val="24"/>
          <w:szCs w:val="24"/>
        </w:rPr>
      </w:pPr>
      <w:r w:rsidRPr="00086AB8">
        <w:rPr>
          <w:sz w:val="24"/>
          <w:szCs w:val="24"/>
        </w:rPr>
        <w:t>If an investigation</w:t>
      </w:r>
      <w:r w:rsidR="00EC4AED" w:rsidRPr="00086AB8">
        <w:rPr>
          <w:sz w:val="24"/>
          <w:szCs w:val="24"/>
        </w:rPr>
        <w:t xml:space="preserve"> in a merger by this authority concludes that together both parties merging will result in a substantial lessening of competition across any or multiple markets in the UK, the CMA has the right and most likely will prohibit the merger</w:t>
      </w:r>
      <w:r w:rsidR="008A042C" w:rsidRPr="00086AB8">
        <w:rPr>
          <w:sz w:val="24"/>
          <w:szCs w:val="24"/>
        </w:rPr>
        <w:t xml:space="preserve"> </w:t>
      </w:r>
      <w:r w:rsidR="00B91996" w:rsidRPr="00086AB8">
        <w:rPr>
          <w:sz w:val="24"/>
          <w:szCs w:val="24"/>
        </w:rPr>
        <w:t>(Feaster-Gee, 2014</w:t>
      </w:r>
      <w:r w:rsidR="008A042C" w:rsidRPr="00086AB8">
        <w:rPr>
          <w:sz w:val="24"/>
          <w:szCs w:val="24"/>
        </w:rPr>
        <w:t>)</w:t>
      </w:r>
      <w:r w:rsidR="00EC4AED" w:rsidRPr="00086AB8">
        <w:rPr>
          <w:sz w:val="24"/>
          <w:szCs w:val="24"/>
        </w:rPr>
        <w:t xml:space="preserve">. </w:t>
      </w:r>
      <w:r w:rsidRPr="00086AB8">
        <w:rPr>
          <w:sz w:val="24"/>
          <w:szCs w:val="24"/>
        </w:rPr>
        <w:t xml:space="preserve"> </w:t>
      </w:r>
    </w:p>
    <w:p w14:paraId="2DD29BD8" w14:textId="03B18849" w:rsidR="004D057A" w:rsidRPr="00086AB8" w:rsidRDefault="004D057A" w:rsidP="003028B3">
      <w:pPr>
        <w:spacing w:line="360" w:lineRule="auto"/>
        <w:jc w:val="both"/>
        <w:rPr>
          <w:sz w:val="24"/>
          <w:szCs w:val="24"/>
        </w:rPr>
      </w:pPr>
    </w:p>
    <w:p w14:paraId="18C7C089" w14:textId="77777777" w:rsidR="003B6192" w:rsidRPr="00086AB8" w:rsidRDefault="003B6192" w:rsidP="003028B3">
      <w:pPr>
        <w:spacing w:line="360" w:lineRule="auto"/>
        <w:jc w:val="both"/>
        <w:rPr>
          <w:sz w:val="24"/>
          <w:szCs w:val="24"/>
        </w:rPr>
      </w:pPr>
    </w:p>
    <w:p w14:paraId="4231FAF2" w14:textId="77777777" w:rsidR="003B6192" w:rsidRPr="00086AB8" w:rsidRDefault="003B6192" w:rsidP="003028B3">
      <w:pPr>
        <w:spacing w:line="360" w:lineRule="auto"/>
        <w:jc w:val="both"/>
        <w:rPr>
          <w:sz w:val="24"/>
          <w:szCs w:val="24"/>
        </w:rPr>
      </w:pPr>
    </w:p>
    <w:p w14:paraId="6EE5D9C6" w14:textId="77777777" w:rsidR="00BB508C" w:rsidRDefault="00BB508C" w:rsidP="003028B3">
      <w:pPr>
        <w:spacing w:line="360" w:lineRule="auto"/>
        <w:jc w:val="both"/>
        <w:rPr>
          <w:sz w:val="24"/>
          <w:szCs w:val="24"/>
        </w:rPr>
      </w:pPr>
    </w:p>
    <w:p w14:paraId="21C0291B" w14:textId="77777777" w:rsidR="003028B3" w:rsidRPr="00086AB8" w:rsidRDefault="003028B3" w:rsidP="003028B3">
      <w:pPr>
        <w:spacing w:line="360" w:lineRule="auto"/>
        <w:jc w:val="both"/>
        <w:rPr>
          <w:sz w:val="24"/>
          <w:szCs w:val="24"/>
        </w:rPr>
      </w:pPr>
    </w:p>
    <w:p w14:paraId="74093B4E" w14:textId="4DCB2F45" w:rsidR="004D057A" w:rsidRPr="00086AB8" w:rsidRDefault="004D057A" w:rsidP="003028B3">
      <w:pPr>
        <w:spacing w:line="360" w:lineRule="auto"/>
        <w:jc w:val="center"/>
      </w:pPr>
      <w:r w:rsidRPr="00086AB8">
        <w:rPr>
          <w:rFonts w:asciiTheme="majorHAnsi" w:eastAsiaTheme="majorEastAsia" w:hAnsiTheme="majorHAnsi" w:cstheme="majorBidi"/>
          <w:color w:val="2F5496" w:themeColor="accent1" w:themeShade="BF"/>
          <w:sz w:val="32"/>
          <w:szCs w:val="32"/>
        </w:rPr>
        <w:lastRenderedPageBreak/>
        <w:t>Leadership Implications</w:t>
      </w:r>
    </w:p>
    <w:p w14:paraId="0C820BBE" w14:textId="77777777" w:rsidR="004D057A" w:rsidRPr="00086AB8" w:rsidRDefault="004D057A" w:rsidP="003028B3">
      <w:pPr>
        <w:spacing w:line="360" w:lineRule="auto"/>
        <w:jc w:val="both"/>
        <w:rPr>
          <w:sz w:val="24"/>
          <w:szCs w:val="24"/>
        </w:rPr>
      </w:pPr>
    </w:p>
    <w:p w14:paraId="6D838519" w14:textId="0516905F" w:rsidR="008D7A23" w:rsidRPr="00086AB8" w:rsidRDefault="00873A35" w:rsidP="003028B3">
      <w:pPr>
        <w:tabs>
          <w:tab w:val="left" w:pos="6600"/>
        </w:tabs>
        <w:spacing w:line="360" w:lineRule="auto"/>
        <w:rPr>
          <w:sz w:val="24"/>
          <w:szCs w:val="24"/>
        </w:rPr>
      </w:pPr>
      <w:r w:rsidRPr="00086AB8">
        <w:rPr>
          <w:sz w:val="24"/>
          <w:szCs w:val="24"/>
        </w:rPr>
        <w:t xml:space="preserve">Although mergers are primarily used for market expansion and are a common growth strategy amongst multiple markets, </w:t>
      </w:r>
      <w:r w:rsidR="00203AE3" w:rsidRPr="00086AB8">
        <w:rPr>
          <w:sz w:val="24"/>
          <w:szCs w:val="24"/>
        </w:rPr>
        <w:t xml:space="preserve">there are many mergers that do not fulfil their set objectives and achieve a high failure rate, particularly those on a transnational scale (Khan </w:t>
      </w:r>
      <w:r w:rsidR="00203AE3" w:rsidRPr="00086AB8">
        <w:rPr>
          <w:i/>
          <w:iCs/>
          <w:sz w:val="24"/>
          <w:szCs w:val="24"/>
        </w:rPr>
        <w:t xml:space="preserve">et al., </w:t>
      </w:r>
      <w:r w:rsidR="00203AE3" w:rsidRPr="00086AB8">
        <w:rPr>
          <w:sz w:val="24"/>
          <w:szCs w:val="24"/>
        </w:rPr>
        <w:t>2017)</w:t>
      </w:r>
      <w:r w:rsidR="00B81A16" w:rsidRPr="00086AB8">
        <w:rPr>
          <w:sz w:val="24"/>
          <w:szCs w:val="24"/>
        </w:rPr>
        <w:t xml:space="preserve">. An example of a failed merger </w:t>
      </w:r>
      <w:r w:rsidR="00252FAA" w:rsidRPr="00086AB8">
        <w:rPr>
          <w:sz w:val="24"/>
          <w:szCs w:val="24"/>
        </w:rPr>
        <w:t>is the German manufacturer Daimler-Benz who purchased American manufacturer Chrysler for $36 billion, which in 1998 the year the merger took place was considered to be one of the largest industrial mergers ever (</w:t>
      </w:r>
      <w:proofErr w:type="spellStart"/>
      <w:r w:rsidR="00097718" w:rsidRPr="00086AB8">
        <w:rPr>
          <w:sz w:val="24"/>
          <w:szCs w:val="24"/>
        </w:rPr>
        <w:t>Georgieff</w:t>
      </w:r>
      <w:proofErr w:type="spellEnd"/>
      <w:r w:rsidR="00097718" w:rsidRPr="00086AB8">
        <w:rPr>
          <w:sz w:val="24"/>
          <w:szCs w:val="24"/>
        </w:rPr>
        <w:t xml:space="preserve"> AND </w:t>
      </w:r>
      <w:proofErr w:type="spellStart"/>
      <w:r w:rsidR="00097718" w:rsidRPr="00086AB8">
        <w:rPr>
          <w:sz w:val="24"/>
          <w:szCs w:val="24"/>
        </w:rPr>
        <w:t>Latsky</w:t>
      </w:r>
      <w:proofErr w:type="spellEnd"/>
      <w:r w:rsidR="00097718" w:rsidRPr="00086AB8">
        <w:rPr>
          <w:sz w:val="24"/>
          <w:szCs w:val="24"/>
        </w:rPr>
        <w:t>, 2018</w:t>
      </w:r>
      <w:r w:rsidR="00252FAA" w:rsidRPr="00086AB8">
        <w:rPr>
          <w:sz w:val="24"/>
          <w:szCs w:val="24"/>
        </w:rPr>
        <w:t xml:space="preserve">). </w:t>
      </w:r>
      <w:r w:rsidR="003F17B3" w:rsidRPr="00086AB8">
        <w:rPr>
          <w:sz w:val="24"/>
          <w:szCs w:val="24"/>
        </w:rPr>
        <w:t xml:space="preserve">However, this merger which had the potential to become a global powerhouse turned out to be a disappointment which was generally attributed to culture differences </w:t>
      </w:r>
      <w:r w:rsidR="00D352CF" w:rsidRPr="00086AB8">
        <w:rPr>
          <w:sz w:val="24"/>
          <w:szCs w:val="24"/>
        </w:rPr>
        <w:t xml:space="preserve">(Hollmann </w:t>
      </w:r>
      <w:r w:rsidR="00D352CF" w:rsidRPr="00086AB8">
        <w:rPr>
          <w:i/>
          <w:sz w:val="24"/>
          <w:szCs w:val="24"/>
        </w:rPr>
        <w:t>et al.</w:t>
      </w:r>
      <w:r w:rsidR="00D352CF" w:rsidRPr="00086AB8">
        <w:rPr>
          <w:sz w:val="24"/>
          <w:szCs w:val="24"/>
        </w:rPr>
        <w:t>, 2010</w:t>
      </w:r>
      <w:r w:rsidR="003F17B3" w:rsidRPr="00086AB8">
        <w:rPr>
          <w:sz w:val="24"/>
          <w:szCs w:val="24"/>
        </w:rPr>
        <w:t>).</w:t>
      </w:r>
      <w:r w:rsidR="00B21F2B" w:rsidRPr="00086AB8">
        <w:rPr>
          <w:sz w:val="24"/>
          <w:szCs w:val="24"/>
        </w:rPr>
        <w:t xml:space="preserve"> This cultural rift between the two companies was caused as Daimler who are famous for manufacturing luxury cars made specifically for affluent customers, were unable to accommodate for the price-conscious concerns of the average American consumer </w:t>
      </w:r>
      <w:r w:rsidR="006A1B27" w:rsidRPr="00086AB8">
        <w:rPr>
          <w:sz w:val="24"/>
          <w:szCs w:val="24"/>
        </w:rPr>
        <w:t xml:space="preserve">(Hollmann </w:t>
      </w:r>
      <w:r w:rsidR="006A1B27" w:rsidRPr="00086AB8">
        <w:rPr>
          <w:i/>
          <w:sz w:val="24"/>
          <w:szCs w:val="24"/>
        </w:rPr>
        <w:t>et al.</w:t>
      </w:r>
      <w:r w:rsidR="006A1B27" w:rsidRPr="00086AB8">
        <w:rPr>
          <w:sz w:val="24"/>
          <w:szCs w:val="24"/>
        </w:rPr>
        <w:t xml:space="preserve">, 2010). </w:t>
      </w:r>
      <w:r w:rsidR="00B21F2B" w:rsidRPr="00086AB8">
        <w:rPr>
          <w:sz w:val="24"/>
          <w:szCs w:val="24"/>
        </w:rPr>
        <w:t xml:space="preserve">Furthermore, </w:t>
      </w:r>
      <w:r w:rsidR="009F166D" w:rsidRPr="00086AB8">
        <w:rPr>
          <w:sz w:val="24"/>
          <w:szCs w:val="24"/>
        </w:rPr>
        <w:t xml:space="preserve">there were also discussions between the brands as Chrysler bosses had fears that sharing Mercedes components would undermine the Chrysler brand. The German company broke this part sharing agreement causing further discernment between the brands </w:t>
      </w:r>
      <w:r w:rsidR="00C3637A" w:rsidRPr="00086AB8">
        <w:rPr>
          <w:sz w:val="24"/>
          <w:szCs w:val="24"/>
        </w:rPr>
        <w:t xml:space="preserve">(Snyder AND </w:t>
      </w:r>
      <w:proofErr w:type="spellStart"/>
      <w:r w:rsidR="00C3637A" w:rsidRPr="00086AB8">
        <w:rPr>
          <w:sz w:val="24"/>
          <w:szCs w:val="24"/>
        </w:rPr>
        <w:t>Wernle</w:t>
      </w:r>
      <w:proofErr w:type="spellEnd"/>
      <w:r w:rsidR="00C3637A" w:rsidRPr="00086AB8">
        <w:rPr>
          <w:sz w:val="24"/>
          <w:szCs w:val="24"/>
        </w:rPr>
        <w:t>, 2009</w:t>
      </w:r>
      <w:r w:rsidR="009F166D" w:rsidRPr="00086AB8">
        <w:rPr>
          <w:sz w:val="24"/>
          <w:szCs w:val="24"/>
        </w:rPr>
        <w:t xml:space="preserve">). </w:t>
      </w:r>
      <w:r w:rsidR="001513B0" w:rsidRPr="00086AB8">
        <w:rPr>
          <w:sz w:val="24"/>
          <w:szCs w:val="24"/>
        </w:rPr>
        <w:t>Eventually, Daimler shareholders referring to Chrysler as an “affliction”</w:t>
      </w:r>
      <w:r w:rsidR="00F266F1" w:rsidRPr="00086AB8">
        <w:rPr>
          <w:sz w:val="24"/>
          <w:szCs w:val="24"/>
        </w:rPr>
        <w:t xml:space="preserve"> essentially paid Cerberus Capital Management $650 million in 2007 to take Chrysler off its hands (</w:t>
      </w:r>
      <w:r w:rsidR="009463D4" w:rsidRPr="00086AB8">
        <w:rPr>
          <w:sz w:val="24"/>
          <w:szCs w:val="24"/>
        </w:rPr>
        <w:t>Whipple, 2013</w:t>
      </w:r>
      <w:r w:rsidR="00F266F1" w:rsidRPr="00086AB8">
        <w:rPr>
          <w:sz w:val="24"/>
          <w:szCs w:val="24"/>
        </w:rPr>
        <w:t>).</w:t>
      </w:r>
      <w:r w:rsidR="003F17B3" w:rsidRPr="00086AB8">
        <w:rPr>
          <w:sz w:val="24"/>
          <w:szCs w:val="24"/>
        </w:rPr>
        <w:t xml:space="preserve"> </w:t>
      </w:r>
      <w:r w:rsidR="008D7A23" w:rsidRPr="00086AB8">
        <w:rPr>
          <w:sz w:val="24"/>
          <w:szCs w:val="24"/>
        </w:rPr>
        <w:t>The ADSA and Sainsbury’s merger is at risk of falling to the same conclusion if certain elements are not discussed prior to the merger as they are two separate organisations and thus may have different customer bases and management practices:</w:t>
      </w:r>
    </w:p>
    <w:p w14:paraId="1808B128" w14:textId="77777777" w:rsidR="00CE1231" w:rsidRPr="00086AB8" w:rsidRDefault="00CE1231" w:rsidP="003028B3">
      <w:pPr>
        <w:pStyle w:val="Heading2"/>
        <w:spacing w:line="360" w:lineRule="auto"/>
      </w:pPr>
      <w:bookmarkStart w:id="5" w:name="_Toc12386950"/>
      <w:r w:rsidRPr="00086AB8">
        <w:t>Cultural Differences</w:t>
      </w:r>
      <w:bookmarkEnd w:id="5"/>
    </w:p>
    <w:p w14:paraId="1202A789" w14:textId="77777777" w:rsidR="00CE1231" w:rsidRPr="00086AB8" w:rsidRDefault="00CE1231" w:rsidP="003028B3">
      <w:pPr>
        <w:pStyle w:val="Heading2"/>
        <w:spacing w:line="360" w:lineRule="auto"/>
        <w:jc w:val="center"/>
      </w:pPr>
    </w:p>
    <w:p w14:paraId="583203AC" w14:textId="00D21DDF" w:rsidR="004130A3" w:rsidRPr="00086AB8" w:rsidRDefault="00DE390F" w:rsidP="003028B3">
      <w:pPr>
        <w:spacing w:line="360" w:lineRule="auto"/>
        <w:rPr>
          <w:sz w:val="24"/>
          <w:szCs w:val="24"/>
        </w:rPr>
      </w:pPr>
      <w:r w:rsidRPr="00086AB8">
        <w:rPr>
          <w:sz w:val="24"/>
          <w:szCs w:val="24"/>
        </w:rPr>
        <w:t>Companies have distinctive histories and unique ways of running the business and typically people are proud of their company or at the very least understand how to operate effectively within their teams</w:t>
      </w:r>
      <w:r w:rsidR="004130A3" w:rsidRPr="00086AB8">
        <w:rPr>
          <w:sz w:val="24"/>
          <w:szCs w:val="24"/>
        </w:rPr>
        <w:t xml:space="preserve"> and</w:t>
      </w:r>
      <w:r w:rsidR="006C3539" w:rsidRPr="00086AB8">
        <w:rPr>
          <w:sz w:val="24"/>
          <w:szCs w:val="24"/>
        </w:rPr>
        <w:t xml:space="preserve"> </w:t>
      </w:r>
      <w:r w:rsidR="004130A3" w:rsidRPr="00086AB8">
        <w:rPr>
          <w:sz w:val="24"/>
          <w:szCs w:val="24"/>
        </w:rPr>
        <w:t>thus a merger brings together two separate groups of employees who operate under two different cultures/management styles (</w:t>
      </w:r>
      <w:proofErr w:type="spellStart"/>
      <w:r w:rsidR="00B65431" w:rsidRPr="00086AB8">
        <w:rPr>
          <w:sz w:val="24"/>
          <w:szCs w:val="24"/>
        </w:rPr>
        <w:t>Mielly</w:t>
      </w:r>
      <w:proofErr w:type="spellEnd"/>
      <w:r w:rsidR="00B65431" w:rsidRPr="00086AB8">
        <w:rPr>
          <w:sz w:val="24"/>
          <w:szCs w:val="24"/>
        </w:rPr>
        <w:t xml:space="preserve"> </w:t>
      </w:r>
      <w:r w:rsidR="00B65431" w:rsidRPr="00086AB8">
        <w:rPr>
          <w:i/>
          <w:sz w:val="24"/>
          <w:szCs w:val="24"/>
        </w:rPr>
        <w:t>et al.</w:t>
      </w:r>
      <w:r w:rsidR="00B65431" w:rsidRPr="00086AB8">
        <w:rPr>
          <w:sz w:val="24"/>
          <w:szCs w:val="24"/>
        </w:rPr>
        <w:t>, 2016</w:t>
      </w:r>
      <w:r w:rsidR="004130A3" w:rsidRPr="00086AB8">
        <w:rPr>
          <w:sz w:val="24"/>
          <w:szCs w:val="24"/>
        </w:rPr>
        <w:t>). Therefore, in any merger some level of acculturation should be expected</w:t>
      </w:r>
      <w:r w:rsidR="00593B16" w:rsidRPr="00086AB8">
        <w:rPr>
          <w:sz w:val="24"/>
          <w:szCs w:val="24"/>
        </w:rPr>
        <w:t xml:space="preserve">. Acculturation occurs when contact </w:t>
      </w:r>
      <w:r w:rsidR="00593B16" w:rsidRPr="00086AB8">
        <w:rPr>
          <w:sz w:val="24"/>
          <w:szCs w:val="24"/>
        </w:rPr>
        <w:lastRenderedPageBreak/>
        <w:t>between two autonomous cultures requires change in one group or both and typically there are four levels that are prominent in mergers:</w:t>
      </w:r>
    </w:p>
    <w:p w14:paraId="66FC10AB" w14:textId="77777777" w:rsidR="00593B16" w:rsidRPr="00086AB8" w:rsidRDefault="00593B16" w:rsidP="003028B3">
      <w:pPr>
        <w:pStyle w:val="ListParagraph"/>
        <w:numPr>
          <w:ilvl w:val="0"/>
          <w:numId w:val="2"/>
        </w:numPr>
        <w:spacing w:line="360" w:lineRule="auto"/>
        <w:rPr>
          <w:sz w:val="24"/>
          <w:szCs w:val="24"/>
        </w:rPr>
      </w:pPr>
      <w:r w:rsidRPr="00086AB8">
        <w:rPr>
          <w:sz w:val="24"/>
          <w:szCs w:val="24"/>
        </w:rPr>
        <w:t>Cultural Pluralism – this is when partners coexist</w:t>
      </w:r>
    </w:p>
    <w:p w14:paraId="6E0641C7" w14:textId="4D104447" w:rsidR="00593B16" w:rsidRPr="00086AB8" w:rsidRDefault="00593B16" w:rsidP="003028B3">
      <w:pPr>
        <w:pStyle w:val="ListParagraph"/>
        <w:numPr>
          <w:ilvl w:val="0"/>
          <w:numId w:val="2"/>
        </w:numPr>
        <w:spacing w:line="360" w:lineRule="auto"/>
        <w:rPr>
          <w:sz w:val="24"/>
          <w:szCs w:val="24"/>
        </w:rPr>
      </w:pPr>
      <w:r w:rsidRPr="00086AB8">
        <w:rPr>
          <w:sz w:val="24"/>
          <w:szCs w:val="24"/>
        </w:rPr>
        <w:t>Cultural Integration – this is when the partner organisation blend current cultures together.</w:t>
      </w:r>
    </w:p>
    <w:p w14:paraId="41D9B3AD" w14:textId="77777777" w:rsidR="00593B16" w:rsidRPr="00086AB8" w:rsidRDefault="00593B16" w:rsidP="003028B3">
      <w:pPr>
        <w:pStyle w:val="ListParagraph"/>
        <w:numPr>
          <w:ilvl w:val="0"/>
          <w:numId w:val="2"/>
        </w:numPr>
        <w:spacing w:line="360" w:lineRule="auto"/>
        <w:rPr>
          <w:sz w:val="24"/>
          <w:szCs w:val="24"/>
        </w:rPr>
      </w:pPr>
      <w:r w:rsidRPr="00086AB8">
        <w:rPr>
          <w:sz w:val="24"/>
          <w:szCs w:val="24"/>
        </w:rPr>
        <w:t xml:space="preserve">Cultural Assimilation – this is when one company absorbs the other </w:t>
      </w:r>
    </w:p>
    <w:p w14:paraId="2133F970" w14:textId="0D542B00" w:rsidR="00A55521" w:rsidRPr="00086AB8" w:rsidRDefault="00593B16" w:rsidP="003028B3">
      <w:pPr>
        <w:pStyle w:val="ListParagraph"/>
        <w:numPr>
          <w:ilvl w:val="0"/>
          <w:numId w:val="2"/>
        </w:numPr>
        <w:spacing w:line="360" w:lineRule="auto"/>
        <w:rPr>
          <w:sz w:val="24"/>
          <w:szCs w:val="24"/>
        </w:rPr>
      </w:pPr>
      <w:r w:rsidRPr="00086AB8">
        <w:rPr>
          <w:sz w:val="24"/>
          <w:szCs w:val="24"/>
        </w:rPr>
        <w:t>Cultural Transformation – this is when the partner organisation abandon key elements of their existing cultures and adopt new values and norms.</w:t>
      </w:r>
      <w:r w:rsidR="006C2B04" w:rsidRPr="00086AB8">
        <w:rPr>
          <w:sz w:val="24"/>
          <w:szCs w:val="24"/>
        </w:rPr>
        <w:t xml:space="preserve"> </w:t>
      </w:r>
    </w:p>
    <w:p w14:paraId="095B7620" w14:textId="33E97CA0" w:rsidR="00593B16" w:rsidRPr="00086AB8" w:rsidRDefault="000E31E1" w:rsidP="003028B3">
      <w:pPr>
        <w:spacing w:line="360" w:lineRule="auto"/>
        <w:rPr>
          <w:sz w:val="24"/>
          <w:szCs w:val="24"/>
        </w:rPr>
      </w:pPr>
      <w:r w:rsidRPr="00086AB8">
        <w:rPr>
          <w:sz w:val="24"/>
          <w:szCs w:val="24"/>
        </w:rPr>
        <w:t>Although, this theory dictates acculturation can result</w:t>
      </w:r>
      <w:r w:rsidR="00555901" w:rsidRPr="00086AB8">
        <w:rPr>
          <w:sz w:val="24"/>
          <w:szCs w:val="24"/>
        </w:rPr>
        <w:t xml:space="preserve"> in a smooth merging of two organisations cultures </w:t>
      </w:r>
      <w:r w:rsidR="001E5CF8" w:rsidRPr="00086AB8">
        <w:rPr>
          <w:sz w:val="24"/>
          <w:szCs w:val="24"/>
        </w:rPr>
        <w:t xml:space="preserve">research by Marks AND </w:t>
      </w:r>
      <w:proofErr w:type="spellStart"/>
      <w:r w:rsidR="001E5CF8" w:rsidRPr="00086AB8">
        <w:rPr>
          <w:sz w:val="24"/>
          <w:szCs w:val="24"/>
        </w:rPr>
        <w:t>Mirvis</w:t>
      </w:r>
      <w:proofErr w:type="spellEnd"/>
      <w:r w:rsidR="001E5CF8" w:rsidRPr="00086AB8">
        <w:rPr>
          <w:sz w:val="24"/>
          <w:szCs w:val="24"/>
        </w:rPr>
        <w:t xml:space="preserve"> (2011) suggest this rarely occurs and it is more likely that one will dominate the other</w:t>
      </w:r>
      <w:r w:rsidR="006C2B04" w:rsidRPr="00086AB8">
        <w:rPr>
          <w:sz w:val="24"/>
          <w:szCs w:val="24"/>
        </w:rPr>
        <w:t xml:space="preserve"> and influences culture more strongly than the subordinate group</w:t>
      </w:r>
      <w:r w:rsidR="001E5CF8" w:rsidRPr="00086AB8">
        <w:rPr>
          <w:sz w:val="24"/>
          <w:szCs w:val="24"/>
        </w:rPr>
        <w:t>. This may create an environment of cultural superiority and actions towards implementing one organisations culture onto the other</w:t>
      </w:r>
      <w:r w:rsidR="006C2B04" w:rsidRPr="00086AB8">
        <w:rPr>
          <w:sz w:val="24"/>
          <w:szCs w:val="24"/>
        </w:rPr>
        <w:t xml:space="preserve"> will be met by more resistance than if efforts are made to work together to build a desired cultural </w:t>
      </w:r>
      <w:r w:rsidR="0068756A" w:rsidRPr="00086AB8">
        <w:rPr>
          <w:sz w:val="24"/>
          <w:szCs w:val="24"/>
        </w:rPr>
        <w:t>balance</w:t>
      </w:r>
      <w:r w:rsidR="006C2B04" w:rsidRPr="00086AB8">
        <w:rPr>
          <w:sz w:val="24"/>
          <w:szCs w:val="24"/>
        </w:rPr>
        <w:t xml:space="preserve"> (</w:t>
      </w:r>
      <w:r w:rsidR="000D793D" w:rsidRPr="00086AB8">
        <w:rPr>
          <w:sz w:val="24"/>
          <w:szCs w:val="24"/>
        </w:rPr>
        <w:t>Gill, 2012</w:t>
      </w:r>
      <w:r w:rsidR="006C2B04" w:rsidRPr="00086AB8">
        <w:rPr>
          <w:sz w:val="24"/>
          <w:szCs w:val="24"/>
        </w:rPr>
        <w:t>).</w:t>
      </w:r>
    </w:p>
    <w:p w14:paraId="2728265D" w14:textId="11EA7DA1" w:rsidR="00CE611F" w:rsidRPr="00086AB8" w:rsidRDefault="00344BBD" w:rsidP="003028B3">
      <w:pPr>
        <w:spacing w:line="360" w:lineRule="auto"/>
        <w:rPr>
          <w:sz w:val="24"/>
          <w:szCs w:val="24"/>
        </w:rPr>
      </w:pPr>
      <w:r w:rsidRPr="00086AB8">
        <w:rPr>
          <w:sz w:val="24"/>
          <w:szCs w:val="24"/>
        </w:rPr>
        <w:t>However before this process can begin</w:t>
      </w:r>
      <w:r w:rsidR="002B1F88" w:rsidRPr="00086AB8">
        <w:rPr>
          <w:sz w:val="24"/>
          <w:szCs w:val="24"/>
        </w:rPr>
        <w:t xml:space="preserve">, it is important to understand </w:t>
      </w:r>
      <w:r w:rsidR="000D793D" w:rsidRPr="00086AB8">
        <w:rPr>
          <w:sz w:val="24"/>
          <w:szCs w:val="24"/>
        </w:rPr>
        <w:t>the differences in</w:t>
      </w:r>
      <w:r w:rsidR="00966FED" w:rsidRPr="00086AB8">
        <w:rPr>
          <w:sz w:val="24"/>
          <w:szCs w:val="24"/>
        </w:rPr>
        <w:t xml:space="preserve"> culture </w:t>
      </w:r>
      <w:r w:rsidR="000D793D" w:rsidRPr="00086AB8">
        <w:rPr>
          <w:sz w:val="24"/>
          <w:szCs w:val="24"/>
        </w:rPr>
        <w:t>between the organisations that are merging</w:t>
      </w:r>
      <w:r w:rsidR="00966FED" w:rsidRPr="00086AB8">
        <w:rPr>
          <w:sz w:val="24"/>
          <w:szCs w:val="24"/>
        </w:rPr>
        <w:t>.</w:t>
      </w:r>
      <w:r w:rsidR="009C79A8" w:rsidRPr="00086AB8">
        <w:rPr>
          <w:sz w:val="24"/>
          <w:szCs w:val="24"/>
        </w:rPr>
        <w:t xml:space="preserve"> </w:t>
      </w:r>
      <w:r w:rsidR="00966FED" w:rsidRPr="00086AB8">
        <w:rPr>
          <w:sz w:val="24"/>
          <w:szCs w:val="24"/>
        </w:rPr>
        <w:t>This is why</w:t>
      </w:r>
      <w:r w:rsidR="000D793D" w:rsidRPr="00086AB8">
        <w:rPr>
          <w:sz w:val="24"/>
          <w:szCs w:val="24"/>
        </w:rPr>
        <w:t xml:space="preserve"> </w:t>
      </w:r>
      <w:proofErr w:type="spellStart"/>
      <w:r w:rsidR="000D793D" w:rsidRPr="00086AB8">
        <w:rPr>
          <w:sz w:val="24"/>
          <w:szCs w:val="24"/>
        </w:rPr>
        <w:t>Gelfand</w:t>
      </w:r>
      <w:proofErr w:type="spellEnd"/>
      <w:r w:rsidR="000D793D" w:rsidRPr="00086AB8">
        <w:rPr>
          <w:sz w:val="24"/>
          <w:szCs w:val="24"/>
        </w:rPr>
        <w:t xml:space="preserve"> </w:t>
      </w:r>
      <w:r w:rsidR="000D793D" w:rsidRPr="00086AB8">
        <w:rPr>
          <w:i/>
          <w:sz w:val="24"/>
          <w:szCs w:val="24"/>
        </w:rPr>
        <w:t>et al.</w:t>
      </w:r>
      <w:r w:rsidR="000D793D" w:rsidRPr="00086AB8">
        <w:rPr>
          <w:sz w:val="24"/>
          <w:szCs w:val="24"/>
        </w:rPr>
        <w:t xml:space="preserve"> (2018) suggests</w:t>
      </w:r>
      <w:r w:rsidR="00966FED" w:rsidRPr="00086AB8">
        <w:rPr>
          <w:sz w:val="24"/>
          <w:szCs w:val="24"/>
        </w:rPr>
        <w:t xml:space="preserve"> in addition to negotiating price and financial terms, both Sainsbury’s and ASDA should negotiate a shared culture. Management should conduct a cultural assessment in their organisations </w:t>
      </w:r>
      <w:r w:rsidR="00120D76" w:rsidRPr="00086AB8">
        <w:rPr>
          <w:sz w:val="24"/>
          <w:szCs w:val="24"/>
        </w:rPr>
        <w:t>to understand</w:t>
      </w:r>
      <w:r w:rsidR="007D740D" w:rsidRPr="00086AB8">
        <w:rPr>
          <w:sz w:val="24"/>
          <w:szCs w:val="24"/>
        </w:rPr>
        <w:t xml:space="preserve"> how employees within communicate. </w:t>
      </w:r>
      <w:r w:rsidR="00C95B3F" w:rsidRPr="00086AB8">
        <w:rPr>
          <w:sz w:val="24"/>
          <w:szCs w:val="24"/>
        </w:rPr>
        <w:t xml:space="preserve">For example, ASDA adapt a </w:t>
      </w:r>
      <w:r w:rsidR="004A7158" w:rsidRPr="00086AB8">
        <w:rPr>
          <w:sz w:val="24"/>
          <w:szCs w:val="24"/>
        </w:rPr>
        <w:t xml:space="preserve">unique </w:t>
      </w:r>
      <w:r w:rsidR="00C95B3F" w:rsidRPr="00086AB8">
        <w:rPr>
          <w:sz w:val="24"/>
          <w:szCs w:val="24"/>
        </w:rPr>
        <w:t>“daily huddle” approach where management have the opportunity to keep staff informed about business performance, communicate key activities for the day ensuring focus and set goals for the day are achieved and finally, to provide the opportunity to celebrate and acknowledge</w:t>
      </w:r>
      <w:r w:rsidR="00C95B3F">
        <w:rPr>
          <w:sz w:val="24"/>
          <w:szCs w:val="24"/>
        </w:rPr>
        <w:t xml:space="preserve"> team success or individual </w:t>
      </w:r>
      <w:r w:rsidR="00C95B3F" w:rsidRPr="008A0257">
        <w:rPr>
          <w:sz w:val="24"/>
          <w:szCs w:val="24"/>
        </w:rPr>
        <w:t>achievement (</w:t>
      </w:r>
      <w:r w:rsidR="008A0257" w:rsidRPr="008A0257">
        <w:rPr>
          <w:rFonts w:cs="Arial"/>
          <w:shd w:val="clear" w:color="auto" w:fill="FFFFFF"/>
        </w:rPr>
        <w:t>ASDA, 2019</w:t>
      </w:r>
      <w:r w:rsidR="00C9787F" w:rsidRPr="008A0257">
        <w:rPr>
          <w:rFonts w:cs="Arial"/>
          <w:shd w:val="clear" w:color="auto" w:fill="FFFFFF"/>
        </w:rPr>
        <w:t>)</w:t>
      </w:r>
      <w:r w:rsidR="00C9787F" w:rsidRPr="008A0257">
        <w:rPr>
          <w:sz w:val="24"/>
          <w:szCs w:val="24"/>
        </w:rPr>
        <w:t>.</w:t>
      </w:r>
      <w:r w:rsidR="009D779C" w:rsidRPr="008A0257">
        <w:rPr>
          <w:sz w:val="24"/>
          <w:szCs w:val="24"/>
        </w:rPr>
        <w:t xml:space="preserve"> </w:t>
      </w:r>
      <w:r w:rsidR="004A7158" w:rsidRPr="008A0257">
        <w:rPr>
          <w:sz w:val="24"/>
          <w:szCs w:val="24"/>
        </w:rPr>
        <w:t>Top management</w:t>
      </w:r>
      <w:r w:rsidR="004A7158" w:rsidRPr="00086AB8">
        <w:rPr>
          <w:sz w:val="24"/>
          <w:szCs w:val="24"/>
        </w:rPr>
        <w:t xml:space="preserve"> would have to consider how either disposing of this practice would affect ASDA staff </w:t>
      </w:r>
      <w:r w:rsidR="000A3272" w:rsidRPr="00086AB8">
        <w:rPr>
          <w:sz w:val="24"/>
          <w:szCs w:val="24"/>
        </w:rPr>
        <w:t>who would have to establish a new communication system for receiving tasks or company news, or how implementing it companywide would affect Sainsbury’s line management and they would have to plan and it could potential become an additional duty (</w:t>
      </w:r>
      <w:proofErr w:type="spellStart"/>
      <w:r w:rsidR="007B667A" w:rsidRPr="00086AB8">
        <w:rPr>
          <w:sz w:val="24"/>
          <w:szCs w:val="24"/>
        </w:rPr>
        <w:t>Buiter</w:t>
      </w:r>
      <w:proofErr w:type="spellEnd"/>
      <w:r w:rsidR="007B667A" w:rsidRPr="00086AB8">
        <w:rPr>
          <w:sz w:val="24"/>
          <w:szCs w:val="24"/>
        </w:rPr>
        <w:t xml:space="preserve"> AND Harris, 2013</w:t>
      </w:r>
      <w:r w:rsidR="000A3272" w:rsidRPr="00086AB8">
        <w:rPr>
          <w:sz w:val="24"/>
          <w:szCs w:val="24"/>
        </w:rPr>
        <w:t>).</w:t>
      </w:r>
      <w:r w:rsidR="00A67115" w:rsidRPr="00086AB8">
        <w:rPr>
          <w:sz w:val="24"/>
          <w:szCs w:val="24"/>
        </w:rPr>
        <w:t xml:space="preserve"> These changes could also be negatively received by staff but this will be covered in the next section. </w:t>
      </w:r>
      <w:r w:rsidR="009D779C" w:rsidRPr="00086AB8">
        <w:rPr>
          <w:sz w:val="24"/>
          <w:szCs w:val="24"/>
        </w:rPr>
        <w:t xml:space="preserve">However, it is also </w:t>
      </w:r>
      <w:r w:rsidR="009D779C" w:rsidRPr="00086AB8">
        <w:rPr>
          <w:sz w:val="24"/>
          <w:szCs w:val="24"/>
        </w:rPr>
        <w:lastRenderedPageBreak/>
        <w:t>important to consider members are no</w:t>
      </w:r>
      <w:r w:rsidR="00CE611F" w:rsidRPr="00086AB8">
        <w:rPr>
          <w:sz w:val="24"/>
          <w:szCs w:val="24"/>
        </w:rPr>
        <w:t>t influenced</w:t>
      </w:r>
      <w:r w:rsidR="009D779C" w:rsidRPr="00086AB8">
        <w:rPr>
          <w:sz w:val="24"/>
          <w:szCs w:val="24"/>
        </w:rPr>
        <w:t xml:space="preserve"> primarily by the overall company</w:t>
      </w:r>
      <w:r w:rsidR="00CE611F" w:rsidRPr="00086AB8">
        <w:rPr>
          <w:sz w:val="24"/>
          <w:szCs w:val="24"/>
        </w:rPr>
        <w:t xml:space="preserve"> culture, as </w:t>
      </w:r>
      <w:r w:rsidR="009D779C" w:rsidRPr="00086AB8">
        <w:rPr>
          <w:sz w:val="24"/>
          <w:szCs w:val="24"/>
        </w:rPr>
        <w:t>there may be subcultures with</w:t>
      </w:r>
      <w:r w:rsidR="00CE611F" w:rsidRPr="00086AB8">
        <w:rPr>
          <w:sz w:val="24"/>
          <w:szCs w:val="24"/>
        </w:rPr>
        <w:t>in the</w:t>
      </w:r>
      <w:r w:rsidR="009D779C" w:rsidRPr="00086AB8">
        <w:rPr>
          <w:sz w:val="24"/>
          <w:szCs w:val="24"/>
        </w:rPr>
        <w:t xml:space="preserve"> organisation </w:t>
      </w:r>
      <w:r w:rsidR="00CB7E87" w:rsidRPr="00086AB8">
        <w:rPr>
          <w:sz w:val="24"/>
          <w:szCs w:val="24"/>
        </w:rPr>
        <w:t>that centre around divisions or occupational groups (</w:t>
      </w:r>
      <w:r w:rsidR="00E837DD" w:rsidRPr="00086AB8">
        <w:rPr>
          <w:sz w:val="24"/>
          <w:szCs w:val="24"/>
        </w:rPr>
        <w:t xml:space="preserve">Marks AND </w:t>
      </w:r>
      <w:proofErr w:type="spellStart"/>
      <w:r w:rsidR="00E837DD" w:rsidRPr="00086AB8">
        <w:rPr>
          <w:sz w:val="24"/>
          <w:szCs w:val="24"/>
        </w:rPr>
        <w:t>Mirvis</w:t>
      </w:r>
      <w:proofErr w:type="spellEnd"/>
      <w:r w:rsidR="00E837DD" w:rsidRPr="00086AB8">
        <w:rPr>
          <w:sz w:val="24"/>
          <w:szCs w:val="24"/>
        </w:rPr>
        <w:t xml:space="preserve">, </w:t>
      </w:r>
      <w:r w:rsidR="00E837DD" w:rsidRPr="00086AB8">
        <w:rPr>
          <w:sz w:val="24"/>
          <w:szCs w:val="24"/>
        </w:rPr>
        <w:t>2011)</w:t>
      </w:r>
      <w:r w:rsidR="00E837DD" w:rsidRPr="00086AB8">
        <w:rPr>
          <w:sz w:val="24"/>
          <w:szCs w:val="24"/>
        </w:rPr>
        <w:t>.</w:t>
      </w:r>
    </w:p>
    <w:p w14:paraId="0158B9BE" w14:textId="2C56D79D" w:rsidR="00006547" w:rsidRPr="00086AB8" w:rsidRDefault="00006547" w:rsidP="003028B3">
      <w:pPr>
        <w:pStyle w:val="Heading2"/>
        <w:spacing w:line="360" w:lineRule="auto"/>
      </w:pPr>
      <w:bookmarkStart w:id="6" w:name="_Toc12386951"/>
      <w:r w:rsidRPr="00086AB8">
        <w:t>Employees Perception</w:t>
      </w:r>
      <w:bookmarkEnd w:id="6"/>
      <w:r w:rsidRPr="00086AB8">
        <w:t xml:space="preserve"> </w:t>
      </w:r>
    </w:p>
    <w:p w14:paraId="096B2D8D" w14:textId="6FBF3B1C" w:rsidR="002E7675" w:rsidRPr="00086AB8" w:rsidRDefault="002E7675" w:rsidP="003028B3">
      <w:pPr>
        <w:spacing w:line="360" w:lineRule="auto"/>
        <w:rPr>
          <w:sz w:val="24"/>
          <w:szCs w:val="24"/>
        </w:rPr>
      </w:pPr>
    </w:p>
    <w:p w14:paraId="23D4DA90" w14:textId="5C7B38AF" w:rsidR="00146E4E" w:rsidRPr="00086AB8" w:rsidRDefault="00CD6213" w:rsidP="003028B3">
      <w:pPr>
        <w:spacing w:line="360" w:lineRule="auto"/>
        <w:rPr>
          <w:sz w:val="24"/>
          <w:szCs w:val="24"/>
        </w:rPr>
      </w:pPr>
      <w:r w:rsidRPr="00086AB8">
        <w:rPr>
          <w:sz w:val="24"/>
          <w:szCs w:val="24"/>
        </w:rPr>
        <w:t xml:space="preserve">Negative employee reactions to mergers in general, including a lack of identification with the merged organisation and perceptions of organisational justice are considered as key issues </w:t>
      </w:r>
      <w:r w:rsidR="00FE37E9" w:rsidRPr="00086AB8">
        <w:rPr>
          <w:sz w:val="24"/>
          <w:szCs w:val="24"/>
        </w:rPr>
        <w:t xml:space="preserve">that many firms experience </w:t>
      </w:r>
      <w:r w:rsidR="008D4EE7" w:rsidRPr="00086AB8">
        <w:rPr>
          <w:sz w:val="24"/>
          <w:szCs w:val="24"/>
        </w:rPr>
        <w:t>(Edwards AND Edwards, 2012</w:t>
      </w:r>
      <w:r w:rsidR="00FE37E9" w:rsidRPr="00086AB8">
        <w:rPr>
          <w:sz w:val="24"/>
          <w:szCs w:val="24"/>
        </w:rPr>
        <w:t>).</w:t>
      </w:r>
      <w:r w:rsidR="003761E8" w:rsidRPr="00086AB8">
        <w:rPr>
          <w:sz w:val="24"/>
          <w:szCs w:val="24"/>
        </w:rPr>
        <w:t xml:space="preserve"> Therefore, top management should spend time considering the impact on the organisations employees as research by </w:t>
      </w:r>
      <w:r w:rsidR="00D85C22" w:rsidRPr="00086AB8">
        <w:rPr>
          <w:sz w:val="24"/>
          <w:szCs w:val="24"/>
        </w:rPr>
        <w:t xml:space="preserve">Jung </w:t>
      </w:r>
      <w:r w:rsidR="00D85C22" w:rsidRPr="00086AB8">
        <w:rPr>
          <w:i/>
          <w:sz w:val="24"/>
          <w:szCs w:val="24"/>
        </w:rPr>
        <w:t>et al.</w:t>
      </w:r>
      <w:r w:rsidR="00D85C22" w:rsidRPr="00086AB8">
        <w:rPr>
          <w:sz w:val="24"/>
          <w:szCs w:val="24"/>
        </w:rPr>
        <w:t xml:space="preserve"> (2018</w:t>
      </w:r>
      <w:r w:rsidR="003761E8" w:rsidRPr="00086AB8">
        <w:rPr>
          <w:sz w:val="24"/>
          <w:szCs w:val="24"/>
        </w:rPr>
        <w:t>) indicated that the phase prior to a merger may be stressful for employees. Thus, creating a decrease in job satisfaction, organisational commitment and perceptions about the organisations trustworthiness</w:t>
      </w:r>
      <w:r w:rsidR="00501218" w:rsidRPr="00086AB8">
        <w:rPr>
          <w:sz w:val="24"/>
          <w:szCs w:val="24"/>
        </w:rPr>
        <w:t xml:space="preserve"> </w:t>
      </w:r>
      <w:r w:rsidR="00222FCF" w:rsidRPr="00086AB8">
        <w:rPr>
          <w:sz w:val="24"/>
          <w:szCs w:val="24"/>
        </w:rPr>
        <w:t xml:space="preserve">(Gomes </w:t>
      </w:r>
      <w:r w:rsidR="00222FCF" w:rsidRPr="00086AB8">
        <w:rPr>
          <w:i/>
          <w:sz w:val="24"/>
          <w:szCs w:val="24"/>
        </w:rPr>
        <w:t>et al.,</w:t>
      </w:r>
      <w:r w:rsidR="00222FCF" w:rsidRPr="00086AB8">
        <w:rPr>
          <w:sz w:val="24"/>
          <w:szCs w:val="24"/>
        </w:rPr>
        <w:t xml:space="preserve"> 2017</w:t>
      </w:r>
      <w:r w:rsidR="00501218" w:rsidRPr="00086AB8">
        <w:rPr>
          <w:sz w:val="24"/>
          <w:szCs w:val="24"/>
        </w:rPr>
        <w:t>)</w:t>
      </w:r>
      <w:r w:rsidR="00CA4E58" w:rsidRPr="00086AB8">
        <w:rPr>
          <w:sz w:val="24"/>
          <w:szCs w:val="24"/>
        </w:rPr>
        <w:t xml:space="preserve">. </w:t>
      </w:r>
      <w:r w:rsidR="00A3325C" w:rsidRPr="00086AB8">
        <w:rPr>
          <w:sz w:val="24"/>
          <w:szCs w:val="24"/>
        </w:rPr>
        <w:t>T</w:t>
      </w:r>
      <w:r w:rsidR="00200D22" w:rsidRPr="00086AB8">
        <w:rPr>
          <w:sz w:val="24"/>
          <w:szCs w:val="24"/>
        </w:rPr>
        <w:t>hese feelings of stress are expected</w:t>
      </w:r>
      <w:r w:rsidR="00A3325C" w:rsidRPr="00086AB8">
        <w:rPr>
          <w:sz w:val="24"/>
          <w:szCs w:val="24"/>
        </w:rPr>
        <w:t xml:space="preserve"> a</w:t>
      </w:r>
      <w:r w:rsidR="00200D22" w:rsidRPr="00086AB8">
        <w:rPr>
          <w:sz w:val="24"/>
          <w:szCs w:val="24"/>
        </w:rPr>
        <w:t>s a</w:t>
      </w:r>
      <w:r w:rsidR="00A3325C" w:rsidRPr="00086AB8">
        <w:rPr>
          <w:sz w:val="24"/>
          <w:szCs w:val="24"/>
        </w:rPr>
        <w:t xml:space="preserve"> merger</w:t>
      </w:r>
      <w:r w:rsidR="00CA4E58" w:rsidRPr="00086AB8">
        <w:rPr>
          <w:sz w:val="24"/>
          <w:szCs w:val="24"/>
        </w:rPr>
        <w:t xml:space="preserve"> is inevitably risky and there has been cases (such as, Chrysler-Daimler) where there has been loss of capital and plans backfired. Meaning there is an inherent risk of layoffs post-merger or acquisition </w:t>
      </w:r>
      <w:r w:rsidR="00D12944" w:rsidRPr="00086AB8">
        <w:rPr>
          <w:sz w:val="24"/>
          <w:szCs w:val="24"/>
        </w:rPr>
        <w:t>(Whipple, 2013).</w:t>
      </w:r>
      <w:r w:rsidR="00805237" w:rsidRPr="00086AB8">
        <w:rPr>
          <w:sz w:val="24"/>
          <w:szCs w:val="24"/>
        </w:rPr>
        <w:t xml:space="preserve"> However, research from </w:t>
      </w:r>
      <w:proofErr w:type="spellStart"/>
      <w:r w:rsidR="00805237" w:rsidRPr="00086AB8">
        <w:rPr>
          <w:sz w:val="24"/>
          <w:szCs w:val="24"/>
        </w:rPr>
        <w:t>Wieckrmasinghe</w:t>
      </w:r>
      <w:proofErr w:type="spellEnd"/>
      <w:r w:rsidR="00805237" w:rsidRPr="00086AB8">
        <w:rPr>
          <w:sz w:val="24"/>
          <w:szCs w:val="24"/>
        </w:rPr>
        <w:t xml:space="preserve"> AND </w:t>
      </w:r>
      <w:proofErr w:type="spellStart"/>
      <w:r w:rsidR="00805237" w:rsidRPr="00086AB8">
        <w:rPr>
          <w:sz w:val="24"/>
          <w:szCs w:val="24"/>
        </w:rPr>
        <w:t>Karunaratne</w:t>
      </w:r>
      <w:proofErr w:type="spellEnd"/>
      <w:r w:rsidR="00805237" w:rsidRPr="00086AB8">
        <w:rPr>
          <w:sz w:val="24"/>
          <w:szCs w:val="24"/>
        </w:rPr>
        <w:t xml:space="preserve"> (2009) identify the chief concern felt by employees are changes in pay and benefits and performance evaluation practices.</w:t>
      </w:r>
    </w:p>
    <w:p w14:paraId="4C95563B" w14:textId="4C4E7182" w:rsidR="002E7675" w:rsidRPr="00B20DCD" w:rsidRDefault="00F20E88" w:rsidP="003028B3">
      <w:pPr>
        <w:spacing w:line="360" w:lineRule="auto"/>
        <w:rPr>
          <w:sz w:val="24"/>
          <w:szCs w:val="24"/>
        </w:rPr>
      </w:pPr>
      <w:r w:rsidRPr="00086AB8">
        <w:rPr>
          <w:sz w:val="24"/>
          <w:szCs w:val="24"/>
        </w:rPr>
        <w:t>For Sainsbury’s and ASDA top management t</w:t>
      </w:r>
      <w:r w:rsidR="00433946" w:rsidRPr="00086AB8">
        <w:rPr>
          <w:sz w:val="24"/>
          <w:szCs w:val="24"/>
        </w:rPr>
        <w:t xml:space="preserve">o combat these anxieties </w:t>
      </w:r>
      <w:proofErr w:type="spellStart"/>
      <w:r w:rsidR="00433946" w:rsidRPr="00086AB8">
        <w:rPr>
          <w:sz w:val="24"/>
          <w:szCs w:val="24"/>
        </w:rPr>
        <w:t>Buiter</w:t>
      </w:r>
      <w:proofErr w:type="spellEnd"/>
      <w:r w:rsidR="00433946" w:rsidRPr="00086AB8">
        <w:rPr>
          <w:sz w:val="24"/>
          <w:szCs w:val="24"/>
        </w:rPr>
        <w:t xml:space="preserve"> AND Harris (2013)</w:t>
      </w:r>
      <w:r w:rsidR="00365733" w:rsidRPr="00086AB8">
        <w:rPr>
          <w:sz w:val="24"/>
          <w:szCs w:val="24"/>
        </w:rPr>
        <w:t xml:space="preserve"> </w:t>
      </w:r>
      <w:r w:rsidR="00146E4E" w:rsidRPr="00086AB8">
        <w:rPr>
          <w:sz w:val="24"/>
          <w:szCs w:val="24"/>
        </w:rPr>
        <w:t>state organisational leadership and communication can aid the process of a merger and any changes create less anxiety and stress for employees. Additionally</w:t>
      </w:r>
      <w:r w:rsidR="00A660F1" w:rsidRPr="00086AB8">
        <w:rPr>
          <w:sz w:val="24"/>
          <w:szCs w:val="24"/>
        </w:rPr>
        <w:t xml:space="preserve">, </w:t>
      </w:r>
      <w:r w:rsidR="00407E68" w:rsidRPr="00086AB8">
        <w:rPr>
          <w:sz w:val="24"/>
          <w:szCs w:val="24"/>
        </w:rPr>
        <w:t>Raffer</w:t>
      </w:r>
      <w:r w:rsidR="00A00C84" w:rsidRPr="00086AB8">
        <w:rPr>
          <w:sz w:val="24"/>
          <w:szCs w:val="24"/>
        </w:rPr>
        <w:t xml:space="preserve">ty AND </w:t>
      </w:r>
      <w:proofErr w:type="spellStart"/>
      <w:r w:rsidR="00A00C84" w:rsidRPr="00086AB8">
        <w:rPr>
          <w:sz w:val="24"/>
          <w:szCs w:val="24"/>
        </w:rPr>
        <w:t>Restubog</w:t>
      </w:r>
      <w:proofErr w:type="spellEnd"/>
      <w:r w:rsidR="00407E68" w:rsidRPr="00086AB8">
        <w:rPr>
          <w:sz w:val="24"/>
          <w:szCs w:val="24"/>
        </w:rPr>
        <w:t xml:space="preserve"> (2009</w:t>
      </w:r>
      <w:r w:rsidR="00A660F1" w:rsidRPr="00086AB8">
        <w:rPr>
          <w:sz w:val="24"/>
          <w:szCs w:val="24"/>
        </w:rPr>
        <w:t xml:space="preserve">) observed </w:t>
      </w:r>
      <w:r w:rsidRPr="00086AB8">
        <w:rPr>
          <w:sz w:val="24"/>
          <w:szCs w:val="24"/>
        </w:rPr>
        <w:t>that when leaders communicate a clear vision of the organisation post-merger</w:t>
      </w:r>
      <w:r w:rsidR="006C229F" w:rsidRPr="00086AB8">
        <w:rPr>
          <w:sz w:val="24"/>
          <w:szCs w:val="24"/>
        </w:rPr>
        <w:t>, are attentive to employee concerns and communicate clear guidelines about any associated changes, employees are more likely to feel they have more control and show lower stress levels.</w:t>
      </w:r>
      <w:r w:rsidR="000038DB" w:rsidRPr="00086AB8">
        <w:rPr>
          <w:sz w:val="24"/>
          <w:szCs w:val="24"/>
        </w:rPr>
        <w:t xml:space="preserve"> However, if management are busy arranging details of the merger setting up or briefing a Human Resources (HR) team for the employees to approach them with questions and </w:t>
      </w:r>
      <w:r w:rsidR="00B20DCD" w:rsidRPr="00086AB8">
        <w:rPr>
          <w:sz w:val="24"/>
          <w:szCs w:val="24"/>
        </w:rPr>
        <w:t>give them a voice</w:t>
      </w:r>
      <w:r w:rsidR="000038DB" w:rsidRPr="00086AB8">
        <w:rPr>
          <w:sz w:val="24"/>
          <w:szCs w:val="24"/>
        </w:rPr>
        <w:t xml:space="preserve"> </w:t>
      </w:r>
      <w:r w:rsidR="00EB65C8" w:rsidRPr="00086AB8">
        <w:rPr>
          <w:sz w:val="24"/>
          <w:szCs w:val="24"/>
        </w:rPr>
        <w:t>(Rizvi, 2010</w:t>
      </w:r>
      <w:r w:rsidR="000038DB" w:rsidRPr="00086AB8">
        <w:rPr>
          <w:sz w:val="24"/>
          <w:szCs w:val="24"/>
        </w:rPr>
        <w:t>).</w:t>
      </w:r>
    </w:p>
    <w:p w14:paraId="1F67A132" w14:textId="659FB109" w:rsidR="002E7675" w:rsidRDefault="002E7675" w:rsidP="003028B3">
      <w:pPr>
        <w:spacing w:line="360" w:lineRule="auto"/>
      </w:pPr>
    </w:p>
    <w:p w14:paraId="38A3E062" w14:textId="77777777" w:rsidR="003B1F48" w:rsidRDefault="003B1F48" w:rsidP="003028B3">
      <w:pPr>
        <w:spacing w:line="360" w:lineRule="auto"/>
      </w:pPr>
    </w:p>
    <w:p w14:paraId="01E3F057" w14:textId="0C3AFCDC" w:rsidR="003B1F48" w:rsidRDefault="003B1F48" w:rsidP="003028B3">
      <w:pPr>
        <w:pStyle w:val="Heading1"/>
        <w:spacing w:line="360" w:lineRule="auto"/>
        <w:jc w:val="center"/>
      </w:pPr>
      <w:bookmarkStart w:id="7" w:name="_Toc12386952"/>
      <w:r>
        <w:lastRenderedPageBreak/>
        <w:t>Conclusion</w:t>
      </w:r>
      <w:bookmarkEnd w:id="7"/>
    </w:p>
    <w:p w14:paraId="6C44315F" w14:textId="77777777" w:rsidR="00E516A7" w:rsidRDefault="00E516A7" w:rsidP="003028B3">
      <w:pPr>
        <w:spacing w:line="360" w:lineRule="auto"/>
        <w:rPr>
          <w:sz w:val="24"/>
          <w:szCs w:val="24"/>
        </w:rPr>
      </w:pPr>
    </w:p>
    <w:p w14:paraId="5BB078B3" w14:textId="77777777" w:rsidR="0044265A" w:rsidRDefault="00890736" w:rsidP="003028B3">
      <w:pPr>
        <w:spacing w:line="360" w:lineRule="auto"/>
        <w:rPr>
          <w:sz w:val="24"/>
          <w:szCs w:val="24"/>
        </w:rPr>
      </w:pPr>
      <w:r>
        <w:rPr>
          <w:sz w:val="24"/>
          <w:szCs w:val="24"/>
        </w:rPr>
        <w:t xml:space="preserve">This assignment critically analysed both the employment law and leadership implications of the proposed merge between ASDA and Sainsbury’s. The two supermarket chains attempted a merge to become both the largest groceries and fuel retailer across the UK. Being both UK companies they were subject to UK competition and employment laws which are directly derived from law’s drafted by the EU. These laws included </w:t>
      </w:r>
      <w:r w:rsidR="003A4914">
        <w:rPr>
          <w:sz w:val="24"/>
          <w:szCs w:val="24"/>
        </w:rPr>
        <w:t>TUPE which dictates that employers are unable to change employee’s contracts and any dismals without a good reason backed up with evidence will be treated as unfair. Furthermore,</w:t>
      </w:r>
      <w:r w:rsidR="0044265A">
        <w:rPr>
          <w:sz w:val="24"/>
          <w:szCs w:val="24"/>
        </w:rPr>
        <w:t xml:space="preserve"> there is a UK based regulatory agency to ensure there isn’t a monopolistic situation and all competition is fair.</w:t>
      </w:r>
    </w:p>
    <w:p w14:paraId="637074F8" w14:textId="26E19814" w:rsidR="00E516A7" w:rsidRPr="00B20DCD" w:rsidRDefault="0044265A" w:rsidP="003028B3">
      <w:pPr>
        <w:spacing w:line="360" w:lineRule="auto"/>
        <w:rPr>
          <w:sz w:val="24"/>
          <w:szCs w:val="24"/>
        </w:rPr>
      </w:pPr>
      <w:r>
        <w:rPr>
          <w:sz w:val="24"/>
          <w:szCs w:val="24"/>
        </w:rPr>
        <w:t>Final. For leadership implications</w:t>
      </w:r>
      <w:r w:rsidR="002C7196">
        <w:rPr>
          <w:sz w:val="24"/>
          <w:szCs w:val="24"/>
        </w:rPr>
        <w:t xml:space="preserve"> the </w:t>
      </w:r>
      <w:r w:rsidR="002C7196" w:rsidRPr="00086AB8">
        <w:rPr>
          <w:sz w:val="24"/>
          <w:szCs w:val="24"/>
        </w:rPr>
        <w:t>Daimler</w:t>
      </w:r>
      <w:r w:rsidR="002C7196">
        <w:rPr>
          <w:sz w:val="24"/>
          <w:szCs w:val="24"/>
        </w:rPr>
        <w:t xml:space="preserve">-Chrysler merger was analysed to identify potential weaknesses in the </w:t>
      </w:r>
      <w:r w:rsidR="002C7196">
        <w:rPr>
          <w:sz w:val="24"/>
          <w:szCs w:val="24"/>
        </w:rPr>
        <w:t>merge between ASDA and Sainsbury’s.</w:t>
      </w:r>
      <w:r w:rsidR="002C7196">
        <w:rPr>
          <w:sz w:val="24"/>
          <w:szCs w:val="24"/>
        </w:rPr>
        <w:t xml:space="preserve"> Culture was analysed as one of the main implications within a merger. For example, ASDA operates a “daily huddle” is used for employee communication. </w:t>
      </w:r>
      <w:r w:rsidR="00040ECA">
        <w:rPr>
          <w:sz w:val="24"/>
          <w:szCs w:val="24"/>
        </w:rPr>
        <w:t xml:space="preserve">Meaning </w:t>
      </w:r>
      <w:r w:rsidR="002C7196" w:rsidRPr="002C7196">
        <w:rPr>
          <w:sz w:val="24"/>
          <w:szCs w:val="24"/>
        </w:rPr>
        <w:t xml:space="preserve">management would have to consider </w:t>
      </w:r>
      <w:r w:rsidR="00040ECA">
        <w:rPr>
          <w:sz w:val="24"/>
          <w:szCs w:val="24"/>
        </w:rPr>
        <w:t>if</w:t>
      </w:r>
      <w:r w:rsidR="002C7196" w:rsidRPr="002C7196">
        <w:rPr>
          <w:sz w:val="24"/>
          <w:szCs w:val="24"/>
        </w:rPr>
        <w:t xml:space="preserve"> </w:t>
      </w:r>
      <w:r w:rsidR="00040ECA">
        <w:rPr>
          <w:sz w:val="24"/>
          <w:szCs w:val="24"/>
        </w:rPr>
        <w:t>abandoning</w:t>
      </w:r>
      <w:r w:rsidR="002C7196" w:rsidRPr="002C7196">
        <w:rPr>
          <w:sz w:val="24"/>
          <w:szCs w:val="24"/>
        </w:rPr>
        <w:t xml:space="preserve"> this practice would affect ASDA staff who would have to </w:t>
      </w:r>
      <w:r w:rsidR="00040ECA">
        <w:rPr>
          <w:sz w:val="24"/>
          <w:szCs w:val="24"/>
        </w:rPr>
        <w:t>learn/use</w:t>
      </w:r>
      <w:r w:rsidR="002C7196" w:rsidRPr="002C7196">
        <w:rPr>
          <w:sz w:val="24"/>
          <w:szCs w:val="24"/>
        </w:rPr>
        <w:t xml:space="preserve"> a new c</w:t>
      </w:r>
      <w:r w:rsidR="00040ECA">
        <w:rPr>
          <w:sz w:val="24"/>
          <w:szCs w:val="24"/>
        </w:rPr>
        <w:t>ommunication system</w:t>
      </w:r>
      <w:r w:rsidR="002C7196" w:rsidRPr="002C7196">
        <w:rPr>
          <w:sz w:val="24"/>
          <w:szCs w:val="24"/>
        </w:rPr>
        <w:t xml:space="preserve">, or </w:t>
      </w:r>
      <w:r w:rsidR="00040ECA">
        <w:rPr>
          <w:sz w:val="24"/>
          <w:szCs w:val="24"/>
        </w:rPr>
        <w:t>how implementing it could</w:t>
      </w:r>
      <w:r w:rsidR="002C7196" w:rsidRPr="002C7196">
        <w:rPr>
          <w:sz w:val="24"/>
          <w:szCs w:val="24"/>
        </w:rPr>
        <w:t xml:space="preserve"> af</w:t>
      </w:r>
      <w:r w:rsidR="00040ECA">
        <w:rPr>
          <w:sz w:val="24"/>
          <w:szCs w:val="24"/>
        </w:rPr>
        <w:t>fect Sainsbury’s line managers</w:t>
      </w:r>
      <w:r w:rsidR="002C7196" w:rsidRPr="002C7196">
        <w:rPr>
          <w:sz w:val="24"/>
          <w:szCs w:val="24"/>
        </w:rPr>
        <w:t xml:space="preserve"> and </w:t>
      </w:r>
      <w:r w:rsidR="00040ECA">
        <w:rPr>
          <w:sz w:val="24"/>
          <w:szCs w:val="24"/>
        </w:rPr>
        <w:t>how they now must prep for the meeting</w:t>
      </w:r>
      <w:r w:rsidR="002C7196" w:rsidRPr="002C7196">
        <w:rPr>
          <w:sz w:val="24"/>
          <w:szCs w:val="24"/>
        </w:rPr>
        <w:t xml:space="preserve"> and it could </w:t>
      </w:r>
      <w:r w:rsidR="00040ECA">
        <w:rPr>
          <w:sz w:val="24"/>
          <w:szCs w:val="24"/>
        </w:rPr>
        <w:t>be negatively received as it’s</w:t>
      </w:r>
      <w:r w:rsidR="002C7196" w:rsidRPr="002C7196">
        <w:rPr>
          <w:sz w:val="24"/>
          <w:szCs w:val="24"/>
        </w:rPr>
        <w:t xml:space="preserve"> an additional duty</w:t>
      </w:r>
      <w:r w:rsidR="00040ECA">
        <w:rPr>
          <w:sz w:val="24"/>
          <w:szCs w:val="24"/>
        </w:rPr>
        <w:t>.</w:t>
      </w:r>
      <w:r w:rsidR="00E60A64">
        <w:rPr>
          <w:sz w:val="24"/>
          <w:szCs w:val="24"/>
        </w:rPr>
        <w:t xml:space="preserve"> To combat these negative employee perceptions it was found that </w:t>
      </w:r>
      <w:r w:rsidR="00E60A64" w:rsidRPr="00086AB8">
        <w:rPr>
          <w:sz w:val="24"/>
          <w:szCs w:val="24"/>
        </w:rPr>
        <w:t>leaders</w:t>
      </w:r>
      <w:r w:rsidR="00E60A64">
        <w:rPr>
          <w:sz w:val="24"/>
          <w:szCs w:val="24"/>
        </w:rPr>
        <w:t xml:space="preserve"> </w:t>
      </w:r>
      <w:r w:rsidR="00F932B2">
        <w:rPr>
          <w:sz w:val="24"/>
          <w:szCs w:val="24"/>
        </w:rPr>
        <w:t xml:space="preserve">or HR staff </w:t>
      </w:r>
      <w:r w:rsidR="00E60A64">
        <w:rPr>
          <w:sz w:val="24"/>
          <w:szCs w:val="24"/>
        </w:rPr>
        <w:t>who communicate</w:t>
      </w:r>
      <w:r w:rsidR="00E60A64" w:rsidRPr="00086AB8">
        <w:rPr>
          <w:sz w:val="24"/>
          <w:szCs w:val="24"/>
        </w:rPr>
        <w:t xml:space="preserve"> clear vision</w:t>
      </w:r>
      <w:r w:rsidR="00E60A64">
        <w:rPr>
          <w:sz w:val="24"/>
          <w:szCs w:val="24"/>
        </w:rPr>
        <w:t>s</w:t>
      </w:r>
      <w:r w:rsidR="00F932B2">
        <w:rPr>
          <w:sz w:val="24"/>
          <w:szCs w:val="24"/>
        </w:rPr>
        <w:t xml:space="preserve"> </w:t>
      </w:r>
      <w:r w:rsidR="00E60A64" w:rsidRPr="00086AB8">
        <w:rPr>
          <w:sz w:val="24"/>
          <w:szCs w:val="24"/>
        </w:rPr>
        <w:t>post-merger</w:t>
      </w:r>
      <w:r w:rsidR="00F932B2">
        <w:rPr>
          <w:sz w:val="24"/>
          <w:szCs w:val="24"/>
        </w:rPr>
        <w:t xml:space="preserve"> and</w:t>
      </w:r>
      <w:r w:rsidR="00E60A64" w:rsidRPr="00086AB8">
        <w:rPr>
          <w:sz w:val="24"/>
          <w:szCs w:val="24"/>
        </w:rPr>
        <w:t xml:space="preserve"> are attentive to employee con</w:t>
      </w:r>
      <w:r w:rsidR="00F932B2">
        <w:rPr>
          <w:sz w:val="24"/>
          <w:szCs w:val="24"/>
        </w:rPr>
        <w:t xml:space="preserve">cerns about changes, found that employees </w:t>
      </w:r>
      <w:r w:rsidR="00E60A64" w:rsidRPr="00086AB8">
        <w:rPr>
          <w:sz w:val="24"/>
          <w:szCs w:val="24"/>
        </w:rPr>
        <w:t>feel they have more control and show lower stress levels.</w:t>
      </w:r>
    </w:p>
    <w:p w14:paraId="16BC518B" w14:textId="77777777" w:rsidR="003B1F48" w:rsidRDefault="003B1F48" w:rsidP="007A7357"/>
    <w:p w14:paraId="5190FC77" w14:textId="77777777" w:rsidR="003B1F48" w:rsidRDefault="003B1F48" w:rsidP="007A7357"/>
    <w:p w14:paraId="42323932" w14:textId="77777777" w:rsidR="003B1F48" w:rsidRDefault="003B1F48" w:rsidP="007A7357"/>
    <w:p w14:paraId="1BC91672" w14:textId="77777777" w:rsidR="003B1F48" w:rsidRDefault="003B1F48" w:rsidP="007A7357"/>
    <w:p w14:paraId="0C6EE0BE" w14:textId="77777777" w:rsidR="003B1F48" w:rsidRDefault="003B1F48" w:rsidP="007A7357"/>
    <w:p w14:paraId="14B09DE3" w14:textId="77777777" w:rsidR="003B1F48" w:rsidRDefault="003B1F48" w:rsidP="007A7357"/>
    <w:p w14:paraId="3EAD33F6" w14:textId="77777777" w:rsidR="003B1F48" w:rsidRDefault="003B1F48" w:rsidP="007A7357">
      <w:bookmarkStart w:id="8" w:name="_GoBack"/>
      <w:bookmarkEnd w:id="8"/>
    </w:p>
    <w:p w14:paraId="3A57971D" w14:textId="7767B996" w:rsidR="002E7675" w:rsidRDefault="002E7675" w:rsidP="002E7675">
      <w:pPr>
        <w:pStyle w:val="Heading1"/>
        <w:jc w:val="center"/>
      </w:pPr>
      <w:bookmarkStart w:id="9" w:name="_Toc12386953"/>
      <w:r>
        <w:lastRenderedPageBreak/>
        <w:t>References</w:t>
      </w:r>
      <w:bookmarkEnd w:id="9"/>
    </w:p>
    <w:p w14:paraId="61479DC9" w14:textId="5C15F953" w:rsidR="002E7675" w:rsidRDefault="002E7675" w:rsidP="002E7675"/>
    <w:p w14:paraId="7CE98C56" w14:textId="77777777" w:rsidR="00A2712A" w:rsidRPr="00D22AFF" w:rsidRDefault="00A2712A" w:rsidP="00124A15">
      <w:pPr>
        <w:spacing w:line="360" w:lineRule="auto"/>
        <w:rPr>
          <w:rFonts w:cs="Arial"/>
          <w:shd w:val="clear" w:color="auto" w:fill="FFFFFF"/>
        </w:rPr>
      </w:pPr>
      <w:r>
        <w:rPr>
          <w:rFonts w:cs="Arial"/>
          <w:shd w:val="clear" w:color="auto" w:fill="FFFFFF"/>
        </w:rPr>
        <w:t xml:space="preserve">ASDA (2019) </w:t>
      </w:r>
      <w:r>
        <w:rPr>
          <w:rFonts w:cs="Arial"/>
          <w:i/>
          <w:shd w:val="clear" w:color="auto" w:fill="FFFFFF"/>
        </w:rPr>
        <w:t>Huddles</w:t>
      </w:r>
      <w:r>
        <w:rPr>
          <w:rFonts w:cs="Arial"/>
          <w:shd w:val="clear" w:color="auto" w:fill="FFFFFF"/>
        </w:rPr>
        <w:t xml:space="preserve">. Available from: </w:t>
      </w:r>
      <w:hyperlink r:id="rId10" w:history="1">
        <w:r w:rsidRPr="00171882">
          <w:rPr>
            <w:rStyle w:val="Hyperlink"/>
            <w:rFonts w:cs="Arial"/>
            <w:shd w:val="clear" w:color="auto" w:fill="FFFFFF"/>
          </w:rPr>
          <w:t>https://www.asdasupplier.com/glossary</w:t>
        </w:r>
      </w:hyperlink>
      <w:r>
        <w:rPr>
          <w:rFonts w:cs="Arial"/>
          <w:shd w:val="clear" w:color="auto" w:fill="FFFFFF"/>
        </w:rPr>
        <w:t xml:space="preserve">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26B9AB5E" w14:textId="77777777" w:rsidR="00A2712A" w:rsidRDefault="00A2712A" w:rsidP="0028169A">
      <w:pPr>
        <w:spacing w:line="360" w:lineRule="auto"/>
        <w:rPr>
          <w:rFonts w:cs="Arial"/>
          <w:shd w:val="clear" w:color="auto" w:fill="FFFFFF"/>
        </w:rPr>
      </w:pPr>
      <w:proofErr w:type="spellStart"/>
      <w:r>
        <w:rPr>
          <w:rFonts w:cs="Arial"/>
          <w:shd w:val="clear" w:color="auto" w:fill="FFFFFF"/>
        </w:rPr>
        <w:t>Bejan</w:t>
      </w:r>
      <w:proofErr w:type="spellEnd"/>
      <w:r>
        <w:rPr>
          <w:rFonts w:cs="Arial"/>
          <w:shd w:val="clear" w:color="auto" w:fill="FFFFFF"/>
        </w:rPr>
        <w:t xml:space="preserve">, F.B. (2013) </w:t>
      </w:r>
      <w:r w:rsidRPr="00D8597A">
        <w:rPr>
          <w:rFonts w:cs="Arial"/>
          <w:shd w:val="clear" w:color="auto" w:fill="FFFFFF"/>
        </w:rPr>
        <w:t>The European Law regarding the Impact of Merger on Employees' Rights</w:t>
      </w:r>
      <w:r>
        <w:rPr>
          <w:rFonts w:cs="Arial"/>
          <w:shd w:val="clear" w:color="auto" w:fill="FFFFFF"/>
        </w:rPr>
        <w:t xml:space="preserve">. </w:t>
      </w:r>
      <w:r>
        <w:rPr>
          <w:rFonts w:cs="Arial"/>
          <w:i/>
          <w:shd w:val="clear" w:color="auto" w:fill="FFFFFF"/>
        </w:rPr>
        <w:t>Romanian Journal of European Affairs</w:t>
      </w:r>
      <w:r>
        <w:rPr>
          <w:rFonts w:cs="Arial"/>
          <w:shd w:val="clear" w:color="auto" w:fill="FFFFFF"/>
        </w:rPr>
        <w:t xml:space="preserve"> [online]. 13(2), pp. 28-38.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3BEFECD2" w14:textId="77777777" w:rsidR="00A2712A" w:rsidRDefault="00A2712A" w:rsidP="00D352CF">
      <w:pPr>
        <w:spacing w:line="360" w:lineRule="auto"/>
        <w:rPr>
          <w:rFonts w:cs="Arial"/>
          <w:shd w:val="clear" w:color="auto" w:fill="FFFFFF"/>
        </w:rPr>
      </w:pPr>
      <w:proofErr w:type="spellStart"/>
      <w:r>
        <w:rPr>
          <w:rFonts w:cs="Arial"/>
          <w:shd w:val="clear" w:color="auto" w:fill="FFFFFF"/>
        </w:rPr>
        <w:t>Buiter</w:t>
      </w:r>
      <w:proofErr w:type="spellEnd"/>
      <w:r>
        <w:rPr>
          <w:rFonts w:cs="Arial"/>
          <w:shd w:val="clear" w:color="auto" w:fill="FFFFFF"/>
        </w:rPr>
        <w:t xml:space="preserve">, J.B. and Harris, C.H. (2013) </w:t>
      </w:r>
      <w:r w:rsidRPr="007B667A">
        <w:rPr>
          <w:rFonts w:cs="Arial"/>
          <w:shd w:val="clear" w:color="auto" w:fill="FFFFFF"/>
        </w:rPr>
        <w:t>Post-Merger Influences of Human Resource Practices and Organizational Leadership on Employee Perceptions and Extra-Role Behaviours</w:t>
      </w:r>
      <w:r>
        <w:rPr>
          <w:rFonts w:cs="Arial"/>
          <w:shd w:val="clear" w:color="auto" w:fill="FFFFFF"/>
        </w:rPr>
        <w:t xml:space="preserve">. </w:t>
      </w:r>
      <w:r>
        <w:rPr>
          <w:rFonts w:cs="Arial"/>
          <w:i/>
          <w:shd w:val="clear" w:color="auto" w:fill="FFFFFF"/>
        </w:rPr>
        <w:t>S.A.M. Advanced Management Journal</w:t>
      </w:r>
      <w:r>
        <w:rPr>
          <w:rFonts w:cs="Arial"/>
          <w:shd w:val="clear" w:color="auto" w:fill="FFFFFF"/>
        </w:rPr>
        <w:t xml:space="preserve"> [online]. 78(4), pp. 14-22.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r>
        <w:rPr>
          <w:rFonts w:cs="Arial"/>
          <w:shd w:val="clear" w:color="auto" w:fill="FFFFFF"/>
        </w:rPr>
        <w:t xml:space="preserve"> </w:t>
      </w:r>
    </w:p>
    <w:p w14:paraId="7E5D0C8D" w14:textId="77777777" w:rsidR="00A2712A" w:rsidRDefault="00A2712A" w:rsidP="0028169A">
      <w:pPr>
        <w:spacing w:line="360" w:lineRule="auto"/>
        <w:rPr>
          <w:rFonts w:cs="Arial"/>
          <w:shd w:val="clear" w:color="auto" w:fill="FFFFFF"/>
        </w:rPr>
      </w:pPr>
      <w:proofErr w:type="spellStart"/>
      <w:r>
        <w:rPr>
          <w:rFonts w:cs="Arial"/>
          <w:shd w:val="clear" w:color="auto" w:fill="FFFFFF"/>
        </w:rPr>
        <w:t>Buiter</w:t>
      </w:r>
      <w:proofErr w:type="spellEnd"/>
      <w:r>
        <w:rPr>
          <w:rFonts w:cs="Arial"/>
          <w:shd w:val="clear" w:color="auto" w:fill="FFFFFF"/>
        </w:rPr>
        <w:t xml:space="preserve">, J.E.M.B. and Harris, C.M.H. (2013) </w:t>
      </w:r>
      <w:r w:rsidRPr="000D5003">
        <w:rPr>
          <w:rFonts w:cs="Arial"/>
          <w:shd w:val="clear" w:color="auto" w:fill="FFFFFF"/>
        </w:rPr>
        <w:t>Post-Merger Influences of Human Resource Practices and Organizational Leadership on Employee Perceptions and Extra-Role Behaviours</w:t>
      </w:r>
      <w:r>
        <w:rPr>
          <w:rFonts w:cs="Arial"/>
          <w:shd w:val="clear" w:color="auto" w:fill="FFFFFF"/>
        </w:rPr>
        <w:t xml:space="preserve">. </w:t>
      </w:r>
      <w:r>
        <w:rPr>
          <w:rFonts w:cs="Arial"/>
          <w:i/>
          <w:shd w:val="clear" w:color="auto" w:fill="FFFFFF"/>
        </w:rPr>
        <w:t xml:space="preserve">S.A.M. Advanced Management Journal </w:t>
      </w:r>
      <w:r>
        <w:rPr>
          <w:rFonts w:cs="Arial"/>
          <w:shd w:val="clear" w:color="auto" w:fill="FFFFFF"/>
        </w:rPr>
        <w:t xml:space="preserve">[online]. 78(4), pp. 14-22.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52B77C60" w14:textId="77777777" w:rsidR="00A2712A" w:rsidRDefault="00A2712A" w:rsidP="0028169A">
      <w:pPr>
        <w:spacing w:line="360" w:lineRule="auto"/>
        <w:rPr>
          <w:rFonts w:cs="Arial"/>
          <w:shd w:val="clear" w:color="auto" w:fill="FFFFFF"/>
        </w:rPr>
      </w:pPr>
      <w:r>
        <w:rPr>
          <w:rFonts w:cs="Arial"/>
          <w:shd w:val="clear" w:color="auto" w:fill="FFFFFF"/>
        </w:rPr>
        <w:t xml:space="preserve">Competition and Market Authority (2019) </w:t>
      </w:r>
      <w:r w:rsidRPr="00D907DE">
        <w:rPr>
          <w:rFonts w:cs="Arial"/>
          <w:i/>
          <w:shd w:val="clear" w:color="auto" w:fill="FFFFFF"/>
        </w:rPr>
        <w:t>Anticipated merger between J Sainsbury PLC and Asda Group Ltd</w:t>
      </w:r>
      <w:r>
        <w:rPr>
          <w:rFonts w:cs="Arial"/>
          <w:i/>
          <w:shd w:val="clear" w:color="auto" w:fill="FFFFFF"/>
        </w:rPr>
        <w:t>.</w:t>
      </w:r>
      <w:r>
        <w:rPr>
          <w:rFonts w:cs="Arial"/>
          <w:shd w:val="clear" w:color="auto" w:fill="FFFFFF"/>
        </w:rPr>
        <w:t xml:space="preserve"> London: Competition and Market Authority. Available from: </w:t>
      </w:r>
      <w:hyperlink r:id="rId11" w:history="1">
        <w:r w:rsidRPr="00CD3961">
          <w:rPr>
            <w:rStyle w:val="Hyperlink"/>
            <w:rFonts w:cs="Arial"/>
            <w:shd w:val="clear" w:color="auto" w:fill="FFFFFF"/>
          </w:rPr>
          <w:t>https://assets.publishing.service.gov.uk/media/5cc1ec1340f0b64031cfa6f0/Final_reportSA.pdf</w:t>
        </w:r>
      </w:hyperlink>
      <w:r>
        <w:rPr>
          <w:rFonts w:cs="Arial"/>
          <w:shd w:val="clear" w:color="auto" w:fill="FFFFFF"/>
        </w:rPr>
        <w:t xml:space="preserve"> </w:t>
      </w:r>
      <w:r w:rsidRPr="006D6360">
        <w:rPr>
          <w:rFonts w:cs="Arial"/>
          <w:shd w:val="clear" w:color="auto" w:fill="FFFFFF"/>
        </w:rPr>
        <w:t>[Accessed 0</w:t>
      </w:r>
      <w:r>
        <w:rPr>
          <w:rFonts w:cs="Arial"/>
          <w:shd w:val="clear" w:color="auto" w:fill="FFFFFF"/>
        </w:rPr>
        <w:t>9</w:t>
      </w:r>
      <w:r w:rsidRPr="006D6360">
        <w:rPr>
          <w:rFonts w:cs="Arial"/>
          <w:shd w:val="clear" w:color="auto" w:fill="FFFFFF"/>
        </w:rPr>
        <w:t xml:space="preserve"> June 2019].</w:t>
      </w:r>
    </w:p>
    <w:p w14:paraId="642B5227" w14:textId="77777777" w:rsidR="00A2712A" w:rsidRPr="005459AA" w:rsidRDefault="00A2712A" w:rsidP="0028169A">
      <w:pPr>
        <w:spacing w:line="360" w:lineRule="auto"/>
        <w:rPr>
          <w:rFonts w:cs="Arial"/>
          <w:shd w:val="clear" w:color="auto" w:fill="FFFFFF"/>
        </w:rPr>
      </w:pPr>
      <w:proofErr w:type="spellStart"/>
      <w:r>
        <w:rPr>
          <w:rFonts w:cs="Arial"/>
          <w:shd w:val="clear" w:color="auto" w:fill="FFFFFF"/>
        </w:rPr>
        <w:t>Cuckney</w:t>
      </w:r>
      <w:proofErr w:type="spellEnd"/>
      <w:r>
        <w:rPr>
          <w:rFonts w:cs="Arial"/>
          <w:shd w:val="clear" w:color="auto" w:fill="FFFFFF"/>
        </w:rPr>
        <w:t xml:space="preserve">, C.C. (2016) </w:t>
      </w:r>
      <w:proofErr w:type="gramStart"/>
      <w:r w:rsidRPr="005459AA">
        <w:rPr>
          <w:rFonts w:cs="Arial"/>
          <w:shd w:val="clear" w:color="auto" w:fill="FFFFFF"/>
        </w:rPr>
        <w:t>What</w:t>
      </w:r>
      <w:proofErr w:type="gramEnd"/>
      <w:r w:rsidRPr="005459AA">
        <w:rPr>
          <w:rFonts w:cs="Arial"/>
          <w:shd w:val="clear" w:color="auto" w:fill="FFFFFF"/>
        </w:rPr>
        <w:t xml:space="preserve"> does Brexit mean for the European employment laws we have implemented in the UK</w:t>
      </w:r>
      <w:r>
        <w:rPr>
          <w:rFonts w:cs="Arial"/>
          <w:shd w:val="clear" w:color="auto" w:fill="FFFFFF"/>
        </w:rPr>
        <w:t xml:space="preserve">. </w:t>
      </w:r>
      <w:r>
        <w:rPr>
          <w:rFonts w:cs="Arial"/>
          <w:i/>
          <w:iCs/>
          <w:shd w:val="clear" w:color="auto" w:fill="FFFFFF"/>
        </w:rPr>
        <w:t xml:space="preserve">Recruitment Matters </w:t>
      </w:r>
      <w:r>
        <w:rPr>
          <w:rFonts w:cs="Arial"/>
          <w:shd w:val="clear" w:color="auto" w:fill="FFFFFF"/>
        </w:rPr>
        <w:t xml:space="preserve">[online]. 6, pp. 1. </w:t>
      </w:r>
      <w:r w:rsidRPr="005459AA">
        <w:rPr>
          <w:rFonts w:cs="Arial"/>
          <w:shd w:val="clear" w:color="auto" w:fill="FFFFFF"/>
        </w:rPr>
        <w:t>[Accessed 08 June 2019].</w:t>
      </w:r>
      <w:r>
        <w:rPr>
          <w:rFonts w:cs="Arial"/>
          <w:shd w:val="clear" w:color="auto" w:fill="FFFFFF"/>
        </w:rPr>
        <w:t xml:space="preserve"> </w:t>
      </w:r>
    </w:p>
    <w:p w14:paraId="6CFB95DB" w14:textId="77777777" w:rsidR="00A2712A" w:rsidRDefault="00A2712A" w:rsidP="0028169A">
      <w:pPr>
        <w:spacing w:line="360" w:lineRule="auto"/>
        <w:rPr>
          <w:rFonts w:cs="Arial"/>
          <w:shd w:val="clear" w:color="auto" w:fill="FFFFFF"/>
        </w:rPr>
      </w:pPr>
      <w:proofErr w:type="spellStart"/>
      <w:r w:rsidRPr="0028169A">
        <w:rPr>
          <w:rFonts w:cs="Arial"/>
          <w:shd w:val="clear" w:color="auto" w:fill="FFFFFF"/>
        </w:rPr>
        <w:t>Dinc</w:t>
      </w:r>
      <w:proofErr w:type="spellEnd"/>
      <w:r w:rsidRPr="0028169A">
        <w:rPr>
          <w:rFonts w:cs="Arial"/>
          <w:shd w:val="clear" w:color="auto" w:fill="FFFFFF"/>
        </w:rPr>
        <w:t xml:space="preserve">, I.S.D. and </w:t>
      </w:r>
      <w:proofErr w:type="spellStart"/>
      <w:r w:rsidRPr="0028169A">
        <w:rPr>
          <w:rFonts w:cs="Arial"/>
          <w:shd w:val="clear" w:color="auto" w:fill="FFFFFF"/>
        </w:rPr>
        <w:t>Erel</w:t>
      </w:r>
      <w:proofErr w:type="spellEnd"/>
      <w:r w:rsidRPr="0028169A">
        <w:rPr>
          <w:rFonts w:cs="Arial"/>
          <w:shd w:val="clear" w:color="auto" w:fill="FFFFFF"/>
        </w:rPr>
        <w:t xml:space="preserve">, I.E. (2013) Economic Nationalism in Mergers and Acquisitions. </w:t>
      </w:r>
      <w:r w:rsidRPr="0028169A">
        <w:rPr>
          <w:rStyle w:val="Emphasis"/>
          <w:rFonts w:cs="Arial"/>
          <w:bdr w:val="none" w:sz="0" w:space="0" w:color="auto" w:frame="1"/>
        </w:rPr>
        <w:t>The Journal of Finance</w:t>
      </w:r>
      <w:r w:rsidRPr="0028169A">
        <w:rPr>
          <w:rFonts w:cs="Arial"/>
          <w:shd w:val="clear" w:color="auto" w:fill="FFFFFF"/>
        </w:rPr>
        <w:t xml:space="preserve"> [online]. 68 (6), pp. 2471-2514. [Accessed 08 June 2019].</w:t>
      </w:r>
    </w:p>
    <w:p w14:paraId="0AB0DDC9" w14:textId="77777777" w:rsidR="00A2712A" w:rsidRDefault="00A2712A" w:rsidP="00D352CF">
      <w:pPr>
        <w:spacing w:line="360" w:lineRule="auto"/>
        <w:rPr>
          <w:rFonts w:cs="Arial"/>
          <w:shd w:val="clear" w:color="auto" w:fill="FFFFFF"/>
        </w:rPr>
      </w:pPr>
      <w:r>
        <w:rPr>
          <w:rFonts w:cs="Arial"/>
          <w:shd w:val="clear" w:color="auto" w:fill="FFFFFF"/>
        </w:rPr>
        <w:t xml:space="preserve">Edwards, M.E. and Edwards, T.E. (2012) </w:t>
      </w:r>
      <w:r w:rsidRPr="00F129DE">
        <w:rPr>
          <w:rFonts w:cs="Arial"/>
          <w:shd w:val="clear" w:color="auto" w:fill="FFFFFF"/>
        </w:rPr>
        <w:t>Company and country effects in international mergers and acquisitions: Employee perceptions of a merger in three European countries</w:t>
      </w:r>
      <w:r>
        <w:rPr>
          <w:rFonts w:cs="Arial"/>
          <w:shd w:val="clear" w:color="auto" w:fill="FFFFFF"/>
        </w:rPr>
        <w:t xml:space="preserve">. </w:t>
      </w:r>
      <w:r>
        <w:rPr>
          <w:rFonts w:cs="Arial"/>
          <w:i/>
          <w:shd w:val="clear" w:color="auto" w:fill="FFFFFF"/>
        </w:rPr>
        <w:t xml:space="preserve">Economic and Industrial Democracy </w:t>
      </w:r>
      <w:r>
        <w:rPr>
          <w:rFonts w:cs="Arial"/>
          <w:shd w:val="clear" w:color="auto" w:fill="FFFFFF"/>
        </w:rPr>
        <w:t xml:space="preserve">[online]. 33(3), pp. 505-529.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3E3918CC" w14:textId="77777777" w:rsidR="00A2712A" w:rsidRDefault="00A2712A" w:rsidP="0028169A">
      <w:pPr>
        <w:spacing w:line="360" w:lineRule="auto"/>
        <w:rPr>
          <w:rFonts w:cs="Arial"/>
          <w:shd w:val="clear" w:color="auto" w:fill="FFFFFF"/>
        </w:rPr>
      </w:pPr>
      <w:r>
        <w:rPr>
          <w:rFonts w:cs="Arial"/>
          <w:shd w:val="clear" w:color="auto" w:fill="FFFFFF"/>
        </w:rPr>
        <w:t xml:space="preserve">Feaster-Gee, T.F-G. (2014) </w:t>
      </w:r>
      <w:r w:rsidRPr="00E8518B">
        <w:rPr>
          <w:rFonts w:cs="Arial"/>
          <w:shd w:val="clear" w:color="auto" w:fill="FFFFFF"/>
        </w:rPr>
        <w:t>Introducing the Competition and Markets Authority</w:t>
      </w:r>
      <w:r>
        <w:rPr>
          <w:rFonts w:cs="Arial"/>
          <w:shd w:val="clear" w:color="auto" w:fill="FFFFFF"/>
        </w:rPr>
        <w:t xml:space="preserve">. </w:t>
      </w:r>
      <w:r>
        <w:rPr>
          <w:rFonts w:cs="Arial"/>
          <w:i/>
          <w:shd w:val="clear" w:color="auto" w:fill="FFFFFF"/>
        </w:rPr>
        <w:t>Credit Control</w:t>
      </w:r>
      <w:r>
        <w:rPr>
          <w:rFonts w:cs="Arial"/>
          <w:shd w:val="clear" w:color="auto" w:fill="FFFFFF"/>
        </w:rPr>
        <w:t xml:space="preserve"> [online]. 35(5), pp. 8-10.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2F792D77" w14:textId="77777777" w:rsidR="00A2712A" w:rsidRDefault="00A2712A" w:rsidP="00124A15">
      <w:pPr>
        <w:spacing w:line="360" w:lineRule="auto"/>
        <w:rPr>
          <w:rFonts w:cs="Arial"/>
          <w:shd w:val="clear" w:color="auto" w:fill="FFFFFF"/>
        </w:rPr>
      </w:pPr>
      <w:proofErr w:type="spellStart"/>
      <w:r>
        <w:rPr>
          <w:rFonts w:cs="Arial"/>
          <w:shd w:val="clear" w:color="auto" w:fill="FFFFFF"/>
        </w:rPr>
        <w:t>Gelfand</w:t>
      </w:r>
      <w:proofErr w:type="spellEnd"/>
      <w:r>
        <w:rPr>
          <w:rFonts w:cs="Arial"/>
          <w:shd w:val="clear" w:color="auto" w:fill="FFFFFF"/>
        </w:rPr>
        <w:t xml:space="preserve">, M.G. and Gordon, S.G. and </w:t>
      </w:r>
      <w:proofErr w:type="spellStart"/>
      <w:r>
        <w:rPr>
          <w:rFonts w:cs="Arial"/>
          <w:shd w:val="clear" w:color="auto" w:fill="FFFFFF"/>
        </w:rPr>
        <w:t>Chengguang</w:t>
      </w:r>
      <w:proofErr w:type="spellEnd"/>
      <w:r>
        <w:rPr>
          <w:rFonts w:cs="Arial"/>
          <w:shd w:val="clear" w:color="auto" w:fill="FFFFFF"/>
        </w:rPr>
        <w:t xml:space="preserve">, L.C. and Choi, V.C. and </w:t>
      </w:r>
      <w:proofErr w:type="spellStart"/>
      <w:r>
        <w:rPr>
          <w:rFonts w:cs="Arial"/>
          <w:shd w:val="clear" w:color="auto" w:fill="FFFFFF"/>
        </w:rPr>
        <w:t>Prokopowicz</w:t>
      </w:r>
      <w:proofErr w:type="spellEnd"/>
      <w:r>
        <w:rPr>
          <w:rFonts w:cs="Arial"/>
          <w:shd w:val="clear" w:color="auto" w:fill="FFFFFF"/>
        </w:rPr>
        <w:t xml:space="preserve">, P.P. (2018) One Reason Mergers Fail: The </w:t>
      </w:r>
      <w:r w:rsidRPr="00124A15">
        <w:rPr>
          <w:rFonts w:cs="Arial"/>
          <w:shd w:val="clear" w:color="auto" w:fill="FFFFFF"/>
        </w:rPr>
        <w:t>Two Cultures Aren’t Compatible</w:t>
      </w:r>
      <w:r>
        <w:rPr>
          <w:rFonts w:cs="Arial"/>
          <w:shd w:val="clear" w:color="auto" w:fill="FFFFFF"/>
        </w:rPr>
        <w:t xml:space="preserve">. </w:t>
      </w:r>
      <w:r>
        <w:rPr>
          <w:rFonts w:cs="Arial"/>
          <w:i/>
          <w:shd w:val="clear" w:color="auto" w:fill="FFFFFF"/>
        </w:rPr>
        <w:t>Harvard Business Review</w:t>
      </w:r>
      <w:r>
        <w:rPr>
          <w:rFonts w:cs="Arial"/>
          <w:shd w:val="clear" w:color="auto" w:fill="FFFFFF"/>
        </w:rPr>
        <w:t xml:space="preserve"> [online]. pp. 1-7.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56D20286" w14:textId="77777777" w:rsidR="00A2712A" w:rsidRDefault="00A2712A" w:rsidP="0028169A">
      <w:pPr>
        <w:spacing w:line="360" w:lineRule="auto"/>
        <w:rPr>
          <w:rFonts w:cs="Arial"/>
          <w:shd w:val="clear" w:color="auto" w:fill="FFFFFF"/>
        </w:rPr>
      </w:pPr>
      <w:proofErr w:type="spellStart"/>
      <w:r>
        <w:rPr>
          <w:rFonts w:cs="Arial"/>
          <w:shd w:val="clear" w:color="auto" w:fill="FFFFFF"/>
        </w:rPr>
        <w:lastRenderedPageBreak/>
        <w:t>Georgieff</w:t>
      </w:r>
      <w:proofErr w:type="spellEnd"/>
      <w:r>
        <w:rPr>
          <w:rFonts w:cs="Arial"/>
          <w:shd w:val="clear" w:color="auto" w:fill="FFFFFF"/>
        </w:rPr>
        <w:t xml:space="preserve">, A.G. and </w:t>
      </w:r>
      <w:proofErr w:type="spellStart"/>
      <w:r>
        <w:rPr>
          <w:rFonts w:cs="Arial"/>
          <w:shd w:val="clear" w:color="auto" w:fill="FFFFFF"/>
        </w:rPr>
        <w:t>Latsky</w:t>
      </w:r>
      <w:proofErr w:type="spellEnd"/>
      <w:r>
        <w:rPr>
          <w:rFonts w:cs="Arial"/>
          <w:shd w:val="clear" w:color="auto" w:fill="FFFFFF"/>
        </w:rPr>
        <w:t xml:space="preserve">, S.L. (2018) </w:t>
      </w:r>
      <w:r w:rsidRPr="00A42F39">
        <w:rPr>
          <w:rFonts w:cs="Arial"/>
          <w:shd w:val="clear" w:color="auto" w:fill="FFFFFF"/>
        </w:rPr>
        <w:t>'Merger of Equals' Transactions - An Analysis of Relevant Considerations and Deal Trends</w:t>
      </w:r>
      <w:r>
        <w:rPr>
          <w:rFonts w:cs="Arial"/>
          <w:shd w:val="clear" w:color="auto" w:fill="FFFFFF"/>
        </w:rPr>
        <w:t xml:space="preserve">. </w:t>
      </w:r>
      <w:r>
        <w:rPr>
          <w:rFonts w:cs="Arial"/>
          <w:i/>
          <w:shd w:val="clear" w:color="auto" w:fill="FFFFFF"/>
        </w:rPr>
        <w:t>Business Law International</w:t>
      </w:r>
      <w:r>
        <w:rPr>
          <w:rFonts w:cs="Arial"/>
          <w:shd w:val="clear" w:color="auto" w:fill="FFFFFF"/>
        </w:rPr>
        <w:t xml:space="preserve"> [online]. 19(1), pp.59.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51B7B5C8" w14:textId="77777777" w:rsidR="00A2712A" w:rsidRPr="00581EB7" w:rsidRDefault="00A2712A" w:rsidP="001F488D">
      <w:pPr>
        <w:spacing w:line="360" w:lineRule="auto"/>
        <w:rPr>
          <w:rFonts w:cs="Arial"/>
          <w:color w:val="0070C0"/>
          <w:u w:val="single"/>
          <w:shd w:val="clear" w:color="auto" w:fill="FFFFFF"/>
        </w:rPr>
      </w:pPr>
      <w:r>
        <w:rPr>
          <w:rFonts w:cs="Arial"/>
          <w:shd w:val="clear" w:color="auto" w:fill="FFFFFF"/>
        </w:rPr>
        <w:t xml:space="preserve">Gill, C.G. (2012) </w:t>
      </w:r>
      <w:r w:rsidRPr="00C134AC">
        <w:rPr>
          <w:rFonts w:cs="Arial"/>
          <w:shd w:val="clear" w:color="auto" w:fill="FFFFFF"/>
        </w:rPr>
        <w:t>the role of leadership in successful international mergers and acquisitions: Why Renault-Nissan succeeded and DaimlerChrysler-Mitsubishi failed</w:t>
      </w:r>
      <w:r>
        <w:rPr>
          <w:rFonts w:cs="Arial"/>
          <w:shd w:val="clear" w:color="auto" w:fill="FFFFFF"/>
        </w:rPr>
        <w:t xml:space="preserve">. </w:t>
      </w:r>
      <w:r>
        <w:rPr>
          <w:rFonts w:cs="Arial"/>
          <w:i/>
          <w:shd w:val="clear" w:color="auto" w:fill="FFFFFF"/>
        </w:rPr>
        <w:t>Human Resource Management</w:t>
      </w:r>
      <w:r>
        <w:rPr>
          <w:rFonts w:cs="Arial"/>
          <w:shd w:val="clear" w:color="auto" w:fill="FFFFFF"/>
        </w:rPr>
        <w:t xml:space="preserve"> [online]. 51 (3), pp. 433.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0FC5911A" w14:textId="77777777" w:rsidR="00A2712A" w:rsidRPr="005A5314" w:rsidRDefault="00A2712A" w:rsidP="00D352CF">
      <w:pPr>
        <w:spacing w:line="360" w:lineRule="auto"/>
        <w:rPr>
          <w:rFonts w:cs="Arial"/>
          <w:shd w:val="clear" w:color="auto" w:fill="FFFFFF"/>
        </w:rPr>
      </w:pPr>
      <w:r>
        <w:rPr>
          <w:rFonts w:cs="Arial"/>
          <w:shd w:val="clear" w:color="auto" w:fill="FFFFFF"/>
        </w:rPr>
        <w:t xml:space="preserve">Gomes, E.G. and </w:t>
      </w:r>
      <w:proofErr w:type="spellStart"/>
      <w:r>
        <w:rPr>
          <w:rFonts w:cs="Arial"/>
          <w:shd w:val="clear" w:color="auto" w:fill="FFFFFF"/>
        </w:rPr>
        <w:t>Mellahi</w:t>
      </w:r>
      <w:proofErr w:type="spellEnd"/>
      <w:r>
        <w:rPr>
          <w:rFonts w:cs="Arial"/>
          <w:shd w:val="clear" w:color="auto" w:fill="FFFFFF"/>
        </w:rPr>
        <w:t xml:space="preserve">, K.M. and </w:t>
      </w:r>
      <w:proofErr w:type="spellStart"/>
      <w:r>
        <w:rPr>
          <w:rFonts w:cs="Arial"/>
          <w:shd w:val="clear" w:color="auto" w:fill="FFFFFF"/>
        </w:rPr>
        <w:t>Sahadev</w:t>
      </w:r>
      <w:proofErr w:type="spellEnd"/>
      <w:r>
        <w:rPr>
          <w:rFonts w:cs="Arial"/>
          <w:shd w:val="clear" w:color="auto" w:fill="FFFFFF"/>
        </w:rPr>
        <w:t xml:space="preserve">, S.S. and Harvey, A.M. (2017) </w:t>
      </w:r>
      <w:r w:rsidRPr="005A5314">
        <w:rPr>
          <w:rFonts w:cs="Arial"/>
          <w:shd w:val="clear" w:color="auto" w:fill="FFFFFF"/>
        </w:rPr>
        <w:t>Perceptions of justice and organisational commitment in international mergers and acquisitions</w:t>
      </w:r>
      <w:r>
        <w:rPr>
          <w:rFonts w:cs="Arial"/>
          <w:shd w:val="clear" w:color="auto" w:fill="FFFFFF"/>
        </w:rPr>
        <w:t xml:space="preserve">. </w:t>
      </w:r>
      <w:r>
        <w:rPr>
          <w:rFonts w:cs="Arial"/>
          <w:i/>
          <w:shd w:val="clear" w:color="auto" w:fill="FFFFFF"/>
        </w:rPr>
        <w:t>International Marketing Review</w:t>
      </w:r>
      <w:r>
        <w:rPr>
          <w:rFonts w:cs="Arial"/>
          <w:shd w:val="clear" w:color="auto" w:fill="FFFFFF"/>
        </w:rPr>
        <w:t xml:space="preserve"> [online]. 34(5), pp. 582-605.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295C44F3" w14:textId="77777777" w:rsidR="00A2712A" w:rsidRDefault="00A2712A" w:rsidP="0028169A">
      <w:pPr>
        <w:spacing w:line="360" w:lineRule="auto"/>
        <w:rPr>
          <w:rFonts w:cs="Arial"/>
          <w:shd w:val="clear" w:color="auto" w:fill="FFFFFF"/>
        </w:rPr>
      </w:pPr>
      <w:r>
        <w:rPr>
          <w:rFonts w:cs="Arial"/>
          <w:shd w:val="clear" w:color="auto" w:fill="FFFFFF"/>
        </w:rPr>
        <w:t xml:space="preserve">GOV.UK (2019) </w:t>
      </w:r>
      <w:r w:rsidRPr="007F5CCD">
        <w:rPr>
          <w:rFonts w:cs="Arial"/>
          <w:i/>
          <w:shd w:val="clear" w:color="auto" w:fill="FFFFFF"/>
        </w:rPr>
        <w:t>Mergers: when they will be investigated</w:t>
      </w:r>
      <w:r>
        <w:rPr>
          <w:rFonts w:cs="Arial"/>
          <w:i/>
          <w:shd w:val="clear" w:color="auto" w:fill="FFFFFF"/>
        </w:rPr>
        <w:t>.</w:t>
      </w:r>
      <w:r w:rsidRPr="007F5CCD">
        <w:rPr>
          <w:rFonts w:cs="Arial"/>
          <w:i/>
          <w:shd w:val="clear" w:color="auto" w:fill="FFFFFF"/>
        </w:rPr>
        <w:t xml:space="preserve"> </w:t>
      </w:r>
      <w:r w:rsidRPr="007F5CCD">
        <w:rPr>
          <w:rFonts w:cs="Arial"/>
          <w:shd w:val="clear" w:color="auto" w:fill="FFFFFF"/>
        </w:rPr>
        <w:t>Available from:</w:t>
      </w:r>
      <w:r>
        <w:rPr>
          <w:rFonts w:cs="Arial"/>
          <w:shd w:val="clear" w:color="auto" w:fill="FFFFFF"/>
        </w:rPr>
        <w:t xml:space="preserve"> </w:t>
      </w:r>
      <w:hyperlink r:id="rId12" w:history="1">
        <w:r w:rsidRPr="00CD3961">
          <w:rPr>
            <w:rStyle w:val="Hyperlink"/>
            <w:rFonts w:cs="Arial"/>
            <w:shd w:val="clear" w:color="auto" w:fill="FFFFFF"/>
          </w:rPr>
          <w:t>https://www.gov.uk/mergers-when-they-will-be-investigated</w:t>
        </w:r>
      </w:hyperlink>
      <w:r>
        <w:rPr>
          <w:rFonts w:cs="Arial"/>
          <w:shd w:val="clear" w:color="auto" w:fill="FFFFFF"/>
        </w:rPr>
        <w:t xml:space="preserve"> </w:t>
      </w:r>
      <w:r w:rsidRPr="006D6360">
        <w:rPr>
          <w:rFonts w:cs="Arial"/>
          <w:shd w:val="clear" w:color="auto" w:fill="FFFFFF"/>
        </w:rPr>
        <w:t>[Accessed 0</w:t>
      </w:r>
      <w:r>
        <w:rPr>
          <w:rFonts w:cs="Arial"/>
          <w:shd w:val="clear" w:color="auto" w:fill="FFFFFF"/>
        </w:rPr>
        <w:t>9</w:t>
      </w:r>
      <w:r w:rsidRPr="006D6360">
        <w:rPr>
          <w:rFonts w:cs="Arial"/>
          <w:shd w:val="clear" w:color="auto" w:fill="FFFFFF"/>
        </w:rPr>
        <w:t xml:space="preserve"> June 2019].</w:t>
      </w:r>
    </w:p>
    <w:p w14:paraId="53CDE216" w14:textId="77777777" w:rsidR="00A2712A" w:rsidRDefault="00A2712A" w:rsidP="00D352CF">
      <w:pPr>
        <w:spacing w:line="360" w:lineRule="auto"/>
        <w:rPr>
          <w:rFonts w:cs="Arial"/>
          <w:shd w:val="clear" w:color="auto" w:fill="FFFFFF"/>
        </w:rPr>
      </w:pPr>
      <w:r>
        <w:rPr>
          <w:rFonts w:cs="Arial"/>
          <w:shd w:val="clear" w:color="auto" w:fill="FFFFFF"/>
        </w:rPr>
        <w:t xml:space="preserve">Hollmann, J.H. and </w:t>
      </w:r>
      <w:proofErr w:type="spellStart"/>
      <w:r>
        <w:rPr>
          <w:rFonts w:cs="Arial"/>
          <w:shd w:val="clear" w:color="auto" w:fill="FFFFFF"/>
        </w:rPr>
        <w:t>Carpes</w:t>
      </w:r>
      <w:proofErr w:type="spellEnd"/>
      <w:r>
        <w:rPr>
          <w:rFonts w:cs="Arial"/>
          <w:shd w:val="clear" w:color="auto" w:fill="FFFFFF"/>
        </w:rPr>
        <w:t xml:space="preserve">, A.M.C. and </w:t>
      </w:r>
      <w:proofErr w:type="spellStart"/>
      <w:r>
        <w:rPr>
          <w:rFonts w:cs="Arial"/>
          <w:shd w:val="clear" w:color="auto" w:fill="FFFFFF"/>
        </w:rPr>
        <w:t>Beuron</w:t>
      </w:r>
      <w:proofErr w:type="spellEnd"/>
      <w:r>
        <w:rPr>
          <w:rFonts w:cs="Arial"/>
          <w:shd w:val="clear" w:color="auto" w:fill="FFFFFF"/>
        </w:rPr>
        <w:t xml:space="preserve">, T.A.B. (2010) </w:t>
      </w:r>
      <w:r w:rsidRPr="00D352CF">
        <w:rPr>
          <w:rFonts w:cs="Arial"/>
          <w:shd w:val="clear" w:color="auto" w:fill="FFFFFF"/>
        </w:rPr>
        <w:t>The DaimlerChrysler merger – a cultural mismatch</w:t>
      </w:r>
      <w:r>
        <w:rPr>
          <w:rFonts w:cs="Arial"/>
          <w:shd w:val="clear" w:color="auto" w:fill="FFFFFF"/>
        </w:rPr>
        <w:t xml:space="preserve">. </w:t>
      </w:r>
      <w:proofErr w:type="spellStart"/>
      <w:r w:rsidRPr="00D352CF">
        <w:rPr>
          <w:rFonts w:cs="Arial"/>
          <w:i/>
          <w:shd w:val="clear" w:color="auto" w:fill="FFFFFF"/>
        </w:rPr>
        <w:t>Revista</w:t>
      </w:r>
      <w:proofErr w:type="spellEnd"/>
      <w:r w:rsidRPr="00D352CF">
        <w:rPr>
          <w:rFonts w:cs="Arial"/>
          <w:i/>
          <w:shd w:val="clear" w:color="auto" w:fill="FFFFFF"/>
        </w:rPr>
        <w:t xml:space="preserve"> de </w:t>
      </w:r>
      <w:proofErr w:type="spellStart"/>
      <w:r w:rsidRPr="00D352CF">
        <w:rPr>
          <w:rFonts w:cs="Arial"/>
          <w:i/>
          <w:shd w:val="clear" w:color="auto" w:fill="FFFFFF"/>
        </w:rPr>
        <w:t>Administração</w:t>
      </w:r>
      <w:proofErr w:type="spellEnd"/>
      <w:r w:rsidRPr="00D352CF">
        <w:rPr>
          <w:rFonts w:cs="Arial"/>
          <w:i/>
          <w:shd w:val="clear" w:color="auto" w:fill="FFFFFF"/>
        </w:rPr>
        <w:t xml:space="preserve"> da UFSM</w:t>
      </w:r>
      <w:r>
        <w:rPr>
          <w:rFonts w:cs="Arial"/>
          <w:shd w:val="clear" w:color="auto" w:fill="FFFFFF"/>
        </w:rPr>
        <w:t xml:space="preserve"> [online]. 3(3), pp. 431-440.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1C674E98" w14:textId="77777777" w:rsidR="00A2712A" w:rsidRDefault="00A2712A" w:rsidP="00D352CF">
      <w:pPr>
        <w:spacing w:line="360" w:lineRule="auto"/>
        <w:rPr>
          <w:rFonts w:cs="Arial"/>
          <w:shd w:val="clear" w:color="auto" w:fill="FFFFFF"/>
        </w:rPr>
      </w:pPr>
      <w:r>
        <w:rPr>
          <w:rFonts w:cs="Arial"/>
          <w:shd w:val="clear" w:color="auto" w:fill="FFFFFF"/>
        </w:rPr>
        <w:t xml:space="preserve">Jung, J.I.J. and Son, J.S.S. and Kim, Y.O.K. and Chang, H.C.C. and Chan, W.K.C. (2018) </w:t>
      </w:r>
      <w:r w:rsidRPr="000C6F47">
        <w:rPr>
          <w:rFonts w:cs="Arial"/>
          <w:shd w:val="clear" w:color="auto" w:fill="FFFFFF"/>
        </w:rPr>
        <w:t>Changes of depression and job stress in workers after merger without downsizing</w:t>
      </w:r>
      <w:r>
        <w:rPr>
          <w:rFonts w:cs="Arial"/>
          <w:shd w:val="clear" w:color="auto" w:fill="FFFFFF"/>
        </w:rPr>
        <w:t xml:space="preserve">. </w:t>
      </w:r>
      <w:r>
        <w:rPr>
          <w:rFonts w:cs="Arial"/>
          <w:i/>
          <w:shd w:val="clear" w:color="auto" w:fill="FFFFFF"/>
        </w:rPr>
        <w:t>Annals of Occupational and Environmental Medicine</w:t>
      </w:r>
      <w:r>
        <w:rPr>
          <w:rFonts w:cs="Arial"/>
          <w:shd w:val="clear" w:color="auto" w:fill="FFFFFF"/>
        </w:rPr>
        <w:t xml:space="preserve"> [online]. 30, pp, 1-9.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423EE693" w14:textId="77777777" w:rsidR="00A2712A" w:rsidRPr="00547E63" w:rsidRDefault="00A2712A" w:rsidP="0028169A">
      <w:pPr>
        <w:spacing w:line="360" w:lineRule="auto"/>
        <w:rPr>
          <w:rFonts w:cs="Arial"/>
          <w:shd w:val="clear" w:color="auto" w:fill="FFFFFF"/>
        </w:rPr>
      </w:pPr>
      <w:r>
        <w:rPr>
          <w:rFonts w:cs="Arial"/>
          <w:shd w:val="clear" w:color="auto" w:fill="FFFFFF"/>
        </w:rPr>
        <w:t xml:space="preserve">Khan, Z.K. and </w:t>
      </w:r>
      <w:proofErr w:type="spellStart"/>
      <w:r>
        <w:rPr>
          <w:rFonts w:cs="Arial"/>
          <w:shd w:val="clear" w:color="auto" w:fill="FFFFFF"/>
        </w:rPr>
        <w:t>Soundararajan</w:t>
      </w:r>
      <w:proofErr w:type="spellEnd"/>
      <w:r>
        <w:rPr>
          <w:rFonts w:cs="Arial"/>
          <w:shd w:val="clear" w:color="auto" w:fill="FFFFFF"/>
        </w:rPr>
        <w:t xml:space="preserve">, V.S. and Wood, G.W. and </w:t>
      </w:r>
      <w:proofErr w:type="spellStart"/>
      <w:r>
        <w:rPr>
          <w:rFonts w:cs="Arial"/>
          <w:shd w:val="clear" w:color="auto" w:fill="FFFFFF"/>
        </w:rPr>
        <w:t>Ahammad</w:t>
      </w:r>
      <w:proofErr w:type="spellEnd"/>
      <w:r>
        <w:rPr>
          <w:rFonts w:cs="Arial"/>
          <w:shd w:val="clear" w:color="auto" w:fill="FFFFFF"/>
        </w:rPr>
        <w:t xml:space="preserve">, M.F.A. (2017) </w:t>
      </w:r>
      <w:r w:rsidRPr="00547E63">
        <w:rPr>
          <w:rFonts w:cs="Arial"/>
          <w:shd w:val="clear" w:color="auto" w:fill="FFFFFF"/>
        </w:rPr>
        <w:t>Employee emotional resilience during post-merger integration across national boundaries: Rewards and the mediating role of fairness norms</w:t>
      </w:r>
      <w:r>
        <w:rPr>
          <w:rFonts w:cs="Arial"/>
          <w:shd w:val="clear" w:color="auto" w:fill="FFFFFF"/>
        </w:rPr>
        <w:t xml:space="preserve">. </w:t>
      </w:r>
      <w:r>
        <w:rPr>
          <w:rFonts w:cs="Arial"/>
          <w:i/>
          <w:iCs/>
          <w:shd w:val="clear" w:color="auto" w:fill="FFFFFF"/>
        </w:rPr>
        <w:t xml:space="preserve">Journal of World Business </w:t>
      </w:r>
      <w:r>
        <w:rPr>
          <w:rFonts w:cs="Arial"/>
          <w:shd w:val="clear" w:color="auto" w:fill="FFFFFF"/>
        </w:rPr>
        <w:t xml:space="preserve">[online]. pp. 1-11.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02206894" w14:textId="77777777" w:rsidR="00A2712A" w:rsidRDefault="00A2712A" w:rsidP="0028169A">
      <w:pPr>
        <w:spacing w:line="360" w:lineRule="auto"/>
        <w:rPr>
          <w:rFonts w:cs="Arial"/>
          <w:shd w:val="clear" w:color="auto" w:fill="FFFFFF"/>
        </w:rPr>
      </w:pPr>
      <w:r>
        <w:rPr>
          <w:rFonts w:cs="Arial"/>
          <w:shd w:val="clear" w:color="auto" w:fill="FFFFFF"/>
        </w:rPr>
        <w:t xml:space="preserve">Marks, M.L.M. and </w:t>
      </w:r>
      <w:proofErr w:type="spellStart"/>
      <w:r>
        <w:rPr>
          <w:rFonts w:cs="Arial"/>
          <w:shd w:val="clear" w:color="auto" w:fill="FFFFFF"/>
        </w:rPr>
        <w:t>Mirvis</w:t>
      </w:r>
      <w:proofErr w:type="spellEnd"/>
      <w:r>
        <w:rPr>
          <w:rFonts w:cs="Arial"/>
          <w:shd w:val="clear" w:color="auto" w:fill="FFFFFF"/>
        </w:rPr>
        <w:t xml:space="preserve">, P.H.M. (2011) Culture in Mergers and Acquisitions. </w:t>
      </w:r>
      <w:r>
        <w:rPr>
          <w:rFonts w:cs="Arial"/>
          <w:i/>
          <w:shd w:val="clear" w:color="auto" w:fill="FFFFFF"/>
        </w:rPr>
        <w:t>Human Resource Management</w:t>
      </w:r>
      <w:r>
        <w:rPr>
          <w:rFonts w:cs="Arial"/>
          <w:shd w:val="clear" w:color="auto" w:fill="FFFFFF"/>
        </w:rPr>
        <w:t xml:space="preserve"> [online]. 50 (6), pp. 859-877.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30589AB5" w14:textId="77777777" w:rsidR="00A2712A" w:rsidRDefault="00A2712A" w:rsidP="0028169A">
      <w:pPr>
        <w:spacing w:line="360" w:lineRule="auto"/>
        <w:rPr>
          <w:rFonts w:cs="Arial"/>
          <w:shd w:val="clear" w:color="auto" w:fill="FFFFFF"/>
        </w:rPr>
      </w:pPr>
      <w:proofErr w:type="spellStart"/>
      <w:r>
        <w:rPr>
          <w:rFonts w:cs="Arial"/>
          <w:shd w:val="clear" w:color="auto" w:fill="FFFFFF"/>
        </w:rPr>
        <w:t>Mcmullen</w:t>
      </w:r>
      <w:proofErr w:type="spellEnd"/>
      <w:r>
        <w:rPr>
          <w:rFonts w:cs="Arial"/>
          <w:shd w:val="clear" w:color="auto" w:fill="FFFFFF"/>
        </w:rPr>
        <w:t xml:space="preserve">, J.M. (2012) Re-structuring and TUP. </w:t>
      </w:r>
      <w:r>
        <w:rPr>
          <w:rFonts w:cs="Arial"/>
          <w:i/>
          <w:shd w:val="clear" w:color="auto" w:fill="FFFFFF"/>
        </w:rPr>
        <w:t>Industrial Law Journal</w:t>
      </w:r>
      <w:r>
        <w:rPr>
          <w:rFonts w:cs="Arial"/>
          <w:shd w:val="clear" w:color="auto" w:fill="FFFFFF"/>
        </w:rPr>
        <w:t xml:space="preserve"> [online]. 41(3), pp. 358-362.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5233DA49" w14:textId="77777777" w:rsidR="00A2712A" w:rsidRDefault="00A2712A" w:rsidP="0028169A">
      <w:pPr>
        <w:spacing w:line="360" w:lineRule="auto"/>
        <w:rPr>
          <w:rFonts w:cs="Arial"/>
          <w:shd w:val="clear" w:color="auto" w:fill="FFFFFF"/>
        </w:rPr>
      </w:pPr>
      <w:proofErr w:type="spellStart"/>
      <w:r>
        <w:rPr>
          <w:rFonts w:cs="Arial"/>
          <w:shd w:val="clear" w:color="auto" w:fill="FFFFFF"/>
        </w:rPr>
        <w:t>Mcmullen</w:t>
      </w:r>
      <w:proofErr w:type="spellEnd"/>
      <w:r>
        <w:rPr>
          <w:rFonts w:cs="Arial"/>
          <w:shd w:val="clear" w:color="auto" w:fill="FFFFFF"/>
        </w:rPr>
        <w:t xml:space="preserve">, J.M. (2018) </w:t>
      </w:r>
      <w:r w:rsidRPr="00C066C1">
        <w:rPr>
          <w:rFonts w:cs="Arial"/>
          <w:shd w:val="clear" w:color="auto" w:fill="FFFFFF"/>
        </w:rPr>
        <w:t>the Concept of the Employer in TUPE Transfers and the Principles of the Enforcement of Garden Leave</w:t>
      </w:r>
      <w:r>
        <w:rPr>
          <w:rFonts w:cs="Arial"/>
          <w:shd w:val="clear" w:color="auto" w:fill="FFFFFF"/>
        </w:rPr>
        <w:t xml:space="preserve">. </w:t>
      </w:r>
      <w:r>
        <w:rPr>
          <w:rFonts w:cs="Arial"/>
          <w:i/>
          <w:shd w:val="clear" w:color="auto" w:fill="FFFFFF"/>
        </w:rPr>
        <w:t xml:space="preserve">Industrial Law Journal </w:t>
      </w:r>
      <w:r>
        <w:rPr>
          <w:rFonts w:cs="Arial"/>
          <w:shd w:val="clear" w:color="auto" w:fill="FFFFFF"/>
        </w:rPr>
        <w:t xml:space="preserve">[online]. 47(1), pp. 107-120.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2A4A0CC5" w14:textId="77777777" w:rsidR="00A2712A" w:rsidRDefault="00A2712A" w:rsidP="00D352CF">
      <w:pPr>
        <w:spacing w:line="360" w:lineRule="auto"/>
        <w:rPr>
          <w:rFonts w:cs="Arial"/>
          <w:shd w:val="clear" w:color="auto" w:fill="FFFFFF"/>
        </w:rPr>
      </w:pPr>
      <w:r>
        <w:rPr>
          <w:rFonts w:cs="Arial"/>
          <w:shd w:val="clear" w:color="auto" w:fill="FFFFFF"/>
        </w:rPr>
        <w:t xml:space="preserve">Michelle, M.M. and Rouault, A.R. and Richards, F.R. and O’Reilly, K.O. (2016) </w:t>
      </w:r>
      <w:r w:rsidRPr="00FD53AD">
        <w:rPr>
          <w:rFonts w:cs="Arial"/>
          <w:shd w:val="clear" w:color="auto" w:fill="FFFFFF"/>
        </w:rPr>
        <w:t>Merging and diverging cultures in M&amp;A</w:t>
      </w:r>
      <w:r>
        <w:rPr>
          <w:rFonts w:cs="Arial"/>
          <w:shd w:val="clear" w:color="auto" w:fill="FFFFFF"/>
        </w:rPr>
        <w:t xml:space="preserve">. </w:t>
      </w:r>
      <w:r>
        <w:rPr>
          <w:rFonts w:cs="Arial"/>
          <w:i/>
          <w:shd w:val="clear" w:color="auto" w:fill="FFFFFF"/>
        </w:rPr>
        <w:t xml:space="preserve">Strategic Direction </w:t>
      </w:r>
      <w:r>
        <w:rPr>
          <w:rFonts w:cs="Arial"/>
          <w:shd w:val="clear" w:color="auto" w:fill="FFFFFF"/>
        </w:rPr>
        <w:t xml:space="preserve">[online]. 32(9), pp. 7-10.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75D8AAC5" w14:textId="77777777" w:rsidR="00A2712A" w:rsidRDefault="00A2712A" w:rsidP="0028169A">
      <w:pPr>
        <w:spacing w:line="360" w:lineRule="auto"/>
        <w:rPr>
          <w:rFonts w:cs="Arial"/>
          <w:shd w:val="clear" w:color="auto" w:fill="FFFFFF"/>
        </w:rPr>
      </w:pPr>
      <w:r>
        <w:rPr>
          <w:rFonts w:cs="Arial"/>
          <w:shd w:val="clear" w:color="auto" w:fill="FFFFFF"/>
        </w:rPr>
        <w:lastRenderedPageBreak/>
        <w:t xml:space="preserve">Mirza, S.M. (2013) </w:t>
      </w:r>
      <w:proofErr w:type="spellStart"/>
      <w:r>
        <w:rPr>
          <w:rFonts w:cs="Arial"/>
          <w:shd w:val="clear" w:color="auto" w:fill="FFFFFF"/>
        </w:rPr>
        <w:t>Tupe</w:t>
      </w:r>
      <w:proofErr w:type="spellEnd"/>
      <w:r>
        <w:rPr>
          <w:rFonts w:cs="Arial"/>
          <w:shd w:val="clear" w:color="auto" w:fill="FFFFFF"/>
        </w:rPr>
        <w:t xml:space="preserve"> or not </w:t>
      </w:r>
      <w:proofErr w:type="spellStart"/>
      <w:r>
        <w:rPr>
          <w:rFonts w:cs="Arial"/>
          <w:shd w:val="clear" w:color="auto" w:fill="FFFFFF"/>
        </w:rPr>
        <w:t>Tupe</w:t>
      </w:r>
      <w:proofErr w:type="spellEnd"/>
      <w:r>
        <w:rPr>
          <w:rFonts w:cs="Arial"/>
          <w:shd w:val="clear" w:color="auto" w:fill="FFFFFF"/>
        </w:rPr>
        <w:t xml:space="preserve">. </w:t>
      </w:r>
      <w:r>
        <w:rPr>
          <w:rFonts w:cs="Arial"/>
          <w:i/>
          <w:shd w:val="clear" w:color="auto" w:fill="FFFFFF"/>
        </w:rPr>
        <w:t>Vital</w:t>
      </w:r>
      <w:r>
        <w:rPr>
          <w:rFonts w:cs="Arial"/>
          <w:shd w:val="clear" w:color="auto" w:fill="FFFFFF"/>
        </w:rPr>
        <w:t xml:space="preserve"> [online]. 11(1), pp. 48-51.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141C332B" w14:textId="77777777" w:rsidR="00A2712A" w:rsidRPr="00DF295D" w:rsidRDefault="00A2712A" w:rsidP="0028169A">
      <w:pPr>
        <w:spacing w:line="360" w:lineRule="auto"/>
        <w:rPr>
          <w:rFonts w:cs="Arial"/>
          <w:shd w:val="clear" w:color="auto" w:fill="FFFFFF"/>
        </w:rPr>
      </w:pPr>
      <w:r>
        <w:rPr>
          <w:rFonts w:cs="Arial"/>
          <w:shd w:val="clear" w:color="auto" w:fill="FFFFFF"/>
        </w:rPr>
        <w:t xml:space="preserve">Nicholas, J.N. (2013) </w:t>
      </w:r>
      <w:r w:rsidRPr="00DF295D">
        <w:rPr>
          <w:rFonts w:cs="Arial"/>
          <w:shd w:val="clear" w:color="auto" w:fill="FFFFFF"/>
        </w:rPr>
        <w:t>Simplifying TUPE rules</w:t>
      </w:r>
      <w:r>
        <w:rPr>
          <w:rFonts w:cs="Arial"/>
          <w:shd w:val="clear" w:color="auto" w:fill="FFFFFF"/>
        </w:rPr>
        <w:t xml:space="preserve">. </w:t>
      </w:r>
      <w:r>
        <w:rPr>
          <w:rFonts w:cs="Arial"/>
          <w:i/>
          <w:shd w:val="clear" w:color="auto" w:fill="FFFFFF"/>
        </w:rPr>
        <w:t>Employers’ Law</w:t>
      </w:r>
      <w:r>
        <w:rPr>
          <w:rFonts w:cs="Arial"/>
          <w:shd w:val="clear" w:color="auto" w:fill="FFFFFF"/>
        </w:rPr>
        <w:t xml:space="preserve"> [online]. pp. 12-13.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18E3A5CE" w14:textId="77777777" w:rsidR="00A2712A" w:rsidRDefault="00A2712A" w:rsidP="0028169A">
      <w:pPr>
        <w:spacing w:line="360" w:lineRule="auto"/>
        <w:rPr>
          <w:rFonts w:cs="Arial"/>
          <w:shd w:val="clear" w:color="auto" w:fill="FFFFFF"/>
        </w:rPr>
      </w:pPr>
      <w:r>
        <w:t xml:space="preserve">O’Neill, L.O. and Faulkner, D.F. (2015) Dismissals under TUPE. </w:t>
      </w:r>
      <w:r>
        <w:rPr>
          <w:i/>
        </w:rPr>
        <w:t xml:space="preserve">Employers’ Law </w:t>
      </w:r>
      <w:r>
        <w:t>[online]. pp. 18-19.</w:t>
      </w:r>
      <w:r w:rsidRPr="00D84CC1">
        <w:rPr>
          <w:rFonts w:cs="Arial"/>
          <w:shd w:val="clear" w:color="auto" w:fill="FFFFFF"/>
        </w:rPr>
        <w:t xml:space="preserve">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705C979D" w14:textId="77777777" w:rsidR="00A2712A" w:rsidRDefault="00A2712A" w:rsidP="00D352CF">
      <w:pPr>
        <w:spacing w:line="360" w:lineRule="auto"/>
        <w:rPr>
          <w:rFonts w:cs="Arial"/>
          <w:shd w:val="clear" w:color="auto" w:fill="FFFFFF"/>
        </w:rPr>
      </w:pPr>
      <w:r>
        <w:rPr>
          <w:rFonts w:cs="Arial"/>
          <w:shd w:val="clear" w:color="auto" w:fill="FFFFFF"/>
        </w:rPr>
        <w:t xml:space="preserve">Rafferty, A.E.R. and </w:t>
      </w:r>
      <w:proofErr w:type="spellStart"/>
      <w:r>
        <w:rPr>
          <w:rFonts w:cs="Arial"/>
          <w:shd w:val="clear" w:color="auto" w:fill="FFFFFF"/>
        </w:rPr>
        <w:t>Restubog</w:t>
      </w:r>
      <w:proofErr w:type="spellEnd"/>
      <w:r>
        <w:rPr>
          <w:rFonts w:cs="Arial"/>
          <w:shd w:val="clear" w:color="auto" w:fill="FFFFFF"/>
        </w:rPr>
        <w:t>, S.L.R. (2010) t</w:t>
      </w:r>
      <w:r w:rsidRPr="00802D2D">
        <w:rPr>
          <w:rFonts w:cs="Arial"/>
          <w:shd w:val="clear" w:color="auto" w:fill="FFFFFF"/>
        </w:rPr>
        <w:t>he Impact of Change Process and Context on</w:t>
      </w:r>
      <w:r>
        <w:rPr>
          <w:rFonts w:cs="Arial"/>
          <w:shd w:val="clear" w:color="auto" w:fill="FFFFFF"/>
        </w:rPr>
        <w:t xml:space="preserve"> Change Reactions and Turnover d</w:t>
      </w:r>
      <w:r w:rsidRPr="00802D2D">
        <w:rPr>
          <w:rFonts w:cs="Arial"/>
          <w:shd w:val="clear" w:color="auto" w:fill="FFFFFF"/>
        </w:rPr>
        <w:t>uring a Merger</w:t>
      </w:r>
      <w:r>
        <w:rPr>
          <w:rFonts w:cs="Arial"/>
          <w:shd w:val="clear" w:color="auto" w:fill="FFFFFF"/>
        </w:rPr>
        <w:t xml:space="preserve">. </w:t>
      </w:r>
      <w:r>
        <w:rPr>
          <w:rFonts w:cs="Arial"/>
          <w:i/>
          <w:shd w:val="clear" w:color="auto" w:fill="FFFFFF"/>
        </w:rPr>
        <w:t xml:space="preserve">Journal of Management </w:t>
      </w:r>
      <w:r>
        <w:rPr>
          <w:rFonts w:cs="Arial"/>
          <w:shd w:val="clear" w:color="auto" w:fill="FFFFFF"/>
        </w:rPr>
        <w:t xml:space="preserve">[online]. 36(5), pp. 1309-1338.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2B3162B0" w14:textId="77777777" w:rsidR="00A2712A" w:rsidRPr="004C5F4A" w:rsidRDefault="00A2712A" w:rsidP="00D352CF">
      <w:pPr>
        <w:spacing w:line="360" w:lineRule="auto"/>
        <w:rPr>
          <w:rFonts w:cs="Arial"/>
          <w:shd w:val="clear" w:color="auto" w:fill="FFFFFF"/>
        </w:rPr>
      </w:pPr>
      <w:r>
        <w:rPr>
          <w:rFonts w:cs="Arial"/>
          <w:shd w:val="clear" w:color="auto" w:fill="FFFFFF"/>
        </w:rPr>
        <w:t xml:space="preserve">Rizvi, Y.R. (2010) </w:t>
      </w:r>
      <w:r w:rsidRPr="004C5F4A">
        <w:rPr>
          <w:rFonts w:cs="Arial"/>
          <w:shd w:val="clear" w:color="auto" w:fill="FFFFFF"/>
        </w:rPr>
        <w:t>Human Capital Development Role of HR during Mergers and Acquisitions</w:t>
      </w:r>
      <w:r>
        <w:rPr>
          <w:rFonts w:cs="Arial"/>
          <w:shd w:val="clear" w:color="auto" w:fill="FFFFFF"/>
        </w:rPr>
        <w:t xml:space="preserve">. </w:t>
      </w:r>
      <w:r>
        <w:rPr>
          <w:rFonts w:cs="Arial"/>
          <w:i/>
          <w:shd w:val="clear" w:color="auto" w:fill="FFFFFF"/>
        </w:rPr>
        <w:t xml:space="preserve">The South East Asian Journal of Management </w:t>
      </w:r>
      <w:r>
        <w:rPr>
          <w:rFonts w:cs="Arial"/>
          <w:shd w:val="clear" w:color="auto" w:fill="FFFFFF"/>
        </w:rPr>
        <w:t xml:space="preserve">[online]. 4(1), pp. 17-28.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20A3CF22" w14:textId="77777777" w:rsidR="00A2712A" w:rsidRPr="006B4E42" w:rsidRDefault="00A2712A" w:rsidP="0028169A">
      <w:pPr>
        <w:spacing w:line="360" w:lineRule="auto"/>
      </w:pPr>
      <w:r>
        <w:t xml:space="preserve">Sainsbury’s (2018) </w:t>
      </w:r>
      <w:r>
        <w:rPr>
          <w:i/>
        </w:rPr>
        <w:t>Proposed Sainsbury’s and Asda merger.</w:t>
      </w:r>
      <w:r>
        <w:t xml:space="preserve"> London: J Sainsbury PLC. </w:t>
      </w:r>
      <w:r w:rsidRPr="002922F4">
        <w:t>[Accessed 08 June 2019].</w:t>
      </w:r>
    </w:p>
    <w:p w14:paraId="474E12FC" w14:textId="77777777" w:rsidR="00A2712A" w:rsidRDefault="00A2712A" w:rsidP="0028169A">
      <w:pPr>
        <w:spacing w:line="360" w:lineRule="auto"/>
        <w:rPr>
          <w:rFonts w:cs="Arial"/>
          <w:shd w:val="clear" w:color="auto" w:fill="FFFFFF"/>
        </w:rPr>
      </w:pPr>
      <w:proofErr w:type="spellStart"/>
      <w:r w:rsidRPr="00DD7993">
        <w:rPr>
          <w:rFonts w:cs="Arial"/>
          <w:shd w:val="clear" w:color="auto" w:fill="FFFFFF"/>
        </w:rPr>
        <w:t>Sinkin</w:t>
      </w:r>
      <w:proofErr w:type="spellEnd"/>
      <w:r w:rsidRPr="00DD7993">
        <w:rPr>
          <w:rFonts w:cs="Arial"/>
          <w:shd w:val="clear" w:color="auto" w:fill="FFFFFF"/>
        </w:rPr>
        <w:t xml:space="preserve">, J.S. and Putney, T.P. (2017) Mergers and Acquisitions of Accounting Firms: When, How, and Why to Merge. </w:t>
      </w:r>
      <w:r w:rsidRPr="00DD7993">
        <w:rPr>
          <w:rFonts w:cs="Arial"/>
          <w:i/>
          <w:iCs/>
          <w:shd w:val="clear" w:color="auto" w:fill="FFFFFF"/>
        </w:rPr>
        <w:t xml:space="preserve">The </w:t>
      </w:r>
      <w:proofErr w:type="spellStart"/>
      <w:r w:rsidRPr="00DD7993">
        <w:rPr>
          <w:rFonts w:cs="Arial"/>
          <w:i/>
          <w:iCs/>
          <w:shd w:val="clear" w:color="auto" w:fill="FFFFFF"/>
        </w:rPr>
        <w:t>Cpa</w:t>
      </w:r>
      <w:proofErr w:type="spellEnd"/>
      <w:r w:rsidRPr="00DD7993">
        <w:rPr>
          <w:rFonts w:cs="Arial"/>
          <w:i/>
          <w:iCs/>
          <w:shd w:val="clear" w:color="auto" w:fill="FFFFFF"/>
        </w:rPr>
        <w:t xml:space="preserve"> Journal</w:t>
      </w:r>
      <w:r w:rsidRPr="00DD7993">
        <w:rPr>
          <w:rFonts w:cs="Arial"/>
          <w:shd w:val="clear" w:color="auto" w:fill="FFFFFF"/>
        </w:rPr>
        <w:t xml:space="preserve"> [online]. 87 (12), pp. 30-35. </w:t>
      </w:r>
      <w:bookmarkStart w:id="10" w:name="_Hlk11521936"/>
      <w:r w:rsidRPr="00DD7993">
        <w:rPr>
          <w:rFonts w:cs="Arial"/>
          <w:shd w:val="clear" w:color="auto" w:fill="FFFFFF"/>
        </w:rPr>
        <w:t>[Accessed 08 June 2019].</w:t>
      </w:r>
      <w:bookmarkEnd w:id="10"/>
    </w:p>
    <w:p w14:paraId="193B19E7" w14:textId="77777777" w:rsidR="00A2712A" w:rsidRDefault="00A2712A" w:rsidP="00D352CF">
      <w:pPr>
        <w:spacing w:line="360" w:lineRule="auto"/>
        <w:rPr>
          <w:rFonts w:cs="Arial"/>
          <w:shd w:val="clear" w:color="auto" w:fill="FFFFFF"/>
        </w:rPr>
      </w:pPr>
      <w:r>
        <w:rPr>
          <w:rFonts w:cs="Arial"/>
          <w:shd w:val="clear" w:color="auto" w:fill="FFFFFF"/>
        </w:rPr>
        <w:t xml:space="preserve">Snyder, J.S. and </w:t>
      </w:r>
      <w:proofErr w:type="spellStart"/>
      <w:r>
        <w:rPr>
          <w:rFonts w:cs="Arial"/>
          <w:shd w:val="clear" w:color="auto" w:fill="FFFFFF"/>
        </w:rPr>
        <w:t>Wernle</w:t>
      </w:r>
      <w:proofErr w:type="spellEnd"/>
      <w:r>
        <w:rPr>
          <w:rFonts w:cs="Arial"/>
          <w:shd w:val="clear" w:color="auto" w:fill="FFFFFF"/>
        </w:rPr>
        <w:t xml:space="preserve">, B.W. (2009) </w:t>
      </w:r>
      <w:r w:rsidRPr="000E44A3">
        <w:rPr>
          <w:rFonts w:cs="Arial"/>
          <w:shd w:val="clear" w:color="auto" w:fill="FFFFFF"/>
        </w:rPr>
        <w:t xml:space="preserve">Chrysler shrivelled under </w:t>
      </w:r>
      <w:proofErr w:type="spellStart"/>
      <w:r w:rsidRPr="000E44A3">
        <w:rPr>
          <w:rFonts w:cs="Arial"/>
          <w:shd w:val="clear" w:color="auto" w:fill="FFFFFF"/>
        </w:rPr>
        <w:t>Schrempp</w:t>
      </w:r>
      <w:proofErr w:type="spellEnd"/>
      <w:r>
        <w:rPr>
          <w:rFonts w:cs="Arial"/>
          <w:shd w:val="clear" w:color="auto" w:fill="FFFFFF"/>
        </w:rPr>
        <w:t xml:space="preserve">. </w:t>
      </w:r>
      <w:r>
        <w:rPr>
          <w:rFonts w:cs="Arial"/>
          <w:i/>
          <w:shd w:val="clear" w:color="auto" w:fill="FFFFFF"/>
        </w:rPr>
        <w:t>Automotive News</w:t>
      </w:r>
      <w:r>
        <w:rPr>
          <w:rFonts w:cs="Arial"/>
          <w:shd w:val="clear" w:color="auto" w:fill="FFFFFF"/>
        </w:rPr>
        <w:t xml:space="preserve"> [online]. 83(6347), pp. 23.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0B5D69EB" w14:textId="77777777" w:rsidR="00A2712A" w:rsidRDefault="00A2712A" w:rsidP="0028169A">
      <w:pPr>
        <w:spacing w:line="360" w:lineRule="auto"/>
        <w:rPr>
          <w:rFonts w:cs="Arial"/>
          <w:shd w:val="clear" w:color="auto" w:fill="FFFFFF"/>
        </w:rPr>
      </w:pPr>
      <w:proofErr w:type="spellStart"/>
      <w:r w:rsidRPr="006D6360">
        <w:rPr>
          <w:rFonts w:cs="Arial"/>
          <w:shd w:val="clear" w:color="auto" w:fill="FFFFFF"/>
        </w:rPr>
        <w:t>Stachowicz-stanusch</w:t>
      </w:r>
      <w:proofErr w:type="spellEnd"/>
      <w:r w:rsidRPr="006D6360">
        <w:rPr>
          <w:rFonts w:cs="Arial"/>
          <w:shd w:val="clear" w:color="auto" w:fill="FFFFFF"/>
        </w:rPr>
        <w:t>, A.S (2009) Culture Due Diligence Based on Hp/</w:t>
      </w:r>
      <w:r>
        <w:rPr>
          <w:rFonts w:cs="Arial"/>
          <w:shd w:val="clear" w:color="auto" w:fill="FFFFFF"/>
        </w:rPr>
        <w:t>C</w:t>
      </w:r>
      <w:r w:rsidRPr="006D6360">
        <w:rPr>
          <w:rFonts w:cs="Arial"/>
          <w:shd w:val="clear" w:color="auto" w:fill="FFFFFF"/>
        </w:rPr>
        <w:t xml:space="preserve">ompaq Merger Case Study. </w:t>
      </w:r>
      <w:r w:rsidRPr="006D6360">
        <w:rPr>
          <w:rFonts w:cs="Arial"/>
          <w:i/>
          <w:iCs/>
          <w:shd w:val="clear" w:color="auto" w:fill="FFFFFF"/>
        </w:rPr>
        <w:t>Journal of Intercultural Management</w:t>
      </w:r>
      <w:r w:rsidRPr="006D6360">
        <w:rPr>
          <w:rFonts w:cs="Arial"/>
          <w:shd w:val="clear" w:color="auto" w:fill="FFFFFF"/>
        </w:rPr>
        <w:t xml:space="preserve"> [online]. 1 (1), pp. 64-81. [Accessed 08 June 2019].</w:t>
      </w:r>
    </w:p>
    <w:p w14:paraId="19B51C4A" w14:textId="77777777" w:rsidR="00A2712A" w:rsidRDefault="00A2712A" w:rsidP="0028169A">
      <w:pPr>
        <w:spacing w:line="360" w:lineRule="auto"/>
        <w:rPr>
          <w:rFonts w:cs="Arial"/>
          <w:shd w:val="clear" w:color="auto" w:fill="FFFFFF"/>
        </w:rPr>
      </w:pPr>
      <w:r>
        <w:rPr>
          <w:rFonts w:cs="Arial"/>
          <w:shd w:val="clear" w:color="auto" w:fill="FFFFFF"/>
        </w:rPr>
        <w:t xml:space="preserve">Whipple, R.W. (2013) </w:t>
      </w:r>
      <w:r w:rsidRPr="00CB381B">
        <w:rPr>
          <w:rFonts w:cs="Arial"/>
          <w:shd w:val="clear" w:color="auto" w:fill="FFFFFF"/>
        </w:rPr>
        <w:t>AVOID COMMON Major PITFALLS OF Restructuring.</w:t>
      </w:r>
      <w:r>
        <w:rPr>
          <w:rFonts w:cs="Arial"/>
          <w:shd w:val="clear" w:color="auto" w:fill="FFFFFF"/>
        </w:rPr>
        <w:t xml:space="preserve"> </w:t>
      </w:r>
      <w:r>
        <w:rPr>
          <w:rFonts w:cs="Arial"/>
          <w:i/>
          <w:shd w:val="clear" w:color="auto" w:fill="FFFFFF"/>
        </w:rPr>
        <w:t xml:space="preserve">T+D </w:t>
      </w:r>
      <w:r>
        <w:rPr>
          <w:rFonts w:cs="Arial"/>
          <w:shd w:val="clear" w:color="auto" w:fill="FFFFFF"/>
        </w:rPr>
        <w:t xml:space="preserve">[online]. 67(9), pp. 60-63.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540AF409" w14:textId="77777777" w:rsidR="00A2712A" w:rsidRPr="007F5CCD" w:rsidRDefault="00A2712A" w:rsidP="0028169A">
      <w:pPr>
        <w:spacing w:line="360" w:lineRule="auto"/>
      </w:pPr>
      <w:proofErr w:type="spellStart"/>
      <w:r>
        <w:rPr>
          <w:rFonts w:ascii="Helvetica" w:hAnsi="Helvetica" w:cs="Helvetica"/>
          <w:color w:val="555555"/>
          <w:sz w:val="21"/>
          <w:szCs w:val="21"/>
          <w:shd w:val="clear" w:color="auto" w:fill="FFFFFF"/>
        </w:rPr>
        <w:t>Wickramasinghe</w:t>
      </w:r>
      <w:proofErr w:type="spellEnd"/>
      <w:r>
        <w:rPr>
          <w:rFonts w:ascii="Helvetica" w:hAnsi="Helvetica" w:cs="Helvetica"/>
          <w:color w:val="555555"/>
          <w:sz w:val="21"/>
          <w:szCs w:val="21"/>
          <w:shd w:val="clear" w:color="auto" w:fill="FFFFFF"/>
        </w:rPr>
        <w:t xml:space="preserve">, V, and </w:t>
      </w:r>
      <w:proofErr w:type="spellStart"/>
      <w:r>
        <w:rPr>
          <w:rFonts w:ascii="Helvetica" w:hAnsi="Helvetica" w:cs="Helvetica"/>
          <w:color w:val="555555"/>
          <w:sz w:val="21"/>
          <w:szCs w:val="21"/>
          <w:shd w:val="clear" w:color="auto" w:fill="FFFFFF"/>
        </w:rPr>
        <w:t>Karunaratne</w:t>
      </w:r>
      <w:proofErr w:type="spellEnd"/>
      <w:r>
        <w:rPr>
          <w:rFonts w:ascii="Helvetica" w:hAnsi="Helvetica" w:cs="Helvetica"/>
          <w:color w:val="555555"/>
          <w:sz w:val="21"/>
          <w:szCs w:val="21"/>
          <w:shd w:val="clear" w:color="auto" w:fill="FFFFFF"/>
        </w:rPr>
        <w:t xml:space="preserve">, C. (2009). People management in mergers and acquisitions in Sri Lanka: Employee perceptions. </w:t>
      </w:r>
      <w:r w:rsidRPr="00EF3A38">
        <w:rPr>
          <w:rFonts w:ascii="Helvetica" w:hAnsi="Helvetica" w:cs="Helvetica"/>
          <w:i/>
          <w:color w:val="555555"/>
          <w:sz w:val="21"/>
          <w:szCs w:val="21"/>
          <w:shd w:val="clear" w:color="auto" w:fill="FFFFFF"/>
        </w:rPr>
        <w:t>International Journal of Human Resource Management</w:t>
      </w:r>
      <w:r>
        <w:rPr>
          <w:rFonts w:ascii="Helvetica" w:hAnsi="Helvetica" w:cs="Helvetica"/>
          <w:color w:val="555555"/>
          <w:sz w:val="21"/>
          <w:szCs w:val="21"/>
          <w:shd w:val="clear" w:color="auto" w:fill="FFFFFF"/>
        </w:rPr>
        <w:t>, 20(3): 694-715.</w:t>
      </w:r>
    </w:p>
    <w:p w14:paraId="4340DD1A" w14:textId="77777777" w:rsidR="00A2712A" w:rsidRDefault="00A2712A" w:rsidP="0028169A">
      <w:pPr>
        <w:spacing w:line="360" w:lineRule="auto"/>
        <w:rPr>
          <w:rFonts w:cs="Arial"/>
          <w:shd w:val="clear" w:color="auto" w:fill="FFFFFF"/>
        </w:rPr>
      </w:pPr>
      <w:r>
        <w:rPr>
          <w:rFonts w:cs="Arial"/>
          <w:shd w:val="clear" w:color="auto" w:fill="FFFFFF"/>
        </w:rPr>
        <w:t xml:space="preserve">Wynn-Evans, C.W-E. (2011) </w:t>
      </w:r>
      <w:r w:rsidRPr="005A3A81">
        <w:rPr>
          <w:rFonts w:cs="Arial"/>
          <w:shd w:val="clear" w:color="auto" w:fill="FFFFFF"/>
        </w:rPr>
        <w:t>TUPE, Administration and the Rescue Culture: and Consolidated Appeals</w:t>
      </w:r>
      <w:r>
        <w:rPr>
          <w:rFonts w:cs="Arial"/>
          <w:shd w:val="clear" w:color="auto" w:fill="FFFFFF"/>
        </w:rPr>
        <w:t xml:space="preserve">. </w:t>
      </w:r>
      <w:r>
        <w:rPr>
          <w:rFonts w:cs="Arial"/>
          <w:i/>
          <w:shd w:val="clear" w:color="auto" w:fill="FFFFFF"/>
        </w:rPr>
        <w:t xml:space="preserve">Industrial Law Journal </w:t>
      </w:r>
      <w:r>
        <w:rPr>
          <w:rFonts w:cs="Arial"/>
          <w:shd w:val="clear" w:color="auto" w:fill="FFFFFF"/>
        </w:rPr>
        <w:t xml:space="preserve">[online]. 40(4), pp. 451-459. </w:t>
      </w:r>
      <w:r w:rsidRPr="006D6360">
        <w:rPr>
          <w:rFonts w:cs="Arial"/>
          <w:shd w:val="clear" w:color="auto" w:fill="FFFFFF"/>
        </w:rPr>
        <w:t xml:space="preserve">[Accessed </w:t>
      </w:r>
      <w:r>
        <w:rPr>
          <w:rFonts w:cs="Arial"/>
          <w:shd w:val="clear" w:color="auto" w:fill="FFFFFF"/>
        </w:rPr>
        <w:t>22</w:t>
      </w:r>
      <w:r w:rsidRPr="006D6360">
        <w:rPr>
          <w:rFonts w:cs="Arial"/>
          <w:shd w:val="clear" w:color="auto" w:fill="FFFFFF"/>
        </w:rPr>
        <w:t xml:space="preserve"> June 2019].</w:t>
      </w:r>
    </w:p>
    <w:p w14:paraId="72E78EED" w14:textId="5818B1BE" w:rsidR="00030D32" w:rsidRDefault="00030D32" w:rsidP="0028169A">
      <w:pPr>
        <w:spacing w:line="360" w:lineRule="auto"/>
      </w:pPr>
    </w:p>
    <w:p w14:paraId="4667AAA7" w14:textId="120AA056" w:rsidR="00030D32" w:rsidRDefault="00030D32" w:rsidP="00030D32"/>
    <w:p w14:paraId="3CB5CAA6" w14:textId="252C201E" w:rsidR="00D352CF" w:rsidRPr="00030D32" w:rsidRDefault="00030D32" w:rsidP="00030D32">
      <w:pPr>
        <w:tabs>
          <w:tab w:val="left" w:pos="7960"/>
        </w:tabs>
      </w:pPr>
      <w:r>
        <w:lastRenderedPageBreak/>
        <w:tab/>
      </w:r>
    </w:p>
    <w:sectPr w:rsidR="00D352CF" w:rsidRPr="00030D32" w:rsidSect="003E0A33">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2A314" w14:textId="77777777" w:rsidR="006503C8" w:rsidRDefault="006503C8" w:rsidP="00A07EA5">
      <w:pPr>
        <w:spacing w:after="0" w:line="240" w:lineRule="auto"/>
      </w:pPr>
      <w:r>
        <w:separator/>
      </w:r>
    </w:p>
  </w:endnote>
  <w:endnote w:type="continuationSeparator" w:id="0">
    <w:p w14:paraId="57FC1D80" w14:textId="77777777" w:rsidR="006503C8" w:rsidRDefault="006503C8" w:rsidP="00A07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6575350"/>
      <w:docPartObj>
        <w:docPartGallery w:val="Page Numbers (Bottom of Page)"/>
        <w:docPartUnique/>
      </w:docPartObj>
    </w:sdtPr>
    <w:sdtEndPr>
      <w:rPr>
        <w:color w:val="7F7F7F" w:themeColor="background1" w:themeShade="7F"/>
        <w:spacing w:val="60"/>
      </w:rPr>
    </w:sdtEndPr>
    <w:sdtContent>
      <w:p w14:paraId="1B2EC6CF" w14:textId="11D585CC" w:rsidR="00A07EA5" w:rsidRDefault="00A07EA5">
        <w:pPr>
          <w:pStyle w:val="Footer"/>
          <w:pBdr>
            <w:top w:val="single" w:sz="4" w:space="1" w:color="D9D9D9" w:themeColor="background1" w:themeShade="D9"/>
          </w:pBdr>
          <w:jc w:val="right"/>
        </w:pPr>
        <w:r>
          <w:fldChar w:fldCharType="begin"/>
        </w:r>
        <w:r>
          <w:instrText xml:space="preserve"> PAGE   \* MERGEFORMAT </w:instrText>
        </w:r>
        <w:r>
          <w:fldChar w:fldCharType="separate"/>
        </w:r>
        <w:r w:rsidR="003028B3">
          <w:rPr>
            <w:noProof/>
          </w:rPr>
          <w:t>13</w:t>
        </w:r>
        <w:r>
          <w:rPr>
            <w:noProof/>
          </w:rPr>
          <w:fldChar w:fldCharType="end"/>
        </w:r>
        <w:r>
          <w:t xml:space="preserve"> | </w:t>
        </w:r>
        <w:r>
          <w:rPr>
            <w:color w:val="7F7F7F" w:themeColor="background1" w:themeShade="7F"/>
            <w:spacing w:val="60"/>
          </w:rPr>
          <w:t>Page</w:t>
        </w:r>
      </w:p>
    </w:sdtContent>
  </w:sdt>
  <w:p w14:paraId="78537FA9" w14:textId="77777777" w:rsidR="00A07EA5" w:rsidRDefault="00A07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D71BC" w14:textId="77777777" w:rsidR="006503C8" w:rsidRDefault="006503C8" w:rsidP="00A07EA5">
      <w:pPr>
        <w:spacing w:after="0" w:line="240" w:lineRule="auto"/>
      </w:pPr>
      <w:r>
        <w:separator/>
      </w:r>
    </w:p>
  </w:footnote>
  <w:footnote w:type="continuationSeparator" w:id="0">
    <w:p w14:paraId="20751785" w14:textId="77777777" w:rsidR="006503C8" w:rsidRDefault="006503C8" w:rsidP="00A07E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F7446"/>
    <w:multiLevelType w:val="hybridMultilevel"/>
    <w:tmpl w:val="DB502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5285B"/>
    <w:multiLevelType w:val="hybridMultilevel"/>
    <w:tmpl w:val="E9D89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14E"/>
    <w:rsid w:val="00000415"/>
    <w:rsid w:val="0000221F"/>
    <w:rsid w:val="00002EEC"/>
    <w:rsid w:val="000038DB"/>
    <w:rsid w:val="00005E53"/>
    <w:rsid w:val="00006547"/>
    <w:rsid w:val="00020354"/>
    <w:rsid w:val="00030D32"/>
    <w:rsid w:val="00033D40"/>
    <w:rsid w:val="000350DA"/>
    <w:rsid w:val="00040ECA"/>
    <w:rsid w:val="000435E0"/>
    <w:rsid w:val="00055B02"/>
    <w:rsid w:val="000818A2"/>
    <w:rsid w:val="00086AB8"/>
    <w:rsid w:val="00097718"/>
    <w:rsid w:val="000A3272"/>
    <w:rsid w:val="000A4E32"/>
    <w:rsid w:val="000A60FE"/>
    <w:rsid w:val="000C6F47"/>
    <w:rsid w:val="000D2D10"/>
    <w:rsid w:val="000D5003"/>
    <w:rsid w:val="000D793D"/>
    <w:rsid w:val="000E31E1"/>
    <w:rsid w:val="000E44A3"/>
    <w:rsid w:val="0010343C"/>
    <w:rsid w:val="00120D76"/>
    <w:rsid w:val="00120E40"/>
    <w:rsid w:val="00124A15"/>
    <w:rsid w:val="00143E91"/>
    <w:rsid w:val="00146E4E"/>
    <w:rsid w:val="001513B0"/>
    <w:rsid w:val="00183861"/>
    <w:rsid w:val="00183A14"/>
    <w:rsid w:val="001B1134"/>
    <w:rsid w:val="001B33F9"/>
    <w:rsid w:val="001C3A9A"/>
    <w:rsid w:val="001D1766"/>
    <w:rsid w:val="001D5E51"/>
    <w:rsid w:val="001D66AD"/>
    <w:rsid w:val="001E0FE5"/>
    <w:rsid w:val="001E5CF8"/>
    <w:rsid w:val="001F488D"/>
    <w:rsid w:val="00200D22"/>
    <w:rsid w:val="00203AE3"/>
    <w:rsid w:val="00211372"/>
    <w:rsid w:val="00222FCF"/>
    <w:rsid w:val="00224DE9"/>
    <w:rsid w:val="00232E8D"/>
    <w:rsid w:val="00234A01"/>
    <w:rsid w:val="002416C3"/>
    <w:rsid w:val="00245C98"/>
    <w:rsid w:val="00252FAA"/>
    <w:rsid w:val="002700EF"/>
    <w:rsid w:val="002743CA"/>
    <w:rsid w:val="0028169A"/>
    <w:rsid w:val="00285D5E"/>
    <w:rsid w:val="002911AB"/>
    <w:rsid w:val="002922F4"/>
    <w:rsid w:val="002B1F88"/>
    <w:rsid w:val="002C0846"/>
    <w:rsid w:val="002C7196"/>
    <w:rsid w:val="002E7675"/>
    <w:rsid w:val="002F052B"/>
    <w:rsid w:val="002F6760"/>
    <w:rsid w:val="003028B3"/>
    <w:rsid w:val="00306400"/>
    <w:rsid w:val="00316486"/>
    <w:rsid w:val="00323869"/>
    <w:rsid w:val="003324E3"/>
    <w:rsid w:val="00341115"/>
    <w:rsid w:val="0034314E"/>
    <w:rsid w:val="00344BBD"/>
    <w:rsid w:val="00345084"/>
    <w:rsid w:val="0035437A"/>
    <w:rsid w:val="003569E8"/>
    <w:rsid w:val="00360051"/>
    <w:rsid w:val="00365733"/>
    <w:rsid w:val="003663EE"/>
    <w:rsid w:val="00373B4A"/>
    <w:rsid w:val="003761E8"/>
    <w:rsid w:val="00376885"/>
    <w:rsid w:val="003A4914"/>
    <w:rsid w:val="003A4C03"/>
    <w:rsid w:val="003B1F48"/>
    <w:rsid w:val="003B21A9"/>
    <w:rsid w:val="003B6192"/>
    <w:rsid w:val="003E0A33"/>
    <w:rsid w:val="003F13C0"/>
    <w:rsid w:val="003F16D6"/>
    <w:rsid w:val="003F17B3"/>
    <w:rsid w:val="00407E68"/>
    <w:rsid w:val="004130A3"/>
    <w:rsid w:val="00416875"/>
    <w:rsid w:val="00426731"/>
    <w:rsid w:val="00433946"/>
    <w:rsid w:val="0044265A"/>
    <w:rsid w:val="00444629"/>
    <w:rsid w:val="0044545E"/>
    <w:rsid w:val="0046230A"/>
    <w:rsid w:val="004654CE"/>
    <w:rsid w:val="00476A5D"/>
    <w:rsid w:val="00477B00"/>
    <w:rsid w:val="004806E3"/>
    <w:rsid w:val="00486B0B"/>
    <w:rsid w:val="004A7158"/>
    <w:rsid w:val="004B1F9E"/>
    <w:rsid w:val="004C5F4A"/>
    <w:rsid w:val="004D057A"/>
    <w:rsid w:val="004D3CBC"/>
    <w:rsid w:val="004D4DFC"/>
    <w:rsid w:val="004E4E63"/>
    <w:rsid w:val="004E739A"/>
    <w:rsid w:val="004F7820"/>
    <w:rsid w:val="00501218"/>
    <w:rsid w:val="00516906"/>
    <w:rsid w:val="005265E3"/>
    <w:rsid w:val="00531661"/>
    <w:rsid w:val="0053756A"/>
    <w:rsid w:val="005459AA"/>
    <w:rsid w:val="00547E63"/>
    <w:rsid w:val="00551928"/>
    <w:rsid w:val="00555901"/>
    <w:rsid w:val="00555AE6"/>
    <w:rsid w:val="005561F7"/>
    <w:rsid w:val="00571243"/>
    <w:rsid w:val="00577D5A"/>
    <w:rsid w:val="00581EB7"/>
    <w:rsid w:val="0059270E"/>
    <w:rsid w:val="00593B16"/>
    <w:rsid w:val="005A04E0"/>
    <w:rsid w:val="005A3A81"/>
    <w:rsid w:val="005A5314"/>
    <w:rsid w:val="005B363B"/>
    <w:rsid w:val="005B6FFA"/>
    <w:rsid w:val="005D46F3"/>
    <w:rsid w:val="005D7A00"/>
    <w:rsid w:val="00611108"/>
    <w:rsid w:val="00611ACA"/>
    <w:rsid w:val="00611B1F"/>
    <w:rsid w:val="00625827"/>
    <w:rsid w:val="0062746A"/>
    <w:rsid w:val="006341B9"/>
    <w:rsid w:val="006503C8"/>
    <w:rsid w:val="0065493B"/>
    <w:rsid w:val="006563ED"/>
    <w:rsid w:val="006867D1"/>
    <w:rsid w:val="0068756A"/>
    <w:rsid w:val="00687FAD"/>
    <w:rsid w:val="006A1B27"/>
    <w:rsid w:val="006B2F75"/>
    <w:rsid w:val="006B3495"/>
    <w:rsid w:val="006B4E42"/>
    <w:rsid w:val="006C03F2"/>
    <w:rsid w:val="006C0AFB"/>
    <w:rsid w:val="006C2266"/>
    <w:rsid w:val="006C229F"/>
    <w:rsid w:val="006C2B04"/>
    <w:rsid w:val="006C3539"/>
    <w:rsid w:val="006D6360"/>
    <w:rsid w:val="006F2EFB"/>
    <w:rsid w:val="007253E7"/>
    <w:rsid w:val="00726CAB"/>
    <w:rsid w:val="00730AEC"/>
    <w:rsid w:val="00731E04"/>
    <w:rsid w:val="00757A51"/>
    <w:rsid w:val="0076464A"/>
    <w:rsid w:val="00785AB1"/>
    <w:rsid w:val="007946D9"/>
    <w:rsid w:val="007A0FB7"/>
    <w:rsid w:val="007A2CDD"/>
    <w:rsid w:val="007A2FFD"/>
    <w:rsid w:val="007A7357"/>
    <w:rsid w:val="007B667A"/>
    <w:rsid w:val="007D1DCE"/>
    <w:rsid w:val="007D704A"/>
    <w:rsid w:val="007D740D"/>
    <w:rsid w:val="007E2F58"/>
    <w:rsid w:val="007F08B9"/>
    <w:rsid w:val="007F5C7F"/>
    <w:rsid w:val="007F5CCD"/>
    <w:rsid w:val="00802D2D"/>
    <w:rsid w:val="008040B8"/>
    <w:rsid w:val="00805237"/>
    <w:rsid w:val="00807805"/>
    <w:rsid w:val="0081004F"/>
    <w:rsid w:val="00820FB2"/>
    <w:rsid w:val="00833E1D"/>
    <w:rsid w:val="00835A89"/>
    <w:rsid w:val="0084172F"/>
    <w:rsid w:val="00843275"/>
    <w:rsid w:val="00843862"/>
    <w:rsid w:val="008635C2"/>
    <w:rsid w:val="00873A35"/>
    <w:rsid w:val="00890736"/>
    <w:rsid w:val="00894C7A"/>
    <w:rsid w:val="008A0257"/>
    <w:rsid w:val="008A042C"/>
    <w:rsid w:val="008A177D"/>
    <w:rsid w:val="008B0307"/>
    <w:rsid w:val="008C4400"/>
    <w:rsid w:val="008D4EE7"/>
    <w:rsid w:val="008D7A23"/>
    <w:rsid w:val="008E76FB"/>
    <w:rsid w:val="008F65D6"/>
    <w:rsid w:val="00903ECE"/>
    <w:rsid w:val="00916CD2"/>
    <w:rsid w:val="00935798"/>
    <w:rsid w:val="009405F8"/>
    <w:rsid w:val="00945365"/>
    <w:rsid w:val="009463D4"/>
    <w:rsid w:val="009505EE"/>
    <w:rsid w:val="0096215B"/>
    <w:rsid w:val="00966FED"/>
    <w:rsid w:val="0097634A"/>
    <w:rsid w:val="00994A6B"/>
    <w:rsid w:val="009B72B9"/>
    <w:rsid w:val="009C5B8B"/>
    <w:rsid w:val="009C79A8"/>
    <w:rsid w:val="009D779C"/>
    <w:rsid w:val="009F166D"/>
    <w:rsid w:val="00A00C84"/>
    <w:rsid w:val="00A056DC"/>
    <w:rsid w:val="00A07EA5"/>
    <w:rsid w:val="00A1086E"/>
    <w:rsid w:val="00A15F5B"/>
    <w:rsid w:val="00A2712A"/>
    <w:rsid w:val="00A3325C"/>
    <w:rsid w:val="00A42F39"/>
    <w:rsid w:val="00A44DC9"/>
    <w:rsid w:val="00A46566"/>
    <w:rsid w:val="00A51BF9"/>
    <w:rsid w:val="00A55521"/>
    <w:rsid w:val="00A574FE"/>
    <w:rsid w:val="00A660F1"/>
    <w:rsid w:val="00A67115"/>
    <w:rsid w:val="00A84F86"/>
    <w:rsid w:val="00AA4931"/>
    <w:rsid w:val="00AB5D27"/>
    <w:rsid w:val="00AC4B8D"/>
    <w:rsid w:val="00AC614D"/>
    <w:rsid w:val="00AD35C3"/>
    <w:rsid w:val="00AD5EC5"/>
    <w:rsid w:val="00AF7AE4"/>
    <w:rsid w:val="00B01FD3"/>
    <w:rsid w:val="00B039CE"/>
    <w:rsid w:val="00B13975"/>
    <w:rsid w:val="00B20DCD"/>
    <w:rsid w:val="00B21F2B"/>
    <w:rsid w:val="00B22DAF"/>
    <w:rsid w:val="00B30FBB"/>
    <w:rsid w:val="00B50ABA"/>
    <w:rsid w:val="00B514D7"/>
    <w:rsid w:val="00B64E4D"/>
    <w:rsid w:val="00B65431"/>
    <w:rsid w:val="00B67FD7"/>
    <w:rsid w:val="00B81A16"/>
    <w:rsid w:val="00B91996"/>
    <w:rsid w:val="00BB508C"/>
    <w:rsid w:val="00BC6A01"/>
    <w:rsid w:val="00BC7FE8"/>
    <w:rsid w:val="00BE3D06"/>
    <w:rsid w:val="00BF27B5"/>
    <w:rsid w:val="00C00658"/>
    <w:rsid w:val="00C01AF7"/>
    <w:rsid w:val="00C066C1"/>
    <w:rsid w:val="00C134AC"/>
    <w:rsid w:val="00C3637A"/>
    <w:rsid w:val="00C56357"/>
    <w:rsid w:val="00C76F1C"/>
    <w:rsid w:val="00C87EF3"/>
    <w:rsid w:val="00C93CC1"/>
    <w:rsid w:val="00C9435F"/>
    <w:rsid w:val="00C95B3F"/>
    <w:rsid w:val="00C9787F"/>
    <w:rsid w:val="00CA4E58"/>
    <w:rsid w:val="00CB381B"/>
    <w:rsid w:val="00CB6F7D"/>
    <w:rsid w:val="00CB7E87"/>
    <w:rsid w:val="00CD2033"/>
    <w:rsid w:val="00CD6213"/>
    <w:rsid w:val="00CD7651"/>
    <w:rsid w:val="00CE1231"/>
    <w:rsid w:val="00CE611F"/>
    <w:rsid w:val="00D03D62"/>
    <w:rsid w:val="00D12944"/>
    <w:rsid w:val="00D15AAE"/>
    <w:rsid w:val="00D2092D"/>
    <w:rsid w:val="00D223D0"/>
    <w:rsid w:val="00D22AFF"/>
    <w:rsid w:val="00D27B59"/>
    <w:rsid w:val="00D352CF"/>
    <w:rsid w:val="00D47A2F"/>
    <w:rsid w:val="00D57F6D"/>
    <w:rsid w:val="00D604F6"/>
    <w:rsid w:val="00D65899"/>
    <w:rsid w:val="00D67C21"/>
    <w:rsid w:val="00D742F3"/>
    <w:rsid w:val="00D77715"/>
    <w:rsid w:val="00D84CC1"/>
    <w:rsid w:val="00D8597A"/>
    <w:rsid w:val="00D85C22"/>
    <w:rsid w:val="00D86987"/>
    <w:rsid w:val="00D907DE"/>
    <w:rsid w:val="00D93770"/>
    <w:rsid w:val="00DA1E23"/>
    <w:rsid w:val="00DB777C"/>
    <w:rsid w:val="00DC4A75"/>
    <w:rsid w:val="00DD768A"/>
    <w:rsid w:val="00DD7993"/>
    <w:rsid w:val="00DE25B3"/>
    <w:rsid w:val="00DE390F"/>
    <w:rsid w:val="00DE65B7"/>
    <w:rsid w:val="00DF295D"/>
    <w:rsid w:val="00DF2D0C"/>
    <w:rsid w:val="00DF4204"/>
    <w:rsid w:val="00DF53E3"/>
    <w:rsid w:val="00DF617E"/>
    <w:rsid w:val="00E0321E"/>
    <w:rsid w:val="00E12810"/>
    <w:rsid w:val="00E20A1C"/>
    <w:rsid w:val="00E26552"/>
    <w:rsid w:val="00E32C80"/>
    <w:rsid w:val="00E35970"/>
    <w:rsid w:val="00E42557"/>
    <w:rsid w:val="00E516A7"/>
    <w:rsid w:val="00E60A64"/>
    <w:rsid w:val="00E81C29"/>
    <w:rsid w:val="00E837DD"/>
    <w:rsid w:val="00E8518B"/>
    <w:rsid w:val="00E9018A"/>
    <w:rsid w:val="00EA08A5"/>
    <w:rsid w:val="00EA3DCB"/>
    <w:rsid w:val="00EB2DF6"/>
    <w:rsid w:val="00EB65C8"/>
    <w:rsid w:val="00EB76F7"/>
    <w:rsid w:val="00EC3EB4"/>
    <w:rsid w:val="00EC4AED"/>
    <w:rsid w:val="00EC5276"/>
    <w:rsid w:val="00EF3A38"/>
    <w:rsid w:val="00F129DE"/>
    <w:rsid w:val="00F20E88"/>
    <w:rsid w:val="00F23D7E"/>
    <w:rsid w:val="00F24C99"/>
    <w:rsid w:val="00F266F1"/>
    <w:rsid w:val="00F27E9B"/>
    <w:rsid w:val="00F3380E"/>
    <w:rsid w:val="00F63D2C"/>
    <w:rsid w:val="00F77CC3"/>
    <w:rsid w:val="00F80C60"/>
    <w:rsid w:val="00F824AB"/>
    <w:rsid w:val="00F932B2"/>
    <w:rsid w:val="00F94640"/>
    <w:rsid w:val="00FA05CF"/>
    <w:rsid w:val="00FB1FC1"/>
    <w:rsid w:val="00FD46ED"/>
    <w:rsid w:val="00FD53AD"/>
    <w:rsid w:val="00FE3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E6C49"/>
  <w15:chartTrackingRefBased/>
  <w15:docId w15:val="{910AD9CC-D336-4373-A564-96BA47AB8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2700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58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1B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0A33"/>
    <w:pPr>
      <w:spacing w:after="0" w:line="240" w:lineRule="auto"/>
    </w:pPr>
    <w:rPr>
      <w:rFonts w:eastAsiaTheme="minorEastAsia"/>
    </w:rPr>
  </w:style>
  <w:style w:type="character" w:customStyle="1" w:styleId="NoSpacingChar">
    <w:name w:val="No Spacing Char"/>
    <w:basedOn w:val="DefaultParagraphFont"/>
    <w:link w:val="NoSpacing"/>
    <w:uiPriority w:val="1"/>
    <w:rsid w:val="003E0A33"/>
    <w:rPr>
      <w:rFonts w:eastAsiaTheme="minorEastAsia"/>
    </w:rPr>
  </w:style>
  <w:style w:type="character" w:customStyle="1" w:styleId="Heading1Char">
    <w:name w:val="Heading 1 Char"/>
    <w:basedOn w:val="DefaultParagraphFont"/>
    <w:link w:val="Heading1"/>
    <w:uiPriority w:val="9"/>
    <w:rsid w:val="002700EF"/>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2700EF"/>
    <w:pPr>
      <w:outlineLvl w:val="9"/>
    </w:pPr>
    <w:rPr>
      <w:lang w:val="en-US"/>
    </w:rPr>
  </w:style>
  <w:style w:type="character" w:styleId="Hyperlink">
    <w:name w:val="Hyperlink"/>
    <w:basedOn w:val="DefaultParagraphFont"/>
    <w:uiPriority w:val="99"/>
    <w:unhideWhenUsed/>
    <w:rsid w:val="00843862"/>
    <w:rPr>
      <w:color w:val="0563C1" w:themeColor="hyperlink"/>
      <w:u w:val="single"/>
    </w:rPr>
  </w:style>
  <w:style w:type="character" w:customStyle="1" w:styleId="UnresolvedMention">
    <w:name w:val="Unresolved Mention"/>
    <w:basedOn w:val="DefaultParagraphFont"/>
    <w:uiPriority w:val="99"/>
    <w:semiHidden/>
    <w:unhideWhenUsed/>
    <w:rsid w:val="00843862"/>
    <w:rPr>
      <w:color w:val="605E5C"/>
      <w:shd w:val="clear" w:color="auto" w:fill="E1DFDD"/>
    </w:rPr>
  </w:style>
  <w:style w:type="paragraph" w:styleId="Header">
    <w:name w:val="header"/>
    <w:basedOn w:val="Normal"/>
    <w:link w:val="HeaderChar"/>
    <w:uiPriority w:val="99"/>
    <w:unhideWhenUsed/>
    <w:rsid w:val="00A07E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EA5"/>
    <w:rPr>
      <w:lang w:val="en-GB"/>
    </w:rPr>
  </w:style>
  <w:style w:type="paragraph" w:styleId="Footer">
    <w:name w:val="footer"/>
    <w:basedOn w:val="Normal"/>
    <w:link w:val="FooterChar"/>
    <w:uiPriority w:val="99"/>
    <w:unhideWhenUsed/>
    <w:rsid w:val="00A07E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EA5"/>
    <w:rPr>
      <w:lang w:val="en-GB"/>
    </w:rPr>
  </w:style>
  <w:style w:type="character" w:styleId="Emphasis">
    <w:name w:val="Emphasis"/>
    <w:basedOn w:val="DefaultParagraphFont"/>
    <w:uiPriority w:val="20"/>
    <w:qFormat/>
    <w:rsid w:val="0028169A"/>
    <w:rPr>
      <w:i/>
      <w:iCs/>
    </w:rPr>
  </w:style>
  <w:style w:type="character" w:customStyle="1" w:styleId="Heading2Char">
    <w:name w:val="Heading 2 Char"/>
    <w:basedOn w:val="DefaultParagraphFont"/>
    <w:link w:val="Heading2"/>
    <w:uiPriority w:val="9"/>
    <w:rsid w:val="00625827"/>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345084"/>
    <w:pPr>
      <w:ind w:left="720"/>
      <w:contextualSpacing/>
    </w:pPr>
  </w:style>
  <w:style w:type="character" w:customStyle="1" w:styleId="Heading3Char">
    <w:name w:val="Heading 3 Char"/>
    <w:basedOn w:val="DefaultParagraphFont"/>
    <w:link w:val="Heading3"/>
    <w:uiPriority w:val="9"/>
    <w:rsid w:val="00611B1F"/>
    <w:rPr>
      <w:rFonts w:asciiTheme="majorHAnsi" w:eastAsiaTheme="majorEastAsia" w:hAnsiTheme="majorHAnsi" w:cstheme="majorBidi"/>
      <w:color w:val="1F3763" w:themeColor="accent1" w:themeShade="7F"/>
      <w:sz w:val="24"/>
      <w:szCs w:val="24"/>
      <w:lang w:val="en-GB"/>
    </w:rPr>
  </w:style>
  <w:style w:type="paragraph" w:styleId="TOC1">
    <w:name w:val="toc 1"/>
    <w:basedOn w:val="Normal"/>
    <w:next w:val="Normal"/>
    <w:autoRedefine/>
    <w:uiPriority w:val="39"/>
    <w:unhideWhenUsed/>
    <w:rsid w:val="00002EEC"/>
    <w:pPr>
      <w:spacing w:after="100"/>
    </w:pPr>
  </w:style>
  <w:style w:type="paragraph" w:styleId="TOC2">
    <w:name w:val="toc 2"/>
    <w:basedOn w:val="Normal"/>
    <w:next w:val="Normal"/>
    <w:autoRedefine/>
    <w:uiPriority w:val="39"/>
    <w:unhideWhenUsed/>
    <w:rsid w:val="00002EEC"/>
    <w:pPr>
      <w:spacing w:after="100"/>
      <w:ind w:left="220"/>
    </w:pPr>
  </w:style>
  <w:style w:type="paragraph" w:styleId="TOC3">
    <w:name w:val="toc 3"/>
    <w:basedOn w:val="Normal"/>
    <w:next w:val="Normal"/>
    <w:autoRedefine/>
    <w:uiPriority w:val="39"/>
    <w:unhideWhenUsed/>
    <w:rsid w:val="00002EE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98045">
      <w:bodyDiv w:val="1"/>
      <w:marLeft w:val="0"/>
      <w:marRight w:val="0"/>
      <w:marTop w:val="0"/>
      <w:marBottom w:val="0"/>
      <w:divBdr>
        <w:top w:val="none" w:sz="0" w:space="0" w:color="auto"/>
        <w:left w:val="none" w:sz="0" w:space="0" w:color="auto"/>
        <w:bottom w:val="none" w:sz="0" w:space="0" w:color="auto"/>
        <w:right w:val="none" w:sz="0" w:space="0" w:color="auto"/>
      </w:divBdr>
    </w:div>
    <w:div w:id="837699141">
      <w:bodyDiv w:val="1"/>
      <w:marLeft w:val="0"/>
      <w:marRight w:val="0"/>
      <w:marTop w:val="0"/>
      <w:marBottom w:val="0"/>
      <w:divBdr>
        <w:top w:val="none" w:sz="0" w:space="0" w:color="auto"/>
        <w:left w:val="none" w:sz="0" w:space="0" w:color="auto"/>
        <w:bottom w:val="none" w:sz="0" w:space="0" w:color="auto"/>
        <w:right w:val="none" w:sz="0" w:space="0" w:color="auto"/>
      </w:divBdr>
    </w:div>
    <w:div w:id="1529949142">
      <w:bodyDiv w:val="1"/>
      <w:marLeft w:val="0"/>
      <w:marRight w:val="0"/>
      <w:marTop w:val="0"/>
      <w:marBottom w:val="0"/>
      <w:divBdr>
        <w:top w:val="none" w:sz="0" w:space="0" w:color="auto"/>
        <w:left w:val="none" w:sz="0" w:space="0" w:color="auto"/>
        <w:bottom w:val="none" w:sz="0" w:space="0" w:color="auto"/>
        <w:right w:val="none" w:sz="0" w:space="0" w:color="auto"/>
      </w:divBdr>
    </w:div>
    <w:div w:id="206355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mergers-when-they-will-be-investigate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media/5cc1ec1340f0b64031cfa6f0/Final_reportSA.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asdasupplier.com/glossar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6C5162-ED83-4EB2-ABD3-CE912B63A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3401</TotalTime>
  <Pages>14</Pages>
  <Words>3443</Words>
  <Characters>19627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Asda-Sainsbury merger</vt:lpstr>
    </vt:vector>
  </TitlesOfParts>
  <Company/>
  <LinksUpToDate>false</LinksUpToDate>
  <CharactersWithSpaces>23024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Asda-Sainsbury merger</dc:title>
  <dc:subject>Financial and Human Resource Management</dc:subject>
  <dc:creator>lewis jones</dc:creator>
  <cp:keywords/>
  <dc:description/>
  <cp:lastModifiedBy>lewis jones</cp:lastModifiedBy>
  <cp:revision>342</cp:revision>
  <dcterms:created xsi:type="dcterms:W3CDTF">2019-06-23T10:47:00Z</dcterms:created>
  <dcterms:modified xsi:type="dcterms:W3CDTF">2019-06-25T19:29:00Z</dcterms:modified>
</cp:coreProperties>
</file>