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0886985"/>
        <w:docPartObj>
          <w:docPartGallery w:val="Cover Pages"/>
          <w:docPartUnique/>
        </w:docPartObj>
      </w:sdtPr>
      <w:sdtContent>
        <w:p w14:paraId="26D8F217" w14:textId="7A9E7B91" w:rsidR="00D23ACC" w:rsidRDefault="00D23ACC">
          <w:r>
            <w:rPr>
              <w:noProof/>
            </w:rPr>
            <mc:AlternateContent>
              <mc:Choice Requires="wps">
                <w:drawing>
                  <wp:anchor distT="0" distB="0" distL="114300" distR="114300" simplePos="0" relativeHeight="251660288" behindDoc="1" locked="0" layoutInCell="1" allowOverlap="1" wp14:anchorId="3A79D5C7" wp14:editId="5C853AA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EBAB6C3"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1320E443" wp14:editId="6FE1A8B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016EDD" w14:textId="02F09EA8" w:rsidR="00D23ACC" w:rsidRDefault="00D23AC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criminal liability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06C7AF" w14:textId="6486C0F7" w:rsidR="00D23ACC" w:rsidRDefault="00D23ACC">
                                    <w:pPr>
                                      <w:pStyle w:val="NoSpacing"/>
                                      <w:rPr>
                                        <w:i/>
                                        <w:color w:val="262626" w:themeColor="text1" w:themeTint="D9"/>
                                        <w:sz w:val="36"/>
                                        <w:szCs w:val="36"/>
                                      </w:rPr>
                                    </w:pPr>
                                    <w:r>
                                      <w:rPr>
                                        <w:color w:val="262626" w:themeColor="text1" w:themeTint="D9"/>
                                        <w:sz w:val="36"/>
                                        <w:szCs w:val="36"/>
                                      </w:rPr>
                                      <w:t>BMLW4005</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1320E443" id="_x0000_t202" coordsize="21600,21600" o:spt="202" path="m,l,21600r21600,l21600,xe">
                    <v:stroke joinstyle="miter"/>
                    <v:path gradientshapeok="t" o:connecttype="rect"/>
                  </v:shapetype>
                  <v:shape id="Text Box 44"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016EDD" w14:textId="02F09EA8" w:rsidR="00D23ACC" w:rsidRDefault="00D23AC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criminal liability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06C7AF" w14:textId="6486C0F7" w:rsidR="00D23ACC" w:rsidRDefault="00D23ACC">
                              <w:pPr>
                                <w:pStyle w:val="NoSpacing"/>
                                <w:rPr>
                                  <w:i/>
                                  <w:color w:val="262626" w:themeColor="text1" w:themeTint="D9"/>
                                  <w:sz w:val="36"/>
                                  <w:szCs w:val="36"/>
                                </w:rPr>
                              </w:pPr>
                              <w:r>
                                <w:rPr>
                                  <w:color w:val="262626" w:themeColor="text1" w:themeTint="D9"/>
                                  <w:sz w:val="36"/>
                                  <w:szCs w:val="36"/>
                                </w:rPr>
                                <w:t>BMLW4005</w:t>
                              </w:r>
                            </w:p>
                          </w:sdtContent>
                        </w:sdt>
                      </w:txbxContent>
                    </v:textbox>
                    <w10:wrap anchorx="page" anchory="page"/>
                  </v:shape>
                </w:pict>
              </mc:Fallback>
            </mc:AlternateContent>
          </w:r>
        </w:p>
        <w:p w14:paraId="0AA69BA3" w14:textId="2CF753A0" w:rsidR="00D23ACC" w:rsidRDefault="006614EE">
          <w:r>
            <w:rPr>
              <w:noProof/>
            </w:rPr>
            <mc:AlternateContent>
              <mc:Choice Requires="wps">
                <w:drawing>
                  <wp:anchor distT="0" distB="0" distL="114300" distR="114300" simplePos="0" relativeHeight="251661312" behindDoc="0" locked="0" layoutInCell="1" allowOverlap="1" wp14:anchorId="6BCC2A34" wp14:editId="744E0260">
                    <wp:simplePos x="0" y="0"/>
                    <wp:positionH relativeFrom="page">
                      <wp:posOffset>-63375</wp:posOffset>
                    </wp:positionH>
                    <wp:positionV relativeFrom="page">
                      <wp:posOffset>7913024</wp:posOffset>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3DF993B" w14:textId="3F29E1E9" w:rsidR="00D23ACC" w:rsidRDefault="00D23ACC">
                                    <w:pPr>
                                      <w:pStyle w:val="NoSpacing"/>
                                      <w:spacing w:after="480"/>
                                      <w:rPr>
                                        <w:i/>
                                        <w:color w:val="262626" w:themeColor="text1" w:themeTint="D9"/>
                                        <w:sz w:val="32"/>
                                        <w:szCs w:val="32"/>
                                      </w:rPr>
                                    </w:pPr>
                                    <w:r>
                                      <w:rPr>
                                        <w:i/>
                                        <w:color w:val="262626" w:themeColor="text1" w:themeTint="D9"/>
                                        <w:sz w:val="32"/>
                                        <w:szCs w:val="32"/>
                                      </w:rPr>
                                      <w:t>Leah Thomas</w:t>
                                    </w:r>
                                  </w:p>
                                </w:sdtContent>
                              </w:sdt>
                              <w:p w14:paraId="2406393D" w14:textId="29F635C7" w:rsidR="00D23ACC" w:rsidRDefault="00D23ACC">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2309644</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Word </w:t>
                                    </w:r>
                                    <w:r>
                                      <w:rPr>
                                        <w:i/>
                                        <w:color w:val="262626" w:themeColor="text1" w:themeTint="D9"/>
                                        <w:sz w:val="26"/>
                                        <w:szCs w:val="26"/>
                                      </w:rPr>
                                      <w:t>count:16</w:t>
                                    </w:r>
                                    <w:r w:rsidR="00077A47">
                                      <w:rPr>
                                        <w:i/>
                                        <w:color w:val="262626" w:themeColor="text1" w:themeTint="D9"/>
                                        <w:sz w:val="26"/>
                                        <w:szCs w:val="26"/>
                                      </w:rPr>
                                      <w:t>41</w:t>
                                    </w:r>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6BCC2A34" id="Text Box 42" o:spid="_x0000_s1027" type="#_x0000_t202" alt="Title: Title and subtitle" style="position:absolute;margin-left:-5pt;margin-top:623.0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3DF993B" w14:textId="3F29E1E9" w:rsidR="00D23ACC" w:rsidRDefault="00D23ACC">
                              <w:pPr>
                                <w:pStyle w:val="NoSpacing"/>
                                <w:spacing w:after="480"/>
                                <w:rPr>
                                  <w:i/>
                                  <w:color w:val="262626" w:themeColor="text1" w:themeTint="D9"/>
                                  <w:sz w:val="32"/>
                                  <w:szCs w:val="32"/>
                                </w:rPr>
                              </w:pPr>
                              <w:r>
                                <w:rPr>
                                  <w:i/>
                                  <w:color w:val="262626" w:themeColor="text1" w:themeTint="D9"/>
                                  <w:sz w:val="32"/>
                                  <w:szCs w:val="32"/>
                                </w:rPr>
                                <w:t>Leah Thomas</w:t>
                              </w:r>
                            </w:p>
                          </w:sdtContent>
                        </w:sdt>
                        <w:p w14:paraId="2406393D" w14:textId="29F635C7" w:rsidR="00D23ACC" w:rsidRDefault="00D23ACC">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2309644</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Word </w:t>
                              </w:r>
                              <w:r>
                                <w:rPr>
                                  <w:i/>
                                  <w:color w:val="262626" w:themeColor="text1" w:themeTint="D9"/>
                                  <w:sz w:val="26"/>
                                  <w:szCs w:val="26"/>
                                </w:rPr>
                                <w:t>count:16</w:t>
                              </w:r>
                              <w:r w:rsidR="00077A47">
                                <w:rPr>
                                  <w:i/>
                                  <w:color w:val="262626" w:themeColor="text1" w:themeTint="D9"/>
                                  <w:sz w:val="26"/>
                                  <w:szCs w:val="26"/>
                                </w:rPr>
                                <w:t>41</w:t>
                              </w:r>
                              <w:r>
                                <w:rPr>
                                  <w:i/>
                                  <w:color w:val="262626" w:themeColor="text1" w:themeTint="D9"/>
                                  <w:sz w:val="26"/>
                                  <w:szCs w:val="26"/>
                                </w:rPr>
                                <w:t xml:space="preserve"> </w:t>
                              </w:r>
                            </w:sdtContent>
                          </w:sdt>
                        </w:p>
                      </w:txbxContent>
                    </v:textbox>
                    <w10:wrap anchorx="page" anchory="page"/>
                  </v:shape>
                </w:pict>
              </mc:Fallback>
            </mc:AlternateContent>
          </w:r>
          <w:r w:rsidR="00D23ACC">
            <w:br w:type="page"/>
          </w:r>
        </w:p>
      </w:sdtContent>
    </w:sdt>
    <w:p w14:paraId="51773B3C" w14:textId="77777777" w:rsidR="00723B96" w:rsidRDefault="00723B96" w:rsidP="002A2844">
      <w:pPr>
        <w:spacing w:line="360" w:lineRule="auto"/>
      </w:pPr>
    </w:p>
    <w:p w14:paraId="537CCAC5" w14:textId="382FC250" w:rsidR="000F4E3D" w:rsidRDefault="002A16A3" w:rsidP="002A2844">
      <w:pPr>
        <w:spacing w:line="360" w:lineRule="auto"/>
      </w:pPr>
      <w:r w:rsidRPr="002A2844">
        <w:t>For the purpose of addressing the fictional scenario, each offense will be analysed as it pertains to the events in the narrative to ascertain Vinnie's potential legal liability.</w:t>
      </w:r>
    </w:p>
    <w:p w14:paraId="1B3E5480" w14:textId="77777777" w:rsidR="005D42E2" w:rsidRPr="005D42E2" w:rsidRDefault="005D42E2" w:rsidP="002A2844">
      <w:pPr>
        <w:spacing w:line="360" w:lineRule="auto"/>
      </w:pPr>
    </w:p>
    <w:p w14:paraId="67B907A5" w14:textId="3F1B76C0" w:rsidR="009C7853" w:rsidRPr="002A2844" w:rsidRDefault="00DA12CD" w:rsidP="002A2844">
      <w:pPr>
        <w:spacing w:line="360" w:lineRule="auto"/>
        <w:rPr>
          <w:rFonts w:cstheme="minorHAnsi"/>
          <w:color w:val="000000" w:themeColor="text1"/>
        </w:rPr>
      </w:pPr>
      <w:r w:rsidRPr="002A2844">
        <w:t xml:space="preserve">At the beginning of the scenario, Vinnie decides to </w:t>
      </w:r>
      <w:r w:rsidR="0095764A" w:rsidRPr="002A2844">
        <w:t>enter</w:t>
      </w:r>
      <w:r w:rsidRPr="002A2844">
        <w:t xml:space="preserve"> the </w:t>
      </w:r>
      <w:r w:rsidR="0095764A" w:rsidRPr="002A2844">
        <w:t>elderly</w:t>
      </w:r>
      <w:r w:rsidRPr="002A2844">
        <w:t xml:space="preserve"> persons </w:t>
      </w:r>
      <w:r w:rsidR="0095764A" w:rsidRPr="002A2844">
        <w:t xml:space="preserve">bedroom in search of a watch, </w:t>
      </w:r>
      <w:r w:rsidR="00650359" w:rsidRPr="002A2844">
        <w:t>in</w:t>
      </w:r>
      <w:r w:rsidRPr="002A2844">
        <w:t xml:space="preserve"> relation to taking the watch the relevant offence is burglary section 9 (1)(a) of the Theft </w:t>
      </w:r>
      <w:r w:rsidR="00650359" w:rsidRPr="002A2844">
        <w:t>A</w:t>
      </w:r>
      <w:r w:rsidRPr="002A2844">
        <w:t xml:space="preserve">ct </w:t>
      </w:r>
      <w:r w:rsidR="00DB7BC1" w:rsidRPr="002A2844">
        <w:t>(</w:t>
      </w:r>
      <w:r w:rsidRPr="002A2844">
        <w:t>1968</w:t>
      </w:r>
      <w:r w:rsidR="00DB7BC1" w:rsidRPr="002A2844">
        <w:t>)</w:t>
      </w:r>
      <w:r w:rsidRPr="002A2844">
        <w:t xml:space="preserve">. The actus reus of burglary s9 (1)(a) is </w:t>
      </w:r>
      <w:r w:rsidR="00FE5524" w:rsidRPr="002A2844">
        <w:t>‘</w:t>
      </w:r>
      <w:r w:rsidRPr="002A2844">
        <w:t>entering a building or part of a building as a trespasser</w:t>
      </w:r>
      <w:r w:rsidR="00FE5524" w:rsidRPr="002A2844">
        <w:t>’</w:t>
      </w:r>
      <w:r w:rsidRPr="002A2844">
        <w:t xml:space="preserve">. </w:t>
      </w:r>
      <w:r w:rsidR="002965AA" w:rsidRPr="002A2844">
        <w:t xml:space="preserve">In the case of </w:t>
      </w:r>
      <w:r w:rsidR="00E06AF0" w:rsidRPr="002A2844">
        <w:t>‘</w:t>
      </w:r>
      <w:r w:rsidR="002965AA" w:rsidRPr="002A2844">
        <w:t>R v Ryan</w:t>
      </w:r>
      <w:r w:rsidR="00E06AF0" w:rsidRPr="002A2844">
        <w:t xml:space="preserve">’ </w:t>
      </w:r>
      <w:r w:rsidR="002965AA" w:rsidRPr="002A2844">
        <w:t>(1996), entry was construed as meeting the threshold for being considered a trespasser</w:t>
      </w:r>
      <w:r w:rsidR="00B456BE" w:rsidRPr="002A2844">
        <w:t xml:space="preserve"> </w:t>
      </w:r>
      <w:r w:rsidR="00AC57C3" w:rsidRPr="002A2844">
        <w:t>S9 (4</w:t>
      </w:r>
      <w:r w:rsidR="00B456BE" w:rsidRPr="002A2844">
        <w:t xml:space="preserve">) A building can be a structure containing more than one part, Vinnie meets the entry requirement as it states that Vinnie takes it upon himself to go into the elderly persons bedroom. </w:t>
      </w:r>
      <w:r w:rsidR="002965AA" w:rsidRPr="002A2844">
        <w:t>Th</w:t>
      </w:r>
      <w:r w:rsidR="00AC57C3" w:rsidRPr="002A2844">
        <w:t>e elderly persons bedroom</w:t>
      </w:r>
      <w:r w:rsidR="002965AA" w:rsidRPr="002A2844">
        <w:t xml:space="preserve"> could be deemed a</w:t>
      </w:r>
      <w:r w:rsidR="00AC57C3" w:rsidRPr="002A2844">
        <w:t>s a</w:t>
      </w:r>
      <w:r w:rsidR="002965AA" w:rsidRPr="002A2844">
        <w:t xml:space="preserve"> segment of a larger building, as established in </w:t>
      </w:r>
      <w:r w:rsidR="00E06AF0" w:rsidRPr="002A2844">
        <w:t>‘</w:t>
      </w:r>
      <w:r w:rsidR="002965AA" w:rsidRPr="002A2844">
        <w:t>R v Walkington</w:t>
      </w:r>
      <w:r w:rsidR="00E06AF0" w:rsidRPr="002A2844">
        <w:t>’</w:t>
      </w:r>
      <w:r w:rsidR="002965AA" w:rsidRPr="002A2844">
        <w:t xml:space="preserve"> (1979), where unauthori</w:t>
      </w:r>
      <w:r w:rsidR="00B456BE" w:rsidRPr="002A2844">
        <w:t>s</w:t>
      </w:r>
      <w:r w:rsidR="002965AA" w:rsidRPr="002A2844">
        <w:t xml:space="preserve">ed entry into a designated area of a building rendered the defendant a trespasser. Trespassing encompasses not only lacking permission to be in a building but also surpassing granted permission, as illustrated in the case of </w:t>
      </w:r>
      <w:r w:rsidR="00E06AF0" w:rsidRPr="002A2844">
        <w:t>‘</w:t>
      </w:r>
      <w:r w:rsidR="002965AA" w:rsidRPr="002A2844">
        <w:t>R v Smith and Jones</w:t>
      </w:r>
      <w:r w:rsidR="00E06AF0" w:rsidRPr="002A2844">
        <w:t>’</w:t>
      </w:r>
      <w:r w:rsidR="002965AA" w:rsidRPr="002A2844">
        <w:t xml:space="preserve"> (1976). It can be argued that Vinnie exceeded his permission as he had permission to </w:t>
      </w:r>
      <w:r w:rsidR="002965AA" w:rsidRPr="002A2844">
        <w:rPr>
          <w:rFonts w:cstheme="minorHAnsi"/>
        </w:rPr>
        <w:t>access the bedroom as a care home worker but not to enter to steal.</w:t>
      </w:r>
      <w:r w:rsidR="00D1254F" w:rsidRPr="002A2844">
        <w:rPr>
          <w:rFonts w:cstheme="minorHAnsi"/>
        </w:rPr>
        <w:t xml:space="preserve"> Vinnie meets the requirements of the actus reus of burglary s9(1)(a) as he enters the building or part of a building as a </w:t>
      </w:r>
      <w:r w:rsidR="009C7853" w:rsidRPr="002A2844">
        <w:rPr>
          <w:rFonts w:cstheme="minorHAnsi"/>
        </w:rPr>
        <w:t>trespasser</w:t>
      </w:r>
      <w:r w:rsidR="009C7853" w:rsidRPr="002A2844">
        <w:rPr>
          <w:rFonts w:cstheme="minorHAnsi"/>
          <w:color w:val="000000" w:themeColor="text1"/>
        </w:rPr>
        <w:t xml:space="preserve">.   The mens rea of burglary involves the intention to commit any offence such as theft, GBH or criminal damage, it could be argued that it was Vinnies direct intent to commit theft as supported by </w:t>
      </w:r>
      <w:r w:rsidR="00E06AF0" w:rsidRPr="002A2844">
        <w:rPr>
          <w:rFonts w:cstheme="minorHAnsi"/>
          <w:color w:val="000000" w:themeColor="text1"/>
        </w:rPr>
        <w:t xml:space="preserve">‘R v </w:t>
      </w:r>
      <w:r w:rsidR="009C7853" w:rsidRPr="002A2844">
        <w:rPr>
          <w:rFonts w:cstheme="minorHAnsi"/>
          <w:color w:val="000000" w:themeColor="text1"/>
        </w:rPr>
        <w:t>M</w:t>
      </w:r>
      <w:r w:rsidR="00A14072" w:rsidRPr="002A2844">
        <w:rPr>
          <w:rFonts w:cstheme="minorHAnsi"/>
          <w:color w:val="000000" w:themeColor="text1"/>
        </w:rPr>
        <w:t>oloney</w:t>
      </w:r>
      <w:r w:rsidR="00E06AF0" w:rsidRPr="002A2844">
        <w:rPr>
          <w:rFonts w:cstheme="minorHAnsi"/>
          <w:color w:val="000000" w:themeColor="text1"/>
        </w:rPr>
        <w:t xml:space="preserve">’ </w:t>
      </w:r>
      <w:r w:rsidR="009C7853" w:rsidRPr="002A2844">
        <w:rPr>
          <w:rFonts w:cstheme="minorHAnsi"/>
          <w:color w:val="000000" w:themeColor="text1"/>
        </w:rPr>
        <w:t>(19</w:t>
      </w:r>
      <w:r w:rsidR="00A14072" w:rsidRPr="002A2844">
        <w:rPr>
          <w:rFonts w:cstheme="minorHAnsi"/>
          <w:color w:val="000000" w:themeColor="text1"/>
        </w:rPr>
        <w:t>85</w:t>
      </w:r>
      <w:r w:rsidR="009C7853" w:rsidRPr="002A2844">
        <w:rPr>
          <w:rFonts w:cstheme="minorHAnsi"/>
          <w:color w:val="000000" w:themeColor="text1"/>
        </w:rPr>
        <w:t xml:space="preserve">) as it was his aim to take the watch. </w:t>
      </w:r>
    </w:p>
    <w:p w14:paraId="170EF754" w14:textId="77777777" w:rsidR="00F71AC1" w:rsidRPr="002A2844" w:rsidRDefault="00F71AC1" w:rsidP="002A2844">
      <w:pPr>
        <w:spacing w:line="360" w:lineRule="auto"/>
        <w:rPr>
          <w:rFonts w:cstheme="minorHAnsi"/>
          <w:color w:val="000000" w:themeColor="text1"/>
        </w:rPr>
      </w:pPr>
    </w:p>
    <w:p w14:paraId="6D139C13" w14:textId="476FBFBD" w:rsidR="00DA12CD" w:rsidRPr="002A2844" w:rsidRDefault="009C7853" w:rsidP="002A2844">
      <w:pPr>
        <w:spacing w:line="360" w:lineRule="auto"/>
        <w:rPr>
          <w:rFonts w:cstheme="minorHAnsi"/>
          <w:color w:val="000000" w:themeColor="text1"/>
        </w:rPr>
      </w:pPr>
      <w:r w:rsidRPr="002A2844">
        <w:rPr>
          <w:rFonts w:cstheme="minorHAnsi"/>
          <w:color w:val="000000" w:themeColor="text1"/>
        </w:rPr>
        <w:t xml:space="preserve"> </w:t>
      </w:r>
      <w:r w:rsidR="0095764A" w:rsidRPr="002A2844">
        <w:rPr>
          <w:rFonts w:cstheme="minorHAnsi"/>
        </w:rPr>
        <w:t xml:space="preserve">In section 9(1)(b) of the </w:t>
      </w:r>
      <w:r w:rsidR="00650359" w:rsidRPr="002A2844">
        <w:rPr>
          <w:rFonts w:cstheme="minorHAnsi"/>
        </w:rPr>
        <w:t>T</w:t>
      </w:r>
      <w:r w:rsidR="0095764A" w:rsidRPr="002A2844">
        <w:rPr>
          <w:rFonts w:cstheme="minorHAnsi"/>
        </w:rPr>
        <w:t xml:space="preserve">heft </w:t>
      </w:r>
      <w:r w:rsidR="00650359" w:rsidRPr="002A2844">
        <w:rPr>
          <w:rFonts w:cstheme="minorHAnsi"/>
        </w:rPr>
        <w:t>A</w:t>
      </w:r>
      <w:r w:rsidR="0095764A" w:rsidRPr="002A2844">
        <w:rPr>
          <w:rFonts w:cstheme="minorHAnsi"/>
        </w:rPr>
        <w:t>ct (1968) it states that ‘once inside a building or any section of a building as a trespasser, he commits theft or attempts to do so, or he causes or attempts to cause grievous bodily harm to any person within the premises’, the actus reus for theft can be defined as appropriating property belonging to another</w:t>
      </w:r>
      <w:r w:rsidR="0095764A" w:rsidRPr="002A2844">
        <w:rPr>
          <w:rFonts w:cstheme="minorHAnsi"/>
          <w:b/>
          <w:bCs/>
        </w:rPr>
        <w:t xml:space="preserve"> </w:t>
      </w:r>
      <w:r w:rsidR="0095764A" w:rsidRPr="002A2844">
        <w:rPr>
          <w:rFonts w:cstheme="minorHAnsi"/>
          <w:color w:val="000000" w:themeColor="text1"/>
        </w:rPr>
        <w:t xml:space="preserve">under section 1(1)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 xml:space="preserve">ct (1968), appropriation s3(1) is the assumption of the rights of an owner,  Vinnie taking the watch to sell it will suffice as appropriation as highlighted in the case </w:t>
      </w:r>
      <w:r w:rsidR="00E06AF0" w:rsidRPr="002A2844">
        <w:rPr>
          <w:rFonts w:cstheme="minorHAnsi"/>
          <w:color w:val="000000" w:themeColor="text1"/>
        </w:rPr>
        <w:t>‘</w:t>
      </w:r>
      <w:r w:rsidR="00A14072" w:rsidRPr="002A2844">
        <w:rPr>
          <w:rFonts w:cstheme="minorHAnsi"/>
          <w:color w:val="000000" w:themeColor="text1"/>
        </w:rPr>
        <w:t xml:space="preserve">R v </w:t>
      </w:r>
      <w:r w:rsidR="0095764A" w:rsidRPr="002A2844">
        <w:rPr>
          <w:rFonts w:cstheme="minorHAnsi"/>
          <w:color w:val="000000" w:themeColor="text1"/>
        </w:rPr>
        <w:t>McPherson</w:t>
      </w:r>
      <w:r w:rsidR="00E06AF0" w:rsidRPr="002A2844">
        <w:rPr>
          <w:rFonts w:cstheme="minorHAnsi"/>
          <w:color w:val="000000" w:themeColor="text1"/>
        </w:rPr>
        <w:t>’</w:t>
      </w:r>
      <w:r w:rsidR="0095764A" w:rsidRPr="002A2844">
        <w:rPr>
          <w:rFonts w:cstheme="minorHAnsi"/>
          <w:color w:val="000000" w:themeColor="text1"/>
        </w:rPr>
        <w:t xml:space="preserve"> (1973). In section 4(1)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 xml:space="preserve">ct (1968) property is referred to as real or personal tangible items, the watch that Vinnie took would count as a tangible item. Under s5(1)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ct (1968) belonging to another is referred to as ‘any person having possession or control of it’</w:t>
      </w:r>
      <w:r w:rsidR="00493D80" w:rsidRPr="002A2844">
        <w:rPr>
          <w:rFonts w:cstheme="minorHAnsi"/>
          <w:color w:val="000000" w:themeColor="text1"/>
        </w:rPr>
        <w:t xml:space="preserve"> as highlighted in the case </w:t>
      </w:r>
      <w:r w:rsidR="00E06AF0" w:rsidRPr="002A2844">
        <w:rPr>
          <w:rFonts w:cstheme="minorHAnsi"/>
          <w:color w:val="000000" w:themeColor="text1"/>
        </w:rPr>
        <w:t xml:space="preserve">‘R v </w:t>
      </w:r>
      <w:r w:rsidR="00493D80" w:rsidRPr="002A2844">
        <w:rPr>
          <w:rFonts w:cstheme="minorHAnsi"/>
          <w:color w:val="000000" w:themeColor="text1"/>
        </w:rPr>
        <w:t>Woodman</w:t>
      </w:r>
      <w:r w:rsidR="00E06AF0" w:rsidRPr="002A2844">
        <w:rPr>
          <w:rFonts w:cstheme="minorHAnsi"/>
          <w:color w:val="000000" w:themeColor="text1"/>
        </w:rPr>
        <w:t>’</w:t>
      </w:r>
      <w:r w:rsidR="00493D80" w:rsidRPr="002A2844">
        <w:rPr>
          <w:rFonts w:cstheme="minorHAnsi"/>
          <w:color w:val="000000" w:themeColor="text1"/>
        </w:rPr>
        <w:t xml:space="preserve"> (1974).</w:t>
      </w:r>
      <w:r w:rsidR="0095764A" w:rsidRPr="002A2844">
        <w:rPr>
          <w:rFonts w:cstheme="minorHAnsi"/>
          <w:color w:val="000000" w:themeColor="text1"/>
        </w:rPr>
        <w:t xml:space="preserve"> Vinnie took the </w:t>
      </w:r>
      <w:r w:rsidR="0095764A" w:rsidRPr="002A2844">
        <w:rPr>
          <w:rFonts w:cstheme="minorHAnsi"/>
          <w:color w:val="000000" w:themeColor="text1"/>
        </w:rPr>
        <w:lastRenderedPageBreak/>
        <w:t xml:space="preserve">watch belonging to its rightful </w:t>
      </w:r>
      <w:r w:rsidR="00493D80" w:rsidRPr="002A2844">
        <w:rPr>
          <w:rFonts w:cstheme="minorHAnsi"/>
          <w:color w:val="000000" w:themeColor="text1"/>
        </w:rPr>
        <w:t>owner,</w:t>
      </w:r>
      <w:r w:rsidR="0095764A" w:rsidRPr="002A2844">
        <w:rPr>
          <w:rFonts w:cstheme="minorHAnsi"/>
          <w:color w:val="000000" w:themeColor="text1"/>
        </w:rPr>
        <w:t xml:space="preserve"> which is the elderly person, meaning that he meets the actus reus of theft s1(1)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ct (1968).</w:t>
      </w:r>
      <w:r w:rsidRPr="002A2844">
        <w:rPr>
          <w:rFonts w:cstheme="minorHAnsi"/>
          <w:color w:val="000000" w:themeColor="text1"/>
        </w:rPr>
        <w:t xml:space="preserve"> </w:t>
      </w:r>
      <w:r w:rsidRPr="002A2844">
        <w:rPr>
          <w:rFonts w:cstheme="minorHAnsi"/>
          <w:color w:val="000000" w:themeColor="text1"/>
        </w:rPr>
        <w:t xml:space="preserve">The men’s rea for theft s1(1) of the theft act (1968) can be defined as intent to permanently deprive the other of it, dishonestly. S6 (1) of the theft act tells us that Intention to permanently deprive is </w:t>
      </w:r>
      <w:r w:rsidRPr="002A2844">
        <w:rPr>
          <w:rFonts w:cstheme="minorHAnsi"/>
          <w:color w:val="1E1E1E"/>
          <w:shd w:val="clear" w:color="auto" w:fill="FFFFFF"/>
        </w:rPr>
        <w:t xml:space="preserve">equivalent to an outright taking or disposal, as seen in </w:t>
      </w:r>
      <w:r w:rsidR="00E06AF0" w:rsidRPr="002A2844">
        <w:rPr>
          <w:rFonts w:cstheme="minorHAnsi"/>
          <w:color w:val="1E1E1E"/>
          <w:shd w:val="clear" w:color="auto" w:fill="FFFFFF"/>
        </w:rPr>
        <w:t>‘</w:t>
      </w:r>
      <w:r w:rsidR="00493D80" w:rsidRPr="002A2844">
        <w:rPr>
          <w:rFonts w:cstheme="minorHAnsi"/>
          <w:color w:val="1E1E1E"/>
          <w:shd w:val="clear" w:color="auto" w:fill="FFFFFF"/>
        </w:rPr>
        <w:t xml:space="preserve">R v </w:t>
      </w:r>
      <w:r w:rsidRPr="002A2844">
        <w:rPr>
          <w:rFonts w:cstheme="minorHAnsi"/>
          <w:color w:val="1E1E1E"/>
          <w:shd w:val="clear" w:color="auto" w:fill="FFFFFF"/>
        </w:rPr>
        <w:t>Vinall</w:t>
      </w:r>
      <w:r w:rsidR="00E06AF0" w:rsidRPr="002A2844">
        <w:rPr>
          <w:rFonts w:cstheme="minorHAnsi"/>
          <w:color w:val="1E1E1E"/>
          <w:shd w:val="clear" w:color="auto" w:fill="FFFFFF"/>
        </w:rPr>
        <w:t>’</w:t>
      </w:r>
      <w:r w:rsidRPr="002A2844">
        <w:rPr>
          <w:rFonts w:cstheme="minorHAnsi"/>
          <w:color w:val="1E1E1E"/>
          <w:shd w:val="clear" w:color="auto" w:fill="FFFFFF"/>
        </w:rPr>
        <w:t xml:space="preserve"> (2011), Vinnie has intention to permanently deprive the elderly person of their watch as it states that he has the intention to sell the watch. The second part of the mens rea is the dishonesty element, s</w:t>
      </w:r>
      <w:r w:rsidRPr="002A2844">
        <w:rPr>
          <w:rFonts w:cstheme="minorHAnsi"/>
          <w:color w:val="1E1E1E"/>
          <w:shd w:val="clear" w:color="auto" w:fill="FFFFFF"/>
        </w:rPr>
        <w:t xml:space="preserve">ection </w:t>
      </w:r>
      <w:r w:rsidRPr="002A2844">
        <w:rPr>
          <w:rFonts w:cstheme="minorHAnsi"/>
          <w:color w:val="1E1E1E"/>
          <w:shd w:val="clear" w:color="auto" w:fill="FFFFFF"/>
        </w:rPr>
        <w:t xml:space="preserve">2 of the theft act does not define dishonesty, Vinnie was aware that the property which is the watch was not his to take and decided to take it anyways would suffice as dishonesty as supported by </w:t>
      </w:r>
      <w:r w:rsidR="00E06AF0" w:rsidRPr="002A2844">
        <w:rPr>
          <w:rFonts w:cstheme="minorHAnsi"/>
          <w:color w:val="1E1E1E"/>
          <w:shd w:val="clear" w:color="auto" w:fill="FFFFFF"/>
        </w:rPr>
        <w:t>‘</w:t>
      </w:r>
      <w:r w:rsidR="00EA2D8C" w:rsidRPr="002A2844">
        <w:rPr>
          <w:rFonts w:cstheme="minorHAnsi"/>
          <w:color w:val="1E1E1E"/>
          <w:shd w:val="clear" w:color="auto" w:fill="FFFFFF"/>
        </w:rPr>
        <w:t>I</w:t>
      </w:r>
      <w:r w:rsidRPr="002A2844">
        <w:rPr>
          <w:rFonts w:cstheme="minorHAnsi"/>
          <w:color w:val="1E1E1E"/>
          <w:shd w:val="clear" w:color="auto" w:fill="FFFFFF"/>
        </w:rPr>
        <w:t xml:space="preserve">vey v </w:t>
      </w:r>
      <w:r w:rsidR="00044750" w:rsidRPr="002A2844">
        <w:rPr>
          <w:rFonts w:cstheme="minorHAnsi"/>
          <w:color w:val="1E1E1E"/>
          <w:shd w:val="clear" w:color="auto" w:fill="FFFFFF"/>
        </w:rPr>
        <w:t xml:space="preserve">Genting </w:t>
      </w:r>
      <w:r w:rsidRPr="002A2844">
        <w:rPr>
          <w:rFonts w:cstheme="minorHAnsi"/>
          <w:color w:val="1E1E1E"/>
          <w:shd w:val="clear" w:color="auto" w:fill="FFFFFF"/>
        </w:rPr>
        <w:t>Casino UK Ltd</w:t>
      </w:r>
      <w:r w:rsidR="00E06AF0" w:rsidRPr="002A2844">
        <w:rPr>
          <w:rFonts w:cstheme="minorHAnsi"/>
          <w:color w:val="1E1E1E"/>
          <w:shd w:val="clear" w:color="auto" w:fill="FFFFFF"/>
        </w:rPr>
        <w:t>’</w:t>
      </w:r>
      <w:r w:rsidRPr="002A2844">
        <w:rPr>
          <w:rFonts w:cstheme="minorHAnsi"/>
          <w:color w:val="1E1E1E"/>
          <w:shd w:val="clear" w:color="auto" w:fill="FFFFFF"/>
        </w:rPr>
        <w:t xml:space="preserve"> (2017).  </w:t>
      </w:r>
    </w:p>
    <w:p w14:paraId="3DB96A47" w14:textId="49637D92" w:rsidR="007564E1" w:rsidRPr="002A2844" w:rsidRDefault="007564E1" w:rsidP="002A2844">
      <w:pPr>
        <w:spacing w:line="360" w:lineRule="auto"/>
        <w:rPr>
          <w:color w:val="000000" w:themeColor="text1"/>
          <w:u w:val="single"/>
        </w:rPr>
      </w:pPr>
    </w:p>
    <w:p w14:paraId="60CE707D" w14:textId="2B10ECE6" w:rsidR="00AC57C3" w:rsidRPr="002A2844" w:rsidRDefault="00AC57C3" w:rsidP="002A2844">
      <w:pPr>
        <w:spacing w:line="360" w:lineRule="auto"/>
        <w:rPr>
          <w:color w:val="000000" w:themeColor="text1"/>
        </w:rPr>
      </w:pPr>
      <w:r w:rsidRPr="002A2844">
        <w:rPr>
          <w:color w:val="000000" w:themeColor="text1"/>
        </w:rPr>
        <w:t xml:space="preserve">The second offence in which </w:t>
      </w:r>
      <w:r w:rsidR="00020E7B" w:rsidRPr="002A2844">
        <w:rPr>
          <w:color w:val="000000" w:themeColor="text1"/>
        </w:rPr>
        <w:t>Vi</w:t>
      </w:r>
      <w:r w:rsidRPr="002A2844">
        <w:rPr>
          <w:color w:val="000000" w:themeColor="text1"/>
        </w:rPr>
        <w:t xml:space="preserve">nnie could be criminally liable for would be </w:t>
      </w:r>
      <w:r w:rsidR="00020E7B" w:rsidRPr="002A2844">
        <w:rPr>
          <w:color w:val="000000" w:themeColor="text1"/>
        </w:rPr>
        <w:t xml:space="preserve">basic </w:t>
      </w:r>
      <w:r w:rsidRPr="002A2844">
        <w:rPr>
          <w:color w:val="000000" w:themeColor="text1"/>
        </w:rPr>
        <w:t xml:space="preserve">criminal damage, Section 1(1) of the </w:t>
      </w:r>
      <w:r w:rsidR="00650359" w:rsidRPr="002A2844">
        <w:rPr>
          <w:color w:val="000000" w:themeColor="text1"/>
        </w:rPr>
        <w:t>C</w:t>
      </w:r>
      <w:r w:rsidRPr="002A2844">
        <w:rPr>
          <w:color w:val="000000" w:themeColor="text1"/>
        </w:rPr>
        <w:t xml:space="preserve">riminal </w:t>
      </w:r>
      <w:r w:rsidR="00650359" w:rsidRPr="002A2844">
        <w:rPr>
          <w:color w:val="000000" w:themeColor="text1"/>
        </w:rPr>
        <w:t>D</w:t>
      </w:r>
      <w:r w:rsidRPr="002A2844">
        <w:rPr>
          <w:color w:val="000000" w:themeColor="text1"/>
        </w:rPr>
        <w:t xml:space="preserve">amage </w:t>
      </w:r>
      <w:r w:rsidR="00650359" w:rsidRPr="002A2844">
        <w:rPr>
          <w:color w:val="000000" w:themeColor="text1"/>
        </w:rPr>
        <w:t>A</w:t>
      </w:r>
      <w:r w:rsidRPr="002A2844">
        <w:rPr>
          <w:color w:val="000000" w:themeColor="text1"/>
        </w:rPr>
        <w:t>ct (1971) tells us that ‘</w:t>
      </w:r>
      <w:r w:rsidRPr="002A2844">
        <w:t xml:space="preserve">A person who without lawful excuse destroys or damages any property belonging to another intending to destroy or damage any such property or being reckless as to whether any such property would be destroyed or damaged shall be guilty of an offence.’ The actus reus of this offence would be without lawful excuse, destroys or damages property belonging to another, Section 5(2)(A) and section 5(2)(B) of the criminal damage act tells us that without lawful excuse means that the defendant either believed </w:t>
      </w:r>
      <w:r w:rsidR="004B2912" w:rsidRPr="002A2844">
        <w:t>he had consent or that consent would</w:t>
      </w:r>
      <w:r w:rsidR="00020E7B" w:rsidRPr="002A2844">
        <w:t xml:space="preserve"> hav</w:t>
      </w:r>
      <w:r w:rsidR="004B2912" w:rsidRPr="002A2844">
        <w:t>e been given or believed that property belonging to himself or another was in immediate need of protection</w:t>
      </w:r>
      <w:r w:rsidR="00044750" w:rsidRPr="002A2844">
        <w:t xml:space="preserve"> as supported by </w:t>
      </w:r>
      <w:r w:rsidR="00E06AF0" w:rsidRPr="002A2844">
        <w:t>‘</w:t>
      </w:r>
      <w:r w:rsidR="00044750" w:rsidRPr="002A2844">
        <w:t>Chamberlain v Lindon</w:t>
      </w:r>
      <w:r w:rsidR="00E06AF0" w:rsidRPr="002A2844">
        <w:t>’</w:t>
      </w:r>
      <w:r w:rsidR="00044750" w:rsidRPr="002A2844">
        <w:t xml:space="preserve"> </w:t>
      </w:r>
      <w:r w:rsidR="00044750" w:rsidRPr="002A2844">
        <w:t>(</w:t>
      </w:r>
      <w:r w:rsidR="00044750" w:rsidRPr="002A2844">
        <w:t>1998</w:t>
      </w:r>
      <w:r w:rsidR="00044750" w:rsidRPr="002A2844">
        <w:t xml:space="preserve">). </w:t>
      </w:r>
      <w:r w:rsidR="004B2912" w:rsidRPr="002A2844">
        <w:t>Vinnie d</w:t>
      </w:r>
      <w:r w:rsidR="00B456BE" w:rsidRPr="002A2844">
        <w:t>id</w:t>
      </w:r>
      <w:r w:rsidR="004B2912" w:rsidRPr="002A2844">
        <w:t xml:space="preserve"> not have a lawful excuse as he did not believe he had consent or that Louise would</w:t>
      </w:r>
      <w:r w:rsidR="00760252" w:rsidRPr="002A2844">
        <w:t xml:space="preserve"> ha</w:t>
      </w:r>
      <w:r w:rsidR="004B2912" w:rsidRPr="002A2844">
        <w:t xml:space="preserve">ve consented to scratching his car and also did not believe that it needed protection. Section 10(2) of the </w:t>
      </w:r>
      <w:r w:rsidR="00650359" w:rsidRPr="002A2844">
        <w:t>C</w:t>
      </w:r>
      <w:r w:rsidR="004B2912" w:rsidRPr="002A2844">
        <w:t xml:space="preserve">riminal </w:t>
      </w:r>
      <w:r w:rsidR="00650359" w:rsidRPr="002A2844">
        <w:t>D</w:t>
      </w:r>
      <w:r w:rsidR="004B2912" w:rsidRPr="002A2844">
        <w:t xml:space="preserve">amage </w:t>
      </w:r>
      <w:r w:rsidR="00650359" w:rsidRPr="002A2844">
        <w:t>A</w:t>
      </w:r>
      <w:r w:rsidR="004B2912" w:rsidRPr="002A2844">
        <w:t xml:space="preserve">ct (1971) refers to the destruction or damage, the case </w:t>
      </w:r>
      <w:r w:rsidR="00E06AF0" w:rsidRPr="002A2844">
        <w:t>‘</w:t>
      </w:r>
      <w:r w:rsidR="004B2912" w:rsidRPr="002A2844">
        <w:t xml:space="preserve">Roper </w:t>
      </w:r>
      <w:r w:rsidR="00D91305" w:rsidRPr="002A2844">
        <w:t>v</w:t>
      </w:r>
      <w:r w:rsidR="004B2912" w:rsidRPr="002A2844">
        <w:t xml:space="preserve"> Knott</w:t>
      </w:r>
      <w:r w:rsidR="00E06AF0" w:rsidRPr="002A2844">
        <w:t>’</w:t>
      </w:r>
      <w:r w:rsidR="004B2912" w:rsidRPr="002A2844">
        <w:t xml:space="preserve"> (1898) tells us that property need not be rendered useless and may still be fit for its purpose however its value being impaired will suffice as damage, Vinnie scratching Louise’s car may not render it unfit for purpose however will decrease the value of the car sufficing for damage. Under section 10(1) of the </w:t>
      </w:r>
      <w:r w:rsidR="00650359" w:rsidRPr="002A2844">
        <w:t>C</w:t>
      </w:r>
      <w:r w:rsidR="004B2912" w:rsidRPr="002A2844">
        <w:t xml:space="preserve">riminal </w:t>
      </w:r>
      <w:r w:rsidR="00650359" w:rsidRPr="002A2844">
        <w:t>D</w:t>
      </w:r>
      <w:r w:rsidR="004B2912" w:rsidRPr="002A2844">
        <w:t xml:space="preserve">amage </w:t>
      </w:r>
      <w:r w:rsidR="00650359" w:rsidRPr="002A2844">
        <w:t>A</w:t>
      </w:r>
      <w:r w:rsidR="004B2912" w:rsidRPr="002A2844">
        <w:t xml:space="preserve">ct </w:t>
      </w:r>
      <w:r w:rsidR="00723B96" w:rsidRPr="002A2844">
        <w:t>(</w:t>
      </w:r>
      <w:r w:rsidR="004B2912" w:rsidRPr="002A2844">
        <w:t>1971</w:t>
      </w:r>
      <w:r w:rsidR="00723B96" w:rsidRPr="002A2844">
        <w:t>)</w:t>
      </w:r>
      <w:r w:rsidR="004B2912" w:rsidRPr="002A2844">
        <w:t xml:space="preserve"> property</w:t>
      </w:r>
      <w:r w:rsidR="0021548D" w:rsidRPr="002A2844">
        <w:t xml:space="preserve"> as supported by </w:t>
      </w:r>
      <w:r w:rsidR="00E06AF0" w:rsidRPr="002A2844">
        <w:t>‘</w:t>
      </w:r>
      <w:r w:rsidR="0021548D" w:rsidRPr="002A2844">
        <w:t>Currie v DPP</w:t>
      </w:r>
      <w:r w:rsidR="00E06AF0" w:rsidRPr="002A2844">
        <w:t>’</w:t>
      </w:r>
      <w:r w:rsidR="0021548D" w:rsidRPr="002A2844">
        <w:t xml:space="preserve"> (2006)</w:t>
      </w:r>
      <w:r w:rsidR="004B2912" w:rsidRPr="002A2844">
        <w:t xml:space="preserve"> is defined by </w:t>
      </w:r>
      <w:r w:rsidR="0021548D" w:rsidRPr="002A2844">
        <w:t>real</w:t>
      </w:r>
      <w:r w:rsidR="004B2912" w:rsidRPr="002A2844">
        <w:t xml:space="preserve"> items, and others, Louise’s car </w:t>
      </w:r>
      <w:r w:rsidR="0021548D" w:rsidRPr="002A2844">
        <w:t>would suffice as it is</w:t>
      </w:r>
      <w:r w:rsidR="004B2912" w:rsidRPr="002A2844">
        <w:t xml:space="preserve"> real. The final element of the actus reus is belonging to another s10(2) of the </w:t>
      </w:r>
      <w:r w:rsidR="00650359" w:rsidRPr="002A2844">
        <w:t>C</w:t>
      </w:r>
      <w:r w:rsidR="004B2912" w:rsidRPr="002A2844">
        <w:t xml:space="preserve">riminal </w:t>
      </w:r>
      <w:r w:rsidR="00650359" w:rsidRPr="002A2844">
        <w:t>D</w:t>
      </w:r>
      <w:r w:rsidR="004B2912" w:rsidRPr="002A2844">
        <w:t xml:space="preserve">amage </w:t>
      </w:r>
      <w:r w:rsidR="00650359" w:rsidRPr="002A2844">
        <w:t>A</w:t>
      </w:r>
      <w:r w:rsidR="004B2912" w:rsidRPr="002A2844">
        <w:t xml:space="preserve">ct </w:t>
      </w:r>
      <w:r w:rsidR="00DB7BC1" w:rsidRPr="002A2844">
        <w:t>(</w:t>
      </w:r>
      <w:r w:rsidR="004B2912" w:rsidRPr="002A2844">
        <w:t>1971</w:t>
      </w:r>
      <w:r w:rsidR="00DB7BC1" w:rsidRPr="002A2844">
        <w:t>)</w:t>
      </w:r>
      <w:r w:rsidR="009A27C6" w:rsidRPr="002A2844">
        <w:t xml:space="preserve">, the property belongs to Louise </w:t>
      </w:r>
      <w:r w:rsidR="00650359" w:rsidRPr="002A2844">
        <w:t xml:space="preserve">and therefore is </w:t>
      </w:r>
      <w:r w:rsidR="009A27C6" w:rsidRPr="002A2844">
        <w:t xml:space="preserve">belonging to another. Vinnie has therefore met all the requirements of the actus reus of criminal damage. The </w:t>
      </w:r>
      <w:r w:rsidR="009A27C6" w:rsidRPr="002A2844">
        <w:lastRenderedPageBreak/>
        <w:t xml:space="preserve">mens rea of criminal damage s1(1) of the </w:t>
      </w:r>
      <w:r w:rsidR="00650359" w:rsidRPr="002A2844">
        <w:t>C</w:t>
      </w:r>
      <w:r w:rsidR="009A27C6" w:rsidRPr="002A2844">
        <w:t xml:space="preserve">riminal </w:t>
      </w:r>
      <w:r w:rsidR="00650359" w:rsidRPr="002A2844">
        <w:t>D</w:t>
      </w:r>
      <w:r w:rsidR="009A27C6" w:rsidRPr="002A2844">
        <w:t xml:space="preserve">amage </w:t>
      </w:r>
      <w:r w:rsidR="00650359" w:rsidRPr="002A2844">
        <w:t>A</w:t>
      </w:r>
      <w:r w:rsidR="009A27C6" w:rsidRPr="002A2844">
        <w:t xml:space="preserve">ct </w:t>
      </w:r>
      <w:r w:rsidR="00DB7BC1" w:rsidRPr="002A2844">
        <w:t>(</w:t>
      </w:r>
      <w:r w:rsidR="009A27C6" w:rsidRPr="002A2844">
        <w:t>1971</w:t>
      </w:r>
      <w:r w:rsidR="00DB7BC1" w:rsidRPr="002A2844">
        <w:t>)</w:t>
      </w:r>
      <w:r w:rsidR="009A27C6" w:rsidRPr="002A2844">
        <w:t xml:space="preserve"> is the intent to destroy or damage property or be reckless to this and know or be reckless to the fact that the damage or destruction is to property to another. Vinnie has direct intention to damage Louise’s car as it was his aim to scratch the car with his keys causing visible damage, secondly Vinnie knew the car belonged to Louise and was therefore aware that the property belonged to another, Vinnie has met both the actus reus and the mens rea of criminal damage and therefore will be criminally liable for this offence.</w:t>
      </w:r>
    </w:p>
    <w:p w14:paraId="2C4C94E8" w14:textId="28C7AF40" w:rsidR="00DA12CD" w:rsidRPr="002A2844" w:rsidRDefault="00DA12CD" w:rsidP="002A2844">
      <w:pPr>
        <w:spacing w:line="360" w:lineRule="auto"/>
        <w:rPr>
          <w:u w:val="single"/>
        </w:rPr>
      </w:pPr>
    </w:p>
    <w:p w14:paraId="29A0DDFC" w14:textId="218D4C51" w:rsidR="005940A7" w:rsidRPr="002A2844" w:rsidRDefault="00CC3FFF" w:rsidP="002A2844">
      <w:pPr>
        <w:spacing w:line="360" w:lineRule="auto"/>
        <w:rPr>
          <w:i/>
          <w:iCs/>
        </w:rPr>
      </w:pPr>
      <w:r w:rsidRPr="002A2844">
        <w:t xml:space="preserve">The third offence </w:t>
      </w:r>
      <w:r w:rsidR="00723B96" w:rsidRPr="002A2844">
        <w:t>V</w:t>
      </w:r>
      <w:r w:rsidRPr="002A2844">
        <w:t xml:space="preserve">innie could be criminally liable for is </w:t>
      </w:r>
      <w:r w:rsidR="005940A7" w:rsidRPr="002A2844">
        <w:t xml:space="preserve">assault s39 of the </w:t>
      </w:r>
      <w:r w:rsidR="00650359" w:rsidRPr="002A2844">
        <w:t>C</w:t>
      </w:r>
      <w:r w:rsidR="005940A7" w:rsidRPr="002A2844">
        <w:t xml:space="preserve">riminal </w:t>
      </w:r>
      <w:r w:rsidR="00650359" w:rsidRPr="002A2844">
        <w:t>J</w:t>
      </w:r>
      <w:r w:rsidR="005940A7" w:rsidRPr="002A2844">
        <w:t>ustice Act (1988) which states that ‘</w:t>
      </w:r>
      <w:r w:rsidR="005940A7" w:rsidRPr="002A2844">
        <w:rPr>
          <w:color w:val="000000" w:themeColor="text1"/>
        </w:rPr>
        <w:t>D</w:t>
      </w:r>
      <w:r w:rsidR="00760252" w:rsidRPr="002A2844">
        <w:rPr>
          <w:color w:val="000000" w:themeColor="text1"/>
        </w:rPr>
        <w:t>efendant</w:t>
      </w:r>
      <w:r w:rsidR="005940A7" w:rsidRPr="002A2844">
        <w:rPr>
          <w:color w:val="000000" w:themeColor="text1"/>
        </w:rPr>
        <w:t xml:space="preserve"> commits an assault where he intentionally or recklessly causes </w:t>
      </w:r>
      <w:r w:rsidR="00760252" w:rsidRPr="002A2844">
        <w:rPr>
          <w:color w:val="000000" w:themeColor="text1"/>
        </w:rPr>
        <w:t>victim</w:t>
      </w:r>
      <w:r w:rsidR="005940A7" w:rsidRPr="002A2844">
        <w:rPr>
          <w:color w:val="000000" w:themeColor="text1"/>
        </w:rPr>
        <w:t xml:space="preserve"> to apprehend immediate unlawful personal violence’. The actus reus of assault </w:t>
      </w:r>
      <w:r w:rsidR="00007BD2" w:rsidRPr="002A2844">
        <w:rPr>
          <w:color w:val="000000" w:themeColor="text1"/>
        </w:rPr>
        <w:t xml:space="preserve">is </w:t>
      </w:r>
      <w:r w:rsidR="00760252" w:rsidRPr="002A2844">
        <w:rPr>
          <w:color w:val="000000" w:themeColor="text1"/>
        </w:rPr>
        <w:t>Defendant</w:t>
      </w:r>
      <w:r w:rsidR="005940A7" w:rsidRPr="002A2844">
        <w:rPr>
          <w:color w:val="000000" w:themeColor="text1"/>
        </w:rPr>
        <w:t xml:space="preserve"> causes </w:t>
      </w:r>
      <w:r w:rsidR="00760252" w:rsidRPr="002A2844">
        <w:rPr>
          <w:color w:val="000000" w:themeColor="text1"/>
        </w:rPr>
        <w:t>victim</w:t>
      </w:r>
      <w:r w:rsidR="005940A7" w:rsidRPr="002A2844">
        <w:rPr>
          <w:color w:val="000000" w:themeColor="text1"/>
        </w:rPr>
        <w:t xml:space="preserve"> to apprehend immediate unlawful personal violence, </w:t>
      </w:r>
      <w:r w:rsidR="00BD6C64" w:rsidRPr="002A2844">
        <w:rPr>
          <w:color w:val="000000" w:themeColor="text1"/>
        </w:rPr>
        <w:t xml:space="preserve">the first part </w:t>
      </w:r>
      <w:r w:rsidR="00760252" w:rsidRPr="002A2844">
        <w:rPr>
          <w:color w:val="000000" w:themeColor="text1"/>
        </w:rPr>
        <w:t>defendant</w:t>
      </w:r>
      <w:r w:rsidR="00BD6C64" w:rsidRPr="002A2844">
        <w:rPr>
          <w:color w:val="000000" w:themeColor="text1"/>
        </w:rPr>
        <w:t xml:space="preserve"> meaning there must be some conduct on the </w:t>
      </w:r>
      <w:r w:rsidR="00007BD2" w:rsidRPr="002A2844">
        <w:rPr>
          <w:color w:val="000000" w:themeColor="text1"/>
        </w:rPr>
        <w:t>defendant’s</w:t>
      </w:r>
      <w:r w:rsidR="00BD6C64" w:rsidRPr="002A2844">
        <w:rPr>
          <w:color w:val="000000" w:themeColor="text1"/>
        </w:rPr>
        <w:t xml:space="preserve"> part,</w:t>
      </w:r>
      <w:r w:rsidR="00E06AF0" w:rsidRPr="002A2844">
        <w:rPr>
          <w:color w:val="000000" w:themeColor="text1"/>
        </w:rPr>
        <w:t>’</w:t>
      </w:r>
      <w:r w:rsidR="00BD6C64" w:rsidRPr="002A2844">
        <w:rPr>
          <w:color w:val="000000" w:themeColor="text1"/>
        </w:rPr>
        <w:t xml:space="preserve"> Meade </w:t>
      </w:r>
      <w:r w:rsidR="00020E7B" w:rsidRPr="002A2844">
        <w:rPr>
          <w:color w:val="000000" w:themeColor="text1"/>
        </w:rPr>
        <w:t>v B</w:t>
      </w:r>
      <w:r w:rsidR="00BD6C64" w:rsidRPr="002A2844">
        <w:rPr>
          <w:color w:val="000000" w:themeColor="text1"/>
        </w:rPr>
        <w:t>elt</w:t>
      </w:r>
      <w:r w:rsidR="00E06AF0" w:rsidRPr="002A2844">
        <w:rPr>
          <w:color w:val="000000" w:themeColor="text1"/>
        </w:rPr>
        <w:t>’</w:t>
      </w:r>
      <w:r w:rsidR="00BD6C64" w:rsidRPr="002A2844">
        <w:rPr>
          <w:color w:val="000000" w:themeColor="text1"/>
        </w:rPr>
        <w:t xml:space="preserve"> (1823) tells us that the conduct elements </w:t>
      </w:r>
      <w:r w:rsidR="00C701F7" w:rsidRPr="002A2844">
        <w:rPr>
          <w:color w:val="000000" w:themeColor="text1"/>
        </w:rPr>
        <w:t>require</w:t>
      </w:r>
      <w:r w:rsidR="00BD6C64" w:rsidRPr="002A2844">
        <w:rPr>
          <w:color w:val="000000" w:themeColor="text1"/>
        </w:rPr>
        <w:t xml:space="preserve"> the defendant a gesture of physical act, </w:t>
      </w:r>
      <w:r w:rsidR="004267FE" w:rsidRPr="002A2844">
        <w:rPr>
          <w:color w:val="000000" w:themeColor="text1"/>
        </w:rPr>
        <w:t>in</w:t>
      </w:r>
      <w:r w:rsidR="00BD6C64" w:rsidRPr="002A2844">
        <w:rPr>
          <w:color w:val="000000" w:themeColor="text1"/>
        </w:rPr>
        <w:t xml:space="preserve"> this scenario it’s Vinnie telling the officer to get away from the door or he</w:t>
      </w:r>
      <w:r w:rsidR="00B456BE" w:rsidRPr="002A2844">
        <w:rPr>
          <w:color w:val="000000" w:themeColor="text1"/>
        </w:rPr>
        <w:t xml:space="preserve"> wi</w:t>
      </w:r>
      <w:r w:rsidR="00BD6C64" w:rsidRPr="002A2844">
        <w:rPr>
          <w:color w:val="000000" w:themeColor="text1"/>
        </w:rPr>
        <w:t>ll shoot. The apprehension of immediate unlawful personal violence meaning the defendant would typically fear that something unpleasant will happen immediately, in this case it would be the officers fear that Vinnie will shoot him. Thus, meaning that Vinnie meats the actus reus of assaul</w:t>
      </w:r>
      <w:r w:rsidR="00124710" w:rsidRPr="002A2844">
        <w:rPr>
          <w:color w:val="000000" w:themeColor="text1"/>
        </w:rPr>
        <w:t xml:space="preserve">t as the case </w:t>
      </w:r>
      <w:r w:rsidR="00E06AF0" w:rsidRPr="002A2844">
        <w:rPr>
          <w:color w:val="000000" w:themeColor="text1"/>
        </w:rPr>
        <w:t>‘</w:t>
      </w:r>
      <w:r w:rsidR="008D2873" w:rsidRPr="002A2844">
        <w:rPr>
          <w:color w:val="000000" w:themeColor="text1"/>
        </w:rPr>
        <w:t xml:space="preserve">R v </w:t>
      </w:r>
      <w:r w:rsidR="00124710" w:rsidRPr="002A2844">
        <w:rPr>
          <w:color w:val="000000" w:themeColor="text1"/>
        </w:rPr>
        <w:t>Constanza</w:t>
      </w:r>
      <w:r w:rsidR="00E06AF0" w:rsidRPr="002A2844">
        <w:rPr>
          <w:color w:val="000000" w:themeColor="text1"/>
        </w:rPr>
        <w:t>’</w:t>
      </w:r>
      <w:r w:rsidR="00124710" w:rsidRPr="002A2844">
        <w:rPr>
          <w:color w:val="000000" w:themeColor="text1"/>
        </w:rPr>
        <w:t xml:space="preserve"> (1997) demonstrates that in this case with the chain of causation intact </w:t>
      </w:r>
      <w:r w:rsidR="00723B96" w:rsidRPr="002A2844">
        <w:rPr>
          <w:color w:val="000000" w:themeColor="text1"/>
        </w:rPr>
        <w:t>V</w:t>
      </w:r>
      <w:r w:rsidR="00124710" w:rsidRPr="002A2844">
        <w:rPr>
          <w:color w:val="000000" w:themeColor="text1"/>
        </w:rPr>
        <w:t>innie would be the factual and legal cause.</w:t>
      </w:r>
      <w:r w:rsidR="00124710" w:rsidRPr="002A2844">
        <w:rPr>
          <w:i/>
          <w:iCs/>
        </w:rPr>
        <w:t xml:space="preserve"> </w:t>
      </w:r>
      <w:r w:rsidR="00BD6C64" w:rsidRPr="002A2844">
        <w:rPr>
          <w:color w:val="000000" w:themeColor="text1"/>
        </w:rPr>
        <w:t xml:space="preserve">The mens rea of battery and assault being </w:t>
      </w:r>
      <w:r w:rsidR="00760252" w:rsidRPr="002A2844">
        <w:rPr>
          <w:color w:val="000000" w:themeColor="text1"/>
        </w:rPr>
        <w:t>defendant</w:t>
      </w:r>
      <w:r w:rsidR="00BD6C64" w:rsidRPr="002A2844">
        <w:rPr>
          <w:color w:val="000000" w:themeColor="text1"/>
        </w:rPr>
        <w:t xml:space="preserve"> intended or was reckless, </w:t>
      </w:r>
      <w:r w:rsidR="004267FE" w:rsidRPr="002A2844">
        <w:rPr>
          <w:color w:val="000000" w:themeColor="text1"/>
        </w:rPr>
        <w:t xml:space="preserve">as stated in the case </w:t>
      </w:r>
      <w:r w:rsidR="008D2873" w:rsidRPr="002A2844">
        <w:rPr>
          <w:color w:val="000000" w:themeColor="text1"/>
        </w:rPr>
        <w:t>assault</w:t>
      </w:r>
      <w:r w:rsidR="004267FE" w:rsidRPr="002A2844">
        <w:rPr>
          <w:color w:val="000000" w:themeColor="text1"/>
        </w:rPr>
        <w:t xml:space="preserve"> must be caused by intention or was reckless and it cannot be committed on omission, </w:t>
      </w:r>
      <w:r w:rsidR="00BD6C64" w:rsidRPr="002A2844">
        <w:rPr>
          <w:color w:val="000000" w:themeColor="text1"/>
        </w:rPr>
        <w:t xml:space="preserve">it could be argued that it was Vinnies direct </w:t>
      </w:r>
      <w:r w:rsidR="00124710" w:rsidRPr="002A2844">
        <w:rPr>
          <w:color w:val="000000" w:themeColor="text1"/>
        </w:rPr>
        <w:t>intention</w:t>
      </w:r>
      <w:r w:rsidR="00BD6C64" w:rsidRPr="002A2844">
        <w:rPr>
          <w:color w:val="000000" w:themeColor="text1"/>
        </w:rPr>
        <w:t xml:space="preserve"> to </w:t>
      </w:r>
      <w:r w:rsidR="00124710" w:rsidRPr="002A2844">
        <w:rPr>
          <w:color w:val="000000" w:themeColor="text1"/>
        </w:rPr>
        <w:t>cause the officer to apprehend immediate unlawful person violence so that the officer would leave</w:t>
      </w:r>
      <w:r w:rsidR="00B456BE" w:rsidRPr="002A2844">
        <w:rPr>
          <w:color w:val="000000" w:themeColor="text1"/>
        </w:rPr>
        <w:t>, therefore meeting the requirements for assault, leaving Vinnie criminally liable for assault.</w:t>
      </w:r>
    </w:p>
    <w:p w14:paraId="64F706E4" w14:textId="01FFD202" w:rsidR="009C44E3" w:rsidRPr="002A2844" w:rsidRDefault="009C44E3" w:rsidP="002A2844">
      <w:pPr>
        <w:spacing w:line="360" w:lineRule="auto"/>
        <w:rPr>
          <w:u w:val="single"/>
        </w:rPr>
      </w:pPr>
    </w:p>
    <w:p w14:paraId="0410C483" w14:textId="73B23332" w:rsidR="00FE020B" w:rsidRPr="002A2844" w:rsidRDefault="00FE020B" w:rsidP="002A2844">
      <w:pPr>
        <w:spacing w:line="360" w:lineRule="auto"/>
      </w:pPr>
      <w:r w:rsidRPr="002A2844">
        <w:t>The last offence in which Vinnie could be criminally liable for is Murde</w:t>
      </w:r>
      <w:r w:rsidR="00D70C15" w:rsidRPr="002A2844">
        <w:t xml:space="preserve">r. Murder </w:t>
      </w:r>
      <w:r w:rsidR="00D70C15" w:rsidRPr="002A2844">
        <w:t>as a common law offen</w:t>
      </w:r>
      <w:r w:rsidR="00D70C15" w:rsidRPr="002A2844">
        <w:t>c</w:t>
      </w:r>
      <w:r w:rsidR="00D70C15" w:rsidRPr="002A2844">
        <w:t xml:space="preserve">e, is not explicitly defined under any act; however, its modern definition, supported by cases such as </w:t>
      </w:r>
      <w:r w:rsidR="00E06AF0" w:rsidRPr="002A2844">
        <w:t>‘</w:t>
      </w:r>
      <w:r w:rsidR="00D70C15" w:rsidRPr="002A2844">
        <w:t>R v Vickers</w:t>
      </w:r>
      <w:r w:rsidR="00E06AF0" w:rsidRPr="002A2844">
        <w:t>’</w:t>
      </w:r>
      <w:r w:rsidR="00D70C15" w:rsidRPr="002A2844">
        <w:t xml:space="preserve"> (19</w:t>
      </w:r>
      <w:r w:rsidR="008D2873" w:rsidRPr="002A2844">
        <w:t>75</w:t>
      </w:r>
      <w:r w:rsidR="00D70C15" w:rsidRPr="002A2844">
        <w:t>)</w:t>
      </w:r>
      <w:r w:rsidR="00D70C15" w:rsidRPr="002A2844">
        <w:t>, is the unlawful killing of another person under the king’s peace with the intention to kill or cause grievous bodily harm.</w:t>
      </w:r>
      <w:r w:rsidRPr="002A2844">
        <w:t xml:space="preserve"> </w:t>
      </w:r>
      <w:r w:rsidR="00D70C15" w:rsidRPr="002A2844">
        <w:t>I</w:t>
      </w:r>
      <w:r w:rsidRPr="002A2844">
        <w:t>n Vinnies case he has no defence as he is not acting in a self-defence manner</w:t>
      </w:r>
      <w:r w:rsidR="00D70C15" w:rsidRPr="002A2844">
        <w:t xml:space="preserve"> and therefore is unlawful, secondly</w:t>
      </w:r>
      <w:r w:rsidRPr="002A2844">
        <w:t xml:space="preserve"> person refers to a human</w:t>
      </w:r>
      <w:r w:rsidR="00B456BE" w:rsidRPr="002A2844">
        <w:t xml:space="preserve"> who has been expelled from the womb and is </w:t>
      </w:r>
      <w:r w:rsidR="00B456BE" w:rsidRPr="002A2844">
        <w:lastRenderedPageBreak/>
        <w:t>not brain dead</w:t>
      </w:r>
      <w:r w:rsidRPr="002A2844">
        <w:t xml:space="preserve">, in the scenario the police officer would </w:t>
      </w:r>
      <w:r w:rsidR="00E63C46" w:rsidRPr="002A2844">
        <w:t>constitute as a person</w:t>
      </w:r>
      <w:r w:rsidRPr="002A2844">
        <w:t xml:space="preserve">. Under the </w:t>
      </w:r>
      <w:r w:rsidR="00E135AC" w:rsidRPr="002A2844">
        <w:t>king’s</w:t>
      </w:r>
      <w:r w:rsidRPr="002A2844">
        <w:t xml:space="preserve"> peace refers to </w:t>
      </w:r>
      <w:r w:rsidR="00E135AC" w:rsidRPr="002A2844">
        <w:t xml:space="preserve">killings such as enemy soldiers in war time, which in Vinnies case was not relevant and therefore was under the </w:t>
      </w:r>
      <w:r w:rsidR="002D388F" w:rsidRPr="002A2844">
        <w:t>king’s</w:t>
      </w:r>
      <w:r w:rsidR="00E135AC" w:rsidRPr="002A2844">
        <w:t xml:space="preserve"> peace</w:t>
      </w:r>
      <w:r w:rsidR="001B5C94" w:rsidRPr="002A2844">
        <w:t xml:space="preserve"> as supported by the case </w:t>
      </w:r>
      <w:r w:rsidR="00E06AF0" w:rsidRPr="002A2844">
        <w:t>‘</w:t>
      </w:r>
      <w:r w:rsidR="001B5C94" w:rsidRPr="002A2844">
        <w:t>Gibbins and Proct</w:t>
      </w:r>
      <w:r w:rsidR="008D2873" w:rsidRPr="002A2844">
        <w:t>o</w:t>
      </w:r>
      <w:r w:rsidR="001B5C94" w:rsidRPr="002A2844">
        <w:t>r</w:t>
      </w:r>
      <w:r w:rsidR="00E06AF0" w:rsidRPr="002A2844">
        <w:t>’</w:t>
      </w:r>
      <w:r w:rsidR="001B5C94" w:rsidRPr="002A2844">
        <w:t xml:space="preserve"> (1918).</w:t>
      </w:r>
      <w:r w:rsidR="00E135AC" w:rsidRPr="002A2844">
        <w:t xml:space="preserve"> Thus, meaning Vinnie meets the actus reus of murder.</w:t>
      </w:r>
      <w:r w:rsidR="00E63C46" w:rsidRPr="002A2844">
        <w:t xml:space="preserve"> The mens rea of murder is the intent to kill or cause GBH, Vinnie pointing the gun through the letter box and shooting the gun at the police officer would constitute as intent</w:t>
      </w:r>
      <w:r w:rsidR="00B456BE" w:rsidRPr="002A2844">
        <w:t xml:space="preserve"> to kill</w:t>
      </w:r>
      <w:r w:rsidR="00C75254" w:rsidRPr="002A2844">
        <w:t xml:space="preserve"> as supported by the case </w:t>
      </w:r>
      <w:r w:rsidR="00E06AF0" w:rsidRPr="002A2844">
        <w:t>‘</w:t>
      </w:r>
      <w:r w:rsidR="00C75254" w:rsidRPr="002A2844">
        <w:t>R v Cunningham</w:t>
      </w:r>
      <w:r w:rsidR="00E06AF0" w:rsidRPr="002A2844">
        <w:t>’</w:t>
      </w:r>
      <w:r w:rsidR="00C75254" w:rsidRPr="002A2844">
        <w:t xml:space="preserve"> (1982)</w:t>
      </w:r>
      <w:r w:rsidR="00E63C46" w:rsidRPr="002A2844">
        <w:t xml:space="preserve"> although Vinnie intended to kill the police officer however kills Mrs Quinn therefore not meeting the mens rea of murder as he did not intend on killing Mrs Quinn. </w:t>
      </w:r>
      <w:r w:rsidR="001B5C94" w:rsidRPr="002A2844">
        <w:t>Transferred malice, a fundamental concept in criminal law, enables the transfer of intention or malice from an intended victim to an unintended one. In the context of Vinnie's actions, although his initial intent was directed towards the police officer, the harm caused to Mrs. Quinn could be considered as a result of transferred malic</w:t>
      </w:r>
      <w:r w:rsidR="001B5C94" w:rsidRPr="002A2844">
        <w:t>e</w:t>
      </w:r>
      <w:r w:rsidR="001B5C94" w:rsidRPr="002A2844">
        <w:t xml:space="preserve">, exemplified by </w:t>
      </w:r>
      <w:r w:rsidR="001B5C94" w:rsidRPr="002A2844">
        <w:t>the case</w:t>
      </w:r>
      <w:r w:rsidR="001B5C94" w:rsidRPr="002A2844">
        <w:t xml:space="preserve"> </w:t>
      </w:r>
      <w:r w:rsidR="00E06AF0" w:rsidRPr="002A2844">
        <w:t>‘</w:t>
      </w:r>
      <w:r w:rsidR="007C4BBC" w:rsidRPr="002A2844">
        <w:t>R v</w:t>
      </w:r>
      <w:r w:rsidR="001B5C94" w:rsidRPr="002A2844">
        <w:t xml:space="preserve"> Latimer</w:t>
      </w:r>
      <w:r w:rsidR="00E06AF0" w:rsidRPr="002A2844">
        <w:t>’</w:t>
      </w:r>
      <w:r w:rsidR="001B5C94" w:rsidRPr="002A2844">
        <w:t xml:space="preserve"> (1886</w:t>
      </w:r>
      <w:r w:rsidR="001B5C94" w:rsidRPr="002A2844">
        <w:t xml:space="preserve">). </w:t>
      </w:r>
      <w:r w:rsidR="001B5C94" w:rsidRPr="002A2844">
        <w:t>Consequently, Vinnie might face criminal liability for murder because of the transferred intent, as his conduct resulted in Mrs. Quinn's demise.</w:t>
      </w:r>
    </w:p>
    <w:p w14:paraId="248DFB37" w14:textId="7ACA10AD" w:rsidR="00B67AD5" w:rsidRPr="002A2844" w:rsidRDefault="00B67AD5" w:rsidP="002A2844">
      <w:pPr>
        <w:spacing w:line="360" w:lineRule="auto"/>
      </w:pPr>
    </w:p>
    <w:p w14:paraId="532532EE" w14:textId="2CF3480C" w:rsidR="00650359" w:rsidRDefault="00650359" w:rsidP="002A2844">
      <w:pPr>
        <w:spacing w:line="360" w:lineRule="auto"/>
      </w:pPr>
      <w:r w:rsidRPr="002A2844">
        <w:t xml:space="preserve">To conclude Vinnie could be criminally liable for Burglary S9 of the Theft Act (1968), </w:t>
      </w:r>
      <w:r w:rsidR="00F71AC1" w:rsidRPr="002A2844">
        <w:t xml:space="preserve">Basic </w:t>
      </w:r>
      <w:r w:rsidRPr="002A2844">
        <w:t xml:space="preserve">criminal damage </w:t>
      </w:r>
      <w:r w:rsidRPr="002A2844">
        <w:rPr>
          <w:color w:val="000000" w:themeColor="text1"/>
        </w:rPr>
        <w:t>s</w:t>
      </w:r>
      <w:r w:rsidRPr="002A2844">
        <w:rPr>
          <w:color w:val="000000" w:themeColor="text1"/>
        </w:rPr>
        <w:t>1 of the Criminal Damage Act (1971)</w:t>
      </w:r>
      <w:r w:rsidRPr="002A2844">
        <w:rPr>
          <w:color w:val="000000" w:themeColor="text1"/>
        </w:rPr>
        <w:t xml:space="preserve">, Assault </w:t>
      </w:r>
      <w:r w:rsidRPr="002A2844">
        <w:t>s39 of the Criminal Justice Act (1988)</w:t>
      </w:r>
      <w:r w:rsidRPr="002A2844">
        <w:t xml:space="preserve"> and Murder</w:t>
      </w:r>
      <w:r w:rsidR="001B5C94" w:rsidRPr="002A2844">
        <w:t>.</w:t>
      </w:r>
    </w:p>
    <w:p w14:paraId="4B50CB64" w14:textId="5E172603" w:rsidR="00B67AD5" w:rsidRDefault="00B67AD5" w:rsidP="00A90B34">
      <w:pPr>
        <w:spacing w:line="360" w:lineRule="auto"/>
      </w:pPr>
    </w:p>
    <w:p w14:paraId="391A2FFC" w14:textId="0B7D49D9" w:rsidR="00B67AD5" w:rsidRDefault="00B67AD5" w:rsidP="00A90B34">
      <w:pPr>
        <w:spacing w:line="360" w:lineRule="auto"/>
      </w:pPr>
    </w:p>
    <w:p w14:paraId="6086B8BC" w14:textId="2B69F943" w:rsidR="00F71AC1" w:rsidRDefault="00F71AC1" w:rsidP="00A90B34">
      <w:pPr>
        <w:spacing w:line="360" w:lineRule="auto"/>
      </w:pPr>
    </w:p>
    <w:p w14:paraId="1B8C4793" w14:textId="464B7979" w:rsidR="00F71AC1" w:rsidRDefault="00F71AC1" w:rsidP="00A90B34">
      <w:pPr>
        <w:spacing w:line="360" w:lineRule="auto"/>
      </w:pPr>
    </w:p>
    <w:p w14:paraId="587FE003" w14:textId="3CC1B0C0" w:rsidR="00077A47" w:rsidRDefault="00077A47" w:rsidP="00A90B34">
      <w:pPr>
        <w:spacing w:line="360" w:lineRule="auto"/>
      </w:pPr>
    </w:p>
    <w:p w14:paraId="6DA69189" w14:textId="2A2A222B" w:rsidR="00077A47" w:rsidRDefault="00077A47" w:rsidP="00A90B34">
      <w:pPr>
        <w:spacing w:line="360" w:lineRule="auto"/>
      </w:pPr>
    </w:p>
    <w:p w14:paraId="2D6D8697" w14:textId="5DD126D2" w:rsidR="00077A47" w:rsidRDefault="00077A47" w:rsidP="00A90B34">
      <w:pPr>
        <w:spacing w:line="360" w:lineRule="auto"/>
      </w:pPr>
    </w:p>
    <w:p w14:paraId="3BCB2992" w14:textId="7C06935D" w:rsidR="00077A47" w:rsidRDefault="00077A47" w:rsidP="00A90B34">
      <w:pPr>
        <w:spacing w:line="360" w:lineRule="auto"/>
      </w:pPr>
    </w:p>
    <w:p w14:paraId="23504202" w14:textId="59011DDE" w:rsidR="00077A47" w:rsidRDefault="00077A47" w:rsidP="00A90B34">
      <w:pPr>
        <w:spacing w:line="360" w:lineRule="auto"/>
      </w:pPr>
    </w:p>
    <w:p w14:paraId="1AE3B102" w14:textId="2C0A47A9" w:rsidR="00077A47" w:rsidRDefault="00077A47" w:rsidP="00A90B34">
      <w:pPr>
        <w:spacing w:line="360" w:lineRule="auto"/>
      </w:pPr>
    </w:p>
    <w:p w14:paraId="216BDF23" w14:textId="425BF2CB" w:rsidR="00077A47" w:rsidRDefault="00077A47" w:rsidP="00A90B34">
      <w:pPr>
        <w:spacing w:line="360" w:lineRule="auto"/>
      </w:pPr>
    </w:p>
    <w:p w14:paraId="5C7E2E9C" w14:textId="6FCF00D8" w:rsidR="00077A47" w:rsidRDefault="00077A47" w:rsidP="00A90B34">
      <w:pPr>
        <w:spacing w:line="360" w:lineRule="auto"/>
      </w:pPr>
    </w:p>
    <w:p w14:paraId="73604711" w14:textId="77777777" w:rsidR="00077A47" w:rsidRDefault="00077A47" w:rsidP="00A90B34">
      <w:pPr>
        <w:spacing w:line="360" w:lineRule="auto"/>
      </w:pPr>
    </w:p>
    <w:p w14:paraId="498C53AF" w14:textId="27734A00" w:rsidR="00F71AC1" w:rsidRDefault="00F71AC1" w:rsidP="00A90B34">
      <w:pPr>
        <w:spacing w:line="360" w:lineRule="auto"/>
      </w:pPr>
    </w:p>
    <w:p w14:paraId="6C6F59D8" w14:textId="39FCB293" w:rsidR="00F71AC1" w:rsidRDefault="00F71AC1" w:rsidP="00A90B34">
      <w:pPr>
        <w:spacing w:line="360" w:lineRule="auto"/>
        <w:rPr>
          <w:u w:val="single"/>
        </w:rPr>
      </w:pPr>
      <w:r w:rsidRPr="00F71AC1">
        <w:rPr>
          <w:u w:val="single"/>
        </w:rPr>
        <w:lastRenderedPageBreak/>
        <w:t>Reference list</w:t>
      </w:r>
    </w:p>
    <w:p w14:paraId="06A0D63A" w14:textId="04D92D3D" w:rsidR="00984AC2" w:rsidRDefault="00984AC2" w:rsidP="00984AC2">
      <w:pPr>
        <w:spacing w:line="360" w:lineRule="auto"/>
      </w:pPr>
      <w:r>
        <w:t xml:space="preserve">‘Chamberlain v Lindon’ (1998) </w:t>
      </w:r>
      <w:r w:rsidRPr="0021548D">
        <w:rPr>
          <w:i/>
          <w:iCs/>
        </w:rPr>
        <w:t>WLR,</w:t>
      </w:r>
      <w:r>
        <w:t xml:space="preserve"> 1252.</w:t>
      </w:r>
    </w:p>
    <w:p w14:paraId="661801C4" w14:textId="77777777" w:rsidR="00984AC2" w:rsidRDefault="00984AC2" w:rsidP="00984AC2">
      <w:pPr>
        <w:spacing w:line="360" w:lineRule="auto"/>
        <w:rPr>
          <w:color w:val="000000" w:themeColor="text1"/>
        </w:rPr>
      </w:pPr>
      <w:r w:rsidRPr="00984AC2">
        <w:rPr>
          <w:i/>
          <w:iCs/>
          <w:color w:val="000000" w:themeColor="text1"/>
        </w:rPr>
        <w:t>Criminal Damage Act</w:t>
      </w:r>
      <w:r>
        <w:rPr>
          <w:color w:val="000000" w:themeColor="text1"/>
        </w:rPr>
        <w:t xml:space="preserve"> 1971, Available at:</w:t>
      </w:r>
      <w:r w:rsidRPr="00984AC2">
        <w:t xml:space="preserve"> </w:t>
      </w:r>
      <w:hyperlink r:id="rId8" w:history="1">
        <w:r w:rsidRPr="00941B44">
          <w:rPr>
            <w:rStyle w:val="Hyperlink"/>
          </w:rPr>
          <w:t>https://www.legislation.gov.uk/ukpga/1971/48/contents</w:t>
        </w:r>
      </w:hyperlink>
      <w:r>
        <w:rPr>
          <w:color w:val="000000" w:themeColor="text1"/>
        </w:rPr>
        <w:t xml:space="preserve"> (Accessed:28 April 2024).</w:t>
      </w:r>
    </w:p>
    <w:p w14:paraId="7EC8A8BE" w14:textId="77777777" w:rsidR="00984AC2" w:rsidRDefault="00984AC2" w:rsidP="00984AC2">
      <w:pPr>
        <w:spacing w:line="360" w:lineRule="auto"/>
        <w:rPr>
          <w:color w:val="000000" w:themeColor="text1"/>
        </w:rPr>
      </w:pPr>
      <w:r w:rsidRPr="00984AC2">
        <w:rPr>
          <w:i/>
          <w:iCs/>
        </w:rPr>
        <w:t>Criminal Justice Act</w:t>
      </w:r>
      <w:r>
        <w:t xml:space="preserve"> 1988, Available at: </w:t>
      </w:r>
      <w:hyperlink r:id="rId9" w:history="1">
        <w:r w:rsidRPr="00941B44">
          <w:rPr>
            <w:rStyle w:val="Hyperlink"/>
          </w:rPr>
          <w:t>https://www.legislation.gov.uk/ukpga/1988/33/contents</w:t>
        </w:r>
      </w:hyperlink>
      <w:r>
        <w:t xml:space="preserve"> (Accessed: 28 April 2024).</w:t>
      </w:r>
    </w:p>
    <w:p w14:paraId="4904C5F5" w14:textId="7A95DC60" w:rsidR="00984AC2" w:rsidRDefault="00984AC2" w:rsidP="00984AC2">
      <w:pPr>
        <w:spacing w:line="360" w:lineRule="auto"/>
      </w:pPr>
      <w:r>
        <w:t xml:space="preserve">‘Currie v DPP’ (2006) </w:t>
      </w:r>
      <w:r w:rsidRPr="0021548D">
        <w:rPr>
          <w:i/>
          <w:iCs/>
        </w:rPr>
        <w:t>EWHC,</w:t>
      </w:r>
      <w:r>
        <w:t xml:space="preserve"> 3379, Lexis Plus UK. Available at:</w:t>
      </w:r>
      <w:r w:rsidRPr="0021548D">
        <w:t xml:space="preserve"> </w:t>
      </w:r>
      <w:hyperlink r:id="rId10" w:history="1">
        <w:r w:rsidRPr="00941B44">
          <w:rPr>
            <w:rStyle w:val="Hyperlink"/>
          </w:rPr>
          <w:t>https://plus-lexis-com.ezproxy.uwtsd.ac.uk/uk/cases-uk/currie-v-dpp-sub-nom-cresswell-v-dpp-currie-v/?crid=0fefd611-21f5-48a8-807d-220bfb7682bc</w:t>
        </w:r>
      </w:hyperlink>
      <w:r>
        <w:t xml:space="preserve"> (Accessed: 28 April 2024).</w:t>
      </w:r>
    </w:p>
    <w:p w14:paraId="090763D5" w14:textId="4A835941" w:rsidR="00984AC2" w:rsidRDefault="00984AC2" w:rsidP="00984AC2">
      <w:pPr>
        <w:spacing w:line="360" w:lineRule="auto"/>
        <w:rPr>
          <w:rFonts w:cstheme="minorHAnsi"/>
          <w:color w:val="1E1E1E"/>
          <w:shd w:val="clear" w:color="auto" w:fill="FFFFFF"/>
        </w:rPr>
      </w:pPr>
      <w:r w:rsidRPr="00044750">
        <w:t>‘</w:t>
      </w:r>
      <w:r w:rsidRPr="00044750">
        <w:rPr>
          <w:rFonts w:cstheme="minorHAnsi"/>
          <w:color w:val="1E1E1E"/>
          <w:shd w:val="clear" w:color="auto" w:fill="FFFFFF"/>
        </w:rPr>
        <w:t>Ivey v Genting Casino UK Ltd’</w:t>
      </w:r>
      <w:r>
        <w:rPr>
          <w:rFonts w:cstheme="minorHAnsi"/>
          <w:color w:val="1E1E1E"/>
          <w:shd w:val="clear" w:color="auto" w:fill="FFFFFF"/>
        </w:rPr>
        <w:t xml:space="preserve"> (2017) </w:t>
      </w:r>
      <w:r w:rsidRPr="00044750">
        <w:rPr>
          <w:rFonts w:cstheme="minorHAnsi"/>
          <w:i/>
          <w:iCs/>
          <w:color w:val="1E1E1E"/>
          <w:shd w:val="clear" w:color="auto" w:fill="FFFFFF"/>
        </w:rPr>
        <w:t>EWCA Civ,</w:t>
      </w:r>
      <w:r>
        <w:rPr>
          <w:rFonts w:cstheme="minorHAnsi"/>
          <w:color w:val="1E1E1E"/>
          <w:shd w:val="clear" w:color="auto" w:fill="FFFFFF"/>
        </w:rPr>
        <w:t xml:space="preserve"> 1093, Lexis Plus UK. Available at: </w:t>
      </w:r>
      <w:hyperlink r:id="rId11" w:history="1">
        <w:r w:rsidRPr="00941B44">
          <w:rPr>
            <w:rStyle w:val="Hyperlink"/>
            <w:rFonts w:cstheme="minorHAnsi"/>
            <w:shd w:val="clear" w:color="auto" w:fill="FFFFFF"/>
          </w:rPr>
          <w:t>https://plus-lexis-com.ezproxy.uwtsd.ac.uk/uk/cases-uk/ivey-v-genting-casinos-uk-ltd-trading-as-croc_5/?crid=dda24bac-492c-49f0-8106-c5c5f2211b1a</w:t>
        </w:r>
      </w:hyperlink>
      <w:r>
        <w:rPr>
          <w:rFonts w:cstheme="minorHAnsi"/>
          <w:color w:val="1E1E1E"/>
          <w:shd w:val="clear" w:color="auto" w:fill="FFFFFF"/>
        </w:rPr>
        <w:t xml:space="preserve"> (Accessed: 28 April 2024).</w:t>
      </w:r>
    </w:p>
    <w:p w14:paraId="2D6AB1A0" w14:textId="77777777" w:rsidR="00984AC2" w:rsidRDefault="00984AC2" w:rsidP="00984AC2">
      <w:pPr>
        <w:spacing w:line="360" w:lineRule="auto"/>
      </w:pPr>
      <w:r>
        <w:t xml:space="preserve">‘Roper v Knott’ (1898) </w:t>
      </w:r>
      <w:r w:rsidRPr="0021548D">
        <w:rPr>
          <w:i/>
          <w:iCs/>
        </w:rPr>
        <w:t>QB,</w:t>
      </w:r>
      <w:r>
        <w:t xml:space="preserve"> 868.</w:t>
      </w:r>
    </w:p>
    <w:p w14:paraId="62B6EFF8" w14:textId="1F20DB22" w:rsidR="00984AC2" w:rsidRDefault="00984AC2" w:rsidP="00984AC2">
      <w:pPr>
        <w:spacing w:line="360" w:lineRule="auto"/>
      </w:pPr>
      <w:r>
        <w:t xml:space="preserve">‘R v Constanza’ (1997) </w:t>
      </w:r>
      <w:r w:rsidRPr="008D2873">
        <w:rPr>
          <w:i/>
          <w:iCs/>
        </w:rPr>
        <w:t>Crim LR</w:t>
      </w:r>
      <w:r>
        <w:t>, 576.</w:t>
      </w:r>
    </w:p>
    <w:p w14:paraId="1332BF10" w14:textId="686B1706" w:rsidR="00984AC2" w:rsidRDefault="00984AC2" w:rsidP="00984AC2">
      <w:pPr>
        <w:spacing w:line="360" w:lineRule="auto"/>
      </w:pPr>
      <w:r>
        <w:t xml:space="preserve">‘R v Cunningham’ (1982) </w:t>
      </w:r>
      <w:r w:rsidRPr="007C4BBC">
        <w:rPr>
          <w:i/>
          <w:iCs/>
        </w:rPr>
        <w:t>WLR</w:t>
      </w:r>
      <w:r>
        <w:t>, 223.</w:t>
      </w:r>
    </w:p>
    <w:p w14:paraId="33E92373" w14:textId="5E38BD48" w:rsidR="00984AC2" w:rsidRDefault="00984AC2" w:rsidP="00984AC2">
      <w:pPr>
        <w:spacing w:line="360" w:lineRule="auto"/>
      </w:pPr>
      <w:r>
        <w:t xml:space="preserve">‘R v </w:t>
      </w:r>
      <w:r w:rsidRPr="008D2873">
        <w:t>Fagan v Metropolitan police commissioner</w:t>
      </w:r>
      <w:r>
        <w:t>’ (</w:t>
      </w:r>
      <w:r w:rsidRPr="008D2873">
        <w:t>1969</w:t>
      </w:r>
      <w:r>
        <w:t xml:space="preserve">) </w:t>
      </w:r>
      <w:r w:rsidRPr="008D2873">
        <w:rPr>
          <w:i/>
          <w:iCs/>
        </w:rPr>
        <w:t>WLR,</w:t>
      </w:r>
      <w:r>
        <w:t xml:space="preserve"> 1120.</w:t>
      </w:r>
    </w:p>
    <w:p w14:paraId="41C24D5F" w14:textId="66E20BDB" w:rsidR="00984AC2" w:rsidRDefault="00984AC2" w:rsidP="00984AC2">
      <w:pPr>
        <w:spacing w:line="360" w:lineRule="auto"/>
      </w:pPr>
      <w:r>
        <w:t xml:space="preserve">‘R v Gibbins and Proctor’ (1918) </w:t>
      </w:r>
      <w:r w:rsidRPr="007C4BBC">
        <w:rPr>
          <w:i/>
          <w:iCs/>
        </w:rPr>
        <w:t>Cr App R,</w:t>
      </w:r>
      <w:r>
        <w:t xml:space="preserve"> 134.</w:t>
      </w:r>
    </w:p>
    <w:p w14:paraId="08EDC7FF" w14:textId="15FC07C6" w:rsidR="00984AC2" w:rsidRDefault="00984AC2" w:rsidP="00984AC2">
      <w:pPr>
        <w:spacing w:line="360" w:lineRule="auto"/>
      </w:pPr>
      <w:r>
        <w:t xml:space="preserve">‘R v Jones and Smith’ (1976) </w:t>
      </w:r>
      <w:r w:rsidRPr="00A14072">
        <w:rPr>
          <w:i/>
          <w:iCs/>
        </w:rPr>
        <w:t>WLR,</w:t>
      </w:r>
      <w:r>
        <w:t xml:space="preserve"> 672.</w:t>
      </w:r>
    </w:p>
    <w:p w14:paraId="2634DB06" w14:textId="65CA8598" w:rsidR="00984AC2" w:rsidRDefault="00984AC2" w:rsidP="00984AC2">
      <w:pPr>
        <w:spacing w:line="360" w:lineRule="auto"/>
      </w:pPr>
      <w:r>
        <w:t xml:space="preserve">‘R v Latimer’ (1886) </w:t>
      </w:r>
      <w:r w:rsidRPr="007C4BBC">
        <w:rPr>
          <w:i/>
          <w:iCs/>
        </w:rPr>
        <w:t>QBD,</w:t>
      </w:r>
      <w:r>
        <w:t xml:space="preserve"> 359.</w:t>
      </w:r>
    </w:p>
    <w:p w14:paraId="18D80B54" w14:textId="69F55595" w:rsidR="00984AC2" w:rsidRDefault="00984AC2" w:rsidP="00984AC2">
      <w:pPr>
        <w:spacing w:line="360" w:lineRule="auto"/>
      </w:pPr>
      <w:r>
        <w:t xml:space="preserve">‘R v McPherson’ (1973) </w:t>
      </w:r>
      <w:r w:rsidRPr="00A14072">
        <w:rPr>
          <w:i/>
          <w:iCs/>
        </w:rPr>
        <w:t>Crim LR,</w:t>
      </w:r>
      <w:r>
        <w:t xml:space="preserve"> 191.</w:t>
      </w:r>
    </w:p>
    <w:p w14:paraId="75C9A0E0" w14:textId="6D1CAF7B" w:rsidR="00984AC2" w:rsidRDefault="00984AC2" w:rsidP="00984AC2">
      <w:pPr>
        <w:spacing w:line="360" w:lineRule="auto"/>
      </w:pPr>
      <w:r>
        <w:t xml:space="preserve">‘R v Meade and Belt’ (1828) </w:t>
      </w:r>
      <w:r w:rsidRPr="008D2873">
        <w:rPr>
          <w:i/>
          <w:iCs/>
        </w:rPr>
        <w:t>ER</w:t>
      </w:r>
      <w:r>
        <w:t>, 1006.</w:t>
      </w:r>
    </w:p>
    <w:p w14:paraId="2E5B7B95" w14:textId="00C2FFB0" w:rsidR="00984AC2" w:rsidRPr="00984AC2" w:rsidRDefault="00984AC2" w:rsidP="00A90B34">
      <w:pPr>
        <w:spacing w:line="360" w:lineRule="auto"/>
      </w:pPr>
      <w:r>
        <w:t xml:space="preserve">‘R v Moloney’ (1985) </w:t>
      </w:r>
      <w:r w:rsidRPr="00A14072">
        <w:rPr>
          <w:i/>
          <w:iCs/>
        </w:rPr>
        <w:t>AC,</w:t>
      </w:r>
      <w:r>
        <w:t xml:space="preserve"> 905.</w:t>
      </w:r>
    </w:p>
    <w:p w14:paraId="5F960FE8" w14:textId="6B500ADD" w:rsidR="00F71AC1" w:rsidRDefault="00A14072" w:rsidP="00A90B34">
      <w:pPr>
        <w:spacing w:line="360" w:lineRule="auto"/>
      </w:pPr>
      <w:r w:rsidRPr="00A14072">
        <w:t>‘R v Ryan’</w:t>
      </w:r>
      <w:r>
        <w:t xml:space="preserve"> (1996)</w:t>
      </w:r>
      <w:r w:rsidRPr="00A14072">
        <w:t xml:space="preserve"> </w:t>
      </w:r>
      <w:r w:rsidRPr="00A14072">
        <w:rPr>
          <w:i/>
          <w:iCs/>
        </w:rPr>
        <w:t>Crim LR</w:t>
      </w:r>
      <w:r>
        <w:t xml:space="preserve">, </w:t>
      </w:r>
      <w:r w:rsidRPr="00A14072">
        <w:t>320</w:t>
      </w:r>
      <w:r>
        <w:t>.</w:t>
      </w:r>
    </w:p>
    <w:p w14:paraId="78BDB924" w14:textId="113E4EAF" w:rsidR="00984AC2" w:rsidRDefault="00984AC2" w:rsidP="00A90B34">
      <w:pPr>
        <w:spacing w:line="360" w:lineRule="auto"/>
      </w:pPr>
      <w:r w:rsidRPr="00984AC2">
        <w:rPr>
          <w:i/>
          <w:iCs/>
        </w:rPr>
        <w:t>Theft Act</w:t>
      </w:r>
      <w:r>
        <w:t xml:space="preserve"> 1968, Available at:</w:t>
      </w:r>
      <w:r w:rsidRPr="00984AC2">
        <w:t xml:space="preserve"> </w:t>
      </w:r>
      <w:hyperlink r:id="rId12" w:history="1">
        <w:r w:rsidRPr="00941B44">
          <w:rPr>
            <w:rStyle w:val="Hyperlink"/>
          </w:rPr>
          <w:t>https://www.legislation.gov.uk/ukpga/1968/60/contents</w:t>
        </w:r>
      </w:hyperlink>
      <w:r>
        <w:t xml:space="preserve"> (Accessed:28 April 2024).</w:t>
      </w:r>
    </w:p>
    <w:p w14:paraId="2B489213" w14:textId="3FE5AF87" w:rsidR="00984AC2" w:rsidRDefault="00984AC2" w:rsidP="00A90B34">
      <w:pPr>
        <w:spacing w:line="360" w:lineRule="auto"/>
      </w:pPr>
      <w:r>
        <w:t xml:space="preserve">‘R v Walkington’ (1979) </w:t>
      </w:r>
      <w:r w:rsidRPr="00A14072">
        <w:rPr>
          <w:i/>
          <w:iCs/>
        </w:rPr>
        <w:t>Crim LR</w:t>
      </w:r>
      <w:r>
        <w:t>, 526.</w:t>
      </w:r>
    </w:p>
    <w:p w14:paraId="2A2AD9FD" w14:textId="77777777" w:rsidR="00984AC2" w:rsidRDefault="00984AC2" w:rsidP="00984AC2">
      <w:pPr>
        <w:spacing w:line="360" w:lineRule="auto"/>
      </w:pPr>
      <w:r>
        <w:t xml:space="preserve">‘R v Vickers’ (1975) </w:t>
      </w:r>
      <w:r w:rsidRPr="008D2873">
        <w:rPr>
          <w:i/>
          <w:iCs/>
        </w:rPr>
        <w:t>ER</w:t>
      </w:r>
      <w:r>
        <w:t>, 945.</w:t>
      </w:r>
    </w:p>
    <w:p w14:paraId="102B3E7A" w14:textId="77777777" w:rsidR="00984AC2" w:rsidRDefault="00984AC2" w:rsidP="00984AC2">
      <w:pPr>
        <w:spacing w:line="360" w:lineRule="auto"/>
      </w:pPr>
      <w:r>
        <w:t xml:space="preserve">‘R v Vinall’ (2011) </w:t>
      </w:r>
      <w:r w:rsidRPr="00493D80">
        <w:rPr>
          <w:i/>
          <w:iCs/>
        </w:rPr>
        <w:t>EWCA Crim</w:t>
      </w:r>
      <w:r>
        <w:t>, 2652, Lexis Plus UK. Available at:</w:t>
      </w:r>
      <w:r w:rsidRPr="00EA2D8C">
        <w:t xml:space="preserve"> </w:t>
      </w:r>
      <w:hyperlink r:id="rId13" w:history="1">
        <w:r w:rsidRPr="00941B44">
          <w:rPr>
            <w:rStyle w:val="Hyperlink"/>
          </w:rPr>
          <w:t>https://plus-lexis-com.ezproxy.uwtsd.ac.uk/uk/cases-uk/r-v-vinall/?crid=94ecf85c-276e-4437-a1ec-72acd2b6107b</w:t>
        </w:r>
      </w:hyperlink>
      <w:r>
        <w:t xml:space="preserve"> (Accessed: 28 April 2024).</w:t>
      </w:r>
    </w:p>
    <w:p w14:paraId="160D3026" w14:textId="24340292" w:rsidR="009C44E3" w:rsidRDefault="00493D80" w:rsidP="006B0D73">
      <w:pPr>
        <w:spacing w:line="360" w:lineRule="auto"/>
      </w:pPr>
      <w:r>
        <w:t>‘</w:t>
      </w:r>
      <w:r w:rsidR="00984AC2">
        <w:t>R</w:t>
      </w:r>
      <w:r w:rsidR="007C4BBC">
        <w:t xml:space="preserve"> v </w:t>
      </w:r>
      <w:r>
        <w:t xml:space="preserve">Woodman’ (1974) </w:t>
      </w:r>
      <w:r w:rsidRPr="00493D80">
        <w:rPr>
          <w:i/>
          <w:iCs/>
        </w:rPr>
        <w:t xml:space="preserve">QB, </w:t>
      </w:r>
      <w:r>
        <w:t>754.</w:t>
      </w:r>
    </w:p>
    <w:sectPr w:rsidR="009C44E3" w:rsidSect="00D23AC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78BDC" w14:textId="77777777" w:rsidR="00801B25" w:rsidRDefault="00801B25" w:rsidP="00F71AC1">
      <w:r>
        <w:separator/>
      </w:r>
    </w:p>
  </w:endnote>
  <w:endnote w:type="continuationSeparator" w:id="0">
    <w:p w14:paraId="59481E89" w14:textId="77777777" w:rsidR="00801B25" w:rsidRDefault="00801B25" w:rsidP="00F71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6F846" w14:textId="77777777" w:rsidR="00801B25" w:rsidRDefault="00801B25" w:rsidP="00F71AC1">
      <w:r>
        <w:separator/>
      </w:r>
    </w:p>
  </w:footnote>
  <w:footnote w:type="continuationSeparator" w:id="0">
    <w:p w14:paraId="084CD2C3" w14:textId="77777777" w:rsidR="00801B25" w:rsidRDefault="00801B25" w:rsidP="00F71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F2555"/>
    <w:multiLevelType w:val="hybridMultilevel"/>
    <w:tmpl w:val="B72EE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754B4E"/>
    <w:multiLevelType w:val="hybridMultilevel"/>
    <w:tmpl w:val="5AA27608"/>
    <w:lvl w:ilvl="0" w:tplc="8384D9CE">
      <w:start w:val="1"/>
      <w:numFmt w:val="bullet"/>
      <w:lvlText w:val="•"/>
      <w:lvlJc w:val="left"/>
      <w:pPr>
        <w:tabs>
          <w:tab w:val="num" w:pos="720"/>
        </w:tabs>
        <w:ind w:left="720" w:hanging="360"/>
      </w:pPr>
      <w:rPr>
        <w:rFonts w:ascii="Times New Roman" w:hAnsi="Times New Roman" w:hint="default"/>
      </w:rPr>
    </w:lvl>
    <w:lvl w:ilvl="1" w:tplc="6542F78E" w:tentative="1">
      <w:start w:val="1"/>
      <w:numFmt w:val="bullet"/>
      <w:lvlText w:val="•"/>
      <w:lvlJc w:val="left"/>
      <w:pPr>
        <w:tabs>
          <w:tab w:val="num" w:pos="1440"/>
        </w:tabs>
        <w:ind w:left="1440" w:hanging="360"/>
      </w:pPr>
      <w:rPr>
        <w:rFonts w:ascii="Times New Roman" w:hAnsi="Times New Roman" w:hint="default"/>
      </w:rPr>
    </w:lvl>
    <w:lvl w:ilvl="2" w:tplc="CA9424F6" w:tentative="1">
      <w:start w:val="1"/>
      <w:numFmt w:val="bullet"/>
      <w:lvlText w:val="•"/>
      <w:lvlJc w:val="left"/>
      <w:pPr>
        <w:tabs>
          <w:tab w:val="num" w:pos="2160"/>
        </w:tabs>
        <w:ind w:left="2160" w:hanging="360"/>
      </w:pPr>
      <w:rPr>
        <w:rFonts w:ascii="Times New Roman" w:hAnsi="Times New Roman" w:hint="default"/>
      </w:rPr>
    </w:lvl>
    <w:lvl w:ilvl="3" w:tplc="69A67978" w:tentative="1">
      <w:start w:val="1"/>
      <w:numFmt w:val="bullet"/>
      <w:lvlText w:val="•"/>
      <w:lvlJc w:val="left"/>
      <w:pPr>
        <w:tabs>
          <w:tab w:val="num" w:pos="2880"/>
        </w:tabs>
        <w:ind w:left="2880" w:hanging="360"/>
      </w:pPr>
      <w:rPr>
        <w:rFonts w:ascii="Times New Roman" w:hAnsi="Times New Roman" w:hint="default"/>
      </w:rPr>
    </w:lvl>
    <w:lvl w:ilvl="4" w:tplc="94CE2BB8" w:tentative="1">
      <w:start w:val="1"/>
      <w:numFmt w:val="bullet"/>
      <w:lvlText w:val="•"/>
      <w:lvlJc w:val="left"/>
      <w:pPr>
        <w:tabs>
          <w:tab w:val="num" w:pos="3600"/>
        </w:tabs>
        <w:ind w:left="3600" w:hanging="360"/>
      </w:pPr>
      <w:rPr>
        <w:rFonts w:ascii="Times New Roman" w:hAnsi="Times New Roman" w:hint="default"/>
      </w:rPr>
    </w:lvl>
    <w:lvl w:ilvl="5" w:tplc="8A487DDA" w:tentative="1">
      <w:start w:val="1"/>
      <w:numFmt w:val="bullet"/>
      <w:lvlText w:val="•"/>
      <w:lvlJc w:val="left"/>
      <w:pPr>
        <w:tabs>
          <w:tab w:val="num" w:pos="4320"/>
        </w:tabs>
        <w:ind w:left="4320" w:hanging="360"/>
      </w:pPr>
      <w:rPr>
        <w:rFonts w:ascii="Times New Roman" w:hAnsi="Times New Roman" w:hint="default"/>
      </w:rPr>
    </w:lvl>
    <w:lvl w:ilvl="6" w:tplc="B7D628D8" w:tentative="1">
      <w:start w:val="1"/>
      <w:numFmt w:val="bullet"/>
      <w:lvlText w:val="•"/>
      <w:lvlJc w:val="left"/>
      <w:pPr>
        <w:tabs>
          <w:tab w:val="num" w:pos="5040"/>
        </w:tabs>
        <w:ind w:left="5040" w:hanging="360"/>
      </w:pPr>
      <w:rPr>
        <w:rFonts w:ascii="Times New Roman" w:hAnsi="Times New Roman" w:hint="default"/>
      </w:rPr>
    </w:lvl>
    <w:lvl w:ilvl="7" w:tplc="43EC1B60" w:tentative="1">
      <w:start w:val="1"/>
      <w:numFmt w:val="bullet"/>
      <w:lvlText w:val="•"/>
      <w:lvlJc w:val="left"/>
      <w:pPr>
        <w:tabs>
          <w:tab w:val="num" w:pos="5760"/>
        </w:tabs>
        <w:ind w:left="5760" w:hanging="360"/>
      </w:pPr>
      <w:rPr>
        <w:rFonts w:ascii="Times New Roman" w:hAnsi="Times New Roman" w:hint="default"/>
      </w:rPr>
    </w:lvl>
    <w:lvl w:ilvl="8" w:tplc="A5ECC6D6" w:tentative="1">
      <w:start w:val="1"/>
      <w:numFmt w:val="bullet"/>
      <w:lvlText w:val="•"/>
      <w:lvlJc w:val="left"/>
      <w:pPr>
        <w:tabs>
          <w:tab w:val="num" w:pos="6480"/>
        </w:tabs>
        <w:ind w:left="6480" w:hanging="360"/>
      </w:pPr>
      <w:rPr>
        <w:rFonts w:ascii="Times New Roman" w:hAnsi="Times New Roman" w:hint="default"/>
      </w:rPr>
    </w:lvl>
  </w:abstractNum>
  <w:num w:numId="1" w16cid:durableId="656543373">
    <w:abstractNumId w:val="1"/>
  </w:num>
  <w:num w:numId="2" w16cid:durableId="55246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5F"/>
    <w:rsid w:val="00007BD2"/>
    <w:rsid w:val="0001676E"/>
    <w:rsid w:val="00020E7B"/>
    <w:rsid w:val="00043F95"/>
    <w:rsid w:val="00044750"/>
    <w:rsid w:val="00067818"/>
    <w:rsid w:val="00077A47"/>
    <w:rsid w:val="000D41AA"/>
    <w:rsid w:val="000F4E3D"/>
    <w:rsid w:val="00124710"/>
    <w:rsid w:val="001B5C94"/>
    <w:rsid w:val="001C5907"/>
    <w:rsid w:val="0021548D"/>
    <w:rsid w:val="002965AA"/>
    <w:rsid w:val="002A16A3"/>
    <w:rsid w:val="002A2844"/>
    <w:rsid w:val="002D388F"/>
    <w:rsid w:val="0030005F"/>
    <w:rsid w:val="003E70A0"/>
    <w:rsid w:val="004267FE"/>
    <w:rsid w:val="00493D80"/>
    <w:rsid w:val="00494603"/>
    <w:rsid w:val="004B0037"/>
    <w:rsid w:val="004B2912"/>
    <w:rsid w:val="004F6E51"/>
    <w:rsid w:val="00566396"/>
    <w:rsid w:val="005940A7"/>
    <w:rsid w:val="005D42E2"/>
    <w:rsid w:val="005F2F02"/>
    <w:rsid w:val="00604C87"/>
    <w:rsid w:val="00635825"/>
    <w:rsid w:val="00650359"/>
    <w:rsid w:val="006614EE"/>
    <w:rsid w:val="006B0D73"/>
    <w:rsid w:val="00704510"/>
    <w:rsid w:val="00723B96"/>
    <w:rsid w:val="00747621"/>
    <w:rsid w:val="007564E1"/>
    <w:rsid w:val="00760252"/>
    <w:rsid w:val="007C4BBC"/>
    <w:rsid w:val="00801B25"/>
    <w:rsid w:val="008D2873"/>
    <w:rsid w:val="008F7681"/>
    <w:rsid w:val="00937888"/>
    <w:rsid w:val="0095764A"/>
    <w:rsid w:val="00984AC2"/>
    <w:rsid w:val="009A1C43"/>
    <w:rsid w:val="009A27C6"/>
    <w:rsid w:val="009C44E3"/>
    <w:rsid w:val="009C7853"/>
    <w:rsid w:val="00A048C9"/>
    <w:rsid w:val="00A14072"/>
    <w:rsid w:val="00A36DEC"/>
    <w:rsid w:val="00A90B34"/>
    <w:rsid w:val="00AC57C3"/>
    <w:rsid w:val="00AE3589"/>
    <w:rsid w:val="00B40D66"/>
    <w:rsid w:val="00B456BE"/>
    <w:rsid w:val="00B67AD5"/>
    <w:rsid w:val="00BA4986"/>
    <w:rsid w:val="00BD6C64"/>
    <w:rsid w:val="00C701F7"/>
    <w:rsid w:val="00C75254"/>
    <w:rsid w:val="00CC3FFF"/>
    <w:rsid w:val="00CF7571"/>
    <w:rsid w:val="00D1254F"/>
    <w:rsid w:val="00D23ACC"/>
    <w:rsid w:val="00D507A2"/>
    <w:rsid w:val="00D70C15"/>
    <w:rsid w:val="00D91305"/>
    <w:rsid w:val="00DA12CD"/>
    <w:rsid w:val="00DB7BC1"/>
    <w:rsid w:val="00E06AF0"/>
    <w:rsid w:val="00E135AC"/>
    <w:rsid w:val="00E63C46"/>
    <w:rsid w:val="00EA0B5E"/>
    <w:rsid w:val="00EA2D8C"/>
    <w:rsid w:val="00F05462"/>
    <w:rsid w:val="00F507AE"/>
    <w:rsid w:val="00F71AC1"/>
    <w:rsid w:val="00FE020B"/>
    <w:rsid w:val="00FE5524"/>
    <w:rsid w:val="00FF5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7D6EB"/>
  <w15:chartTrackingRefBased/>
  <w15:docId w15:val="{1763D589-893D-F84B-8BFF-E67F9851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037"/>
    <w:pPr>
      <w:ind w:left="720"/>
      <w:contextualSpacing/>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020E7B"/>
    <w:rPr>
      <w:sz w:val="16"/>
      <w:szCs w:val="16"/>
    </w:rPr>
  </w:style>
  <w:style w:type="paragraph" w:styleId="CommentText">
    <w:name w:val="annotation text"/>
    <w:basedOn w:val="Normal"/>
    <w:link w:val="CommentTextChar"/>
    <w:uiPriority w:val="99"/>
    <w:semiHidden/>
    <w:unhideWhenUsed/>
    <w:rsid w:val="00020E7B"/>
    <w:rPr>
      <w:sz w:val="20"/>
      <w:szCs w:val="20"/>
    </w:rPr>
  </w:style>
  <w:style w:type="character" w:customStyle="1" w:styleId="CommentTextChar">
    <w:name w:val="Comment Text Char"/>
    <w:basedOn w:val="DefaultParagraphFont"/>
    <w:link w:val="CommentText"/>
    <w:uiPriority w:val="99"/>
    <w:semiHidden/>
    <w:rsid w:val="00020E7B"/>
    <w:rPr>
      <w:sz w:val="20"/>
      <w:szCs w:val="20"/>
    </w:rPr>
  </w:style>
  <w:style w:type="paragraph" w:styleId="CommentSubject">
    <w:name w:val="annotation subject"/>
    <w:basedOn w:val="CommentText"/>
    <w:next w:val="CommentText"/>
    <w:link w:val="CommentSubjectChar"/>
    <w:uiPriority w:val="99"/>
    <w:semiHidden/>
    <w:unhideWhenUsed/>
    <w:rsid w:val="00020E7B"/>
    <w:rPr>
      <w:b/>
      <w:bCs/>
    </w:rPr>
  </w:style>
  <w:style w:type="character" w:customStyle="1" w:styleId="CommentSubjectChar">
    <w:name w:val="Comment Subject Char"/>
    <w:basedOn w:val="CommentTextChar"/>
    <w:link w:val="CommentSubject"/>
    <w:uiPriority w:val="99"/>
    <w:semiHidden/>
    <w:rsid w:val="00020E7B"/>
    <w:rPr>
      <w:b/>
      <w:bCs/>
      <w:sz w:val="20"/>
      <w:szCs w:val="20"/>
    </w:rPr>
  </w:style>
  <w:style w:type="paragraph" w:styleId="NoSpacing">
    <w:name w:val="No Spacing"/>
    <w:link w:val="NoSpacingChar"/>
    <w:uiPriority w:val="1"/>
    <w:qFormat/>
    <w:rsid w:val="00D23ACC"/>
    <w:rPr>
      <w:rFonts w:eastAsiaTheme="minorEastAsia"/>
      <w:sz w:val="22"/>
      <w:szCs w:val="22"/>
      <w:lang w:val="en-US" w:eastAsia="zh-CN"/>
    </w:rPr>
  </w:style>
  <w:style w:type="character" w:customStyle="1" w:styleId="NoSpacingChar">
    <w:name w:val="No Spacing Char"/>
    <w:basedOn w:val="DefaultParagraphFont"/>
    <w:link w:val="NoSpacing"/>
    <w:uiPriority w:val="1"/>
    <w:rsid w:val="00D23ACC"/>
    <w:rPr>
      <w:rFonts w:eastAsiaTheme="minorEastAsia"/>
      <w:sz w:val="22"/>
      <w:szCs w:val="22"/>
      <w:lang w:val="en-US" w:eastAsia="zh-CN"/>
    </w:rPr>
  </w:style>
  <w:style w:type="paragraph" w:styleId="Header">
    <w:name w:val="header"/>
    <w:basedOn w:val="Normal"/>
    <w:link w:val="HeaderChar"/>
    <w:uiPriority w:val="99"/>
    <w:unhideWhenUsed/>
    <w:rsid w:val="00F71AC1"/>
    <w:pPr>
      <w:tabs>
        <w:tab w:val="center" w:pos="4513"/>
        <w:tab w:val="right" w:pos="9026"/>
      </w:tabs>
    </w:pPr>
  </w:style>
  <w:style w:type="character" w:customStyle="1" w:styleId="HeaderChar">
    <w:name w:val="Header Char"/>
    <w:basedOn w:val="DefaultParagraphFont"/>
    <w:link w:val="Header"/>
    <w:uiPriority w:val="99"/>
    <w:rsid w:val="00F71AC1"/>
  </w:style>
  <w:style w:type="paragraph" w:styleId="Footer">
    <w:name w:val="footer"/>
    <w:basedOn w:val="Normal"/>
    <w:link w:val="FooterChar"/>
    <w:uiPriority w:val="99"/>
    <w:unhideWhenUsed/>
    <w:rsid w:val="00F71AC1"/>
    <w:pPr>
      <w:tabs>
        <w:tab w:val="center" w:pos="4513"/>
        <w:tab w:val="right" w:pos="9026"/>
      </w:tabs>
    </w:pPr>
  </w:style>
  <w:style w:type="character" w:customStyle="1" w:styleId="FooterChar">
    <w:name w:val="Footer Char"/>
    <w:basedOn w:val="DefaultParagraphFont"/>
    <w:link w:val="Footer"/>
    <w:uiPriority w:val="99"/>
    <w:rsid w:val="00F71AC1"/>
  </w:style>
  <w:style w:type="character" w:styleId="Hyperlink">
    <w:name w:val="Hyperlink"/>
    <w:basedOn w:val="DefaultParagraphFont"/>
    <w:uiPriority w:val="99"/>
    <w:unhideWhenUsed/>
    <w:rsid w:val="00EA2D8C"/>
    <w:rPr>
      <w:color w:val="0563C1" w:themeColor="hyperlink"/>
      <w:u w:val="single"/>
    </w:rPr>
  </w:style>
  <w:style w:type="character" w:styleId="UnresolvedMention">
    <w:name w:val="Unresolved Mention"/>
    <w:basedOn w:val="DefaultParagraphFont"/>
    <w:uiPriority w:val="99"/>
    <w:semiHidden/>
    <w:unhideWhenUsed/>
    <w:rsid w:val="00EA2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570">
      <w:bodyDiv w:val="1"/>
      <w:marLeft w:val="0"/>
      <w:marRight w:val="0"/>
      <w:marTop w:val="0"/>
      <w:marBottom w:val="0"/>
      <w:divBdr>
        <w:top w:val="none" w:sz="0" w:space="0" w:color="auto"/>
        <w:left w:val="none" w:sz="0" w:space="0" w:color="auto"/>
        <w:bottom w:val="none" w:sz="0" w:space="0" w:color="auto"/>
        <w:right w:val="none" w:sz="0" w:space="0" w:color="auto"/>
      </w:divBdr>
      <w:divsChild>
        <w:div w:id="125129069">
          <w:marLeft w:val="0"/>
          <w:marRight w:val="0"/>
          <w:marTop w:val="0"/>
          <w:marBottom w:val="0"/>
          <w:divBdr>
            <w:top w:val="none" w:sz="0" w:space="0" w:color="auto"/>
            <w:left w:val="none" w:sz="0" w:space="0" w:color="auto"/>
            <w:bottom w:val="none" w:sz="0" w:space="0" w:color="auto"/>
            <w:right w:val="none" w:sz="0" w:space="0" w:color="auto"/>
          </w:divBdr>
        </w:div>
        <w:div w:id="1826045420">
          <w:marLeft w:val="0"/>
          <w:marRight w:val="0"/>
          <w:marTop w:val="0"/>
          <w:marBottom w:val="0"/>
          <w:divBdr>
            <w:top w:val="none" w:sz="0" w:space="0" w:color="auto"/>
            <w:left w:val="none" w:sz="0" w:space="0" w:color="auto"/>
            <w:bottom w:val="none" w:sz="0" w:space="0" w:color="auto"/>
            <w:right w:val="none" w:sz="0" w:space="0" w:color="auto"/>
          </w:divBdr>
        </w:div>
        <w:div w:id="559099712">
          <w:marLeft w:val="0"/>
          <w:marRight w:val="0"/>
          <w:marTop w:val="0"/>
          <w:marBottom w:val="0"/>
          <w:divBdr>
            <w:top w:val="none" w:sz="0" w:space="0" w:color="auto"/>
            <w:left w:val="none" w:sz="0" w:space="0" w:color="auto"/>
            <w:bottom w:val="none" w:sz="0" w:space="0" w:color="auto"/>
            <w:right w:val="none" w:sz="0" w:space="0" w:color="auto"/>
          </w:divBdr>
        </w:div>
        <w:div w:id="1177840845">
          <w:marLeft w:val="0"/>
          <w:marRight w:val="0"/>
          <w:marTop w:val="0"/>
          <w:marBottom w:val="0"/>
          <w:divBdr>
            <w:top w:val="none" w:sz="0" w:space="0" w:color="auto"/>
            <w:left w:val="none" w:sz="0" w:space="0" w:color="auto"/>
            <w:bottom w:val="none" w:sz="0" w:space="0" w:color="auto"/>
            <w:right w:val="none" w:sz="0" w:space="0" w:color="auto"/>
          </w:divBdr>
        </w:div>
        <w:div w:id="285888204">
          <w:marLeft w:val="0"/>
          <w:marRight w:val="0"/>
          <w:marTop w:val="0"/>
          <w:marBottom w:val="0"/>
          <w:divBdr>
            <w:top w:val="none" w:sz="0" w:space="0" w:color="auto"/>
            <w:left w:val="none" w:sz="0" w:space="0" w:color="auto"/>
            <w:bottom w:val="none" w:sz="0" w:space="0" w:color="auto"/>
            <w:right w:val="none" w:sz="0" w:space="0" w:color="auto"/>
          </w:divBdr>
        </w:div>
        <w:div w:id="443579692">
          <w:marLeft w:val="0"/>
          <w:marRight w:val="0"/>
          <w:marTop w:val="0"/>
          <w:marBottom w:val="0"/>
          <w:divBdr>
            <w:top w:val="none" w:sz="0" w:space="0" w:color="auto"/>
            <w:left w:val="none" w:sz="0" w:space="0" w:color="auto"/>
            <w:bottom w:val="none" w:sz="0" w:space="0" w:color="auto"/>
            <w:right w:val="none" w:sz="0" w:space="0" w:color="auto"/>
          </w:divBdr>
        </w:div>
        <w:div w:id="957874443">
          <w:marLeft w:val="0"/>
          <w:marRight w:val="0"/>
          <w:marTop w:val="0"/>
          <w:marBottom w:val="0"/>
          <w:divBdr>
            <w:top w:val="none" w:sz="0" w:space="0" w:color="auto"/>
            <w:left w:val="none" w:sz="0" w:space="0" w:color="auto"/>
            <w:bottom w:val="none" w:sz="0" w:space="0" w:color="auto"/>
            <w:right w:val="none" w:sz="0" w:space="0" w:color="auto"/>
          </w:divBdr>
        </w:div>
        <w:div w:id="321740242">
          <w:marLeft w:val="0"/>
          <w:marRight w:val="0"/>
          <w:marTop w:val="0"/>
          <w:marBottom w:val="0"/>
          <w:divBdr>
            <w:top w:val="none" w:sz="0" w:space="0" w:color="auto"/>
            <w:left w:val="none" w:sz="0" w:space="0" w:color="auto"/>
            <w:bottom w:val="none" w:sz="0" w:space="0" w:color="auto"/>
            <w:right w:val="none" w:sz="0" w:space="0" w:color="auto"/>
          </w:divBdr>
        </w:div>
        <w:div w:id="1780223046">
          <w:marLeft w:val="0"/>
          <w:marRight w:val="0"/>
          <w:marTop w:val="0"/>
          <w:marBottom w:val="0"/>
          <w:divBdr>
            <w:top w:val="none" w:sz="0" w:space="0" w:color="auto"/>
            <w:left w:val="none" w:sz="0" w:space="0" w:color="auto"/>
            <w:bottom w:val="none" w:sz="0" w:space="0" w:color="auto"/>
            <w:right w:val="none" w:sz="0" w:space="0" w:color="auto"/>
          </w:divBdr>
        </w:div>
        <w:div w:id="1580942568">
          <w:marLeft w:val="0"/>
          <w:marRight w:val="0"/>
          <w:marTop w:val="0"/>
          <w:marBottom w:val="0"/>
          <w:divBdr>
            <w:top w:val="none" w:sz="0" w:space="0" w:color="auto"/>
            <w:left w:val="none" w:sz="0" w:space="0" w:color="auto"/>
            <w:bottom w:val="none" w:sz="0" w:space="0" w:color="auto"/>
            <w:right w:val="none" w:sz="0" w:space="0" w:color="auto"/>
          </w:divBdr>
        </w:div>
        <w:div w:id="410346676">
          <w:marLeft w:val="0"/>
          <w:marRight w:val="0"/>
          <w:marTop w:val="0"/>
          <w:marBottom w:val="0"/>
          <w:divBdr>
            <w:top w:val="none" w:sz="0" w:space="0" w:color="auto"/>
            <w:left w:val="none" w:sz="0" w:space="0" w:color="auto"/>
            <w:bottom w:val="none" w:sz="0" w:space="0" w:color="auto"/>
            <w:right w:val="none" w:sz="0" w:space="0" w:color="auto"/>
          </w:divBdr>
        </w:div>
        <w:div w:id="52242334">
          <w:marLeft w:val="0"/>
          <w:marRight w:val="0"/>
          <w:marTop w:val="0"/>
          <w:marBottom w:val="0"/>
          <w:divBdr>
            <w:top w:val="none" w:sz="0" w:space="0" w:color="auto"/>
            <w:left w:val="none" w:sz="0" w:space="0" w:color="auto"/>
            <w:bottom w:val="none" w:sz="0" w:space="0" w:color="auto"/>
            <w:right w:val="none" w:sz="0" w:space="0" w:color="auto"/>
          </w:divBdr>
        </w:div>
        <w:div w:id="1911576368">
          <w:marLeft w:val="0"/>
          <w:marRight w:val="0"/>
          <w:marTop w:val="0"/>
          <w:marBottom w:val="0"/>
          <w:divBdr>
            <w:top w:val="none" w:sz="0" w:space="0" w:color="auto"/>
            <w:left w:val="none" w:sz="0" w:space="0" w:color="auto"/>
            <w:bottom w:val="none" w:sz="0" w:space="0" w:color="auto"/>
            <w:right w:val="none" w:sz="0" w:space="0" w:color="auto"/>
          </w:divBdr>
        </w:div>
      </w:divsChild>
    </w:div>
    <w:div w:id="33503540">
      <w:bodyDiv w:val="1"/>
      <w:marLeft w:val="0"/>
      <w:marRight w:val="0"/>
      <w:marTop w:val="0"/>
      <w:marBottom w:val="0"/>
      <w:divBdr>
        <w:top w:val="none" w:sz="0" w:space="0" w:color="auto"/>
        <w:left w:val="none" w:sz="0" w:space="0" w:color="auto"/>
        <w:bottom w:val="none" w:sz="0" w:space="0" w:color="auto"/>
        <w:right w:val="none" w:sz="0" w:space="0" w:color="auto"/>
      </w:divBdr>
      <w:divsChild>
        <w:div w:id="1845826469">
          <w:marLeft w:val="0"/>
          <w:marRight w:val="0"/>
          <w:marTop w:val="0"/>
          <w:marBottom w:val="0"/>
          <w:divBdr>
            <w:top w:val="none" w:sz="0" w:space="0" w:color="auto"/>
            <w:left w:val="none" w:sz="0" w:space="0" w:color="auto"/>
            <w:bottom w:val="none" w:sz="0" w:space="0" w:color="auto"/>
            <w:right w:val="none" w:sz="0" w:space="0" w:color="auto"/>
          </w:divBdr>
        </w:div>
        <w:div w:id="985860240">
          <w:marLeft w:val="0"/>
          <w:marRight w:val="0"/>
          <w:marTop w:val="0"/>
          <w:marBottom w:val="0"/>
          <w:divBdr>
            <w:top w:val="none" w:sz="0" w:space="0" w:color="auto"/>
            <w:left w:val="none" w:sz="0" w:space="0" w:color="auto"/>
            <w:bottom w:val="none" w:sz="0" w:space="0" w:color="auto"/>
            <w:right w:val="none" w:sz="0" w:space="0" w:color="auto"/>
          </w:divBdr>
        </w:div>
        <w:div w:id="225576505">
          <w:marLeft w:val="0"/>
          <w:marRight w:val="0"/>
          <w:marTop w:val="0"/>
          <w:marBottom w:val="0"/>
          <w:divBdr>
            <w:top w:val="none" w:sz="0" w:space="0" w:color="auto"/>
            <w:left w:val="none" w:sz="0" w:space="0" w:color="auto"/>
            <w:bottom w:val="none" w:sz="0" w:space="0" w:color="auto"/>
            <w:right w:val="none" w:sz="0" w:space="0" w:color="auto"/>
          </w:divBdr>
        </w:div>
        <w:div w:id="1000473243">
          <w:marLeft w:val="0"/>
          <w:marRight w:val="0"/>
          <w:marTop w:val="0"/>
          <w:marBottom w:val="0"/>
          <w:divBdr>
            <w:top w:val="none" w:sz="0" w:space="0" w:color="auto"/>
            <w:left w:val="none" w:sz="0" w:space="0" w:color="auto"/>
            <w:bottom w:val="none" w:sz="0" w:space="0" w:color="auto"/>
            <w:right w:val="none" w:sz="0" w:space="0" w:color="auto"/>
          </w:divBdr>
        </w:div>
        <w:div w:id="15548086">
          <w:marLeft w:val="0"/>
          <w:marRight w:val="0"/>
          <w:marTop w:val="0"/>
          <w:marBottom w:val="0"/>
          <w:divBdr>
            <w:top w:val="none" w:sz="0" w:space="0" w:color="auto"/>
            <w:left w:val="none" w:sz="0" w:space="0" w:color="auto"/>
            <w:bottom w:val="none" w:sz="0" w:space="0" w:color="auto"/>
            <w:right w:val="none" w:sz="0" w:space="0" w:color="auto"/>
          </w:divBdr>
        </w:div>
        <w:div w:id="1727952007">
          <w:marLeft w:val="0"/>
          <w:marRight w:val="0"/>
          <w:marTop w:val="0"/>
          <w:marBottom w:val="0"/>
          <w:divBdr>
            <w:top w:val="none" w:sz="0" w:space="0" w:color="auto"/>
            <w:left w:val="none" w:sz="0" w:space="0" w:color="auto"/>
            <w:bottom w:val="none" w:sz="0" w:space="0" w:color="auto"/>
            <w:right w:val="none" w:sz="0" w:space="0" w:color="auto"/>
          </w:divBdr>
        </w:div>
        <w:div w:id="2060930113">
          <w:marLeft w:val="0"/>
          <w:marRight w:val="0"/>
          <w:marTop w:val="0"/>
          <w:marBottom w:val="0"/>
          <w:divBdr>
            <w:top w:val="none" w:sz="0" w:space="0" w:color="auto"/>
            <w:left w:val="none" w:sz="0" w:space="0" w:color="auto"/>
            <w:bottom w:val="none" w:sz="0" w:space="0" w:color="auto"/>
            <w:right w:val="none" w:sz="0" w:space="0" w:color="auto"/>
          </w:divBdr>
        </w:div>
        <w:div w:id="1917978539">
          <w:marLeft w:val="0"/>
          <w:marRight w:val="0"/>
          <w:marTop w:val="0"/>
          <w:marBottom w:val="0"/>
          <w:divBdr>
            <w:top w:val="none" w:sz="0" w:space="0" w:color="auto"/>
            <w:left w:val="none" w:sz="0" w:space="0" w:color="auto"/>
            <w:bottom w:val="none" w:sz="0" w:space="0" w:color="auto"/>
            <w:right w:val="none" w:sz="0" w:space="0" w:color="auto"/>
          </w:divBdr>
        </w:div>
        <w:div w:id="793257904">
          <w:marLeft w:val="0"/>
          <w:marRight w:val="0"/>
          <w:marTop w:val="0"/>
          <w:marBottom w:val="0"/>
          <w:divBdr>
            <w:top w:val="none" w:sz="0" w:space="0" w:color="auto"/>
            <w:left w:val="none" w:sz="0" w:space="0" w:color="auto"/>
            <w:bottom w:val="none" w:sz="0" w:space="0" w:color="auto"/>
            <w:right w:val="none" w:sz="0" w:space="0" w:color="auto"/>
          </w:divBdr>
        </w:div>
        <w:div w:id="836307183">
          <w:marLeft w:val="0"/>
          <w:marRight w:val="0"/>
          <w:marTop w:val="0"/>
          <w:marBottom w:val="0"/>
          <w:divBdr>
            <w:top w:val="none" w:sz="0" w:space="0" w:color="auto"/>
            <w:left w:val="none" w:sz="0" w:space="0" w:color="auto"/>
            <w:bottom w:val="none" w:sz="0" w:space="0" w:color="auto"/>
            <w:right w:val="none" w:sz="0" w:space="0" w:color="auto"/>
          </w:divBdr>
        </w:div>
        <w:div w:id="1071927244">
          <w:marLeft w:val="0"/>
          <w:marRight w:val="0"/>
          <w:marTop w:val="0"/>
          <w:marBottom w:val="0"/>
          <w:divBdr>
            <w:top w:val="none" w:sz="0" w:space="0" w:color="auto"/>
            <w:left w:val="none" w:sz="0" w:space="0" w:color="auto"/>
            <w:bottom w:val="none" w:sz="0" w:space="0" w:color="auto"/>
            <w:right w:val="none" w:sz="0" w:space="0" w:color="auto"/>
          </w:divBdr>
        </w:div>
        <w:div w:id="1647971977">
          <w:marLeft w:val="0"/>
          <w:marRight w:val="0"/>
          <w:marTop w:val="0"/>
          <w:marBottom w:val="0"/>
          <w:divBdr>
            <w:top w:val="none" w:sz="0" w:space="0" w:color="auto"/>
            <w:left w:val="none" w:sz="0" w:space="0" w:color="auto"/>
            <w:bottom w:val="none" w:sz="0" w:space="0" w:color="auto"/>
            <w:right w:val="none" w:sz="0" w:space="0" w:color="auto"/>
          </w:divBdr>
        </w:div>
        <w:div w:id="627051100">
          <w:marLeft w:val="0"/>
          <w:marRight w:val="0"/>
          <w:marTop w:val="0"/>
          <w:marBottom w:val="0"/>
          <w:divBdr>
            <w:top w:val="none" w:sz="0" w:space="0" w:color="auto"/>
            <w:left w:val="none" w:sz="0" w:space="0" w:color="auto"/>
            <w:bottom w:val="none" w:sz="0" w:space="0" w:color="auto"/>
            <w:right w:val="none" w:sz="0" w:space="0" w:color="auto"/>
          </w:divBdr>
        </w:div>
      </w:divsChild>
    </w:div>
    <w:div w:id="168719240">
      <w:bodyDiv w:val="1"/>
      <w:marLeft w:val="0"/>
      <w:marRight w:val="0"/>
      <w:marTop w:val="0"/>
      <w:marBottom w:val="0"/>
      <w:divBdr>
        <w:top w:val="none" w:sz="0" w:space="0" w:color="auto"/>
        <w:left w:val="none" w:sz="0" w:space="0" w:color="auto"/>
        <w:bottom w:val="none" w:sz="0" w:space="0" w:color="auto"/>
        <w:right w:val="none" w:sz="0" w:space="0" w:color="auto"/>
      </w:divBdr>
      <w:divsChild>
        <w:div w:id="942810640">
          <w:marLeft w:val="0"/>
          <w:marRight w:val="0"/>
          <w:marTop w:val="0"/>
          <w:marBottom w:val="0"/>
          <w:divBdr>
            <w:top w:val="none" w:sz="0" w:space="0" w:color="auto"/>
            <w:left w:val="none" w:sz="0" w:space="0" w:color="auto"/>
            <w:bottom w:val="none" w:sz="0" w:space="0" w:color="auto"/>
            <w:right w:val="none" w:sz="0" w:space="0" w:color="auto"/>
          </w:divBdr>
        </w:div>
        <w:div w:id="1021585203">
          <w:marLeft w:val="0"/>
          <w:marRight w:val="0"/>
          <w:marTop w:val="0"/>
          <w:marBottom w:val="0"/>
          <w:divBdr>
            <w:top w:val="none" w:sz="0" w:space="0" w:color="auto"/>
            <w:left w:val="none" w:sz="0" w:space="0" w:color="auto"/>
            <w:bottom w:val="none" w:sz="0" w:space="0" w:color="auto"/>
            <w:right w:val="none" w:sz="0" w:space="0" w:color="auto"/>
          </w:divBdr>
        </w:div>
        <w:div w:id="1921911756">
          <w:marLeft w:val="0"/>
          <w:marRight w:val="0"/>
          <w:marTop w:val="0"/>
          <w:marBottom w:val="0"/>
          <w:divBdr>
            <w:top w:val="none" w:sz="0" w:space="0" w:color="auto"/>
            <w:left w:val="none" w:sz="0" w:space="0" w:color="auto"/>
            <w:bottom w:val="none" w:sz="0" w:space="0" w:color="auto"/>
            <w:right w:val="none" w:sz="0" w:space="0" w:color="auto"/>
          </w:divBdr>
        </w:div>
        <w:div w:id="283198285">
          <w:marLeft w:val="0"/>
          <w:marRight w:val="0"/>
          <w:marTop w:val="0"/>
          <w:marBottom w:val="0"/>
          <w:divBdr>
            <w:top w:val="none" w:sz="0" w:space="0" w:color="auto"/>
            <w:left w:val="none" w:sz="0" w:space="0" w:color="auto"/>
            <w:bottom w:val="none" w:sz="0" w:space="0" w:color="auto"/>
            <w:right w:val="none" w:sz="0" w:space="0" w:color="auto"/>
          </w:divBdr>
        </w:div>
        <w:div w:id="2081632491">
          <w:marLeft w:val="0"/>
          <w:marRight w:val="0"/>
          <w:marTop w:val="0"/>
          <w:marBottom w:val="0"/>
          <w:divBdr>
            <w:top w:val="none" w:sz="0" w:space="0" w:color="auto"/>
            <w:left w:val="none" w:sz="0" w:space="0" w:color="auto"/>
            <w:bottom w:val="none" w:sz="0" w:space="0" w:color="auto"/>
            <w:right w:val="none" w:sz="0" w:space="0" w:color="auto"/>
          </w:divBdr>
        </w:div>
        <w:div w:id="1257204424">
          <w:marLeft w:val="0"/>
          <w:marRight w:val="0"/>
          <w:marTop w:val="0"/>
          <w:marBottom w:val="0"/>
          <w:divBdr>
            <w:top w:val="none" w:sz="0" w:space="0" w:color="auto"/>
            <w:left w:val="none" w:sz="0" w:space="0" w:color="auto"/>
            <w:bottom w:val="none" w:sz="0" w:space="0" w:color="auto"/>
            <w:right w:val="none" w:sz="0" w:space="0" w:color="auto"/>
          </w:divBdr>
        </w:div>
        <w:div w:id="601307544">
          <w:marLeft w:val="0"/>
          <w:marRight w:val="0"/>
          <w:marTop w:val="0"/>
          <w:marBottom w:val="0"/>
          <w:divBdr>
            <w:top w:val="none" w:sz="0" w:space="0" w:color="auto"/>
            <w:left w:val="none" w:sz="0" w:space="0" w:color="auto"/>
            <w:bottom w:val="none" w:sz="0" w:space="0" w:color="auto"/>
            <w:right w:val="none" w:sz="0" w:space="0" w:color="auto"/>
          </w:divBdr>
        </w:div>
        <w:div w:id="118761809">
          <w:marLeft w:val="0"/>
          <w:marRight w:val="0"/>
          <w:marTop w:val="0"/>
          <w:marBottom w:val="0"/>
          <w:divBdr>
            <w:top w:val="none" w:sz="0" w:space="0" w:color="auto"/>
            <w:left w:val="none" w:sz="0" w:space="0" w:color="auto"/>
            <w:bottom w:val="none" w:sz="0" w:space="0" w:color="auto"/>
            <w:right w:val="none" w:sz="0" w:space="0" w:color="auto"/>
          </w:divBdr>
        </w:div>
        <w:div w:id="311064535">
          <w:marLeft w:val="0"/>
          <w:marRight w:val="0"/>
          <w:marTop w:val="0"/>
          <w:marBottom w:val="0"/>
          <w:divBdr>
            <w:top w:val="none" w:sz="0" w:space="0" w:color="auto"/>
            <w:left w:val="none" w:sz="0" w:space="0" w:color="auto"/>
            <w:bottom w:val="none" w:sz="0" w:space="0" w:color="auto"/>
            <w:right w:val="none" w:sz="0" w:space="0" w:color="auto"/>
          </w:divBdr>
        </w:div>
        <w:div w:id="562062186">
          <w:marLeft w:val="0"/>
          <w:marRight w:val="0"/>
          <w:marTop w:val="0"/>
          <w:marBottom w:val="0"/>
          <w:divBdr>
            <w:top w:val="none" w:sz="0" w:space="0" w:color="auto"/>
            <w:left w:val="none" w:sz="0" w:space="0" w:color="auto"/>
            <w:bottom w:val="none" w:sz="0" w:space="0" w:color="auto"/>
            <w:right w:val="none" w:sz="0" w:space="0" w:color="auto"/>
          </w:divBdr>
        </w:div>
      </w:divsChild>
    </w:div>
    <w:div w:id="376515758">
      <w:bodyDiv w:val="1"/>
      <w:marLeft w:val="0"/>
      <w:marRight w:val="0"/>
      <w:marTop w:val="0"/>
      <w:marBottom w:val="0"/>
      <w:divBdr>
        <w:top w:val="none" w:sz="0" w:space="0" w:color="auto"/>
        <w:left w:val="none" w:sz="0" w:space="0" w:color="auto"/>
        <w:bottom w:val="none" w:sz="0" w:space="0" w:color="auto"/>
        <w:right w:val="none" w:sz="0" w:space="0" w:color="auto"/>
      </w:divBdr>
      <w:divsChild>
        <w:div w:id="910117890">
          <w:marLeft w:val="0"/>
          <w:marRight w:val="0"/>
          <w:marTop w:val="0"/>
          <w:marBottom w:val="0"/>
          <w:divBdr>
            <w:top w:val="none" w:sz="0" w:space="0" w:color="auto"/>
            <w:left w:val="none" w:sz="0" w:space="0" w:color="auto"/>
            <w:bottom w:val="none" w:sz="0" w:space="0" w:color="auto"/>
            <w:right w:val="none" w:sz="0" w:space="0" w:color="auto"/>
          </w:divBdr>
        </w:div>
        <w:div w:id="415325539">
          <w:marLeft w:val="0"/>
          <w:marRight w:val="0"/>
          <w:marTop w:val="0"/>
          <w:marBottom w:val="0"/>
          <w:divBdr>
            <w:top w:val="none" w:sz="0" w:space="0" w:color="auto"/>
            <w:left w:val="none" w:sz="0" w:space="0" w:color="auto"/>
            <w:bottom w:val="none" w:sz="0" w:space="0" w:color="auto"/>
            <w:right w:val="none" w:sz="0" w:space="0" w:color="auto"/>
          </w:divBdr>
        </w:div>
        <w:div w:id="1316488762">
          <w:marLeft w:val="0"/>
          <w:marRight w:val="0"/>
          <w:marTop w:val="0"/>
          <w:marBottom w:val="0"/>
          <w:divBdr>
            <w:top w:val="none" w:sz="0" w:space="0" w:color="auto"/>
            <w:left w:val="none" w:sz="0" w:space="0" w:color="auto"/>
            <w:bottom w:val="none" w:sz="0" w:space="0" w:color="auto"/>
            <w:right w:val="none" w:sz="0" w:space="0" w:color="auto"/>
          </w:divBdr>
        </w:div>
        <w:div w:id="1904290617">
          <w:marLeft w:val="0"/>
          <w:marRight w:val="0"/>
          <w:marTop w:val="0"/>
          <w:marBottom w:val="0"/>
          <w:divBdr>
            <w:top w:val="none" w:sz="0" w:space="0" w:color="auto"/>
            <w:left w:val="none" w:sz="0" w:space="0" w:color="auto"/>
            <w:bottom w:val="none" w:sz="0" w:space="0" w:color="auto"/>
            <w:right w:val="none" w:sz="0" w:space="0" w:color="auto"/>
          </w:divBdr>
        </w:div>
        <w:div w:id="799684270">
          <w:marLeft w:val="0"/>
          <w:marRight w:val="0"/>
          <w:marTop w:val="0"/>
          <w:marBottom w:val="0"/>
          <w:divBdr>
            <w:top w:val="none" w:sz="0" w:space="0" w:color="auto"/>
            <w:left w:val="none" w:sz="0" w:space="0" w:color="auto"/>
            <w:bottom w:val="none" w:sz="0" w:space="0" w:color="auto"/>
            <w:right w:val="none" w:sz="0" w:space="0" w:color="auto"/>
          </w:divBdr>
        </w:div>
        <w:div w:id="1484421883">
          <w:marLeft w:val="0"/>
          <w:marRight w:val="0"/>
          <w:marTop w:val="0"/>
          <w:marBottom w:val="0"/>
          <w:divBdr>
            <w:top w:val="none" w:sz="0" w:space="0" w:color="auto"/>
            <w:left w:val="none" w:sz="0" w:space="0" w:color="auto"/>
            <w:bottom w:val="none" w:sz="0" w:space="0" w:color="auto"/>
            <w:right w:val="none" w:sz="0" w:space="0" w:color="auto"/>
          </w:divBdr>
        </w:div>
        <w:div w:id="656497627">
          <w:marLeft w:val="0"/>
          <w:marRight w:val="0"/>
          <w:marTop w:val="0"/>
          <w:marBottom w:val="0"/>
          <w:divBdr>
            <w:top w:val="none" w:sz="0" w:space="0" w:color="auto"/>
            <w:left w:val="none" w:sz="0" w:space="0" w:color="auto"/>
            <w:bottom w:val="none" w:sz="0" w:space="0" w:color="auto"/>
            <w:right w:val="none" w:sz="0" w:space="0" w:color="auto"/>
          </w:divBdr>
        </w:div>
        <w:div w:id="128669249">
          <w:marLeft w:val="0"/>
          <w:marRight w:val="0"/>
          <w:marTop w:val="0"/>
          <w:marBottom w:val="0"/>
          <w:divBdr>
            <w:top w:val="none" w:sz="0" w:space="0" w:color="auto"/>
            <w:left w:val="none" w:sz="0" w:space="0" w:color="auto"/>
            <w:bottom w:val="none" w:sz="0" w:space="0" w:color="auto"/>
            <w:right w:val="none" w:sz="0" w:space="0" w:color="auto"/>
          </w:divBdr>
        </w:div>
        <w:div w:id="616256499">
          <w:marLeft w:val="0"/>
          <w:marRight w:val="0"/>
          <w:marTop w:val="0"/>
          <w:marBottom w:val="0"/>
          <w:divBdr>
            <w:top w:val="none" w:sz="0" w:space="0" w:color="auto"/>
            <w:left w:val="none" w:sz="0" w:space="0" w:color="auto"/>
            <w:bottom w:val="none" w:sz="0" w:space="0" w:color="auto"/>
            <w:right w:val="none" w:sz="0" w:space="0" w:color="auto"/>
          </w:divBdr>
        </w:div>
        <w:div w:id="927496534">
          <w:marLeft w:val="0"/>
          <w:marRight w:val="0"/>
          <w:marTop w:val="0"/>
          <w:marBottom w:val="0"/>
          <w:divBdr>
            <w:top w:val="none" w:sz="0" w:space="0" w:color="auto"/>
            <w:left w:val="none" w:sz="0" w:space="0" w:color="auto"/>
            <w:bottom w:val="none" w:sz="0" w:space="0" w:color="auto"/>
            <w:right w:val="none" w:sz="0" w:space="0" w:color="auto"/>
          </w:divBdr>
        </w:div>
      </w:divsChild>
    </w:div>
    <w:div w:id="751898909">
      <w:bodyDiv w:val="1"/>
      <w:marLeft w:val="0"/>
      <w:marRight w:val="0"/>
      <w:marTop w:val="0"/>
      <w:marBottom w:val="0"/>
      <w:divBdr>
        <w:top w:val="none" w:sz="0" w:space="0" w:color="auto"/>
        <w:left w:val="none" w:sz="0" w:space="0" w:color="auto"/>
        <w:bottom w:val="none" w:sz="0" w:space="0" w:color="auto"/>
        <w:right w:val="none" w:sz="0" w:space="0" w:color="auto"/>
      </w:divBdr>
      <w:divsChild>
        <w:div w:id="1914124335">
          <w:marLeft w:val="0"/>
          <w:marRight w:val="0"/>
          <w:marTop w:val="0"/>
          <w:marBottom w:val="0"/>
          <w:divBdr>
            <w:top w:val="none" w:sz="0" w:space="0" w:color="auto"/>
            <w:left w:val="none" w:sz="0" w:space="0" w:color="auto"/>
            <w:bottom w:val="none" w:sz="0" w:space="0" w:color="auto"/>
            <w:right w:val="none" w:sz="0" w:space="0" w:color="auto"/>
          </w:divBdr>
        </w:div>
        <w:div w:id="2082025207">
          <w:marLeft w:val="0"/>
          <w:marRight w:val="0"/>
          <w:marTop w:val="0"/>
          <w:marBottom w:val="0"/>
          <w:divBdr>
            <w:top w:val="none" w:sz="0" w:space="0" w:color="auto"/>
            <w:left w:val="none" w:sz="0" w:space="0" w:color="auto"/>
            <w:bottom w:val="none" w:sz="0" w:space="0" w:color="auto"/>
            <w:right w:val="none" w:sz="0" w:space="0" w:color="auto"/>
          </w:divBdr>
        </w:div>
        <w:div w:id="1182744361">
          <w:marLeft w:val="0"/>
          <w:marRight w:val="0"/>
          <w:marTop w:val="0"/>
          <w:marBottom w:val="0"/>
          <w:divBdr>
            <w:top w:val="none" w:sz="0" w:space="0" w:color="auto"/>
            <w:left w:val="none" w:sz="0" w:space="0" w:color="auto"/>
            <w:bottom w:val="none" w:sz="0" w:space="0" w:color="auto"/>
            <w:right w:val="none" w:sz="0" w:space="0" w:color="auto"/>
          </w:divBdr>
        </w:div>
        <w:div w:id="270554910">
          <w:marLeft w:val="0"/>
          <w:marRight w:val="0"/>
          <w:marTop w:val="0"/>
          <w:marBottom w:val="0"/>
          <w:divBdr>
            <w:top w:val="none" w:sz="0" w:space="0" w:color="auto"/>
            <w:left w:val="none" w:sz="0" w:space="0" w:color="auto"/>
            <w:bottom w:val="none" w:sz="0" w:space="0" w:color="auto"/>
            <w:right w:val="none" w:sz="0" w:space="0" w:color="auto"/>
          </w:divBdr>
        </w:div>
        <w:div w:id="726612039">
          <w:marLeft w:val="0"/>
          <w:marRight w:val="0"/>
          <w:marTop w:val="0"/>
          <w:marBottom w:val="0"/>
          <w:divBdr>
            <w:top w:val="none" w:sz="0" w:space="0" w:color="auto"/>
            <w:left w:val="none" w:sz="0" w:space="0" w:color="auto"/>
            <w:bottom w:val="none" w:sz="0" w:space="0" w:color="auto"/>
            <w:right w:val="none" w:sz="0" w:space="0" w:color="auto"/>
          </w:divBdr>
        </w:div>
        <w:div w:id="441799403">
          <w:marLeft w:val="0"/>
          <w:marRight w:val="0"/>
          <w:marTop w:val="0"/>
          <w:marBottom w:val="0"/>
          <w:divBdr>
            <w:top w:val="none" w:sz="0" w:space="0" w:color="auto"/>
            <w:left w:val="none" w:sz="0" w:space="0" w:color="auto"/>
            <w:bottom w:val="none" w:sz="0" w:space="0" w:color="auto"/>
            <w:right w:val="none" w:sz="0" w:space="0" w:color="auto"/>
          </w:divBdr>
        </w:div>
        <w:div w:id="569925089">
          <w:marLeft w:val="0"/>
          <w:marRight w:val="0"/>
          <w:marTop w:val="0"/>
          <w:marBottom w:val="0"/>
          <w:divBdr>
            <w:top w:val="none" w:sz="0" w:space="0" w:color="auto"/>
            <w:left w:val="none" w:sz="0" w:space="0" w:color="auto"/>
            <w:bottom w:val="none" w:sz="0" w:space="0" w:color="auto"/>
            <w:right w:val="none" w:sz="0" w:space="0" w:color="auto"/>
          </w:divBdr>
        </w:div>
        <w:div w:id="756903626">
          <w:marLeft w:val="0"/>
          <w:marRight w:val="0"/>
          <w:marTop w:val="0"/>
          <w:marBottom w:val="0"/>
          <w:divBdr>
            <w:top w:val="none" w:sz="0" w:space="0" w:color="auto"/>
            <w:left w:val="none" w:sz="0" w:space="0" w:color="auto"/>
            <w:bottom w:val="none" w:sz="0" w:space="0" w:color="auto"/>
            <w:right w:val="none" w:sz="0" w:space="0" w:color="auto"/>
          </w:divBdr>
        </w:div>
        <w:div w:id="1472479218">
          <w:marLeft w:val="0"/>
          <w:marRight w:val="0"/>
          <w:marTop w:val="0"/>
          <w:marBottom w:val="0"/>
          <w:divBdr>
            <w:top w:val="none" w:sz="0" w:space="0" w:color="auto"/>
            <w:left w:val="none" w:sz="0" w:space="0" w:color="auto"/>
            <w:bottom w:val="none" w:sz="0" w:space="0" w:color="auto"/>
            <w:right w:val="none" w:sz="0" w:space="0" w:color="auto"/>
          </w:divBdr>
        </w:div>
        <w:div w:id="867331941">
          <w:marLeft w:val="0"/>
          <w:marRight w:val="0"/>
          <w:marTop w:val="0"/>
          <w:marBottom w:val="0"/>
          <w:divBdr>
            <w:top w:val="none" w:sz="0" w:space="0" w:color="auto"/>
            <w:left w:val="none" w:sz="0" w:space="0" w:color="auto"/>
            <w:bottom w:val="none" w:sz="0" w:space="0" w:color="auto"/>
            <w:right w:val="none" w:sz="0" w:space="0" w:color="auto"/>
          </w:divBdr>
        </w:div>
        <w:div w:id="813957940">
          <w:marLeft w:val="0"/>
          <w:marRight w:val="0"/>
          <w:marTop w:val="0"/>
          <w:marBottom w:val="0"/>
          <w:divBdr>
            <w:top w:val="none" w:sz="0" w:space="0" w:color="auto"/>
            <w:left w:val="none" w:sz="0" w:space="0" w:color="auto"/>
            <w:bottom w:val="none" w:sz="0" w:space="0" w:color="auto"/>
            <w:right w:val="none" w:sz="0" w:space="0" w:color="auto"/>
          </w:divBdr>
        </w:div>
        <w:div w:id="1821582139">
          <w:marLeft w:val="0"/>
          <w:marRight w:val="0"/>
          <w:marTop w:val="0"/>
          <w:marBottom w:val="0"/>
          <w:divBdr>
            <w:top w:val="none" w:sz="0" w:space="0" w:color="auto"/>
            <w:left w:val="none" w:sz="0" w:space="0" w:color="auto"/>
            <w:bottom w:val="none" w:sz="0" w:space="0" w:color="auto"/>
            <w:right w:val="none" w:sz="0" w:space="0" w:color="auto"/>
          </w:divBdr>
        </w:div>
        <w:div w:id="415328661">
          <w:marLeft w:val="0"/>
          <w:marRight w:val="0"/>
          <w:marTop w:val="0"/>
          <w:marBottom w:val="0"/>
          <w:divBdr>
            <w:top w:val="none" w:sz="0" w:space="0" w:color="auto"/>
            <w:left w:val="none" w:sz="0" w:space="0" w:color="auto"/>
            <w:bottom w:val="none" w:sz="0" w:space="0" w:color="auto"/>
            <w:right w:val="none" w:sz="0" w:space="0" w:color="auto"/>
          </w:divBdr>
        </w:div>
      </w:divsChild>
    </w:div>
    <w:div w:id="1063600255">
      <w:bodyDiv w:val="1"/>
      <w:marLeft w:val="0"/>
      <w:marRight w:val="0"/>
      <w:marTop w:val="0"/>
      <w:marBottom w:val="0"/>
      <w:divBdr>
        <w:top w:val="none" w:sz="0" w:space="0" w:color="auto"/>
        <w:left w:val="none" w:sz="0" w:space="0" w:color="auto"/>
        <w:bottom w:val="none" w:sz="0" w:space="0" w:color="auto"/>
        <w:right w:val="none" w:sz="0" w:space="0" w:color="auto"/>
      </w:divBdr>
      <w:divsChild>
        <w:div w:id="363941599">
          <w:marLeft w:val="0"/>
          <w:marRight w:val="0"/>
          <w:marTop w:val="0"/>
          <w:marBottom w:val="0"/>
          <w:divBdr>
            <w:top w:val="none" w:sz="0" w:space="0" w:color="auto"/>
            <w:left w:val="none" w:sz="0" w:space="0" w:color="auto"/>
            <w:bottom w:val="none" w:sz="0" w:space="0" w:color="auto"/>
            <w:right w:val="none" w:sz="0" w:space="0" w:color="auto"/>
          </w:divBdr>
        </w:div>
        <w:div w:id="1515606496">
          <w:marLeft w:val="0"/>
          <w:marRight w:val="0"/>
          <w:marTop w:val="0"/>
          <w:marBottom w:val="0"/>
          <w:divBdr>
            <w:top w:val="none" w:sz="0" w:space="0" w:color="auto"/>
            <w:left w:val="none" w:sz="0" w:space="0" w:color="auto"/>
            <w:bottom w:val="none" w:sz="0" w:space="0" w:color="auto"/>
            <w:right w:val="none" w:sz="0" w:space="0" w:color="auto"/>
          </w:divBdr>
        </w:div>
        <w:div w:id="823547700">
          <w:marLeft w:val="0"/>
          <w:marRight w:val="0"/>
          <w:marTop w:val="0"/>
          <w:marBottom w:val="0"/>
          <w:divBdr>
            <w:top w:val="none" w:sz="0" w:space="0" w:color="auto"/>
            <w:left w:val="none" w:sz="0" w:space="0" w:color="auto"/>
            <w:bottom w:val="none" w:sz="0" w:space="0" w:color="auto"/>
            <w:right w:val="none" w:sz="0" w:space="0" w:color="auto"/>
          </w:divBdr>
        </w:div>
        <w:div w:id="49499218">
          <w:marLeft w:val="0"/>
          <w:marRight w:val="0"/>
          <w:marTop w:val="0"/>
          <w:marBottom w:val="0"/>
          <w:divBdr>
            <w:top w:val="none" w:sz="0" w:space="0" w:color="auto"/>
            <w:left w:val="none" w:sz="0" w:space="0" w:color="auto"/>
            <w:bottom w:val="none" w:sz="0" w:space="0" w:color="auto"/>
            <w:right w:val="none" w:sz="0" w:space="0" w:color="auto"/>
          </w:divBdr>
        </w:div>
        <w:div w:id="8796171">
          <w:marLeft w:val="0"/>
          <w:marRight w:val="0"/>
          <w:marTop w:val="0"/>
          <w:marBottom w:val="0"/>
          <w:divBdr>
            <w:top w:val="none" w:sz="0" w:space="0" w:color="auto"/>
            <w:left w:val="none" w:sz="0" w:space="0" w:color="auto"/>
            <w:bottom w:val="none" w:sz="0" w:space="0" w:color="auto"/>
            <w:right w:val="none" w:sz="0" w:space="0" w:color="auto"/>
          </w:divBdr>
        </w:div>
        <w:div w:id="426267003">
          <w:marLeft w:val="0"/>
          <w:marRight w:val="0"/>
          <w:marTop w:val="0"/>
          <w:marBottom w:val="0"/>
          <w:divBdr>
            <w:top w:val="none" w:sz="0" w:space="0" w:color="auto"/>
            <w:left w:val="none" w:sz="0" w:space="0" w:color="auto"/>
            <w:bottom w:val="none" w:sz="0" w:space="0" w:color="auto"/>
            <w:right w:val="none" w:sz="0" w:space="0" w:color="auto"/>
          </w:divBdr>
        </w:div>
        <w:div w:id="2051151244">
          <w:marLeft w:val="0"/>
          <w:marRight w:val="0"/>
          <w:marTop w:val="0"/>
          <w:marBottom w:val="0"/>
          <w:divBdr>
            <w:top w:val="none" w:sz="0" w:space="0" w:color="auto"/>
            <w:left w:val="none" w:sz="0" w:space="0" w:color="auto"/>
            <w:bottom w:val="none" w:sz="0" w:space="0" w:color="auto"/>
            <w:right w:val="none" w:sz="0" w:space="0" w:color="auto"/>
          </w:divBdr>
        </w:div>
        <w:div w:id="636375323">
          <w:marLeft w:val="0"/>
          <w:marRight w:val="0"/>
          <w:marTop w:val="0"/>
          <w:marBottom w:val="0"/>
          <w:divBdr>
            <w:top w:val="none" w:sz="0" w:space="0" w:color="auto"/>
            <w:left w:val="none" w:sz="0" w:space="0" w:color="auto"/>
            <w:bottom w:val="none" w:sz="0" w:space="0" w:color="auto"/>
            <w:right w:val="none" w:sz="0" w:space="0" w:color="auto"/>
          </w:divBdr>
        </w:div>
        <w:div w:id="216088842">
          <w:marLeft w:val="0"/>
          <w:marRight w:val="0"/>
          <w:marTop w:val="0"/>
          <w:marBottom w:val="0"/>
          <w:divBdr>
            <w:top w:val="none" w:sz="0" w:space="0" w:color="auto"/>
            <w:left w:val="none" w:sz="0" w:space="0" w:color="auto"/>
            <w:bottom w:val="none" w:sz="0" w:space="0" w:color="auto"/>
            <w:right w:val="none" w:sz="0" w:space="0" w:color="auto"/>
          </w:divBdr>
        </w:div>
        <w:div w:id="1188639369">
          <w:marLeft w:val="0"/>
          <w:marRight w:val="0"/>
          <w:marTop w:val="0"/>
          <w:marBottom w:val="0"/>
          <w:divBdr>
            <w:top w:val="none" w:sz="0" w:space="0" w:color="auto"/>
            <w:left w:val="none" w:sz="0" w:space="0" w:color="auto"/>
            <w:bottom w:val="none" w:sz="0" w:space="0" w:color="auto"/>
            <w:right w:val="none" w:sz="0" w:space="0" w:color="auto"/>
          </w:divBdr>
        </w:div>
      </w:divsChild>
    </w:div>
    <w:div w:id="1126854767">
      <w:bodyDiv w:val="1"/>
      <w:marLeft w:val="0"/>
      <w:marRight w:val="0"/>
      <w:marTop w:val="0"/>
      <w:marBottom w:val="0"/>
      <w:divBdr>
        <w:top w:val="none" w:sz="0" w:space="0" w:color="auto"/>
        <w:left w:val="none" w:sz="0" w:space="0" w:color="auto"/>
        <w:bottom w:val="none" w:sz="0" w:space="0" w:color="auto"/>
        <w:right w:val="none" w:sz="0" w:space="0" w:color="auto"/>
      </w:divBdr>
      <w:divsChild>
        <w:div w:id="1591506801">
          <w:marLeft w:val="547"/>
          <w:marRight w:val="0"/>
          <w:marTop w:val="0"/>
          <w:marBottom w:val="0"/>
          <w:divBdr>
            <w:top w:val="none" w:sz="0" w:space="0" w:color="auto"/>
            <w:left w:val="none" w:sz="0" w:space="0" w:color="auto"/>
            <w:bottom w:val="none" w:sz="0" w:space="0" w:color="auto"/>
            <w:right w:val="none" w:sz="0" w:space="0" w:color="auto"/>
          </w:divBdr>
        </w:div>
      </w:divsChild>
    </w:div>
    <w:div w:id="1569027601">
      <w:bodyDiv w:val="1"/>
      <w:marLeft w:val="0"/>
      <w:marRight w:val="0"/>
      <w:marTop w:val="0"/>
      <w:marBottom w:val="0"/>
      <w:divBdr>
        <w:top w:val="none" w:sz="0" w:space="0" w:color="auto"/>
        <w:left w:val="none" w:sz="0" w:space="0" w:color="auto"/>
        <w:bottom w:val="none" w:sz="0" w:space="0" w:color="auto"/>
        <w:right w:val="none" w:sz="0" w:space="0" w:color="auto"/>
      </w:divBdr>
      <w:divsChild>
        <w:div w:id="60294040">
          <w:marLeft w:val="547"/>
          <w:marRight w:val="0"/>
          <w:marTop w:val="0"/>
          <w:marBottom w:val="0"/>
          <w:divBdr>
            <w:top w:val="none" w:sz="0" w:space="0" w:color="auto"/>
            <w:left w:val="none" w:sz="0" w:space="0" w:color="auto"/>
            <w:bottom w:val="none" w:sz="0" w:space="0" w:color="auto"/>
            <w:right w:val="none" w:sz="0" w:space="0" w:color="auto"/>
          </w:divBdr>
        </w:div>
      </w:divsChild>
    </w:div>
    <w:div w:id="1665739442">
      <w:bodyDiv w:val="1"/>
      <w:marLeft w:val="0"/>
      <w:marRight w:val="0"/>
      <w:marTop w:val="0"/>
      <w:marBottom w:val="0"/>
      <w:divBdr>
        <w:top w:val="none" w:sz="0" w:space="0" w:color="auto"/>
        <w:left w:val="none" w:sz="0" w:space="0" w:color="auto"/>
        <w:bottom w:val="none" w:sz="0" w:space="0" w:color="auto"/>
        <w:right w:val="none" w:sz="0" w:space="0" w:color="auto"/>
      </w:divBdr>
      <w:divsChild>
        <w:div w:id="747770680">
          <w:marLeft w:val="0"/>
          <w:marRight w:val="0"/>
          <w:marTop w:val="0"/>
          <w:marBottom w:val="0"/>
          <w:divBdr>
            <w:top w:val="none" w:sz="0" w:space="0" w:color="auto"/>
            <w:left w:val="none" w:sz="0" w:space="0" w:color="auto"/>
            <w:bottom w:val="none" w:sz="0" w:space="0" w:color="auto"/>
            <w:right w:val="none" w:sz="0" w:space="0" w:color="auto"/>
          </w:divBdr>
        </w:div>
        <w:div w:id="1467701590">
          <w:marLeft w:val="0"/>
          <w:marRight w:val="0"/>
          <w:marTop w:val="0"/>
          <w:marBottom w:val="0"/>
          <w:divBdr>
            <w:top w:val="none" w:sz="0" w:space="0" w:color="auto"/>
            <w:left w:val="none" w:sz="0" w:space="0" w:color="auto"/>
            <w:bottom w:val="none" w:sz="0" w:space="0" w:color="auto"/>
            <w:right w:val="none" w:sz="0" w:space="0" w:color="auto"/>
          </w:divBdr>
        </w:div>
        <w:div w:id="1620263234">
          <w:marLeft w:val="0"/>
          <w:marRight w:val="0"/>
          <w:marTop w:val="0"/>
          <w:marBottom w:val="0"/>
          <w:divBdr>
            <w:top w:val="none" w:sz="0" w:space="0" w:color="auto"/>
            <w:left w:val="none" w:sz="0" w:space="0" w:color="auto"/>
            <w:bottom w:val="none" w:sz="0" w:space="0" w:color="auto"/>
            <w:right w:val="none" w:sz="0" w:space="0" w:color="auto"/>
          </w:divBdr>
        </w:div>
        <w:div w:id="729619307">
          <w:marLeft w:val="0"/>
          <w:marRight w:val="0"/>
          <w:marTop w:val="0"/>
          <w:marBottom w:val="0"/>
          <w:divBdr>
            <w:top w:val="none" w:sz="0" w:space="0" w:color="auto"/>
            <w:left w:val="none" w:sz="0" w:space="0" w:color="auto"/>
            <w:bottom w:val="none" w:sz="0" w:space="0" w:color="auto"/>
            <w:right w:val="none" w:sz="0" w:space="0" w:color="auto"/>
          </w:divBdr>
        </w:div>
        <w:div w:id="2034645946">
          <w:marLeft w:val="0"/>
          <w:marRight w:val="0"/>
          <w:marTop w:val="0"/>
          <w:marBottom w:val="0"/>
          <w:divBdr>
            <w:top w:val="none" w:sz="0" w:space="0" w:color="auto"/>
            <w:left w:val="none" w:sz="0" w:space="0" w:color="auto"/>
            <w:bottom w:val="none" w:sz="0" w:space="0" w:color="auto"/>
            <w:right w:val="none" w:sz="0" w:space="0" w:color="auto"/>
          </w:divBdr>
        </w:div>
        <w:div w:id="1491291769">
          <w:marLeft w:val="0"/>
          <w:marRight w:val="0"/>
          <w:marTop w:val="0"/>
          <w:marBottom w:val="0"/>
          <w:divBdr>
            <w:top w:val="none" w:sz="0" w:space="0" w:color="auto"/>
            <w:left w:val="none" w:sz="0" w:space="0" w:color="auto"/>
            <w:bottom w:val="none" w:sz="0" w:space="0" w:color="auto"/>
            <w:right w:val="none" w:sz="0" w:space="0" w:color="auto"/>
          </w:divBdr>
        </w:div>
        <w:div w:id="514656299">
          <w:marLeft w:val="0"/>
          <w:marRight w:val="0"/>
          <w:marTop w:val="0"/>
          <w:marBottom w:val="0"/>
          <w:divBdr>
            <w:top w:val="none" w:sz="0" w:space="0" w:color="auto"/>
            <w:left w:val="none" w:sz="0" w:space="0" w:color="auto"/>
            <w:bottom w:val="none" w:sz="0" w:space="0" w:color="auto"/>
            <w:right w:val="none" w:sz="0" w:space="0" w:color="auto"/>
          </w:divBdr>
        </w:div>
        <w:div w:id="1721203682">
          <w:marLeft w:val="0"/>
          <w:marRight w:val="0"/>
          <w:marTop w:val="0"/>
          <w:marBottom w:val="0"/>
          <w:divBdr>
            <w:top w:val="none" w:sz="0" w:space="0" w:color="auto"/>
            <w:left w:val="none" w:sz="0" w:space="0" w:color="auto"/>
            <w:bottom w:val="none" w:sz="0" w:space="0" w:color="auto"/>
            <w:right w:val="none" w:sz="0" w:space="0" w:color="auto"/>
          </w:divBdr>
        </w:div>
        <w:div w:id="723455518">
          <w:marLeft w:val="0"/>
          <w:marRight w:val="0"/>
          <w:marTop w:val="0"/>
          <w:marBottom w:val="0"/>
          <w:divBdr>
            <w:top w:val="none" w:sz="0" w:space="0" w:color="auto"/>
            <w:left w:val="none" w:sz="0" w:space="0" w:color="auto"/>
            <w:bottom w:val="none" w:sz="0" w:space="0" w:color="auto"/>
            <w:right w:val="none" w:sz="0" w:space="0" w:color="auto"/>
          </w:divBdr>
        </w:div>
        <w:div w:id="805045304">
          <w:marLeft w:val="0"/>
          <w:marRight w:val="0"/>
          <w:marTop w:val="0"/>
          <w:marBottom w:val="0"/>
          <w:divBdr>
            <w:top w:val="none" w:sz="0" w:space="0" w:color="auto"/>
            <w:left w:val="none" w:sz="0" w:space="0" w:color="auto"/>
            <w:bottom w:val="none" w:sz="0" w:space="0" w:color="auto"/>
            <w:right w:val="none" w:sz="0" w:space="0" w:color="auto"/>
          </w:divBdr>
        </w:div>
        <w:div w:id="1688941525">
          <w:marLeft w:val="0"/>
          <w:marRight w:val="0"/>
          <w:marTop w:val="0"/>
          <w:marBottom w:val="0"/>
          <w:divBdr>
            <w:top w:val="none" w:sz="0" w:space="0" w:color="auto"/>
            <w:left w:val="none" w:sz="0" w:space="0" w:color="auto"/>
            <w:bottom w:val="none" w:sz="0" w:space="0" w:color="auto"/>
            <w:right w:val="none" w:sz="0" w:space="0" w:color="auto"/>
          </w:divBdr>
        </w:div>
        <w:div w:id="283772229">
          <w:marLeft w:val="0"/>
          <w:marRight w:val="0"/>
          <w:marTop w:val="0"/>
          <w:marBottom w:val="0"/>
          <w:divBdr>
            <w:top w:val="none" w:sz="0" w:space="0" w:color="auto"/>
            <w:left w:val="none" w:sz="0" w:space="0" w:color="auto"/>
            <w:bottom w:val="none" w:sz="0" w:space="0" w:color="auto"/>
            <w:right w:val="none" w:sz="0" w:space="0" w:color="auto"/>
          </w:divBdr>
        </w:div>
        <w:div w:id="795024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1/48/contents" TargetMode="External"/><Relationship Id="rId13" Type="http://schemas.openxmlformats.org/officeDocument/2006/relationships/hyperlink" Target="https://plus-lexis-com.ezproxy.uwtsd.ac.uk/uk/cases-uk/r-v-vinall/?crid=94ecf85c-276e-4437-a1ec-72acd2b6107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68/60/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lexis-com.ezproxy.uwtsd.ac.uk/uk/cases-uk/ivey-v-genting-casinos-uk-ltd-trading-as-croc_5/?crid=dda24bac-492c-49f0-8106-c5c5f2211b1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lus-lexis-com.ezproxy.uwtsd.ac.uk/uk/cases-uk/currie-v-dpp-sub-nom-cresswell-v-dpp-currie-v/?crid=0fefd611-21f5-48a8-807d-220bfb7682bc" TargetMode="External"/><Relationship Id="rId4" Type="http://schemas.openxmlformats.org/officeDocument/2006/relationships/settings" Target="settings.xml"/><Relationship Id="rId9" Type="http://schemas.openxmlformats.org/officeDocument/2006/relationships/hyperlink" Target="https://www.legislation.gov.uk/ukpga/1988/33/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Word count:1641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6</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2309644</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liability</dc:title>
  <dc:subject>BMLW4005</dc:subject>
  <dc:creator>Leah Thomas</dc:creator>
  <cp:keywords/>
  <dc:description/>
  <cp:lastModifiedBy>Leah Thomas</cp:lastModifiedBy>
  <cp:revision>47</cp:revision>
  <dcterms:created xsi:type="dcterms:W3CDTF">2024-04-15T17:22:00Z</dcterms:created>
  <dcterms:modified xsi:type="dcterms:W3CDTF">2024-04-28T19:19:00Z</dcterms:modified>
</cp:coreProperties>
</file>