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E379E" w:rsidP="3E0DCA19" w:rsidRDefault="003E379E" w14:paraId="1FE16FCB" w14:textId="10E6542A">
      <w:pPr>
        <w:spacing w:line="48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E0DCA19" w:rsidR="2BB08027">
        <w:rPr>
          <w:rFonts w:ascii="Arial" w:hAnsi="Arial" w:eastAsia="Arial" w:cs="Arial"/>
          <w:b w:val="1"/>
          <w:bCs w:val="1"/>
          <w:i w:val="0"/>
          <w:iCs w:val="0"/>
          <w:caps w:val="0"/>
          <w:smallCaps w:val="0"/>
          <w:noProof w:val="0"/>
          <w:color w:val="000000" w:themeColor="text1" w:themeTint="FF" w:themeShade="FF"/>
          <w:sz w:val="36"/>
          <w:szCs w:val="36"/>
          <w:lang w:val="en-GB"/>
        </w:rPr>
        <w:t>Student Name</w:t>
      </w:r>
      <w:r w:rsidRPr="3E0DCA19" w:rsidR="2BB08027">
        <w:rPr>
          <w:rFonts w:ascii="Arial" w:hAnsi="Arial" w:eastAsia="Arial" w:cs="Arial"/>
          <w:b w:val="0"/>
          <w:bCs w:val="0"/>
          <w:i w:val="0"/>
          <w:iCs w:val="0"/>
          <w:caps w:val="0"/>
          <w:smallCaps w:val="0"/>
          <w:noProof w:val="0"/>
          <w:color w:val="000000" w:themeColor="text1" w:themeTint="FF" w:themeShade="FF"/>
          <w:sz w:val="36"/>
          <w:szCs w:val="36"/>
          <w:lang w:val="en-GB"/>
        </w:rPr>
        <w:t>: Tasmia Bano</w:t>
      </w:r>
    </w:p>
    <w:p w:rsidR="003E379E" w:rsidP="3E0DCA19" w:rsidRDefault="003E379E" w14:paraId="212DC513" w14:textId="60C1818D">
      <w:pPr>
        <w:spacing w:line="48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E0DCA19" w:rsidR="2BB08027">
        <w:rPr>
          <w:rFonts w:ascii="Arial" w:hAnsi="Arial" w:eastAsia="Arial" w:cs="Arial"/>
          <w:b w:val="1"/>
          <w:bCs w:val="1"/>
          <w:i w:val="0"/>
          <w:iCs w:val="0"/>
          <w:caps w:val="0"/>
          <w:smallCaps w:val="0"/>
          <w:noProof w:val="0"/>
          <w:color w:val="000000" w:themeColor="text1" w:themeTint="FF" w:themeShade="FF"/>
          <w:sz w:val="36"/>
          <w:szCs w:val="36"/>
          <w:lang w:val="en-GB"/>
        </w:rPr>
        <w:t>Student ID</w:t>
      </w:r>
      <w:r w:rsidRPr="3E0DCA19" w:rsidR="2BB08027">
        <w:rPr>
          <w:rFonts w:ascii="Arial" w:hAnsi="Arial" w:eastAsia="Arial" w:cs="Arial"/>
          <w:b w:val="0"/>
          <w:bCs w:val="0"/>
          <w:i w:val="0"/>
          <w:iCs w:val="0"/>
          <w:caps w:val="0"/>
          <w:smallCaps w:val="0"/>
          <w:noProof w:val="0"/>
          <w:color w:val="000000" w:themeColor="text1" w:themeTint="FF" w:themeShade="FF"/>
          <w:sz w:val="36"/>
          <w:szCs w:val="36"/>
          <w:lang w:val="en-GB"/>
        </w:rPr>
        <w:t>:2433992</w:t>
      </w:r>
    </w:p>
    <w:p w:rsidR="003E379E" w:rsidP="3E0DCA19" w:rsidRDefault="003E379E" w14:paraId="3D1E4757" w14:textId="7049EF69">
      <w:pPr>
        <w:spacing w:line="48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E0DCA19" w:rsidR="2BB08027">
        <w:rPr>
          <w:rFonts w:ascii="Arial" w:hAnsi="Arial" w:eastAsia="Arial" w:cs="Arial"/>
          <w:b w:val="1"/>
          <w:bCs w:val="1"/>
          <w:i w:val="0"/>
          <w:iCs w:val="0"/>
          <w:caps w:val="0"/>
          <w:smallCaps w:val="0"/>
          <w:noProof w:val="0"/>
          <w:color w:val="000000" w:themeColor="text1" w:themeTint="FF" w:themeShade="FF"/>
          <w:sz w:val="36"/>
          <w:szCs w:val="36"/>
          <w:lang w:val="en-GB"/>
        </w:rPr>
        <w:t>Module Name</w:t>
      </w:r>
      <w:r w:rsidRPr="3E0DCA19" w:rsidR="2BB08027">
        <w:rPr>
          <w:rFonts w:ascii="Arial" w:hAnsi="Arial" w:eastAsia="Arial" w:cs="Arial"/>
          <w:b w:val="0"/>
          <w:bCs w:val="0"/>
          <w:i w:val="0"/>
          <w:iCs w:val="0"/>
          <w:caps w:val="0"/>
          <w:smallCaps w:val="0"/>
          <w:noProof w:val="0"/>
          <w:color w:val="000000" w:themeColor="text1" w:themeTint="FF" w:themeShade="FF"/>
          <w:sz w:val="36"/>
          <w:szCs w:val="36"/>
          <w:lang w:val="en-GB"/>
        </w:rPr>
        <w:t>: Principle of Health and Social Care</w:t>
      </w:r>
    </w:p>
    <w:p w:rsidR="003E379E" w:rsidP="3E0DCA19" w:rsidRDefault="003E379E" w14:paraId="601FD975" w14:textId="153B45CE">
      <w:pPr>
        <w:spacing w:line="48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E0DCA19" w:rsidR="2BB08027">
        <w:rPr>
          <w:rFonts w:ascii="Arial" w:hAnsi="Arial" w:eastAsia="Arial" w:cs="Arial"/>
          <w:b w:val="1"/>
          <w:bCs w:val="1"/>
          <w:i w:val="0"/>
          <w:iCs w:val="0"/>
          <w:caps w:val="0"/>
          <w:smallCaps w:val="0"/>
          <w:noProof w:val="0"/>
          <w:color w:val="000000" w:themeColor="text1" w:themeTint="FF" w:themeShade="FF"/>
          <w:sz w:val="36"/>
          <w:szCs w:val="36"/>
          <w:lang w:val="en-GB"/>
        </w:rPr>
        <w:t>Module Code: BMHP</w:t>
      </w:r>
      <w:r w:rsidRPr="3E0DCA19" w:rsidR="2BB08027">
        <w:rPr>
          <w:rFonts w:ascii="Arial" w:hAnsi="Arial" w:eastAsia="Arial" w:cs="Arial"/>
          <w:b w:val="0"/>
          <w:bCs w:val="0"/>
          <w:i w:val="0"/>
          <w:iCs w:val="0"/>
          <w:caps w:val="0"/>
          <w:smallCaps w:val="0"/>
          <w:noProof w:val="0"/>
          <w:color w:val="000000" w:themeColor="text1" w:themeTint="FF" w:themeShade="FF"/>
          <w:sz w:val="36"/>
          <w:szCs w:val="36"/>
          <w:lang w:val="en-GB"/>
        </w:rPr>
        <w:t xml:space="preserve"> 5016</w:t>
      </w:r>
    </w:p>
    <w:p w:rsidR="003E379E" w:rsidP="3E0DCA19" w:rsidRDefault="003E379E" w14:paraId="6F32EBD5" w14:textId="6C02FB26">
      <w:pPr>
        <w:spacing w:line="48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E0DCA19" w:rsidR="2BB08027">
        <w:rPr>
          <w:rFonts w:ascii="Arial" w:hAnsi="Arial" w:eastAsia="Arial" w:cs="Arial"/>
          <w:b w:val="1"/>
          <w:bCs w:val="1"/>
          <w:i w:val="0"/>
          <w:iCs w:val="0"/>
          <w:caps w:val="0"/>
          <w:smallCaps w:val="0"/>
          <w:noProof w:val="0"/>
          <w:color w:val="000000" w:themeColor="text1" w:themeTint="FF" w:themeShade="FF"/>
          <w:sz w:val="36"/>
          <w:szCs w:val="36"/>
          <w:lang w:val="en-GB"/>
        </w:rPr>
        <w:t>Lecturer Name:</w:t>
      </w:r>
      <w:r w:rsidRPr="3E0DCA19" w:rsidR="2BB08027">
        <w:rPr>
          <w:rFonts w:ascii="Arial" w:hAnsi="Arial" w:eastAsia="Arial" w:cs="Arial"/>
          <w:b w:val="0"/>
          <w:bCs w:val="0"/>
          <w:i w:val="0"/>
          <w:iCs w:val="0"/>
          <w:caps w:val="0"/>
          <w:smallCaps w:val="0"/>
          <w:noProof w:val="0"/>
          <w:color w:val="000000" w:themeColor="text1" w:themeTint="FF" w:themeShade="FF"/>
          <w:sz w:val="36"/>
          <w:szCs w:val="36"/>
          <w:lang w:val="en-GB"/>
        </w:rPr>
        <w:t xml:space="preserve"> Dr Rizwan Nadim</w:t>
      </w:r>
    </w:p>
    <w:p w:rsidR="003E379E" w:rsidP="3E0DCA19" w:rsidRDefault="003E379E" w14:paraId="39A1A6B6" w14:textId="2A204C9F">
      <w:pPr>
        <w:pStyle w:val="Normal"/>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E0DCA19" w:rsidR="2BB08027">
        <w:rPr>
          <w:rFonts w:ascii="Arial" w:hAnsi="Arial" w:eastAsia="Arial" w:cs="Arial"/>
          <w:b w:val="1"/>
          <w:bCs w:val="1"/>
          <w:i w:val="0"/>
          <w:iCs w:val="0"/>
          <w:caps w:val="0"/>
          <w:smallCaps w:val="0"/>
          <w:noProof w:val="0"/>
          <w:color w:val="000000" w:themeColor="text1" w:themeTint="FF" w:themeShade="FF"/>
          <w:sz w:val="36"/>
          <w:szCs w:val="36"/>
          <w:lang w:val="en-GB"/>
        </w:rPr>
        <w:t>Assignment Title:</w:t>
      </w:r>
      <w:r w:rsidRPr="3E0DCA19" w:rsidR="2BB08027">
        <w:rPr>
          <w:rFonts w:ascii="Arial" w:hAnsi="Arial" w:eastAsia="Arial" w:cs="Arial"/>
          <w:b w:val="0"/>
          <w:bCs w:val="0"/>
          <w:i w:val="0"/>
          <w:iCs w:val="0"/>
          <w:caps w:val="0"/>
          <w:smallCaps w:val="0"/>
          <w:noProof w:val="0"/>
          <w:color w:val="000000" w:themeColor="text1" w:themeTint="FF" w:themeShade="FF"/>
          <w:sz w:val="36"/>
          <w:szCs w:val="36"/>
          <w:lang w:val="en-GB"/>
        </w:rPr>
        <w:t xml:space="preserve"> Component 2: Written Assignment Report</w:t>
      </w:r>
    </w:p>
    <w:p w:rsidR="003E379E" w:rsidP="3E0DCA19" w:rsidRDefault="003E379E" w14:paraId="70E765C4" w14:textId="77777777">
      <w:pPr>
        <w:jc w:val="center"/>
        <w:rPr>
          <w:rFonts w:ascii="Arial" w:hAnsi="Arial" w:eastAsia="Arial" w:cs="Arial"/>
          <w:sz w:val="36"/>
          <w:szCs w:val="36"/>
        </w:rPr>
      </w:pPr>
    </w:p>
    <w:p w:rsidR="003E379E" w:rsidP="3E0DCA19" w:rsidRDefault="003E379E" w14:paraId="18282AFC" w14:textId="77777777">
      <w:pPr>
        <w:jc w:val="center"/>
        <w:rPr>
          <w:rFonts w:ascii="Arial" w:hAnsi="Arial" w:eastAsia="Arial" w:cs="Arial"/>
          <w:sz w:val="36"/>
          <w:szCs w:val="36"/>
        </w:rPr>
      </w:pPr>
    </w:p>
    <w:p w:rsidR="003E379E" w:rsidP="003E379E" w:rsidRDefault="003E379E" w14:paraId="6FCE5EE2" w14:textId="77777777">
      <w:pPr>
        <w:jc w:val="center"/>
      </w:pPr>
    </w:p>
    <w:p w:rsidR="003E379E" w:rsidP="003E379E" w:rsidRDefault="003E379E" w14:paraId="32FA5EB1" w14:textId="77777777">
      <w:pPr>
        <w:jc w:val="center"/>
      </w:pPr>
    </w:p>
    <w:p w:rsidR="003E379E" w:rsidP="003E379E" w:rsidRDefault="003E379E" w14:paraId="50074B58" w14:textId="77777777">
      <w:pPr>
        <w:jc w:val="center"/>
      </w:pPr>
    </w:p>
    <w:p w:rsidR="003E379E" w:rsidP="003E379E" w:rsidRDefault="003E379E" w14:paraId="00BEFFF7" w14:textId="77777777">
      <w:pPr>
        <w:jc w:val="center"/>
      </w:pPr>
    </w:p>
    <w:p w:rsidR="003E379E" w:rsidP="003E379E" w:rsidRDefault="003E379E" w14:paraId="3856401B" w14:textId="77777777">
      <w:pPr>
        <w:jc w:val="center"/>
      </w:pPr>
    </w:p>
    <w:p w:rsidR="003E379E" w:rsidP="003E379E" w:rsidRDefault="003E379E" w14:paraId="1B33A37F" w14:textId="77777777">
      <w:pPr>
        <w:jc w:val="center"/>
      </w:pPr>
    </w:p>
    <w:p w:rsidR="003E379E" w:rsidP="003E379E" w:rsidRDefault="003E379E" w14:paraId="45B66708" w14:textId="77777777">
      <w:pPr>
        <w:jc w:val="center"/>
      </w:pPr>
    </w:p>
    <w:p w:rsidR="003E379E" w:rsidP="003E379E" w:rsidRDefault="003E379E" w14:paraId="444DAC0F" w14:textId="77777777">
      <w:pPr>
        <w:jc w:val="center"/>
      </w:pPr>
    </w:p>
    <w:p w:rsidR="003E379E" w:rsidP="003E379E" w:rsidRDefault="003E379E" w14:paraId="7A30D5CB" w14:textId="77777777">
      <w:pPr>
        <w:jc w:val="center"/>
      </w:pPr>
    </w:p>
    <w:p w:rsidR="003E379E" w:rsidP="003E379E" w:rsidRDefault="003E379E" w14:paraId="51243E0C" w14:textId="77777777">
      <w:pPr>
        <w:jc w:val="center"/>
      </w:pPr>
    </w:p>
    <w:p w:rsidR="003E379E" w:rsidP="003E379E" w:rsidRDefault="003E379E" w14:paraId="53D8629F" w14:textId="77777777">
      <w:pPr>
        <w:jc w:val="center"/>
      </w:pPr>
    </w:p>
    <w:p w:rsidR="003E379E" w:rsidP="003E379E" w:rsidRDefault="003E379E" w14:paraId="200706B8" w14:textId="77777777">
      <w:pPr>
        <w:jc w:val="center"/>
      </w:pPr>
    </w:p>
    <w:p w:rsidR="003E379E" w:rsidP="003E379E" w:rsidRDefault="003E379E" w14:paraId="431E734E" w14:textId="77777777">
      <w:pPr>
        <w:jc w:val="center"/>
      </w:pPr>
    </w:p>
    <w:p w:rsidR="003E379E" w:rsidP="003E379E" w:rsidRDefault="003E379E" w14:paraId="11A80444" w14:textId="77777777">
      <w:pPr>
        <w:jc w:val="center"/>
      </w:pPr>
    </w:p>
    <w:p w:rsidR="002A02C2" w:rsidP="003E379E" w:rsidRDefault="002A02C2" w14:paraId="6A151CA9" w14:textId="77777777">
      <w:pPr>
        <w:jc w:val="center"/>
      </w:pPr>
    </w:p>
    <w:sdt>
      <w:sdtPr>
        <w:id w:val="1505402013"/>
        <w:docPartObj>
          <w:docPartGallery w:val="Table of Contents"/>
          <w:docPartUnique/>
        </w:docPartObj>
        <w:rPr>
          <w:rFonts w:ascii="Times New Roman" w:hAnsi="Times New Roman" w:eastAsia="Aptos" w:cs="Arial" w:asciiTheme="majorBidi" w:hAnsiTheme="majorBidi" w:eastAsiaTheme="minorAscii" w:cstheme="minorBidi"/>
          <w:color w:val="auto"/>
          <w:sz w:val="24"/>
          <w:szCs w:val="24"/>
          <w:lang w:val="en-GB"/>
          <w14:ligatures w14:val="standardContextual"/>
        </w:rPr>
      </w:sdtPr>
      <w:sdtEndPr>
        <w:rPr>
          <w:rFonts w:ascii="Times New Roman" w:hAnsi="Times New Roman" w:eastAsia="Aptos" w:cs="Arial" w:asciiTheme="majorBidi" w:hAnsiTheme="majorBidi" w:eastAsiaTheme="minorAscii" w:cstheme="minorBidi"/>
          <w:b w:val="1"/>
          <w:bCs w:val="1"/>
          <w:noProof/>
          <w:color w:val="auto"/>
          <w:sz w:val="24"/>
          <w:szCs w:val="24"/>
          <w:lang w:val="en-GB"/>
        </w:rPr>
      </w:sdtEndPr>
      <w:sdtContent>
        <w:p w:rsidRPr="004C2CC8" w:rsidR="002A02C2" w:rsidP="002A02C2" w:rsidRDefault="002A02C2" w14:paraId="6CB0F633" w14:textId="0D8137A1">
          <w:pPr>
            <w:pStyle w:val="TOCHeading"/>
            <w:spacing w:line="360" w:lineRule="auto"/>
            <w:jc w:val="center"/>
            <w:rPr>
              <w:rFonts w:asciiTheme="majorBidi" w:hAnsiTheme="majorBidi"/>
              <w:b/>
              <w:bCs/>
              <w:color w:val="auto"/>
              <w:sz w:val="24"/>
              <w:szCs w:val="24"/>
            </w:rPr>
          </w:pPr>
          <w:r w:rsidRPr="004C2CC8">
            <w:rPr>
              <w:rFonts w:asciiTheme="majorBidi" w:hAnsiTheme="majorBidi"/>
              <w:b/>
              <w:bCs/>
              <w:color w:val="auto"/>
              <w:sz w:val="24"/>
              <w:szCs w:val="24"/>
            </w:rPr>
            <w:t>Table of Contents</w:t>
          </w:r>
        </w:p>
        <w:p w:rsidR="004C2CC8" w:rsidP="004C2CC8" w:rsidRDefault="002A02C2" w14:paraId="40CBE2DE" w14:textId="7BA4E375">
          <w:pPr>
            <w:pStyle w:val="TOC1"/>
            <w:tabs>
              <w:tab w:val="right" w:leader="dot" w:pos="9350"/>
            </w:tabs>
            <w:spacing w:line="360" w:lineRule="auto"/>
            <w:jc w:val="both"/>
            <w:rPr>
              <w:rFonts w:asciiTheme="minorHAnsi" w:hAnsiTheme="minorHAnsi" w:eastAsiaTheme="minorEastAsia"/>
              <w:noProof/>
              <w:kern w:val="2"/>
              <w:lang w:eastAsia="en-GB"/>
            </w:rPr>
          </w:pPr>
          <w:r w:rsidRPr="002A02C2">
            <w:rPr>
              <w:rFonts w:cstheme="majorBidi"/>
            </w:rPr>
            <w:fldChar w:fldCharType="begin"/>
          </w:r>
          <w:r w:rsidRPr="002A02C2">
            <w:rPr>
              <w:rFonts w:cstheme="majorBidi"/>
            </w:rPr>
            <w:instrText xml:space="preserve"> TOC \o "1-3" \h \z \u </w:instrText>
          </w:r>
          <w:r w:rsidRPr="002A02C2">
            <w:rPr>
              <w:rFonts w:cstheme="majorBidi"/>
            </w:rPr>
            <w:fldChar w:fldCharType="separate"/>
          </w:r>
          <w:hyperlink w:history="1" w:anchor="_Toc231588119">
            <w:r w:rsidRPr="00165E51" w:rsidR="004C2CC8">
              <w:rPr>
                <w:rStyle w:val="Hyperlink"/>
                <w:noProof/>
              </w:rPr>
              <w:t>Introduction</w:t>
            </w:r>
            <w:r w:rsidR="004C2CC8">
              <w:rPr>
                <w:noProof/>
                <w:webHidden/>
              </w:rPr>
              <w:tab/>
            </w:r>
            <w:r w:rsidR="004C2CC8">
              <w:rPr>
                <w:noProof/>
                <w:webHidden/>
              </w:rPr>
              <w:fldChar w:fldCharType="begin"/>
            </w:r>
            <w:r w:rsidR="004C2CC8">
              <w:rPr>
                <w:noProof/>
                <w:webHidden/>
              </w:rPr>
              <w:instrText xml:space="preserve"> PAGEREF _Toc231588119 \h </w:instrText>
            </w:r>
            <w:r w:rsidR="004C2CC8">
              <w:rPr>
                <w:noProof/>
                <w:webHidden/>
              </w:rPr>
            </w:r>
            <w:r w:rsidR="004C2CC8">
              <w:rPr>
                <w:noProof/>
                <w:webHidden/>
              </w:rPr>
              <w:fldChar w:fldCharType="separate"/>
            </w:r>
            <w:r w:rsidR="004C2CC8">
              <w:rPr>
                <w:noProof/>
                <w:webHidden/>
              </w:rPr>
              <w:t>3</w:t>
            </w:r>
            <w:r w:rsidR="004C2CC8">
              <w:rPr>
                <w:noProof/>
                <w:webHidden/>
              </w:rPr>
              <w:fldChar w:fldCharType="end"/>
            </w:r>
          </w:hyperlink>
        </w:p>
        <w:p w:rsidR="004C2CC8" w:rsidP="004C2CC8" w:rsidRDefault="004C2CC8" w14:paraId="68CB3BC8" w14:textId="29B91D4C">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0">
            <w:r w:rsidRPr="00165E51">
              <w:rPr>
                <w:rStyle w:val="Hyperlink"/>
                <w:noProof/>
              </w:rPr>
              <w:t>A.</w:t>
            </w:r>
            <w:r>
              <w:rPr>
                <w:rFonts w:asciiTheme="minorHAnsi" w:hAnsiTheme="minorHAnsi" w:eastAsiaTheme="minorEastAsia"/>
                <w:noProof/>
                <w:kern w:val="2"/>
                <w:lang w:eastAsia="en-GB"/>
              </w:rPr>
              <w:tab/>
            </w:r>
            <w:r w:rsidRPr="00165E51">
              <w:rPr>
                <w:rStyle w:val="Hyperlink"/>
                <w:noProof/>
              </w:rPr>
              <w:t>Definition of Person-Centred Care and the Main Benefits and Limitations of this Practice</w:t>
            </w:r>
            <w:r>
              <w:rPr>
                <w:noProof/>
                <w:webHidden/>
              </w:rPr>
              <w:tab/>
            </w:r>
            <w:r>
              <w:rPr>
                <w:noProof/>
                <w:webHidden/>
              </w:rPr>
              <w:fldChar w:fldCharType="begin"/>
            </w:r>
            <w:r>
              <w:rPr>
                <w:noProof/>
                <w:webHidden/>
              </w:rPr>
              <w:instrText xml:space="preserve"> PAGEREF _Toc231588120 \h </w:instrText>
            </w:r>
            <w:r>
              <w:rPr>
                <w:noProof/>
                <w:webHidden/>
              </w:rPr>
            </w:r>
            <w:r>
              <w:rPr>
                <w:noProof/>
                <w:webHidden/>
              </w:rPr>
              <w:fldChar w:fldCharType="separate"/>
            </w:r>
            <w:r>
              <w:rPr>
                <w:noProof/>
                <w:webHidden/>
              </w:rPr>
              <w:t>3</w:t>
            </w:r>
            <w:r>
              <w:rPr>
                <w:noProof/>
                <w:webHidden/>
              </w:rPr>
              <w:fldChar w:fldCharType="end"/>
            </w:r>
          </w:hyperlink>
        </w:p>
        <w:p w:rsidR="004C2CC8" w:rsidP="004C2CC8" w:rsidRDefault="004C2CC8" w14:paraId="57C15F64" w14:textId="18B89E1C">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1">
            <w:r w:rsidRPr="00165E51">
              <w:rPr>
                <w:rStyle w:val="Hyperlink"/>
                <w:noProof/>
              </w:rPr>
              <w:t>B.</w:t>
            </w:r>
            <w:r>
              <w:rPr>
                <w:rFonts w:asciiTheme="minorHAnsi" w:hAnsiTheme="minorHAnsi" w:eastAsiaTheme="minorEastAsia"/>
                <w:noProof/>
                <w:kern w:val="2"/>
                <w:lang w:eastAsia="en-GB"/>
              </w:rPr>
              <w:tab/>
            </w:r>
            <w:r w:rsidRPr="00165E51">
              <w:rPr>
                <w:rStyle w:val="Hyperlink"/>
                <w:noProof/>
              </w:rPr>
              <w:t>Critically Examine a Relevant Theory or Model of Care Which Underpins Person-Centred Care</w:t>
            </w:r>
            <w:r>
              <w:rPr>
                <w:noProof/>
                <w:webHidden/>
              </w:rPr>
              <w:tab/>
            </w:r>
            <w:r>
              <w:rPr>
                <w:noProof/>
                <w:webHidden/>
              </w:rPr>
              <w:fldChar w:fldCharType="begin"/>
            </w:r>
            <w:r>
              <w:rPr>
                <w:noProof/>
                <w:webHidden/>
              </w:rPr>
              <w:instrText xml:space="preserve"> PAGEREF _Toc231588121 \h </w:instrText>
            </w:r>
            <w:r>
              <w:rPr>
                <w:noProof/>
                <w:webHidden/>
              </w:rPr>
            </w:r>
            <w:r>
              <w:rPr>
                <w:noProof/>
                <w:webHidden/>
              </w:rPr>
              <w:fldChar w:fldCharType="separate"/>
            </w:r>
            <w:r>
              <w:rPr>
                <w:noProof/>
                <w:webHidden/>
              </w:rPr>
              <w:t>4</w:t>
            </w:r>
            <w:r>
              <w:rPr>
                <w:noProof/>
                <w:webHidden/>
              </w:rPr>
              <w:fldChar w:fldCharType="end"/>
            </w:r>
          </w:hyperlink>
        </w:p>
        <w:p w:rsidR="004C2CC8" w:rsidP="004C2CC8" w:rsidRDefault="004C2CC8" w14:paraId="30756335" w14:textId="0E58FD82">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2">
            <w:r w:rsidRPr="00165E51">
              <w:rPr>
                <w:rStyle w:val="Hyperlink"/>
                <w:noProof/>
              </w:rPr>
              <w:t>C.</w:t>
            </w:r>
            <w:r>
              <w:rPr>
                <w:rFonts w:asciiTheme="minorHAnsi" w:hAnsiTheme="minorHAnsi" w:eastAsiaTheme="minorEastAsia"/>
                <w:noProof/>
                <w:kern w:val="2"/>
                <w:lang w:eastAsia="en-GB"/>
              </w:rPr>
              <w:tab/>
            </w:r>
            <w:r w:rsidRPr="00165E51">
              <w:rPr>
                <w:rStyle w:val="Hyperlink"/>
                <w:noProof/>
              </w:rPr>
              <w:t>Analyse the Ethical Fundamentals of Health and Social Care</w:t>
            </w:r>
            <w:r>
              <w:rPr>
                <w:noProof/>
                <w:webHidden/>
              </w:rPr>
              <w:tab/>
            </w:r>
            <w:r>
              <w:rPr>
                <w:noProof/>
                <w:webHidden/>
              </w:rPr>
              <w:fldChar w:fldCharType="begin"/>
            </w:r>
            <w:r>
              <w:rPr>
                <w:noProof/>
                <w:webHidden/>
              </w:rPr>
              <w:instrText xml:space="preserve"> PAGEREF _Toc231588122 \h </w:instrText>
            </w:r>
            <w:r>
              <w:rPr>
                <w:noProof/>
                <w:webHidden/>
              </w:rPr>
            </w:r>
            <w:r>
              <w:rPr>
                <w:noProof/>
                <w:webHidden/>
              </w:rPr>
              <w:fldChar w:fldCharType="separate"/>
            </w:r>
            <w:r>
              <w:rPr>
                <w:noProof/>
                <w:webHidden/>
              </w:rPr>
              <w:t>5</w:t>
            </w:r>
            <w:r>
              <w:rPr>
                <w:noProof/>
                <w:webHidden/>
              </w:rPr>
              <w:fldChar w:fldCharType="end"/>
            </w:r>
          </w:hyperlink>
        </w:p>
        <w:p w:rsidR="004C2CC8" w:rsidP="004C2CC8" w:rsidRDefault="004C2CC8" w14:paraId="226BC6F7" w14:textId="77AD168A">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3">
            <w:r w:rsidRPr="00165E51">
              <w:rPr>
                <w:rStyle w:val="Hyperlink"/>
                <w:noProof/>
              </w:rPr>
              <w:t>D.</w:t>
            </w:r>
            <w:r>
              <w:rPr>
                <w:rFonts w:asciiTheme="minorHAnsi" w:hAnsiTheme="minorHAnsi" w:eastAsiaTheme="minorEastAsia"/>
                <w:noProof/>
                <w:kern w:val="2"/>
                <w:lang w:eastAsia="en-GB"/>
              </w:rPr>
              <w:tab/>
            </w:r>
            <w:r w:rsidRPr="00165E51">
              <w:rPr>
                <w:rStyle w:val="Hyperlink"/>
                <w:noProof/>
              </w:rPr>
              <w:t>Evaluate Partnership Working in Health and Social Care</w:t>
            </w:r>
            <w:r>
              <w:rPr>
                <w:noProof/>
                <w:webHidden/>
              </w:rPr>
              <w:tab/>
            </w:r>
            <w:r>
              <w:rPr>
                <w:noProof/>
                <w:webHidden/>
              </w:rPr>
              <w:fldChar w:fldCharType="begin"/>
            </w:r>
            <w:r>
              <w:rPr>
                <w:noProof/>
                <w:webHidden/>
              </w:rPr>
              <w:instrText xml:space="preserve"> PAGEREF _Toc231588123 \h </w:instrText>
            </w:r>
            <w:r>
              <w:rPr>
                <w:noProof/>
                <w:webHidden/>
              </w:rPr>
            </w:r>
            <w:r>
              <w:rPr>
                <w:noProof/>
                <w:webHidden/>
              </w:rPr>
              <w:fldChar w:fldCharType="separate"/>
            </w:r>
            <w:r>
              <w:rPr>
                <w:noProof/>
                <w:webHidden/>
              </w:rPr>
              <w:t>6</w:t>
            </w:r>
            <w:r>
              <w:rPr>
                <w:noProof/>
                <w:webHidden/>
              </w:rPr>
              <w:fldChar w:fldCharType="end"/>
            </w:r>
          </w:hyperlink>
        </w:p>
        <w:p w:rsidR="004C2CC8" w:rsidP="004C2CC8" w:rsidRDefault="004C2CC8" w14:paraId="1BBCBBFD" w14:textId="20DDEA86">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4">
            <w:r w:rsidRPr="00165E51">
              <w:rPr>
                <w:rStyle w:val="Hyperlink"/>
                <w:noProof/>
              </w:rPr>
              <w:t>E.</w:t>
            </w:r>
            <w:r>
              <w:rPr>
                <w:rFonts w:asciiTheme="minorHAnsi" w:hAnsiTheme="minorHAnsi" w:eastAsiaTheme="minorEastAsia"/>
                <w:noProof/>
                <w:kern w:val="2"/>
                <w:lang w:eastAsia="en-GB"/>
              </w:rPr>
              <w:tab/>
            </w:r>
            <w:r w:rsidRPr="00165E51">
              <w:rPr>
                <w:rStyle w:val="Hyperlink"/>
                <w:noProof/>
              </w:rPr>
              <w:t>Application of Partnership Working in a Practical Health and Social Care Setting</w:t>
            </w:r>
            <w:r>
              <w:rPr>
                <w:noProof/>
                <w:webHidden/>
              </w:rPr>
              <w:tab/>
            </w:r>
            <w:r>
              <w:rPr>
                <w:noProof/>
                <w:webHidden/>
              </w:rPr>
              <w:fldChar w:fldCharType="begin"/>
            </w:r>
            <w:r>
              <w:rPr>
                <w:noProof/>
                <w:webHidden/>
              </w:rPr>
              <w:instrText xml:space="preserve"> PAGEREF _Toc231588124 \h </w:instrText>
            </w:r>
            <w:r>
              <w:rPr>
                <w:noProof/>
                <w:webHidden/>
              </w:rPr>
            </w:r>
            <w:r>
              <w:rPr>
                <w:noProof/>
                <w:webHidden/>
              </w:rPr>
              <w:fldChar w:fldCharType="separate"/>
            </w:r>
            <w:r>
              <w:rPr>
                <w:noProof/>
                <w:webHidden/>
              </w:rPr>
              <w:t>7</w:t>
            </w:r>
            <w:r>
              <w:rPr>
                <w:noProof/>
                <w:webHidden/>
              </w:rPr>
              <w:fldChar w:fldCharType="end"/>
            </w:r>
          </w:hyperlink>
        </w:p>
        <w:p w:rsidR="004C2CC8" w:rsidP="004C2CC8" w:rsidRDefault="004C2CC8" w14:paraId="32848C9D" w14:textId="1241DD50">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5">
            <w:r w:rsidRPr="00165E51">
              <w:rPr>
                <w:rStyle w:val="Hyperlink"/>
                <w:noProof/>
              </w:rPr>
              <w:t>F.</w:t>
            </w:r>
            <w:r>
              <w:rPr>
                <w:rFonts w:asciiTheme="minorHAnsi" w:hAnsiTheme="minorHAnsi" w:eastAsiaTheme="minorEastAsia"/>
                <w:noProof/>
                <w:kern w:val="2"/>
                <w:lang w:eastAsia="en-GB"/>
              </w:rPr>
              <w:tab/>
            </w:r>
            <w:r w:rsidRPr="00165E51">
              <w:rPr>
                <w:rStyle w:val="Hyperlink"/>
                <w:noProof/>
              </w:rPr>
              <w:t>Relevant Policy and Legislation in Relation to Person-Centred Care and Partnership Working</w:t>
            </w:r>
            <w:r>
              <w:rPr>
                <w:noProof/>
                <w:webHidden/>
              </w:rPr>
              <w:tab/>
            </w:r>
            <w:r>
              <w:rPr>
                <w:noProof/>
                <w:webHidden/>
              </w:rPr>
              <w:fldChar w:fldCharType="begin"/>
            </w:r>
            <w:r>
              <w:rPr>
                <w:noProof/>
                <w:webHidden/>
              </w:rPr>
              <w:instrText xml:space="preserve"> PAGEREF _Toc231588125 \h </w:instrText>
            </w:r>
            <w:r>
              <w:rPr>
                <w:noProof/>
                <w:webHidden/>
              </w:rPr>
            </w:r>
            <w:r>
              <w:rPr>
                <w:noProof/>
                <w:webHidden/>
              </w:rPr>
              <w:fldChar w:fldCharType="separate"/>
            </w:r>
            <w:r>
              <w:rPr>
                <w:noProof/>
                <w:webHidden/>
              </w:rPr>
              <w:t>8</w:t>
            </w:r>
            <w:r>
              <w:rPr>
                <w:noProof/>
                <w:webHidden/>
              </w:rPr>
              <w:fldChar w:fldCharType="end"/>
            </w:r>
          </w:hyperlink>
        </w:p>
        <w:p w:rsidR="004C2CC8" w:rsidP="004C2CC8" w:rsidRDefault="004C2CC8" w14:paraId="22132340" w14:textId="7669712E">
          <w:pPr>
            <w:pStyle w:val="TOC1"/>
            <w:tabs>
              <w:tab w:val="left" w:pos="480"/>
              <w:tab w:val="right" w:leader="dot" w:pos="9350"/>
            </w:tabs>
            <w:spacing w:line="360" w:lineRule="auto"/>
            <w:jc w:val="both"/>
            <w:rPr>
              <w:rFonts w:asciiTheme="minorHAnsi" w:hAnsiTheme="minorHAnsi" w:eastAsiaTheme="minorEastAsia"/>
              <w:noProof/>
              <w:kern w:val="2"/>
              <w:lang w:eastAsia="en-GB"/>
            </w:rPr>
          </w:pPr>
          <w:hyperlink w:history="1" w:anchor="_Toc231588126">
            <w:r w:rsidRPr="00165E51">
              <w:rPr>
                <w:rStyle w:val="Hyperlink"/>
                <w:noProof/>
              </w:rPr>
              <w:t>G.</w:t>
            </w:r>
            <w:r>
              <w:rPr>
                <w:rFonts w:asciiTheme="minorHAnsi" w:hAnsiTheme="minorHAnsi" w:eastAsiaTheme="minorEastAsia"/>
                <w:noProof/>
                <w:kern w:val="2"/>
                <w:lang w:eastAsia="en-GB"/>
              </w:rPr>
              <w:tab/>
            </w:r>
            <w:r w:rsidRPr="00165E51">
              <w:rPr>
                <w:rStyle w:val="Hyperlink"/>
                <w:noProof/>
              </w:rPr>
              <w:t>Recommendations for Future Development of Person-Centred Care and Partnership Working in the UK</w:t>
            </w:r>
            <w:r>
              <w:rPr>
                <w:noProof/>
                <w:webHidden/>
              </w:rPr>
              <w:tab/>
            </w:r>
            <w:r>
              <w:rPr>
                <w:noProof/>
                <w:webHidden/>
              </w:rPr>
              <w:fldChar w:fldCharType="begin"/>
            </w:r>
            <w:r>
              <w:rPr>
                <w:noProof/>
                <w:webHidden/>
              </w:rPr>
              <w:instrText xml:space="preserve"> PAGEREF _Toc231588126 \h </w:instrText>
            </w:r>
            <w:r>
              <w:rPr>
                <w:noProof/>
                <w:webHidden/>
              </w:rPr>
            </w:r>
            <w:r>
              <w:rPr>
                <w:noProof/>
                <w:webHidden/>
              </w:rPr>
              <w:fldChar w:fldCharType="separate"/>
            </w:r>
            <w:r>
              <w:rPr>
                <w:noProof/>
                <w:webHidden/>
              </w:rPr>
              <w:t>8</w:t>
            </w:r>
            <w:r>
              <w:rPr>
                <w:noProof/>
                <w:webHidden/>
              </w:rPr>
              <w:fldChar w:fldCharType="end"/>
            </w:r>
          </w:hyperlink>
        </w:p>
        <w:p w:rsidR="004C2CC8" w:rsidP="004C2CC8" w:rsidRDefault="004C2CC8" w14:paraId="533C1B47" w14:textId="055BB10D">
          <w:pPr>
            <w:pStyle w:val="TOC1"/>
            <w:tabs>
              <w:tab w:val="right" w:leader="dot" w:pos="9350"/>
            </w:tabs>
            <w:spacing w:line="360" w:lineRule="auto"/>
            <w:jc w:val="both"/>
            <w:rPr>
              <w:rFonts w:asciiTheme="minorHAnsi" w:hAnsiTheme="minorHAnsi" w:eastAsiaTheme="minorEastAsia"/>
              <w:noProof/>
              <w:kern w:val="2"/>
              <w:lang w:eastAsia="en-GB"/>
            </w:rPr>
          </w:pPr>
          <w:hyperlink w:history="1" w:anchor="_Toc231588127">
            <w:r w:rsidRPr="00165E51">
              <w:rPr>
                <w:rStyle w:val="Hyperlink"/>
                <w:noProof/>
              </w:rPr>
              <w:t>Conclusion</w:t>
            </w:r>
            <w:r>
              <w:rPr>
                <w:noProof/>
                <w:webHidden/>
              </w:rPr>
              <w:tab/>
            </w:r>
            <w:r>
              <w:rPr>
                <w:noProof/>
                <w:webHidden/>
              </w:rPr>
              <w:fldChar w:fldCharType="begin"/>
            </w:r>
            <w:r>
              <w:rPr>
                <w:noProof/>
                <w:webHidden/>
              </w:rPr>
              <w:instrText xml:space="preserve"> PAGEREF _Toc231588127 \h </w:instrText>
            </w:r>
            <w:r>
              <w:rPr>
                <w:noProof/>
                <w:webHidden/>
              </w:rPr>
            </w:r>
            <w:r>
              <w:rPr>
                <w:noProof/>
                <w:webHidden/>
              </w:rPr>
              <w:fldChar w:fldCharType="separate"/>
            </w:r>
            <w:r>
              <w:rPr>
                <w:noProof/>
                <w:webHidden/>
              </w:rPr>
              <w:t>9</w:t>
            </w:r>
            <w:r>
              <w:rPr>
                <w:noProof/>
                <w:webHidden/>
              </w:rPr>
              <w:fldChar w:fldCharType="end"/>
            </w:r>
          </w:hyperlink>
        </w:p>
        <w:p w:rsidR="004C2CC8" w:rsidP="004C2CC8" w:rsidRDefault="004C2CC8" w14:paraId="43EF4224" w14:textId="131D0D09">
          <w:pPr>
            <w:pStyle w:val="TOC1"/>
            <w:tabs>
              <w:tab w:val="right" w:leader="dot" w:pos="9350"/>
            </w:tabs>
            <w:spacing w:line="360" w:lineRule="auto"/>
            <w:jc w:val="both"/>
            <w:rPr>
              <w:rFonts w:asciiTheme="minorHAnsi" w:hAnsiTheme="minorHAnsi" w:eastAsiaTheme="minorEastAsia"/>
              <w:noProof/>
              <w:kern w:val="2"/>
              <w:lang w:eastAsia="en-GB"/>
            </w:rPr>
          </w:pPr>
          <w:hyperlink w:history="1" w:anchor="_Toc231588128">
            <w:r w:rsidRPr="00165E51">
              <w:rPr>
                <w:rStyle w:val="Hyperlink"/>
                <w:noProof/>
              </w:rPr>
              <w:t>References</w:t>
            </w:r>
            <w:r>
              <w:rPr>
                <w:noProof/>
                <w:webHidden/>
              </w:rPr>
              <w:tab/>
            </w:r>
            <w:r>
              <w:rPr>
                <w:noProof/>
                <w:webHidden/>
              </w:rPr>
              <w:fldChar w:fldCharType="begin"/>
            </w:r>
            <w:r>
              <w:rPr>
                <w:noProof/>
                <w:webHidden/>
              </w:rPr>
              <w:instrText xml:space="preserve"> PAGEREF _Toc231588128 \h </w:instrText>
            </w:r>
            <w:r>
              <w:rPr>
                <w:noProof/>
                <w:webHidden/>
              </w:rPr>
            </w:r>
            <w:r>
              <w:rPr>
                <w:noProof/>
                <w:webHidden/>
              </w:rPr>
              <w:fldChar w:fldCharType="separate"/>
            </w:r>
            <w:r>
              <w:rPr>
                <w:noProof/>
                <w:webHidden/>
              </w:rPr>
              <w:t>10</w:t>
            </w:r>
            <w:r>
              <w:rPr>
                <w:noProof/>
                <w:webHidden/>
              </w:rPr>
              <w:fldChar w:fldCharType="end"/>
            </w:r>
          </w:hyperlink>
        </w:p>
        <w:p w:rsidR="002A02C2" w:rsidP="002A02C2" w:rsidRDefault="002A02C2" w14:paraId="5BE1EBCD" w14:textId="4CC946A1">
          <w:pPr>
            <w:spacing w:line="360" w:lineRule="auto"/>
          </w:pPr>
          <w:r w:rsidRPr="002A02C2">
            <w:rPr>
              <w:rFonts w:cstheme="majorBidi"/>
              <w:b/>
              <w:bCs/>
              <w:noProof/>
            </w:rPr>
            <w:fldChar w:fldCharType="end"/>
          </w:r>
        </w:p>
      </w:sdtContent>
    </w:sdt>
    <w:p w:rsidR="002A02C2" w:rsidP="003E379E" w:rsidRDefault="002A02C2" w14:paraId="6B1CD3B6" w14:textId="77777777">
      <w:pPr>
        <w:jc w:val="center"/>
      </w:pPr>
    </w:p>
    <w:p w:rsidR="002A02C2" w:rsidP="003E379E" w:rsidRDefault="002A02C2" w14:paraId="2AE53E4C" w14:textId="77777777">
      <w:pPr>
        <w:jc w:val="center"/>
      </w:pPr>
    </w:p>
    <w:p w:rsidR="002A02C2" w:rsidP="003E379E" w:rsidRDefault="002A02C2" w14:paraId="38E95988" w14:textId="77777777">
      <w:pPr>
        <w:jc w:val="center"/>
      </w:pPr>
    </w:p>
    <w:p w:rsidR="003E379E" w:rsidP="003E379E" w:rsidRDefault="003E379E" w14:paraId="3C218521" w14:textId="77777777">
      <w:pPr>
        <w:jc w:val="center"/>
      </w:pPr>
    </w:p>
    <w:p w:rsidR="002A02C2" w:rsidP="003E379E" w:rsidRDefault="002A02C2" w14:paraId="77B74E1D" w14:textId="77777777">
      <w:pPr>
        <w:jc w:val="center"/>
      </w:pPr>
    </w:p>
    <w:p w:rsidR="002A02C2" w:rsidP="003E379E" w:rsidRDefault="002A02C2" w14:paraId="0A6FAA2B" w14:textId="77777777">
      <w:pPr>
        <w:jc w:val="center"/>
      </w:pPr>
    </w:p>
    <w:p w:rsidR="002A02C2" w:rsidP="003E379E" w:rsidRDefault="002A02C2" w14:paraId="7B96C49D" w14:textId="77777777">
      <w:pPr>
        <w:jc w:val="center"/>
      </w:pPr>
    </w:p>
    <w:p w:rsidR="008B6859" w:rsidP="3E0DCA19" w:rsidRDefault="008B6859" w14:paraId="5FF036F9" w14:textId="41B34492">
      <w:pPr>
        <w:pStyle w:val="Heading1"/>
        <w:rPr>
          <w:rFonts w:ascii="Arial" w:hAnsi="Arial" w:eastAsia="Arial" w:cs="Arial"/>
          <w:b w:val="1"/>
          <w:bCs w:val="1"/>
          <w:sz w:val="22"/>
          <w:szCs w:val="22"/>
        </w:rPr>
      </w:pPr>
      <w:bookmarkStart w:name="_Toc231588119" w:id="0"/>
      <w:r w:rsidRPr="3E0DCA19" w:rsidR="008B6859">
        <w:rPr>
          <w:rFonts w:ascii="Arial" w:hAnsi="Arial" w:eastAsia="Arial" w:cs="Arial"/>
          <w:b w:val="1"/>
          <w:bCs w:val="1"/>
          <w:sz w:val="22"/>
          <w:szCs w:val="22"/>
        </w:rPr>
        <w:t>Abstract</w:t>
      </w:r>
    </w:p>
    <w:p w:rsidR="00EE720A" w:rsidP="3E0DCA19" w:rsidRDefault="00EE720A" w14:paraId="6D6F590E" w14:textId="46EE8FE3">
      <w:pPr>
        <w:pStyle w:val="NormalWeb"/>
        <w:spacing w:line="360" w:lineRule="auto"/>
        <w:ind w:firstLine="0"/>
        <w:jc w:val="both"/>
        <w:rPr>
          <w:rFonts w:ascii="Arial" w:hAnsi="Arial" w:eastAsia="Arial" w:cs="Arial"/>
          <w:sz w:val="22"/>
          <w:szCs w:val="22"/>
        </w:rPr>
      </w:pPr>
      <w:r w:rsidRPr="3E0DCA19" w:rsidR="00EE720A">
        <w:rPr>
          <w:rFonts w:ascii="Arial" w:hAnsi="Arial" w:eastAsia="Arial" w:cs="Arial"/>
          <w:sz w:val="22"/>
          <w:szCs w:val="22"/>
        </w:rPr>
        <w:t xml:space="preserve">This report critically examines the principles of person-centred care (PCC) and partnership working within an NHS care home setting. It considers the advantages and drawbacks of person-centred care, discusses the Person-Centred Theory of Rogers as a guiding principle in practice, the ethical principle of autonomy, and the role of partnership working in providing coordinated care. The UK legislation and policies accessible to facilitate person-centred and collaborative practice are also </w:t>
      </w:r>
      <w:r w:rsidRPr="3E0DCA19" w:rsidR="00EE720A">
        <w:rPr>
          <w:rFonts w:ascii="Arial" w:hAnsi="Arial" w:eastAsia="Arial" w:cs="Arial"/>
          <w:sz w:val="22"/>
          <w:szCs w:val="22"/>
        </w:rPr>
        <w:t>investigated</w:t>
      </w:r>
      <w:r w:rsidRPr="3E0DCA19" w:rsidR="00EE720A">
        <w:rPr>
          <w:rFonts w:ascii="Arial" w:hAnsi="Arial" w:eastAsia="Arial" w:cs="Arial"/>
          <w:sz w:val="22"/>
          <w:szCs w:val="22"/>
        </w:rPr>
        <w:t xml:space="preserve"> in the report. The key findings show that rising health demands, an ageing society and continued rise in long-term conditions have solidified the need to put residents at the centre of care enabling collaboration among healthcare practitioners and organisations. </w:t>
      </w:r>
    </w:p>
    <w:p w:rsidR="00CA5195" w:rsidP="3E0DCA19" w:rsidRDefault="00EE720A" w14:paraId="6019704A" w14:textId="63B851D0">
      <w:pPr>
        <w:pStyle w:val="NormalWeb"/>
        <w:spacing w:line="360" w:lineRule="auto"/>
        <w:ind w:firstLine="0"/>
        <w:jc w:val="both"/>
        <w:rPr>
          <w:rFonts w:ascii="Arial" w:hAnsi="Arial" w:eastAsia="Arial" w:cs="Arial"/>
          <w:sz w:val="22"/>
          <w:szCs w:val="22"/>
        </w:rPr>
      </w:pPr>
      <w:r w:rsidRPr="3E0DCA19" w:rsidR="00EE720A">
        <w:rPr>
          <w:rFonts w:ascii="Arial" w:hAnsi="Arial" w:eastAsia="Arial" w:cs="Arial"/>
          <w:sz w:val="22"/>
          <w:szCs w:val="22"/>
        </w:rPr>
        <w:t>Person-centred care enhances dignity, wellbeing and involvement in decision-making, while partnership working improves continuity and quality of care. Nonetheless, the problem of workforce shortages, communication obstacles, and resource limits is still very critical. The report recommends strengthening workforce training, improving integrat</w:t>
      </w:r>
      <w:r w:rsidRPr="3E0DCA19" w:rsidR="00EE720A">
        <w:rPr>
          <w:rFonts w:ascii="Arial" w:hAnsi="Arial" w:eastAsia="Arial" w:cs="Arial"/>
          <w:sz w:val="22"/>
          <w:szCs w:val="22"/>
        </w:rPr>
        <w:t>e</w:t>
      </w:r>
      <w:r w:rsidRPr="3E0DCA19" w:rsidR="00EE720A">
        <w:rPr>
          <w:rFonts w:ascii="Arial" w:hAnsi="Arial" w:eastAsia="Arial" w:cs="Arial"/>
          <w:sz w:val="22"/>
          <w:szCs w:val="22"/>
        </w:rPr>
        <w:t>d digital information systems, increasing resident and family involvement in care planning, and enhancing organisational support for sustainable, high-quality care</w:t>
      </w:r>
      <w:r w:rsidRPr="3E0DCA19" w:rsidR="00CA5195">
        <w:rPr>
          <w:rFonts w:ascii="Arial" w:hAnsi="Arial" w:eastAsia="Arial" w:cs="Arial"/>
          <w:sz w:val="22"/>
          <w:szCs w:val="22"/>
        </w:rPr>
        <w:t>.</w:t>
      </w:r>
    </w:p>
    <w:p w:rsidR="00CA5195" w:rsidP="3E0DCA19" w:rsidRDefault="00CA5195" w14:paraId="0BF70788" w14:textId="77777777">
      <w:pPr>
        <w:spacing w:line="360" w:lineRule="auto"/>
        <w:ind w:firstLine="720"/>
        <w:jc w:val="both"/>
        <w:rPr>
          <w:rFonts w:ascii="Arial" w:hAnsi="Arial" w:eastAsia="Arial" w:cs="Arial"/>
          <w:sz w:val="22"/>
          <w:szCs w:val="22"/>
        </w:rPr>
      </w:pPr>
    </w:p>
    <w:p w:rsidR="008B6859" w:rsidP="3E0DCA19" w:rsidRDefault="008B6859" w14:paraId="2E76F49B" w14:textId="77777777">
      <w:pPr>
        <w:spacing w:line="360" w:lineRule="auto"/>
        <w:jc w:val="both"/>
        <w:rPr>
          <w:rFonts w:ascii="Arial" w:hAnsi="Arial" w:eastAsia="Arial" w:cs="Arial"/>
          <w:sz w:val="22"/>
          <w:szCs w:val="22"/>
        </w:rPr>
      </w:pPr>
    </w:p>
    <w:p w:rsidR="008B6859" w:rsidP="3E0DCA19" w:rsidRDefault="008B6859" w14:paraId="29033A42" w14:textId="77777777">
      <w:pPr>
        <w:rPr>
          <w:rFonts w:ascii="Arial" w:hAnsi="Arial" w:eastAsia="Arial" w:cs="Arial"/>
          <w:sz w:val="22"/>
          <w:szCs w:val="22"/>
        </w:rPr>
      </w:pPr>
    </w:p>
    <w:p w:rsidR="008B6859" w:rsidP="3E0DCA19" w:rsidRDefault="008B6859" w14:paraId="2B47F416" w14:textId="77777777">
      <w:pPr>
        <w:rPr>
          <w:rFonts w:ascii="Arial" w:hAnsi="Arial" w:eastAsia="Arial" w:cs="Arial"/>
          <w:sz w:val="22"/>
          <w:szCs w:val="22"/>
        </w:rPr>
      </w:pPr>
    </w:p>
    <w:p w:rsidR="008B6859" w:rsidP="3E0DCA19" w:rsidRDefault="008B6859" w14:paraId="34D5576A" w14:textId="6284A968">
      <w:pPr>
        <w:rPr>
          <w:rFonts w:ascii="Arial" w:hAnsi="Arial" w:eastAsia="Arial" w:cs="Arial"/>
          <w:sz w:val="22"/>
          <w:szCs w:val="22"/>
        </w:rPr>
      </w:pPr>
    </w:p>
    <w:p w:rsidR="00077E23" w:rsidP="3E0DCA19" w:rsidRDefault="00077E23" w14:paraId="1438EBE1" w14:textId="77777777">
      <w:pPr>
        <w:rPr>
          <w:rFonts w:ascii="Arial" w:hAnsi="Arial" w:eastAsia="Arial" w:cs="Arial"/>
          <w:sz w:val="22"/>
          <w:szCs w:val="22"/>
        </w:rPr>
      </w:pPr>
    </w:p>
    <w:p w:rsidRPr="008B6859" w:rsidR="008B6859" w:rsidP="3E0DCA19" w:rsidRDefault="008B6859" w14:paraId="1CB633F3" w14:textId="77777777">
      <w:pPr>
        <w:rPr>
          <w:rFonts w:ascii="Arial" w:hAnsi="Arial" w:eastAsia="Arial" w:cs="Arial"/>
          <w:sz w:val="22"/>
          <w:szCs w:val="22"/>
        </w:rPr>
      </w:pPr>
    </w:p>
    <w:p w:rsidR="003E379E" w:rsidP="3E0DCA19" w:rsidRDefault="003E379E" w14:paraId="42A16135" w14:textId="5624E19D">
      <w:pPr>
        <w:pStyle w:val="Heading1"/>
        <w:rPr>
          <w:rFonts w:ascii="Arial" w:hAnsi="Arial" w:eastAsia="Arial" w:cs="Arial"/>
          <w:b w:val="1"/>
          <w:bCs w:val="1"/>
          <w:sz w:val="22"/>
          <w:szCs w:val="22"/>
        </w:rPr>
      </w:pPr>
      <w:r w:rsidRPr="3E0DCA19" w:rsidR="003E379E">
        <w:rPr>
          <w:rFonts w:ascii="Arial" w:hAnsi="Arial" w:eastAsia="Arial" w:cs="Arial"/>
          <w:b w:val="1"/>
          <w:bCs w:val="1"/>
          <w:sz w:val="22"/>
          <w:szCs w:val="22"/>
        </w:rPr>
        <w:t>Introduction</w:t>
      </w:r>
      <w:bookmarkEnd w:id="0"/>
    </w:p>
    <w:p w:rsidR="00AC15E5" w:rsidP="3E0DCA19" w:rsidRDefault="00AC15E5" w14:paraId="111E5050" w14:textId="5A42B378">
      <w:pPr>
        <w:spacing w:line="360" w:lineRule="auto"/>
        <w:ind w:firstLine="0"/>
        <w:contextualSpacing w:val="1"/>
        <w:jc w:val="both"/>
        <w:rPr>
          <w:rFonts w:ascii="Arial" w:hAnsi="Arial" w:eastAsia="Arial" w:cs="Arial"/>
          <w:sz w:val="22"/>
          <w:szCs w:val="22"/>
        </w:rPr>
      </w:pPr>
      <w:r w:rsidRPr="3E0DCA19" w:rsidR="00AC15E5">
        <w:rPr>
          <w:rFonts w:ascii="Arial" w:hAnsi="Arial" w:eastAsia="Arial" w:cs="Arial"/>
          <w:sz w:val="22"/>
          <w:szCs w:val="22"/>
        </w:rPr>
        <w:t>Person-centred care (PCC) and partnership working (PW) has now been firmly established as core values in health and social care practice practiced in the UK. This report will reflect on person centred care and partnership working, look critically at the ethical principles behind this, analyse a theoretical model that underpins this, explore the implementation of person-centred care and partnership working in healthcare in the UK and document any legislation/policy that impacts relevant practice</w:t>
      </w:r>
      <w:r w:rsidRPr="3E0DCA19" w:rsidR="00691530">
        <w:rPr>
          <w:rFonts w:ascii="Arial" w:hAnsi="Arial" w:eastAsia="Arial" w:cs="Arial"/>
          <w:sz w:val="22"/>
          <w:szCs w:val="22"/>
        </w:rPr>
        <w:t xml:space="preserve"> in </w:t>
      </w:r>
      <w:r w:rsidRPr="3E0DCA19" w:rsidR="004A7A5C">
        <w:rPr>
          <w:rFonts w:ascii="Arial" w:hAnsi="Arial" w:eastAsia="Arial" w:cs="Arial"/>
          <w:sz w:val="22"/>
          <w:szCs w:val="22"/>
        </w:rPr>
        <w:t>NHS care home setting</w:t>
      </w:r>
      <w:r w:rsidRPr="3E0DCA19" w:rsidR="004A7A5C">
        <w:rPr>
          <w:rFonts w:ascii="Arial" w:hAnsi="Arial" w:eastAsia="Arial" w:cs="Arial"/>
          <w:sz w:val="22"/>
          <w:szCs w:val="22"/>
        </w:rPr>
        <w:t>.</w:t>
      </w:r>
    </w:p>
    <w:p w:rsidR="005C2852" w:rsidP="3E0DCA19" w:rsidRDefault="005C2852" w14:paraId="6250AD6E" w14:textId="722109FE">
      <w:pPr>
        <w:pStyle w:val="Heading1"/>
        <w:numPr>
          <w:ilvl w:val="0"/>
          <w:numId w:val="2"/>
        </w:numPr>
        <w:rPr>
          <w:rFonts w:ascii="Arial" w:hAnsi="Arial" w:eastAsia="Arial" w:cs="Arial"/>
          <w:b w:val="1"/>
          <w:bCs w:val="1"/>
          <w:sz w:val="22"/>
          <w:szCs w:val="22"/>
        </w:rPr>
      </w:pPr>
      <w:bookmarkStart w:name="_Toc231588120" w:id="1"/>
      <w:r w:rsidRPr="3E0DCA19" w:rsidR="005C2852">
        <w:rPr>
          <w:rFonts w:ascii="Arial" w:hAnsi="Arial" w:eastAsia="Arial" w:cs="Arial"/>
          <w:b w:val="1"/>
          <w:bCs w:val="1"/>
          <w:sz w:val="22"/>
          <w:szCs w:val="22"/>
        </w:rPr>
        <w:t>Definition of Person-Centred Care and the Main Benefits and Limitations of this Practice</w:t>
      </w:r>
      <w:bookmarkEnd w:id="1"/>
    </w:p>
    <w:p w:rsidR="002E192E" w:rsidP="3E0DCA19" w:rsidRDefault="00616190" w14:paraId="4BF3ED05" w14:textId="76D4A076">
      <w:pPr>
        <w:spacing w:line="360" w:lineRule="auto"/>
        <w:ind w:firstLine="0"/>
        <w:jc w:val="both"/>
        <w:rPr>
          <w:rFonts w:ascii="Arial" w:hAnsi="Arial" w:eastAsia="Arial" w:cs="Arial"/>
          <w:sz w:val="22"/>
          <w:szCs w:val="22"/>
        </w:rPr>
      </w:pPr>
      <w:r w:rsidRPr="3E0DCA19" w:rsidR="00616190">
        <w:rPr>
          <w:rFonts w:ascii="Arial" w:hAnsi="Arial" w:eastAsia="Arial" w:cs="Arial"/>
          <w:sz w:val="22"/>
          <w:szCs w:val="22"/>
        </w:rPr>
        <w:t>Person-centred care is an approach to health and social care that places the individual at the centre of decision-making and care planning</w:t>
      </w:r>
      <w:r w:rsidRPr="3E0DCA19" w:rsidR="008B6859">
        <w:rPr>
          <w:rFonts w:ascii="Arial" w:hAnsi="Arial" w:eastAsia="Arial" w:cs="Arial"/>
          <w:sz w:val="22"/>
          <w:szCs w:val="22"/>
        </w:rPr>
        <w:t xml:space="preserve"> (</w:t>
      </w:r>
      <w:r w:rsidRPr="3E0DCA19" w:rsidR="00077E23">
        <w:rPr>
          <w:rFonts w:ascii="Arial" w:hAnsi="Arial" w:eastAsia="Arial" w:cs="Arial"/>
          <w:sz w:val="22"/>
          <w:szCs w:val="22"/>
        </w:rPr>
        <w:t>Skills for Health</w:t>
      </w:r>
      <w:r w:rsidRPr="3E0DCA19" w:rsidR="00077E23">
        <w:rPr>
          <w:rFonts w:ascii="Arial" w:hAnsi="Arial" w:eastAsia="Arial" w:cs="Arial"/>
          <w:sz w:val="22"/>
          <w:szCs w:val="22"/>
        </w:rPr>
        <w:t>, 2025</w:t>
      </w:r>
      <w:r w:rsidRPr="3E0DCA19" w:rsidR="008B6859">
        <w:rPr>
          <w:rFonts w:ascii="Arial" w:hAnsi="Arial" w:eastAsia="Arial" w:cs="Arial"/>
          <w:sz w:val="22"/>
          <w:szCs w:val="22"/>
        </w:rPr>
        <w:t xml:space="preserve">). </w:t>
      </w:r>
      <w:r w:rsidRPr="3E0DCA19" w:rsidR="004A7A5C">
        <w:rPr>
          <w:rFonts w:ascii="Arial" w:hAnsi="Arial" w:eastAsia="Arial" w:cs="Arial"/>
          <w:sz w:val="22"/>
          <w:szCs w:val="22"/>
        </w:rPr>
        <w:t xml:space="preserve">In </w:t>
      </w:r>
      <w:r w:rsidRPr="3E0DCA19" w:rsidR="004A7A5C">
        <w:rPr>
          <w:rFonts w:ascii="Arial" w:hAnsi="Arial" w:eastAsia="Arial" w:cs="Arial"/>
          <w:sz w:val="22"/>
          <w:szCs w:val="22"/>
        </w:rPr>
        <w:t>NHS care home setting</w:t>
      </w:r>
      <w:r w:rsidRPr="3E0DCA19" w:rsidR="008B6859">
        <w:rPr>
          <w:rFonts w:ascii="Arial" w:hAnsi="Arial" w:eastAsia="Arial" w:cs="Arial"/>
          <w:sz w:val="22"/>
          <w:szCs w:val="22"/>
        </w:rPr>
        <w:t>, r</w:t>
      </w:r>
      <w:r w:rsidRPr="3E0DCA19" w:rsidR="00616190">
        <w:rPr>
          <w:rFonts w:ascii="Arial" w:hAnsi="Arial" w:eastAsia="Arial" w:cs="Arial"/>
          <w:sz w:val="22"/>
          <w:szCs w:val="22"/>
        </w:rPr>
        <w:t>ather than focusing solely on a person's illness, disability, or condition, PCC recognises the individual's values, preferences, beliefs, experiences, and personal goals. Ensuring that people's preferences, needs and values guide clinical decisions and providing care that is responsive to them (</w:t>
      </w:r>
      <w:r w:rsidRPr="3E0DCA19" w:rsidR="00FD168E">
        <w:rPr>
          <w:rFonts w:ascii="Arial" w:hAnsi="Arial" w:eastAsia="Arial" w:cs="Arial"/>
          <w:sz w:val="22"/>
          <w:szCs w:val="22"/>
        </w:rPr>
        <w:t>NHS England</w:t>
      </w:r>
      <w:r w:rsidRPr="3E0DCA19" w:rsidR="00616190">
        <w:rPr>
          <w:rFonts w:ascii="Arial" w:hAnsi="Arial" w:eastAsia="Arial" w:cs="Arial"/>
          <w:sz w:val="22"/>
          <w:szCs w:val="22"/>
        </w:rPr>
        <w:t xml:space="preserve">, 2024). </w:t>
      </w:r>
      <w:r w:rsidRPr="3E0DCA19" w:rsidR="00AC15E5">
        <w:rPr>
          <w:rFonts w:ascii="Arial" w:hAnsi="Arial" w:eastAsia="Arial" w:cs="Arial"/>
          <w:sz w:val="22"/>
          <w:szCs w:val="22"/>
        </w:rPr>
        <w:t xml:space="preserve">Person centred care has a vast array of benefits. They can support patient satisfaction by the act above, as the patient feels respected, heard and engaged when making decisions about their health. Research </w:t>
      </w:r>
      <w:r w:rsidRPr="3E0DCA19" w:rsidR="00F66165">
        <w:rPr>
          <w:rFonts w:ascii="Arial" w:hAnsi="Arial" w:eastAsia="Arial" w:cs="Arial"/>
          <w:sz w:val="22"/>
          <w:szCs w:val="22"/>
        </w:rPr>
        <w:t>showed</w:t>
      </w:r>
      <w:r w:rsidRPr="3E0DCA19" w:rsidR="00AC15E5">
        <w:rPr>
          <w:rFonts w:ascii="Arial" w:hAnsi="Arial" w:eastAsia="Arial" w:cs="Arial"/>
          <w:sz w:val="22"/>
          <w:szCs w:val="22"/>
        </w:rPr>
        <w:t xml:space="preserve"> that patients who are involved in the care planning process are more likely to follow care regimes and have a positive engagement with health care providers (Al-Tannir </w:t>
      </w:r>
      <w:r w:rsidRPr="3E0DCA19" w:rsidR="00AC15E5">
        <w:rPr>
          <w:rFonts w:ascii="Arial" w:hAnsi="Arial" w:eastAsia="Arial" w:cs="Arial"/>
          <w:i w:val="1"/>
          <w:iCs w:val="1"/>
          <w:sz w:val="22"/>
          <w:szCs w:val="22"/>
        </w:rPr>
        <w:t>et al.</w:t>
      </w:r>
      <w:r w:rsidRPr="3E0DCA19" w:rsidR="00AC15E5">
        <w:rPr>
          <w:rFonts w:ascii="Arial" w:hAnsi="Arial" w:eastAsia="Arial" w:cs="Arial"/>
          <w:sz w:val="22"/>
          <w:szCs w:val="22"/>
        </w:rPr>
        <w:t xml:space="preserve">, 2017). </w:t>
      </w:r>
      <w:r w:rsidRPr="3E0DCA19" w:rsidR="008B6859">
        <w:rPr>
          <w:rFonts w:ascii="Arial" w:hAnsi="Arial" w:eastAsia="Arial" w:cs="Arial"/>
          <w:sz w:val="22"/>
          <w:szCs w:val="22"/>
        </w:rPr>
        <w:t>Further</w:t>
      </w:r>
      <w:r w:rsidRPr="3E0DCA19" w:rsidR="00AC15E5">
        <w:rPr>
          <w:rFonts w:ascii="Arial" w:hAnsi="Arial" w:eastAsia="Arial" w:cs="Arial"/>
          <w:sz w:val="22"/>
          <w:szCs w:val="22"/>
        </w:rPr>
        <w:t xml:space="preserve">, PCC can incorporate dimensions of emotions, psychologies, social and spiritual as well as physical aspects in facilitating individuals to take care of their health (Mills, 2017). </w:t>
      </w:r>
    </w:p>
    <w:p w:rsidR="00AC15E5" w:rsidP="3E0DCA19" w:rsidRDefault="00AC15E5" w14:paraId="528F1D65" w14:textId="79123E7B">
      <w:pPr>
        <w:spacing w:line="360" w:lineRule="auto"/>
        <w:ind w:firstLine="0"/>
        <w:jc w:val="both"/>
        <w:rPr>
          <w:rFonts w:ascii="Arial" w:hAnsi="Arial" w:eastAsia="Arial" w:cs="Arial"/>
          <w:sz w:val="22"/>
          <w:szCs w:val="22"/>
        </w:rPr>
      </w:pPr>
      <w:r w:rsidRPr="3E0DCA19" w:rsidR="00AC15E5">
        <w:rPr>
          <w:rFonts w:ascii="Arial" w:hAnsi="Arial" w:eastAsia="Arial" w:cs="Arial"/>
          <w:sz w:val="22"/>
          <w:szCs w:val="22"/>
        </w:rPr>
        <w:t xml:space="preserve">However, PCC does have its drawbacks. A key difficulty relates to the amount of time taken to create a personalised care plan, to have a meaningful conversation with the service user (Small </w:t>
      </w:r>
      <w:r w:rsidRPr="3E0DCA19" w:rsidR="00AC15E5">
        <w:rPr>
          <w:rFonts w:ascii="Arial" w:hAnsi="Arial" w:eastAsia="Arial" w:cs="Arial"/>
          <w:i w:val="1"/>
          <w:iCs w:val="1"/>
          <w:sz w:val="22"/>
          <w:szCs w:val="22"/>
        </w:rPr>
        <w:t>et al.</w:t>
      </w:r>
      <w:r w:rsidRPr="3E0DCA19" w:rsidR="00AC15E5">
        <w:rPr>
          <w:rFonts w:ascii="Arial" w:hAnsi="Arial" w:eastAsia="Arial" w:cs="Arial"/>
          <w:sz w:val="22"/>
          <w:szCs w:val="22"/>
        </w:rPr>
        <w:t xml:space="preserve">, 2017). Within the NHS there is a significant percentage of workforce employed on short term contracts or unpaid, thus limiting implementation of person-centred approaches. Furthermore, families are not always available to make informed decisions, and weigh that aspect into PCC, in which pros are expected to have a sense of responsibility for them and do what's best </w:t>
      </w:r>
      <w:r w:rsidRPr="3E0DCA19" w:rsidR="00AC15E5">
        <w:rPr>
          <w:rFonts w:ascii="Arial" w:hAnsi="Arial" w:eastAsia="Arial" w:cs="Arial"/>
          <w:sz w:val="22"/>
          <w:szCs w:val="22"/>
        </w:rPr>
        <w:t>for them. Besides, conflicts may occur when the needs of the patients and evidence-based clinical recommendations do not align (Stone, 2018). For instance, a patient may refuse or turn down a health care practitioner's recommended treatment that a practitioner considers to be required for the person's optimal health and wellbeing. The provision of PCC is thus a subject that first depends on organisational resources, professional competencies and on the complexity of the specific healthcare situation.</w:t>
      </w:r>
    </w:p>
    <w:p w:rsidR="005C2852" w:rsidP="3E0DCA19" w:rsidRDefault="00B231CF" w14:paraId="37515476" w14:textId="4C0C6F04">
      <w:pPr>
        <w:pStyle w:val="Heading1"/>
        <w:numPr>
          <w:ilvl w:val="0"/>
          <w:numId w:val="2"/>
        </w:numPr>
        <w:rPr>
          <w:rFonts w:ascii="Arial" w:hAnsi="Arial" w:eastAsia="Arial" w:cs="Arial"/>
          <w:b w:val="1"/>
          <w:bCs w:val="1"/>
          <w:sz w:val="22"/>
          <w:szCs w:val="22"/>
        </w:rPr>
      </w:pPr>
      <w:bookmarkStart w:name="_Toc231588121" w:id="2"/>
      <w:r w:rsidRPr="3E0DCA19" w:rsidR="00B231CF">
        <w:rPr>
          <w:rFonts w:ascii="Arial" w:hAnsi="Arial" w:eastAsia="Arial" w:cs="Arial"/>
          <w:b w:val="1"/>
          <w:bCs w:val="1"/>
          <w:sz w:val="22"/>
          <w:szCs w:val="22"/>
        </w:rPr>
        <w:t>Critically Examine a Relevant Theory or Model of Care Which Underpins Person-Centred Care</w:t>
      </w:r>
      <w:bookmarkEnd w:id="2"/>
    </w:p>
    <w:p w:rsidR="00B231CF" w:rsidP="3E0DCA19" w:rsidRDefault="00AC15E5" w14:paraId="2113D052" w14:textId="046919A7">
      <w:pPr>
        <w:spacing w:line="360" w:lineRule="auto"/>
        <w:ind w:firstLine="0"/>
        <w:jc w:val="both"/>
        <w:rPr>
          <w:rFonts w:ascii="Arial" w:hAnsi="Arial" w:eastAsia="Arial" w:cs="Arial"/>
          <w:sz w:val="22"/>
          <w:szCs w:val="22"/>
        </w:rPr>
      </w:pPr>
      <w:r w:rsidRPr="3E0DCA19" w:rsidR="00AC15E5">
        <w:rPr>
          <w:rFonts w:ascii="Arial" w:hAnsi="Arial" w:eastAsia="Arial" w:cs="Arial"/>
          <w:sz w:val="22"/>
          <w:szCs w:val="22"/>
        </w:rPr>
        <w:t>Carl Rogers' Person-Centred Theory is one of the most influential theories that underlie person-centred care</w:t>
      </w:r>
      <w:r w:rsidRPr="3E0DCA19" w:rsidR="005603FD">
        <w:rPr>
          <w:rFonts w:ascii="Arial" w:hAnsi="Arial" w:eastAsia="Arial" w:cs="Arial"/>
          <w:sz w:val="22"/>
          <w:szCs w:val="22"/>
        </w:rPr>
        <w:t xml:space="preserve"> in </w:t>
      </w:r>
      <w:r w:rsidRPr="3E0DCA19" w:rsidR="009B0476">
        <w:rPr>
          <w:rFonts w:ascii="Arial" w:hAnsi="Arial" w:eastAsia="Arial" w:cs="Arial"/>
          <w:sz w:val="22"/>
          <w:szCs w:val="22"/>
        </w:rPr>
        <w:t>NHS care home setting</w:t>
      </w:r>
      <w:r w:rsidRPr="3E0DCA19" w:rsidR="00AC15E5">
        <w:rPr>
          <w:rFonts w:ascii="Arial" w:hAnsi="Arial" w:eastAsia="Arial" w:cs="Arial"/>
          <w:sz w:val="22"/>
          <w:szCs w:val="22"/>
        </w:rPr>
        <w:t>. In the psychology field Rogers (1951) argued that individuals could be supported to become active learners and reach self-actualisation if they were adequately supported. It's based on these three conditions practice: empathy, unconditional positive regard and congruence. Three key elements of empathy, unconditional positive regard and congruence should be noted as key components of the skills required to support others</w:t>
      </w:r>
      <w:r w:rsidRPr="3E0DCA19" w:rsidR="00C9343C">
        <w:rPr>
          <w:rFonts w:ascii="Arial" w:hAnsi="Arial" w:eastAsia="Arial" w:cs="Arial"/>
          <w:sz w:val="22"/>
          <w:szCs w:val="22"/>
        </w:rPr>
        <w:t xml:space="preserve"> in </w:t>
      </w:r>
      <w:r w:rsidRPr="3E0DCA19" w:rsidR="00C9343C">
        <w:rPr>
          <w:rFonts w:ascii="Arial" w:hAnsi="Arial" w:eastAsia="Arial" w:cs="Arial"/>
          <w:sz w:val="22"/>
          <w:szCs w:val="22"/>
        </w:rPr>
        <w:t>care home setting</w:t>
      </w:r>
      <w:r w:rsidRPr="3E0DCA19" w:rsidR="00AC15E5">
        <w:rPr>
          <w:rFonts w:ascii="Arial" w:hAnsi="Arial" w:eastAsia="Arial" w:cs="Arial"/>
          <w:sz w:val="22"/>
          <w:szCs w:val="22"/>
        </w:rPr>
        <w:t xml:space="preserve"> (Mahon, 2023</w:t>
      </w:r>
      <w:r w:rsidRPr="3E0DCA19" w:rsidR="00202347">
        <w:rPr>
          <w:rFonts w:ascii="Arial" w:hAnsi="Arial" w:eastAsia="Arial" w:cs="Arial"/>
          <w:sz w:val="22"/>
          <w:szCs w:val="22"/>
        </w:rPr>
        <w:t>). There</w:t>
      </w:r>
      <w:r w:rsidRPr="3E0DCA19" w:rsidR="00AC15E5">
        <w:rPr>
          <w:rFonts w:ascii="Arial" w:hAnsi="Arial" w:eastAsia="Arial" w:cs="Arial"/>
          <w:sz w:val="22"/>
          <w:szCs w:val="22"/>
        </w:rPr>
        <w:t xml:space="preserve"> are respect, common dignity and shared partnership to demonstrate how Rogers' theory is relevant to health and social care. The theory is aligned with concepts in current health care policies of partnership with patient/therapist and patient empowerment (</w:t>
      </w:r>
      <w:r w:rsidRPr="3E0DCA19" w:rsidR="00AC15E5">
        <w:rPr>
          <w:rFonts w:ascii="Arial" w:hAnsi="Arial" w:eastAsia="Arial" w:cs="Arial"/>
          <w:sz w:val="22"/>
          <w:szCs w:val="22"/>
        </w:rPr>
        <w:t>Cavé</w:t>
      </w:r>
      <w:r w:rsidRPr="3E0DCA19" w:rsidR="00AC15E5">
        <w:rPr>
          <w:rFonts w:ascii="Arial" w:hAnsi="Arial" w:eastAsia="Arial" w:cs="Arial"/>
          <w:sz w:val="22"/>
          <w:szCs w:val="22"/>
        </w:rPr>
        <w:t xml:space="preserve"> </w:t>
      </w:r>
      <w:r w:rsidRPr="3E0DCA19" w:rsidR="00AC15E5">
        <w:rPr>
          <w:rFonts w:ascii="Arial" w:hAnsi="Arial" w:eastAsia="Arial" w:cs="Arial"/>
          <w:i w:val="1"/>
          <w:iCs w:val="1"/>
          <w:sz w:val="22"/>
          <w:szCs w:val="22"/>
        </w:rPr>
        <w:t>et al.</w:t>
      </w:r>
      <w:r w:rsidRPr="3E0DCA19" w:rsidR="00AC15E5">
        <w:rPr>
          <w:rFonts w:ascii="Arial" w:hAnsi="Arial" w:eastAsia="Arial" w:cs="Arial"/>
          <w:sz w:val="22"/>
          <w:szCs w:val="22"/>
        </w:rPr>
        <w:t>, 2024). Rogers' model recogni</w:t>
      </w:r>
      <w:r w:rsidRPr="3E0DCA19" w:rsidR="00BA193E">
        <w:rPr>
          <w:rFonts w:ascii="Arial" w:hAnsi="Arial" w:eastAsia="Arial" w:cs="Arial"/>
          <w:sz w:val="22"/>
          <w:szCs w:val="22"/>
        </w:rPr>
        <w:t>s</w:t>
      </w:r>
      <w:r w:rsidRPr="3E0DCA19" w:rsidR="00AC15E5">
        <w:rPr>
          <w:rFonts w:ascii="Arial" w:hAnsi="Arial" w:eastAsia="Arial" w:cs="Arial"/>
          <w:sz w:val="22"/>
          <w:szCs w:val="22"/>
        </w:rPr>
        <w:t xml:space="preserve">es the person as a problem solver and an expert with his own experiences, thereby freeing up professional resources to build respectful working relationships with people so that they can be actively involved in their own care. The links are particularly useful for people with a mental health problem, a long-term condition or terminal illness, and in palliative care. But if Rogers' theory offers a good philosophical rationale for PCC, it has been criticized as being idealistic. Cox (2022) indicated that the theory is difficult to apply in the health-care sector particularly because of limited resource, the scarcity of manpower, and lastly the pressure on health-care provision. Theory emphasises the ability of the person to be autonomous, and this may not be feasible in any event of mental disorder, severe mental illness or emergency care. In this case, shared decision-Making opportunities may be limited due to having to decide on behalf of a patient. However, although this theory has these shortfalls, it is a very influential one as fits well with modern health and social care values. Empathy, respect and </w:t>
      </w:r>
      <w:r w:rsidRPr="3E0DCA19" w:rsidR="00AC15E5">
        <w:rPr>
          <w:rFonts w:ascii="Arial" w:hAnsi="Arial" w:eastAsia="Arial" w:cs="Arial"/>
          <w:sz w:val="22"/>
          <w:szCs w:val="22"/>
        </w:rPr>
        <w:t xml:space="preserve">partnership continue to be on the strong agenda and will play a place in policy in </w:t>
      </w:r>
      <w:r w:rsidRPr="3E0DCA19" w:rsidR="0031546C">
        <w:rPr>
          <w:rFonts w:ascii="Arial" w:hAnsi="Arial" w:eastAsia="Arial" w:cs="Arial"/>
          <w:sz w:val="22"/>
          <w:szCs w:val="22"/>
        </w:rPr>
        <w:t>care home setting</w:t>
      </w:r>
      <w:r w:rsidRPr="3E0DCA19" w:rsidR="0031546C">
        <w:rPr>
          <w:rFonts w:ascii="Arial" w:hAnsi="Arial" w:eastAsia="Arial" w:cs="Arial"/>
          <w:sz w:val="22"/>
          <w:szCs w:val="22"/>
        </w:rPr>
        <w:t xml:space="preserve"> </w:t>
      </w:r>
      <w:r w:rsidRPr="3E0DCA19" w:rsidR="00AC15E5">
        <w:rPr>
          <w:rFonts w:ascii="Arial" w:hAnsi="Arial" w:eastAsia="Arial" w:cs="Arial"/>
          <w:sz w:val="22"/>
          <w:szCs w:val="22"/>
        </w:rPr>
        <w:t>across the UK healthcare system.</w:t>
      </w:r>
    </w:p>
    <w:p w:rsidR="00B231CF" w:rsidP="3E0DCA19" w:rsidRDefault="00B231CF" w14:paraId="3B1D0C34" w14:textId="6B9879C0">
      <w:pPr>
        <w:pStyle w:val="Heading1"/>
        <w:numPr>
          <w:ilvl w:val="0"/>
          <w:numId w:val="2"/>
        </w:numPr>
        <w:rPr>
          <w:rFonts w:ascii="Arial" w:hAnsi="Arial" w:eastAsia="Arial" w:cs="Arial"/>
          <w:b w:val="1"/>
          <w:bCs w:val="1"/>
          <w:sz w:val="22"/>
          <w:szCs w:val="22"/>
        </w:rPr>
      </w:pPr>
      <w:bookmarkStart w:name="_Toc231588122" w:id="3"/>
      <w:r w:rsidRPr="3E0DCA19" w:rsidR="00B231CF">
        <w:rPr>
          <w:rFonts w:ascii="Arial" w:hAnsi="Arial" w:eastAsia="Arial" w:cs="Arial"/>
          <w:b w:val="1"/>
          <w:bCs w:val="1"/>
          <w:sz w:val="22"/>
          <w:szCs w:val="22"/>
        </w:rPr>
        <w:t>Analyse the Ethical Fundamentals of Health and Social Care</w:t>
      </w:r>
      <w:bookmarkEnd w:id="3"/>
    </w:p>
    <w:p w:rsidRPr="00FD25D2" w:rsidR="00FD25D2" w:rsidP="3E0DCA19" w:rsidRDefault="00202347" w14:paraId="46D89A85" w14:textId="4A9B09F1">
      <w:pPr>
        <w:pStyle w:val="isselectedend"/>
        <w:spacing w:line="360" w:lineRule="auto"/>
        <w:ind w:firstLine="0"/>
        <w:jc w:val="both"/>
        <w:rPr>
          <w:rFonts w:ascii="Arial" w:hAnsi="Arial" w:eastAsia="Arial" w:cs="Arial"/>
          <w:sz w:val="22"/>
          <w:szCs w:val="22"/>
        </w:rPr>
      </w:pPr>
      <w:r w:rsidRPr="3E0DCA19" w:rsidR="00202347">
        <w:rPr>
          <w:rFonts w:ascii="Arial" w:hAnsi="Arial" w:eastAsia="Arial" w:cs="Arial"/>
          <w:sz w:val="22"/>
          <w:szCs w:val="22"/>
        </w:rPr>
        <w:t>Ethics is a vital component of health and social care as professionals carry out decisions that directly affect the wellbeing, rights and quality of life of the residents in an NHS care home. Autonomy is one of the most significant ethical principles that define person-centred care and provide people with the right to make informed choices regarding their care and treatment (Kirby, 2019). Adhering to autonomy means that healthcare practitioners should equip their residents with relevant information, ask them to be involved in care planning, and recognize their values, preferences and life experiences. This value upholds independence, dignity and self-determination, making it the focus of person-centred care provision. However, applying autonomy in practice can be challenging when a resident's preferences differ from professional recommendations. Healthcare practitioners should weigh respect against their autonomy and the need to reduce risks and enhance wellbeing, whereas such decisions should be made in the frameworks of lawful and professional practices (Cook</w:t>
      </w:r>
      <w:r w:rsidRPr="3E0DCA19" w:rsidR="00202347">
        <w:rPr>
          <w:rFonts w:ascii="Arial" w:hAnsi="Arial" w:eastAsia="Arial" w:cs="Arial"/>
          <w:b w:val="1"/>
          <w:bCs w:val="1"/>
          <w:sz w:val="22"/>
          <w:szCs w:val="22"/>
        </w:rPr>
        <w:t xml:space="preserve"> </w:t>
      </w:r>
      <w:r w:rsidRPr="3E0DCA19" w:rsidR="00202347">
        <w:rPr>
          <w:rFonts w:ascii="Arial" w:hAnsi="Arial" w:eastAsia="Arial" w:cs="Arial"/>
          <w:b w:val="0"/>
          <w:bCs w:val="0"/>
          <w:i w:val="1"/>
          <w:iCs w:val="1"/>
          <w:sz w:val="22"/>
          <w:szCs w:val="22"/>
        </w:rPr>
        <w:t>et al.</w:t>
      </w:r>
      <w:r w:rsidRPr="3E0DCA19" w:rsidR="00202347">
        <w:rPr>
          <w:rFonts w:ascii="Arial" w:hAnsi="Arial" w:eastAsia="Arial" w:cs="Arial"/>
          <w:sz w:val="22"/>
          <w:szCs w:val="22"/>
        </w:rPr>
        <w:t>, 2020). The Mental Capacity Act 2005 further supports this principle by presuming that adults have capacity unless proven otherwise and by requiring that any decisions made on behalf of individuals lacking capacity are in their best interests</w:t>
      </w:r>
      <w:r w:rsidRPr="3E0DCA19" w:rsidR="00FD25D2">
        <w:rPr>
          <w:rFonts w:ascii="Arial" w:hAnsi="Arial" w:eastAsia="Arial" w:cs="Arial"/>
          <w:sz w:val="22"/>
          <w:szCs w:val="22"/>
        </w:rPr>
        <w:t>.</w:t>
      </w:r>
    </w:p>
    <w:p w:rsidRPr="00FD25D2" w:rsidR="00FD25D2" w:rsidP="3E0DCA19" w:rsidRDefault="000D6E85" w14:paraId="2241F26B" w14:textId="21F8C375">
      <w:pPr>
        <w:pStyle w:val="NormalWeb"/>
        <w:spacing w:line="360" w:lineRule="auto"/>
        <w:ind w:firstLine="0"/>
        <w:jc w:val="both"/>
        <w:rPr>
          <w:rFonts w:ascii="Arial" w:hAnsi="Arial" w:eastAsia="Arial" w:cs="Arial"/>
          <w:sz w:val="22"/>
          <w:szCs w:val="22"/>
        </w:rPr>
      </w:pPr>
      <w:r w:rsidRPr="3E0DCA19" w:rsidR="000D6E85">
        <w:rPr>
          <w:rFonts w:ascii="Arial" w:hAnsi="Arial" w:eastAsia="Arial" w:cs="Arial"/>
          <w:sz w:val="22"/>
          <w:szCs w:val="22"/>
        </w:rPr>
        <w:t xml:space="preserve">A practical example of autonomy in a care home involves an older resident with diabetes </w:t>
      </w:r>
      <w:r w:rsidRPr="3E0DCA19" w:rsidR="000D6E85">
        <w:rPr>
          <w:rFonts w:ascii="Arial" w:hAnsi="Arial" w:eastAsia="Arial" w:cs="Arial"/>
          <w:sz w:val="22"/>
          <w:szCs w:val="22"/>
        </w:rPr>
        <w:t>who</w:t>
      </w:r>
      <w:r w:rsidRPr="3E0DCA19" w:rsidR="000D6E85">
        <w:rPr>
          <w:rFonts w:ascii="Arial" w:hAnsi="Arial" w:eastAsia="Arial" w:cs="Arial"/>
          <w:sz w:val="22"/>
          <w:szCs w:val="22"/>
        </w:rPr>
        <w:t xml:space="preserve"> chooses not to follow the recommended diabetic diet. In case, the resident is mentally fit and confident in making such a decision, the choice should be respected by the care </w:t>
      </w:r>
      <w:r w:rsidRPr="3E0DCA19" w:rsidR="00551B4C">
        <w:rPr>
          <w:rFonts w:ascii="Arial" w:hAnsi="Arial" w:eastAsia="Arial" w:cs="Arial"/>
          <w:sz w:val="22"/>
          <w:szCs w:val="22"/>
        </w:rPr>
        <w:t>staff,</w:t>
      </w:r>
      <w:r w:rsidRPr="3E0DCA19" w:rsidR="000D6E85">
        <w:rPr>
          <w:rFonts w:ascii="Arial" w:hAnsi="Arial" w:eastAsia="Arial" w:cs="Arial"/>
          <w:sz w:val="22"/>
          <w:szCs w:val="22"/>
        </w:rPr>
        <w:t xml:space="preserve"> and the resident is informed about the health risks. Instead of restrictions, staff must still give advice, record informed discussions and go over with the preferences of the resident on a regular basis. It shows respect to the autonomy and preserves professional responsibility and supports the principles of person-centred care as it allows the residents to be an active participant in their own decision-making</w:t>
      </w:r>
      <w:r w:rsidRPr="3E0DCA19" w:rsidR="00FD25D2">
        <w:rPr>
          <w:rFonts w:ascii="Arial" w:hAnsi="Arial" w:eastAsia="Arial" w:cs="Arial"/>
          <w:sz w:val="22"/>
          <w:szCs w:val="22"/>
        </w:rPr>
        <w:t>.</w:t>
      </w:r>
    </w:p>
    <w:p w:rsidR="00B231CF" w:rsidP="3E0DCA19" w:rsidRDefault="00B231CF" w14:paraId="6ED80A6A" w14:textId="2FFE96C4">
      <w:pPr>
        <w:pStyle w:val="Heading1"/>
        <w:numPr>
          <w:ilvl w:val="0"/>
          <w:numId w:val="2"/>
        </w:numPr>
        <w:rPr>
          <w:rFonts w:ascii="Arial" w:hAnsi="Arial" w:eastAsia="Arial" w:cs="Arial"/>
          <w:b w:val="1"/>
          <w:bCs w:val="1"/>
          <w:sz w:val="22"/>
          <w:szCs w:val="22"/>
        </w:rPr>
      </w:pPr>
      <w:bookmarkStart w:name="_Toc231588123" w:id="4"/>
      <w:r w:rsidRPr="3E0DCA19" w:rsidR="00B231CF">
        <w:rPr>
          <w:rFonts w:ascii="Arial" w:hAnsi="Arial" w:eastAsia="Arial" w:cs="Arial"/>
          <w:b w:val="1"/>
          <w:bCs w:val="1"/>
          <w:sz w:val="22"/>
          <w:szCs w:val="22"/>
        </w:rPr>
        <w:t>Evaluate Partnership Working in Health and Social Care</w:t>
      </w:r>
      <w:bookmarkEnd w:id="4"/>
    </w:p>
    <w:p w:rsidR="00B56317" w:rsidP="3E0DCA19" w:rsidRDefault="00B56317" w14:paraId="7AC3AC69" w14:textId="3A3D0F82">
      <w:pPr>
        <w:spacing w:line="360" w:lineRule="auto"/>
        <w:ind w:firstLine="0"/>
        <w:jc w:val="both"/>
        <w:rPr>
          <w:rFonts w:ascii="Arial" w:hAnsi="Arial" w:eastAsia="Arial" w:cs="Arial"/>
          <w:sz w:val="22"/>
          <w:szCs w:val="22"/>
        </w:rPr>
      </w:pPr>
      <w:r w:rsidRPr="3E0DCA19" w:rsidR="00B56317">
        <w:rPr>
          <w:rFonts w:ascii="Arial" w:hAnsi="Arial" w:eastAsia="Arial" w:cs="Arial"/>
          <w:sz w:val="22"/>
          <w:szCs w:val="22"/>
        </w:rPr>
        <w:t xml:space="preserve">Partnership working is the term used for the activity of different individuals, professionals, organisations and communities working together to generate the best outcomes for service users </w:t>
      </w:r>
      <w:r w:rsidRPr="3E0DCA19" w:rsidR="00062C11">
        <w:rPr>
          <w:rFonts w:ascii="Arial" w:hAnsi="Arial" w:eastAsia="Arial" w:cs="Arial"/>
          <w:sz w:val="22"/>
          <w:szCs w:val="22"/>
        </w:rPr>
        <w:t xml:space="preserve">in </w:t>
      </w:r>
      <w:r w:rsidRPr="3E0DCA19" w:rsidR="00062C11">
        <w:rPr>
          <w:rFonts w:ascii="Arial" w:hAnsi="Arial" w:eastAsia="Arial" w:cs="Arial"/>
          <w:sz w:val="22"/>
          <w:szCs w:val="22"/>
        </w:rPr>
        <w:t>NHS care home setting</w:t>
      </w:r>
      <w:r w:rsidRPr="3E0DCA19" w:rsidR="00062C11">
        <w:rPr>
          <w:rFonts w:ascii="Arial" w:hAnsi="Arial" w:eastAsia="Arial" w:cs="Arial"/>
          <w:sz w:val="22"/>
          <w:szCs w:val="22"/>
        </w:rPr>
        <w:t xml:space="preserve"> </w:t>
      </w:r>
      <w:r w:rsidRPr="3E0DCA19" w:rsidR="00B56317">
        <w:rPr>
          <w:rFonts w:ascii="Arial" w:hAnsi="Arial" w:eastAsia="Arial" w:cs="Arial"/>
          <w:sz w:val="22"/>
          <w:szCs w:val="22"/>
        </w:rPr>
        <w:t>(Glasby, 2017). In the UK, it is becoming a significant position in the field of health and social care because of the complexity of the health or social care needs of a person and because it assumes people have no single professional or organisation access to all the person's needs. One of the major advantages of partnership working is its use to help to support integrated, coordinated care. Partnership working provides scope for professionals from other disciplines to be involved, which can also be utilised to consider and develop whole-person care plans. This can assist to reduce duplication of service, communication and continuity of care. Multidisciplinary teamwork, for instance, with doctors, nurses, social workers, physiotherapists, occupational therapists, and mental health workers all working together, is important to tackle the multidimensional needs of those with complex health needs</w:t>
      </w:r>
      <w:r w:rsidRPr="3E0DCA19" w:rsidR="00D86494">
        <w:rPr>
          <w:rFonts w:ascii="Arial" w:hAnsi="Arial" w:eastAsia="Arial" w:cs="Arial"/>
          <w:sz w:val="22"/>
          <w:szCs w:val="22"/>
        </w:rPr>
        <w:t xml:space="preserve"> in </w:t>
      </w:r>
      <w:r w:rsidRPr="3E0DCA19" w:rsidR="00D86494">
        <w:rPr>
          <w:rFonts w:ascii="Arial" w:hAnsi="Arial" w:eastAsia="Arial" w:cs="Arial"/>
          <w:sz w:val="22"/>
          <w:szCs w:val="22"/>
        </w:rPr>
        <w:t>NHS care home setting</w:t>
      </w:r>
      <w:r w:rsidRPr="3E0DCA19" w:rsidR="00B56317">
        <w:rPr>
          <w:rFonts w:ascii="Arial" w:hAnsi="Arial" w:eastAsia="Arial" w:cs="Arial"/>
          <w:sz w:val="22"/>
          <w:szCs w:val="22"/>
        </w:rPr>
        <w:t xml:space="preserve"> (Hughes, Shaw and Greenhalgh, 2020).</w:t>
      </w:r>
    </w:p>
    <w:p w:rsidR="00B231CF" w:rsidP="3E0DCA19" w:rsidRDefault="00B56317" w14:paraId="5CCE6D65" w14:textId="6BA0D686">
      <w:pPr>
        <w:spacing w:line="360" w:lineRule="auto"/>
        <w:ind w:firstLine="0"/>
        <w:jc w:val="both"/>
        <w:rPr>
          <w:rFonts w:ascii="Arial" w:hAnsi="Arial" w:eastAsia="Arial" w:cs="Arial"/>
          <w:sz w:val="22"/>
          <w:szCs w:val="22"/>
        </w:rPr>
      </w:pPr>
      <w:r w:rsidRPr="3E0DCA19" w:rsidR="00B56317">
        <w:rPr>
          <w:rFonts w:ascii="Arial" w:hAnsi="Arial" w:eastAsia="Arial" w:cs="Arial"/>
          <w:sz w:val="22"/>
          <w:szCs w:val="22"/>
        </w:rPr>
        <w:t>An added advantage of the collaboration is that patient care will be improved due to various professionals being able to share their knowledge and expertise in making decisions. Coordinated working has been reported to reduce admissions, improve patient satisfaction and increase length of intervention (Davidson</w:t>
      </w:r>
      <w:r w:rsidRPr="3E0DCA19" w:rsidR="00B56317">
        <w:rPr>
          <w:rFonts w:ascii="Arial" w:hAnsi="Arial" w:eastAsia="Arial" w:cs="Arial"/>
          <w:i w:val="1"/>
          <w:iCs w:val="1"/>
          <w:sz w:val="22"/>
          <w:szCs w:val="22"/>
        </w:rPr>
        <w:t xml:space="preserve"> et. al</w:t>
      </w:r>
      <w:r w:rsidRPr="3E0DCA19" w:rsidR="00B56317">
        <w:rPr>
          <w:rFonts w:ascii="Arial" w:hAnsi="Arial" w:eastAsia="Arial" w:cs="Arial"/>
          <w:sz w:val="22"/>
          <w:szCs w:val="22"/>
        </w:rPr>
        <w:t xml:space="preserve">., 2017). However, there are challenges to partnership working. Organisational cultures, priorities and communication processes in organisations can be factors that lead to poor collaboration. The information sharing challenges </w:t>
      </w:r>
      <w:r w:rsidRPr="3E0DCA19" w:rsidR="00D86494">
        <w:rPr>
          <w:rFonts w:ascii="Arial" w:hAnsi="Arial" w:eastAsia="Arial" w:cs="Arial"/>
          <w:sz w:val="22"/>
          <w:szCs w:val="22"/>
        </w:rPr>
        <w:t>or</w:t>
      </w:r>
      <w:r w:rsidRPr="3E0DCA19" w:rsidR="00B56317">
        <w:rPr>
          <w:rFonts w:ascii="Arial" w:hAnsi="Arial" w:eastAsia="Arial" w:cs="Arial"/>
          <w:sz w:val="22"/>
          <w:szCs w:val="22"/>
        </w:rPr>
        <w:t xml:space="preserve"> blending and defining roles may also create obstacles. Moreover, lacking support and resources can make it challenging to work collaboratively and working in competition can add strain to professionals to focus on their organisation's needs over collaborative ones (Weber et al., 2022). Thus, partnership working has a great deal to offer however these only work as well if there are strong leadership, good communication, mutual respect and organisational dedication to partnership working</w:t>
      </w:r>
      <w:r w:rsidRPr="3E0DCA19" w:rsidR="00856DAB">
        <w:rPr>
          <w:rFonts w:ascii="Arial" w:hAnsi="Arial" w:eastAsia="Arial" w:cs="Arial"/>
          <w:sz w:val="22"/>
          <w:szCs w:val="22"/>
        </w:rPr>
        <w:t xml:space="preserve"> in </w:t>
      </w:r>
      <w:r w:rsidRPr="3E0DCA19" w:rsidR="00856DAB">
        <w:rPr>
          <w:rFonts w:ascii="Arial" w:hAnsi="Arial" w:eastAsia="Arial" w:cs="Arial"/>
          <w:sz w:val="22"/>
          <w:szCs w:val="22"/>
        </w:rPr>
        <w:t>NHS care home setting</w:t>
      </w:r>
      <w:r w:rsidRPr="3E0DCA19" w:rsidR="00B56317">
        <w:rPr>
          <w:rFonts w:ascii="Arial" w:hAnsi="Arial" w:eastAsia="Arial" w:cs="Arial"/>
          <w:sz w:val="22"/>
          <w:szCs w:val="22"/>
        </w:rPr>
        <w:t>.</w:t>
      </w:r>
    </w:p>
    <w:p w:rsidRPr="00225CA7" w:rsidR="00225CA7" w:rsidP="3E0DCA19" w:rsidRDefault="00225CA7" w14:paraId="044D6175" w14:textId="648F8845">
      <w:pPr>
        <w:pStyle w:val="Heading1"/>
        <w:numPr>
          <w:ilvl w:val="0"/>
          <w:numId w:val="2"/>
        </w:numPr>
        <w:rPr>
          <w:rFonts w:ascii="Arial" w:hAnsi="Arial" w:eastAsia="Arial" w:cs="Arial"/>
          <w:b w:val="1"/>
          <w:bCs w:val="1"/>
          <w:sz w:val="22"/>
          <w:szCs w:val="22"/>
        </w:rPr>
      </w:pPr>
      <w:bookmarkStart w:name="_Toc231588124" w:id="5"/>
      <w:r w:rsidRPr="3E0DCA19" w:rsidR="00225CA7">
        <w:rPr>
          <w:rFonts w:ascii="Arial" w:hAnsi="Arial" w:eastAsia="Arial" w:cs="Arial"/>
          <w:b w:val="1"/>
          <w:bCs w:val="1"/>
          <w:sz w:val="22"/>
          <w:szCs w:val="22"/>
        </w:rPr>
        <w:t>Application of Partnership Working in a Practical Health and Social Care Setting</w:t>
      </w:r>
      <w:bookmarkEnd w:id="5"/>
    </w:p>
    <w:p w:rsidR="00B56317" w:rsidP="3E0DCA19" w:rsidRDefault="00B56317" w14:paraId="6B5DB826" w14:textId="61F372DD">
      <w:pPr>
        <w:spacing w:line="360" w:lineRule="auto"/>
        <w:ind w:firstLine="0"/>
        <w:jc w:val="both"/>
        <w:rPr>
          <w:rFonts w:ascii="Arial" w:hAnsi="Arial" w:eastAsia="Arial" w:cs="Arial"/>
          <w:sz w:val="22"/>
          <w:szCs w:val="22"/>
        </w:rPr>
      </w:pPr>
      <w:r w:rsidRPr="3E0DCA19" w:rsidR="00B56317">
        <w:rPr>
          <w:rFonts w:ascii="Arial" w:hAnsi="Arial" w:eastAsia="Arial" w:cs="Arial"/>
          <w:sz w:val="22"/>
          <w:szCs w:val="22"/>
        </w:rPr>
        <w:t xml:space="preserve">Partnership working is evident within community-based diabetes management services in </w:t>
      </w:r>
      <w:r w:rsidRPr="3E0DCA19" w:rsidR="00E07739">
        <w:rPr>
          <w:rFonts w:ascii="Arial" w:hAnsi="Arial" w:eastAsia="Arial" w:cs="Arial"/>
          <w:sz w:val="22"/>
          <w:szCs w:val="22"/>
        </w:rPr>
        <w:t>NHS care home setting</w:t>
      </w:r>
      <w:r w:rsidRPr="3E0DCA19" w:rsidR="00B56317">
        <w:rPr>
          <w:rFonts w:ascii="Arial" w:hAnsi="Arial" w:eastAsia="Arial" w:cs="Arial"/>
          <w:sz w:val="22"/>
          <w:szCs w:val="22"/>
        </w:rPr>
        <w:t xml:space="preserve">. People with Type 2 diabetes need a multidisciplinary approach which includes practitioners </w:t>
      </w:r>
      <w:r w:rsidRPr="3E0DCA19" w:rsidR="00E07739">
        <w:rPr>
          <w:rFonts w:ascii="Arial" w:hAnsi="Arial" w:eastAsia="Arial" w:cs="Arial"/>
          <w:sz w:val="22"/>
          <w:szCs w:val="22"/>
        </w:rPr>
        <w:t>like</w:t>
      </w:r>
      <w:r w:rsidRPr="3E0DCA19" w:rsidR="00B56317">
        <w:rPr>
          <w:rFonts w:ascii="Arial" w:hAnsi="Arial" w:eastAsia="Arial" w:cs="Arial"/>
          <w:sz w:val="22"/>
          <w:szCs w:val="22"/>
        </w:rPr>
        <w:t xml:space="preserve"> GPs, diabetic specialist nurses, dietitians, podiatrists, pharmacists, social workers and community healthcare professionals (CHPs) (Lu </w:t>
      </w:r>
      <w:r w:rsidRPr="3E0DCA19" w:rsidR="00B56317">
        <w:rPr>
          <w:rFonts w:ascii="Arial" w:hAnsi="Arial" w:eastAsia="Arial" w:cs="Arial"/>
          <w:i w:val="1"/>
          <w:iCs w:val="1"/>
          <w:sz w:val="22"/>
          <w:szCs w:val="22"/>
        </w:rPr>
        <w:t>et al</w:t>
      </w:r>
      <w:r w:rsidRPr="3E0DCA19" w:rsidR="00B56317">
        <w:rPr>
          <w:rFonts w:ascii="Arial" w:hAnsi="Arial" w:eastAsia="Arial" w:cs="Arial"/>
          <w:sz w:val="22"/>
          <w:szCs w:val="22"/>
        </w:rPr>
        <w:t xml:space="preserve">., 2025). In this case, people with newly diagnosed Type 2 diabetes might be treated by a GP, have access to a dietitian for dietary advice, a pharmacist for medicines advice and one or more diabetic nurse specialists providing lifestyle advice. Social services can be accessed to provide additional support wherever there is a concern about mobility, or social care needs identified. Treatment adherence and lifestyle changes may also require family members/carers to participate. With this method, healthcare workers can tackle several areas of the individual's health and wellbeing at a time. Through regular interactions and working together on care plans, effective care coordination and progress is ensured (Karam </w:t>
      </w:r>
      <w:r w:rsidRPr="3E0DCA19" w:rsidR="00B56317">
        <w:rPr>
          <w:rFonts w:ascii="Arial" w:hAnsi="Arial" w:eastAsia="Arial" w:cs="Arial"/>
          <w:i w:val="1"/>
          <w:iCs w:val="1"/>
          <w:sz w:val="22"/>
          <w:szCs w:val="22"/>
        </w:rPr>
        <w:t>et al.</w:t>
      </w:r>
      <w:r w:rsidRPr="3E0DCA19" w:rsidR="00B56317">
        <w:rPr>
          <w:rFonts w:ascii="Arial" w:hAnsi="Arial" w:eastAsia="Arial" w:cs="Arial"/>
          <w:sz w:val="22"/>
          <w:szCs w:val="22"/>
        </w:rPr>
        <w:t>, 2021). Therefore, patients can typically have better glycaemic control, fewer complications and a better quality of life. Nevertheless, challenges remain. Inter-agency miscommunication can lead to message delays as well as having several information systems can lead to the broken link in the care chain. So integrated care systems, and information sharing systems need to be invested in to ensure that effective partnership working is achieved</w:t>
      </w:r>
      <w:r w:rsidRPr="3E0DCA19" w:rsidR="00010ABB">
        <w:rPr>
          <w:rFonts w:ascii="Arial" w:hAnsi="Arial" w:eastAsia="Arial" w:cs="Arial"/>
          <w:sz w:val="22"/>
          <w:szCs w:val="22"/>
        </w:rPr>
        <w:t xml:space="preserve"> within </w:t>
      </w:r>
      <w:r w:rsidRPr="3E0DCA19" w:rsidR="00010ABB">
        <w:rPr>
          <w:rFonts w:ascii="Arial" w:hAnsi="Arial" w:eastAsia="Arial" w:cs="Arial"/>
          <w:sz w:val="22"/>
          <w:szCs w:val="22"/>
        </w:rPr>
        <w:t>NHS care home setting</w:t>
      </w:r>
      <w:r w:rsidRPr="3E0DCA19" w:rsidR="00B56317">
        <w:rPr>
          <w:rFonts w:ascii="Arial" w:hAnsi="Arial" w:eastAsia="Arial" w:cs="Arial"/>
          <w:sz w:val="22"/>
          <w:szCs w:val="22"/>
        </w:rPr>
        <w:t>.</w:t>
      </w:r>
    </w:p>
    <w:p w:rsidR="00225CA7" w:rsidP="3E0DCA19" w:rsidRDefault="00225CA7" w14:paraId="6320F1B9" w14:textId="549A2B4C">
      <w:pPr>
        <w:pStyle w:val="Heading1"/>
        <w:numPr>
          <w:ilvl w:val="0"/>
          <w:numId w:val="2"/>
        </w:numPr>
        <w:rPr>
          <w:rFonts w:ascii="Arial" w:hAnsi="Arial" w:eastAsia="Arial" w:cs="Arial"/>
          <w:b w:val="1"/>
          <w:bCs w:val="1"/>
          <w:sz w:val="22"/>
          <w:szCs w:val="22"/>
        </w:rPr>
      </w:pPr>
      <w:bookmarkStart w:name="_Toc231588125" w:id="6"/>
      <w:r w:rsidRPr="3E0DCA19" w:rsidR="00225CA7">
        <w:rPr>
          <w:rFonts w:ascii="Arial" w:hAnsi="Arial" w:eastAsia="Arial" w:cs="Arial"/>
          <w:b w:val="1"/>
          <w:bCs w:val="1"/>
          <w:sz w:val="22"/>
          <w:szCs w:val="22"/>
        </w:rPr>
        <w:t>Relevant Policy and Legislation in Relation to Person-Centred Care and Partnership Working</w:t>
      </w:r>
      <w:bookmarkEnd w:id="6"/>
    </w:p>
    <w:p w:rsidR="00225CA7" w:rsidP="3E0DCA19" w:rsidRDefault="00680875" w14:paraId="4E1F2F1A" w14:textId="63CE4F40">
      <w:pPr>
        <w:spacing w:line="360" w:lineRule="auto"/>
        <w:ind w:firstLine="0"/>
        <w:jc w:val="both"/>
        <w:rPr>
          <w:rFonts w:ascii="Arial" w:hAnsi="Arial" w:eastAsia="Arial" w:cs="Arial"/>
          <w:sz w:val="22"/>
          <w:szCs w:val="22"/>
          <w:highlight w:val="yellow"/>
        </w:rPr>
      </w:pPr>
      <w:r w:rsidRPr="3E0DCA19" w:rsidR="00680875">
        <w:rPr>
          <w:rFonts w:ascii="Arial" w:hAnsi="Arial" w:eastAsia="Arial" w:cs="Arial"/>
          <w:sz w:val="22"/>
          <w:szCs w:val="22"/>
        </w:rPr>
        <w:t xml:space="preserve">There are number of policies and legislation that promote the use of PCC and partnership working in the UK health and social care. One of the most important legislative initiatives in support of person-centred care (PCC) are the provisions of the Care Act 2014. The Act prioritises individual wellbeing in all care planning and despite this focus on issue planning, it also highlights the need to include the individual in decisions around plan support. The Mental Capacity Act 2005 sets out the principles for making decisions when someone lacks capacity. The Act encourages </w:t>
      </w:r>
      <w:r w:rsidRPr="3E0DCA19" w:rsidR="00680875">
        <w:rPr>
          <w:rFonts w:ascii="Arial" w:hAnsi="Arial" w:eastAsia="Arial" w:cs="Arial"/>
          <w:sz w:val="22"/>
          <w:szCs w:val="22"/>
        </w:rPr>
        <w:t xml:space="preserve">independence and allows for decisions to be taken in the individual's best interests when they should be (SCIE, 2022). The Health and Care Act 2022 will strengthen partnership working further by creating Integrated Care Systems (ICSs). The systems are designed to promote integration and cooperation between organisations in the healthcare, social care and local authority sectors to enhance care integration and the health of populations (Health and Care Act, 2022). The Equality Act 2010 is a piece of legislation which helps to support and promote equality, diversity and non-discriminatory practice in PCC and partnership working. </w:t>
      </w:r>
      <w:r w:rsidRPr="3E0DCA19" w:rsidR="00010ABB">
        <w:rPr>
          <w:rFonts w:ascii="Arial" w:hAnsi="Arial" w:eastAsia="Arial" w:cs="Arial"/>
          <w:sz w:val="22"/>
          <w:szCs w:val="22"/>
        </w:rPr>
        <w:t>Likewise,</w:t>
      </w:r>
      <w:r w:rsidRPr="3E0DCA19" w:rsidR="00680875">
        <w:rPr>
          <w:rFonts w:ascii="Arial" w:hAnsi="Arial" w:eastAsia="Arial" w:cs="Arial"/>
          <w:sz w:val="22"/>
          <w:szCs w:val="22"/>
        </w:rPr>
        <w:t xml:space="preserve"> the Human Rights Act 1998 safeguards key rights such as rights to dignity, privacy and respect (Human Rights Act 1998). These laws help to establish a climate conducive to collaborative, person-centred, and ethical practice in health care across the UK</w:t>
      </w:r>
      <w:r w:rsidRPr="3E0DCA19" w:rsidR="00225CA7">
        <w:rPr>
          <w:rFonts w:ascii="Arial" w:hAnsi="Arial" w:eastAsia="Arial" w:cs="Arial"/>
          <w:sz w:val="22"/>
          <w:szCs w:val="22"/>
        </w:rPr>
        <w:t>.</w:t>
      </w:r>
    </w:p>
    <w:p w:rsidR="00B56317" w:rsidP="3E0DCA19" w:rsidRDefault="00225CA7" w14:paraId="06B26624" w14:textId="5CBB9705">
      <w:pPr>
        <w:pStyle w:val="Heading1"/>
        <w:numPr>
          <w:ilvl w:val="0"/>
          <w:numId w:val="2"/>
        </w:numPr>
        <w:rPr>
          <w:rFonts w:ascii="Arial" w:hAnsi="Arial" w:eastAsia="Arial" w:cs="Arial"/>
          <w:b w:val="1"/>
          <w:bCs w:val="1"/>
          <w:sz w:val="22"/>
          <w:szCs w:val="22"/>
        </w:rPr>
      </w:pPr>
      <w:bookmarkStart w:name="_Toc231588126" w:id="7"/>
      <w:r w:rsidRPr="3E0DCA19" w:rsidR="00225CA7">
        <w:rPr>
          <w:rFonts w:ascii="Arial" w:hAnsi="Arial" w:eastAsia="Arial" w:cs="Arial"/>
          <w:b w:val="1"/>
          <w:bCs w:val="1"/>
          <w:sz w:val="22"/>
          <w:szCs w:val="22"/>
        </w:rPr>
        <w:t>Recommendations for Future Development of Person-Centred Care and Partnership Working in the UK</w:t>
      </w:r>
      <w:bookmarkEnd w:id="7"/>
    </w:p>
    <w:p w:rsidRPr="00225CA7" w:rsidR="00B56317" w:rsidP="3E0DCA19" w:rsidRDefault="00B56317" w14:paraId="3490A2E7" w14:textId="60077DB7">
      <w:pPr>
        <w:spacing w:line="360" w:lineRule="auto"/>
        <w:ind w:firstLine="0"/>
        <w:jc w:val="both"/>
        <w:rPr>
          <w:rFonts w:ascii="Arial" w:hAnsi="Arial" w:eastAsia="Arial" w:cs="Arial"/>
          <w:sz w:val="22"/>
          <w:szCs w:val="22"/>
        </w:rPr>
      </w:pPr>
      <w:r w:rsidRPr="3E0DCA19" w:rsidR="00B56317">
        <w:rPr>
          <w:rFonts w:ascii="Arial" w:hAnsi="Arial" w:eastAsia="Arial" w:cs="Arial"/>
          <w:sz w:val="22"/>
          <w:szCs w:val="22"/>
        </w:rPr>
        <w:t>There are a few improvements that enhance the well-being of future implementation of PCC and of partnership working</w:t>
      </w:r>
      <w:r w:rsidRPr="3E0DCA19" w:rsidR="00010ABB">
        <w:rPr>
          <w:rFonts w:ascii="Arial" w:hAnsi="Arial" w:eastAsia="Arial" w:cs="Arial"/>
          <w:sz w:val="22"/>
          <w:szCs w:val="22"/>
        </w:rPr>
        <w:t xml:space="preserve"> within </w:t>
      </w:r>
      <w:r w:rsidRPr="3E0DCA19" w:rsidR="00010ABB">
        <w:rPr>
          <w:rFonts w:ascii="Arial" w:hAnsi="Arial" w:eastAsia="Arial" w:cs="Arial"/>
          <w:sz w:val="22"/>
          <w:szCs w:val="22"/>
        </w:rPr>
        <w:t>NHS care home setting</w:t>
      </w:r>
      <w:r w:rsidRPr="3E0DCA19" w:rsidR="00B56317">
        <w:rPr>
          <w:rFonts w:ascii="Arial" w:hAnsi="Arial" w:eastAsia="Arial" w:cs="Arial"/>
          <w:sz w:val="22"/>
          <w:szCs w:val="22"/>
        </w:rPr>
        <w:t>. There is a need to invest more in the workforce for people to have a set of skills that allows them to develop communication skills, leadership skills, and collaborative skills to enable them to deliver effective person-centred practice. Secondly, healthcare organisations need to proceed with their investment into digital technology that will enable them to exchange information with other agencies. Thirdly, there is a need to increase consultation opportunities for the service user in service design and policy development, and in service evaluation (Li</w:t>
      </w:r>
      <w:r w:rsidRPr="3E0DCA19" w:rsidR="00B56317">
        <w:rPr>
          <w:rFonts w:ascii="Arial" w:hAnsi="Arial" w:eastAsia="Arial" w:cs="Arial"/>
          <w:i w:val="1"/>
          <w:iCs w:val="1"/>
          <w:sz w:val="22"/>
          <w:szCs w:val="22"/>
        </w:rPr>
        <w:t xml:space="preserve"> et al</w:t>
      </w:r>
      <w:r w:rsidRPr="3E0DCA19" w:rsidR="00B56317">
        <w:rPr>
          <w:rFonts w:ascii="Arial" w:hAnsi="Arial" w:eastAsia="Arial" w:cs="Arial"/>
          <w:sz w:val="22"/>
          <w:szCs w:val="22"/>
        </w:rPr>
        <w:t>., 2022). Co-production can be used to reinforce person centred approaches and to ensure service is if meets the requirements of the local people (</w:t>
      </w:r>
      <w:r w:rsidRPr="3E0DCA19" w:rsidR="00B56317">
        <w:rPr>
          <w:rFonts w:ascii="Arial" w:hAnsi="Arial" w:eastAsia="Arial" w:cs="Arial"/>
          <w:sz w:val="22"/>
          <w:szCs w:val="22"/>
        </w:rPr>
        <w:t>Acha</w:t>
      </w:r>
      <w:r w:rsidRPr="3E0DCA19" w:rsidR="00B56317">
        <w:rPr>
          <w:rFonts w:ascii="Arial" w:hAnsi="Arial" w:eastAsia="Arial" w:cs="Arial"/>
          <w:sz w:val="22"/>
          <w:szCs w:val="22"/>
        </w:rPr>
        <w:t xml:space="preserve"> </w:t>
      </w:r>
      <w:r w:rsidRPr="3E0DCA19" w:rsidR="00B56317">
        <w:rPr>
          <w:rFonts w:ascii="Arial" w:hAnsi="Arial" w:eastAsia="Arial" w:cs="Arial"/>
          <w:i w:val="1"/>
          <w:iCs w:val="1"/>
          <w:sz w:val="22"/>
          <w:szCs w:val="22"/>
        </w:rPr>
        <w:t>et al</w:t>
      </w:r>
      <w:r w:rsidRPr="3E0DCA19" w:rsidR="00B56317">
        <w:rPr>
          <w:rFonts w:ascii="Arial" w:hAnsi="Arial" w:eastAsia="Arial" w:cs="Arial"/>
          <w:sz w:val="22"/>
          <w:szCs w:val="22"/>
        </w:rPr>
        <w:t>., 2021). Finally, policymakers should continue to provide support for individuals within multi-agency care systems and consider how to address issues of resource strain that is a barrier to care providers working together. But, for the partnership working to be sustainable and effective in health and social care, sustainable funding and workforce planning is required.</w:t>
      </w:r>
    </w:p>
    <w:p w:rsidR="00225CA7" w:rsidP="3E0DCA19" w:rsidRDefault="00225CA7" w14:paraId="625D6D86" w14:textId="2A016198">
      <w:pPr>
        <w:pStyle w:val="Heading1"/>
        <w:rPr>
          <w:rFonts w:ascii="Arial" w:hAnsi="Arial" w:eastAsia="Arial" w:cs="Arial"/>
          <w:sz w:val="22"/>
          <w:szCs w:val="22"/>
        </w:rPr>
      </w:pPr>
      <w:bookmarkStart w:name="_Toc231588127" w:id="8"/>
      <w:r w:rsidRPr="3E0DCA19" w:rsidR="00225CA7">
        <w:rPr>
          <w:rFonts w:ascii="Arial" w:hAnsi="Arial" w:eastAsia="Arial" w:cs="Arial"/>
          <w:b w:val="1"/>
          <w:bCs w:val="1"/>
          <w:sz w:val="22"/>
          <w:szCs w:val="22"/>
        </w:rPr>
        <w:t>Conclusion</w:t>
      </w:r>
      <w:bookmarkEnd w:id="8"/>
    </w:p>
    <w:p w:rsidR="00033702" w:rsidP="3E0DCA19" w:rsidRDefault="00033702" w14:paraId="1E4AD5F4" w14:textId="72B54DD1">
      <w:pPr>
        <w:spacing w:line="360" w:lineRule="auto"/>
        <w:ind w:firstLine="0"/>
        <w:jc w:val="both"/>
        <w:rPr>
          <w:rFonts w:ascii="Arial" w:hAnsi="Arial" w:eastAsia="Arial" w:cs="Arial"/>
          <w:sz w:val="22"/>
          <w:szCs w:val="22"/>
        </w:rPr>
      </w:pPr>
      <w:r w:rsidRPr="3E0DCA19" w:rsidR="00033702">
        <w:rPr>
          <w:rFonts w:ascii="Arial" w:hAnsi="Arial" w:eastAsia="Arial" w:cs="Arial"/>
          <w:sz w:val="22"/>
          <w:szCs w:val="22"/>
        </w:rPr>
        <w:t>P</w:t>
      </w:r>
      <w:r w:rsidRPr="3E0DCA19" w:rsidR="00033702">
        <w:rPr>
          <w:rFonts w:ascii="Arial" w:hAnsi="Arial" w:eastAsia="Arial" w:cs="Arial"/>
          <w:sz w:val="22"/>
          <w:szCs w:val="22"/>
        </w:rPr>
        <w:t>erson-centred care and partnership working are essential approaches in modern UK health and social care</w:t>
      </w:r>
      <w:r w:rsidRPr="3E0DCA19" w:rsidR="00033702">
        <w:rPr>
          <w:rFonts w:ascii="Arial" w:hAnsi="Arial" w:eastAsia="Arial" w:cs="Arial"/>
          <w:sz w:val="22"/>
          <w:szCs w:val="22"/>
        </w:rPr>
        <w:t xml:space="preserve">. They both play a role in improving the quality of services and have a strong interest in supporting the individual needs and helping practitioners and organisations to become more co-operative. The outcome of person-centred care </w:t>
      </w:r>
      <w:r w:rsidRPr="3E0DCA19" w:rsidR="00033702">
        <w:rPr>
          <w:rFonts w:ascii="Arial" w:hAnsi="Arial" w:eastAsia="Arial" w:cs="Arial"/>
          <w:sz w:val="22"/>
          <w:szCs w:val="22"/>
        </w:rPr>
        <w:t>is</w:t>
      </w:r>
      <w:r w:rsidRPr="3E0DCA19" w:rsidR="00033702">
        <w:rPr>
          <w:rFonts w:ascii="Arial" w:hAnsi="Arial" w:eastAsia="Arial" w:cs="Arial"/>
          <w:sz w:val="22"/>
          <w:szCs w:val="22"/>
        </w:rPr>
        <w:t xml:space="preserve"> enhanced patient wellbeing, patient satisfaction, and patient empowerment, but there are some barriers, including time and capacity. Key to delivering an effective service is partnership working and this can be constrained by communication barriers and resource pressures. Overall, good leadership and communication, provision of resources and continuous professional development are important to the successful implementation of these approaches to ensuring provision of high quality, ethical and integrated care</w:t>
      </w:r>
      <w:r w:rsidRPr="3E0DCA19" w:rsidR="00E81D20">
        <w:rPr>
          <w:rFonts w:ascii="Arial" w:hAnsi="Arial" w:eastAsia="Arial" w:cs="Arial"/>
          <w:sz w:val="22"/>
          <w:szCs w:val="22"/>
        </w:rPr>
        <w:t xml:space="preserve"> within </w:t>
      </w:r>
      <w:r w:rsidRPr="3E0DCA19" w:rsidR="00E81D20">
        <w:rPr>
          <w:rFonts w:ascii="Arial" w:hAnsi="Arial" w:eastAsia="Arial" w:cs="Arial"/>
          <w:sz w:val="22"/>
          <w:szCs w:val="22"/>
        </w:rPr>
        <w:t>NHS care home setting</w:t>
      </w:r>
      <w:r w:rsidRPr="3E0DCA19" w:rsidR="00033702">
        <w:rPr>
          <w:rFonts w:ascii="Arial" w:hAnsi="Arial" w:eastAsia="Arial" w:cs="Arial"/>
          <w:sz w:val="22"/>
          <w:szCs w:val="22"/>
        </w:rPr>
        <w:t>.</w:t>
      </w:r>
    </w:p>
    <w:p w:rsidR="002A02C2" w:rsidP="3E0DCA19" w:rsidRDefault="002A02C2" w14:paraId="33D60C9A" w14:textId="77777777">
      <w:pPr>
        <w:spacing w:line="360" w:lineRule="auto"/>
        <w:rPr>
          <w:rFonts w:ascii="Arial" w:hAnsi="Arial" w:eastAsia="Arial" w:cs="Arial"/>
          <w:sz w:val="22"/>
          <w:szCs w:val="22"/>
        </w:rPr>
      </w:pPr>
    </w:p>
    <w:p w:rsidR="002A02C2" w:rsidP="3E0DCA19" w:rsidRDefault="002A02C2" w14:paraId="761B8630" w14:textId="77777777">
      <w:pPr>
        <w:spacing w:line="360" w:lineRule="auto"/>
        <w:rPr>
          <w:rFonts w:ascii="Arial" w:hAnsi="Arial" w:eastAsia="Arial" w:cs="Arial"/>
          <w:sz w:val="22"/>
          <w:szCs w:val="22"/>
        </w:rPr>
      </w:pPr>
    </w:p>
    <w:p w:rsidR="002A02C2" w:rsidP="3E0DCA19" w:rsidRDefault="002A02C2" w14:paraId="741B38A3" w14:textId="77777777">
      <w:pPr>
        <w:spacing w:line="360" w:lineRule="auto"/>
        <w:rPr>
          <w:rFonts w:ascii="Arial" w:hAnsi="Arial" w:eastAsia="Arial" w:cs="Arial"/>
          <w:sz w:val="22"/>
          <w:szCs w:val="22"/>
        </w:rPr>
      </w:pPr>
    </w:p>
    <w:p w:rsidR="002A02C2" w:rsidP="3E0DCA19" w:rsidRDefault="002A02C2" w14:paraId="0C44B21B" w14:textId="77777777">
      <w:pPr>
        <w:spacing w:line="360" w:lineRule="auto"/>
        <w:rPr>
          <w:rFonts w:ascii="Arial" w:hAnsi="Arial" w:eastAsia="Arial" w:cs="Arial"/>
          <w:sz w:val="22"/>
          <w:szCs w:val="22"/>
        </w:rPr>
      </w:pPr>
    </w:p>
    <w:p w:rsidR="002A02C2" w:rsidP="3E0DCA19" w:rsidRDefault="002A02C2" w14:paraId="15597641" w14:textId="77777777">
      <w:pPr>
        <w:spacing w:line="360" w:lineRule="auto"/>
        <w:rPr>
          <w:rFonts w:ascii="Arial" w:hAnsi="Arial" w:eastAsia="Arial" w:cs="Arial"/>
          <w:sz w:val="22"/>
          <w:szCs w:val="22"/>
        </w:rPr>
      </w:pPr>
    </w:p>
    <w:p w:rsidR="002A02C2" w:rsidP="3E0DCA19" w:rsidRDefault="002A02C2" w14:paraId="1FDD5C97" w14:textId="77777777">
      <w:pPr>
        <w:spacing w:line="360" w:lineRule="auto"/>
        <w:rPr>
          <w:rFonts w:ascii="Arial" w:hAnsi="Arial" w:eastAsia="Arial" w:cs="Arial"/>
          <w:sz w:val="22"/>
          <w:szCs w:val="22"/>
        </w:rPr>
      </w:pPr>
    </w:p>
    <w:p w:rsidR="002A02C2" w:rsidP="3E0DCA19" w:rsidRDefault="002A02C2" w14:paraId="4E9E4654" w14:textId="77777777">
      <w:pPr>
        <w:spacing w:line="360" w:lineRule="auto"/>
        <w:rPr>
          <w:rFonts w:ascii="Arial" w:hAnsi="Arial" w:eastAsia="Arial" w:cs="Arial"/>
          <w:sz w:val="22"/>
          <w:szCs w:val="22"/>
        </w:rPr>
      </w:pPr>
    </w:p>
    <w:p w:rsidR="002A02C2" w:rsidP="3E0DCA19" w:rsidRDefault="002A02C2" w14:paraId="0B40D453" w14:textId="77777777">
      <w:pPr>
        <w:spacing w:line="360" w:lineRule="auto"/>
        <w:rPr>
          <w:rFonts w:ascii="Arial" w:hAnsi="Arial" w:eastAsia="Arial" w:cs="Arial"/>
          <w:sz w:val="22"/>
          <w:szCs w:val="22"/>
        </w:rPr>
      </w:pPr>
    </w:p>
    <w:p w:rsidR="002A02C2" w:rsidP="3E0DCA19" w:rsidRDefault="002A02C2" w14:paraId="0D5EB79A" w14:textId="77777777">
      <w:pPr>
        <w:spacing w:line="360" w:lineRule="auto"/>
        <w:rPr>
          <w:rFonts w:ascii="Arial" w:hAnsi="Arial" w:eastAsia="Arial" w:cs="Arial"/>
          <w:sz w:val="22"/>
          <w:szCs w:val="22"/>
        </w:rPr>
      </w:pPr>
    </w:p>
    <w:p w:rsidR="002A02C2" w:rsidP="3E0DCA19" w:rsidRDefault="002A02C2" w14:paraId="3E3E4277" w14:textId="77777777">
      <w:pPr>
        <w:spacing w:line="360" w:lineRule="auto"/>
        <w:rPr>
          <w:rFonts w:ascii="Arial" w:hAnsi="Arial" w:eastAsia="Arial" w:cs="Arial"/>
          <w:sz w:val="22"/>
          <w:szCs w:val="22"/>
        </w:rPr>
      </w:pPr>
    </w:p>
    <w:p w:rsidR="002A02C2" w:rsidP="3E0DCA19" w:rsidRDefault="002A02C2" w14:paraId="14FC1E09" w14:textId="77777777">
      <w:pPr>
        <w:spacing w:line="360" w:lineRule="auto"/>
        <w:rPr>
          <w:rFonts w:ascii="Arial" w:hAnsi="Arial" w:eastAsia="Arial" w:cs="Arial"/>
          <w:sz w:val="22"/>
          <w:szCs w:val="22"/>
        </w:rPr>
      </w:pPr>
    </w:p>
    <w:p w:rsidR="002A02C2" w:rsidP="3E0DCA19" w:rsidRDefault="002A02C2" w14:paraId="04C9082E" w14:textId="77777777">
      <w:pPr>
        <w:spacing w:line="360" w:lineRule="auto"/>
        <w:rPr>
          <w:rFonts w:ascii="Arial" w:hAnsi="Arial" w:eastAsia="Arial" w:cs="Arial"/>
          <w:sz w:val="22"/>
          <w:szCs w:val="22"/>
        </w:rPr>
      </w:pPr>
    </w:p>
    <w:p w:rsidR="002A02C2" w:rsidP="3E0DCA19" w:rsidRDefault="002A02C2" w14:paraId="0041EEF0" w14:textId="77777777">
      <w:pPr>
        <w:spacing w:line="360" w:lineRule="auto"/>
        <w:rPr>
          <w:rFonts w:ascii="Arial" w:hAnsi="Arial" w:eastAsia="Arial" w:cs="Arial"/>
          <w:sz w:val="22"/>
          <w:szCs w:val="22"/>
        </w:rPr>
      </w:pPr>
    </w:p>
    <w:p w:rsidR="002A02C2" w:rsidP="3E0DCA19" w:rsidRDefault="002A02C2" w14:paraId="28DD1C2C" w14:textId="77777777">
      <w:pPr>
        <w:spacing w:line="360" w:lineRule="auto"/>
        <w:rPr>
          <w:rFonts w:ascii="Arial" w:hAnsi="Arial" w:eastAsia="Arial" w:cs="Arial"/>
          <w:sz w:val="22"/>
          <w:szCs w:val="22"/>
        </w:rPr>
      </w:pPr>
    </w:p>
    <w:p w:rsidR="002A02C2" w:rsidP="3E0DCA19" w:rsidRDefault="002A02C2" w14:paraId="097D8E05" w14:textId="77777777">
      <w:pPr>
        <w:spacing w:line="360" w:lineRule="auto"/>
        <w:rPr>
          <w:rFonts w:ascii="Arial" w:hAnsi="Arial" w:eastAsia="Arial" w:cs="Arial"/>
          <w:sz w:val="22"/>
          <w:szCs w:val="22"/>
        </w:rPr>
      </w:pPr>
    </w:p>
    <w:p w:rsidR="002A02C2" w:rsidP="3E0DCA19" w:rsidRDefault="002A02C2" w14:paraId="067A0848" w14:textId="77777777">
      <w:pPr>
        <w:spacing w:line="360" w:lineRule="auto"/>
        <w:rPr>
          <w:rFonts w:ascii="Arial" w:hAnsi="Arial" w:eastAsia="Arial" w:cs="Arial"/>
          <w:sz w:val="22"/>
          <w:szCs w:val="22"/>
        </w:rPr>
      </w:pPr>
    </w:p>
    <w:p w:rsidR="00AB2D06" w:rsidP="3E0DCA19" w:rsidRDefault="002A02C2" w14:paraId="226E83A4" w14:textId="5208A8D7">
      <w:pPr>
        <w:pStyle w:val="Heading1"/>
        <w:rPr>
          <w:rFonts w:ascii="Arial" w:hAnsi="Arial" w:eastAsia="Arial" w:cs="Arial"/>
          <w:b w:val="1"/>
          <w:bCs w:val="1"/>
          <w:sz w:val="22"/>
          <w:szCs w:val="22"/>
        </w:rPr>
      </w:pPr>
      <w:bookmarkStart w:name="_Toc231588128" w:id="9"/>
      <w:r w:rsidRPr="3E0DCA19" w:rsidR="002A02C2">
        <w:rPr>
          <w:rFonts w:ascii="Arial" w:hAnsi="Arial" w:eastAsia="Arial" w:cs="Arial"/>
          <w:b w:val="1"/>
          <w:bCs w:val="1"/>
          <w:sz w:val="22"/>
          <w:szCs w:val="22"/>
        </w:rPr>
        <w:t>References</w:t>
      </w:r>
      <w:bookmarkEnd w:id="9"/>
    </w:p>
    <w:p w:rsidR="00AB2D06" w:rsidP="3E0DCA19" w:rsidRDefault="00AB2D06" w14:paraId="04BCEF11"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Acha</w:t>
      </w:r>
      <w:r w:rsidRPr="3E0DCA19" w:rsidR="00AB2D06">
        <w:rPr>
          <w:rFonts w:ascii="Arial" w:hAnsi="Arial" w:eastAsia="Arial" w:cs="Arial"/>
          <w:sz w:val="22"/>
          <w:szCs w:val="22"/>
        </w:rPr>
        <w:t xml:space="preserve">, B.V., </w:t>
      </w:r>
      <w:r w:rsidRPr="3E0DCA19" w:rsidR="00AB2D06">
        <w:rPr>
          <w:rFonts w:ascii="Arial" w:hAnsi="Arial" w:eastAsia="Arial" w:cs="Arial"/>
          <w:sz w:val="22"/>
          <w:szCs w:val="22"/>
        </w:rPr>
        <w:t>Ferrandis</w:t>
      </w:r>
      <w:r w:rsidRPr="3E0DCA19" w:rsidR="00AB2D06">
        <w:rPr>
          <w:rFonts w:ascii="Arial" w:hAnsi="Arial" w:eastAsia="Arial" w:cs="Arial"/>
          <w:sz w:val="22"/>
          <w:szCs w:val="22"/>
        </w:rPr>
        <w:t>, E.D., Ferri Sanz, M. and García, M.F.</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2021</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Engaging people and co-producing research with persons and communities to foster person-centred care: a meta-synthesis. </w:t>
      </w:r>
      <w:r w:rsidRPr="3E0DCA19" w:rsidR="00AB2D06">
        <w:rPr>
          <w:rFonts w:ascii="Arial" w:hAnsi="Arial" w:eastAsia="Arial" w:cs="Arial"/>
          <w:i w:val="1"/>
          <w:iCs w:val="1"/>
          <w:sz w:val="22"/>
          <w:szCs w:val="22"/>
        </w:rPr>
        <w:t>International Journal of Environmental Research and Public Health</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18</w:t>
      </w:r>
      <w:r w:rsidRPr="3E0DCA19" w:rsidR="00AB2D06">
        <w:rPr>
          <w:rFonts w:ascii="Arial" w:hAnsi="Arial" w:eastAsia="Arial" w:cs="Arial"/>
          <w:sz w:val="22"/>
          <w:szCs w:val="22"/>
        </w:rPr>
        <w:t>(23), p.12334.</w:t>
      </w:r>
    </w:p>
    <w:p w:rsidR="00AB2D06" w:rsidP="3E0DCA19" w:rsidRDefault="00AB2D06" w14:paraId="5F2C1366"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Al-Tannir, M., </w:t>
      </w:r>
      <w:r w:rsidRPr="3E0DCA19" w:rsidR="00AB2D06">
        <w:rPr>
          <w:rFonts w:ascii="Arial" w:hAnsi="Arial" w:eastAsia="Arial" w:cs="Arial"/>
          <w:sz w:val="22"/>
          <w:szCs w:val="22"/>
        </w:rPr>
        <w:t>AlGahtani</w:t>
      </w:r>
      <w:r w:rsidRPr="3E0DCA19" w:rsidR="00AB2D06">
        <w:rPr>
          <w:rFonts w:ascii="Arial" w:hAnsi="Arial" w:eastAsia="Arial" w:cs="Arial"/>
          <w:sz w:val="22"/>
          <w:szCs w:val="22"/>
        </w:rPr>
        <w:t xml:space="preserve">, F., Abu-Shaheen, A., Al-Tannir, S. and </w:t>
      </w:r>
      <w:r w:rsidRPr="3E0DCA19" w:rsidR="00AB2D06">
        <w:rPr>
          <w:rFonts w:ascii="Arial" w:hAnsi="Arial" w:eastAsia="Arial" w:cs="Arial"/>
          <w:sz w:val="22"/>
          <w:szCs w:val="22"/>
        </w:rPr>
        <w:t>AlFayyad</w:t>
      </w:r>
      <w:r w:rsidRPr="3E0DCA19" w:rsidR="00AB2D06">
        <w:rPr>
          <w:rFonts w:ascii="Arial" w:hAnsi="Arial" w:eastAsia="Arial" w:cs="Arial"/>
          <w:sz w:val="22"/>
          <w:szCs w:val="22"/>
        </w:rPr>
        <w:t>, I.</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2017</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Patient experiences of engagement with care plans and healthcare pro</w:t>
      </w:r>
      <w:r w:rsidRPr="3E0DCA19" w:rsidR="00AB2D06">
        <w:rPr>
          <w:rFonts w:ascii="Arial" w:hAnsi="Arial" w:eastAsia="Arial" w:cs="Arial"/>
          <w:sz w:val="22"/>
          <w:szCs w:val="22"/>
        </w:rPr>
        <w:t>f</w:t>
      </w:r>
      <w:r w:rsidRPr="3E0DCA19" w:rsidR="00AB2D06">
        <w:rPr>
          <w:rFonts w:ascii="Arial" w:hAnsi="Arial" w:eastAsia="Arial" w:cs="Arial"/>
          <w:sz w:val="22"/>
          <w:szCs w:val="22"/>
        </w:rPr>
        <w:t>essionals’ perceptions of that engagement. </w:t>
      </w:r>
      <w:r w:rsidRPr="3E0DCA19" w:rsidR="00AB2D06">
        <w:rPr>
          <w:rFonts w:ascii="Arial" w:hAnsi="Arial" w:eastAsia="Arial" w:cs="Arial"/>
          <w:i w:val="1"/>
          <w:iCs w:val="1"/>
          <w:sz w:val="22"/>
          <w:szCs w:val="22"/>
        </w:rPr>
        <w:t>BMC health services research</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17</w:t>
      </w:r>
      <w:r w:rsidRPr="3E0DCA19" w:rsidR="00AB2D06">
        <w:rPr>
          <w:rFonts w:ascii="Arial" w:hAnsi="Arial" w:eastAsia="Arial" w:cs="Arial"/>
          <w:sz w:val="22"/>
          <w:szCs w:val="22"/>
        </w:rPr>
        <w:t>(1), p.853.</w:t>
      </w:r>
    </w:p>
    <w:p w:rsidR="00AB2D06" w:rsidP="3E0DCA19" w:rsidRDefault="00AB2D06" w14:paraId="158D9FE8"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Care Act (2014). </w:t>
      </w:r>
      <w:r w:rsidRPr="3E0DCA19" w:rsidR="00AB2D06">
        <w:rPr>
          <w:rFonts w:ascii="Arial" w:hAnsi="Arial" w:eastAsia="Arial" w:cs="Arial"/>
          <w:i w:val="1"/>
          <w:iCs w:val="1"/>
          <w:sz w:val="22"/>
          <w:szCs w:val="22"/>
        </w:rPr>
        <w:t>Care Act 2014</w:t>
      </w:r>
      <w:r w:rsidRPr="3E0DCA19" w:rsidR="00AB2D06">
        <w:rPr>
          <w:rFonts w:ascii="Arial" w:hAnsi="Arial" w:eastAsia="Arial" w:cs="Arial"/>
          <w:sz w:val="22"/>
          <w:szCs w:val="22"/>
        </w:rPr>
        <w:t xml:space="preserve">. [online] Legislation.gov.uk. Available at: </w:t>
      </w:r>
      <w:hyperlink r:id="R751641607fc441c1">
        <w:r w:rsidRPr="3E0DCA19" w:rsidR="00AB2D06">
          <w:rPr>
            <w:rStyle w:val="Hyperlink"/>
            <w:rFonts w:ascii="Arial" w:hAnsi="Arial" w:eastAsia="Arial" w:cs="Arial"/>
            <w:sz w:val="22"/>
            <w:szCs w:val="22"/>
          </w:rPr>
          <w:t>https://www.legislation.gov.uk/ukpga/2014/23/contents</w:t>
        </w:r>
      </w:hyperlink>
      <w:r w:rsidRPr="3E0DCA19" w:rsidR="00AB2D06">
        <w:rPr>
          <w:rFonts w:ascii="Arial" w:hAnsi="Arial" w:eastAsia="Arial" w:cs="Arial"/>
          <w:sz w:val="22"/>
          <w:szCs w:val="22"/>
        </w:rPr>
        <w:t>. [Accessed: 5</w:t>
      </w:r>
      <w:r w:rsidRPr="3E0DCA19" w:rsidR="00AB2D06">
        <w:rPr>
          <w:rFonts w:ascii="Arial" w:hAnsi="Arial" w:eastAsia="Arial" w:cs="Arial"/>
          <w:sz w:val="22"/>
          <w:szCs w:val="22"/>
          <w:vertAlign w:val="superscript"/>
        </w:rPr>
        <w:t>th</w:t>
      </w:r>
      <w:r w:rsidRPr="3E0DCA19" w:rsidR="00AB2D06">
        <w:rPr>
          <w:rFonts w:ascii="Arial" w:hAnsi="Arial" w:eastAsia="Arial" w:cs="Arial"/>
          <w:sz w:val="22"/>
          <w:szCs w:val="22"/>
        </w:rPr>
        <w:t xml:space="preserve"> June, 2026]</w:t>
      </w:r>
    </w:p>
    <w:p w:rsidR="00AB2D06" w:rsidP="3E0DCA19" w:rsidRDefault="00AB2D06" w14:paraId="753C32E3"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Cavé</w:t>
      </w:r>
      <w:r w:rsidRPr="3E0DCA19" w:rsidR="00AB2D06">
        <w:rPr>
          <w:rFonts w:ascii="Arial" w:hAnsi="Arial" w:eastAsia="Arial" w:cs="Arial"/>
          <w:sz w:val="22"/>
          <w:szCs w:val="22"/>
        </w:rPr>
        <w:t xml:space="preserve">, J., </w:t>
      </w:r>
      <w:r w:rsidRPr="3E0DCA19" w:rsidR="00AB2D06">
        <w:rPr>
          <w:rFonts w:ascii="Arial" w:hAnsi="Arial" w:eastAsia="Arial" w:cs="Arial"/>
          <w:sz w:val="22"/>
          <w:szCs w:val="22"/>
        </w:rPr>
        <w:t>Katjene</w:t>
      </w:r>
      <w:r w:rsidRPr="3E0DCA19" w:rsidR="00AB2D06">
        <w:rPr>
          <w:rFonts w:ascii="Arial" w:hAnsi="Arial" w:eastAsia="Arial" w:cs="Arial"/>
          <w:sz w:val="22"/>
          <w:szCs w:val="22"/>
        </w:rPr>
        <w:t xml:space="preserve">, M. and </w:t>
      </w:r>
      <w:r w:rsidRPr="3E0DCA19" w:rsidR="00AB2D06">
        <w:rPr>
          <w:rFonts w:ascii="Arial" w:hAnsi="Arial" w:eastAsia="Arial" w:cs="Arial"/>
          <w:sz w:val="22"/>
          <w:szCs w:val="22"/>
        </w:rPr>
        <w:t>Roos</w:t>
      </w:r>
      <w:r w:rsidRPr="3E0DCA19" w:rsidR="00AB2D06">
        <w:rPr>
          <w:rFonts w:ascii="Arial" w:hAnsi="Arial" w:eastAsia="Arial" w:cs="Arial"/>
          <w:sz w:val="22"/>
          <w:szCs w:val="22"/>
        </w:rPr>
        <w:t>, V.</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2024</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A scoping review of Rogers’ person-centred approach to identify constructs relevant to optimal intergenerational relationships. </w:t>
      </w:r>
      <w:r w:rsidRPr="3E0DCA19" w:rsidR="00AB2D06">
        <w:rPr>
          <w:rFonts w:ascii="Arial" w:hAnsi="Arial" w:eastAsia="Arial" w:cs="Arial"/>
          <w:i w:val="1"/>
          <w:iCs w:val="1"/>
          <w:sz w:val="22"/>
          <w:szCs w:val="22"/>
        </w:rPr>
        <w:t>South African Journal of Psychology</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54</w:t>
      </w:r>
      <w:r w:rsidRPr="3E0DCA19" w:rsidR="00AB2D06">
        <w:rPr>
          <w:rFonts w:ascii="Arial" w:hAnsi="Arial" w:eastAsia="Arial" w:cs="Arial"/>
          <w:sz w:val="22"/>
          <w:szCs w:val="22"/>
        </w:rPr>
        <w:t>(3), pp.402-414.</w:t>
      </w:r>
    </w:p>
    <w:p w:rsidR="00AB2D06" w:rsidP="3E0DCA19" w:rsidRDefault="00AB2D06" w14:paraId="217923BB"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Cook, J.T., Mavroudis, C. and Mavroudis, C.D.</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2020</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Autonomy and the principles of medical practice. In </w:t>
      </w:r>
      <w:r w:rsidRPr="3E0DCA19" w:rsidR="00AB2D06">
        <w:rPr>
          <w:rFonts w:ascii="Arial" w:hAnsi="Arial" w:eastAsia="Arial" w:cs="Arial"/>
          <w:i w:val="1"/>
          <w:iCs w:val="1"/>
          <w:sz w:val="22"/>
          <w:szCs w:val="22"/>
        </w:rPr>
        <w:t xml:space="preserve">Bioethical controversies in </w:t>
      </w:r>
      <w:r w:rsidRPr="3E0DCA19" w:rsidR="00AB2D06">
        <w:rPr>
          <w:rFonts w:ascii="Arial" w:hAnsi="Arial" w:eastAsia="Arial" w:cs="Arial"/>
          <w:i w:val="1"/>
          <w:iCs w:val="1"/>
          <w:sz w:val="22"/>
          <w:szCs w:val="22"/>
        </w:rPr>
        <w:t>pediatric</w:t>
      </w:r>
      <w:r w:rsidRPr="3E0DCA19" w:rsidR="00AB2D06">
        <w:rPr>
          <w:rFonts w:ascii="Arial" w:hAnsi="Arial" w:eastAsia="Arial" w:cs="Arial"/>
          <w:i w:val="1"/>
          <w:iCs w:val="1"/>
          <w:sz w:val="22"/>
          <w:szCs w:val="22"/>
        </w:rPr>
        <w:t xml:space="preserve"> cardiology and cardiac surgery</w:t>
      </w:r>
      <w:r w:rsidRPr="3E0DCA19" w:rsidR="00AB2D06">
        <w:rPr>
          <w:rFonts w:ascii="Arial" w:hAnsi="Arial" w:eastAsia="Arial" w:cs="Arial"/>
          <w:sz w:val="22"/>
          <w:szCs w:val="22"/>
        </w:rPr>
        <w:t> (pp. 29-37). Cham: Springer International Publishing.</w:t>
      </w:r>
    </w:p>
    <w:p w:rsidR="00AB2D06" w:rsidP="3E0DCA19" w:rsidRDefault="00AB2D06" w14:paraId="3F5C7AC0"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Cox III, J.F.</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2022</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Using the theory of constraints to create a paradigm shift in organisation performance at a large primary care provider practice. </w:t>
      </w:r>
      <w:r w:rsidRPr="3E0DCA19" w:rsidR="00AB2D06">
        <w:rPr>
          <w:rFonts w:ascii="Arial" w:hAnsi="Arial" w:eastAsia="Arial" w:cs="Arial"/>
          <w:i w:val="1"/>
          <w:iCs w:val="1"/>
          <w:sz w:val="22"/>
          <w:szCs w:val="22"/>
        </w:rPr>
        <w:t>Health Systems</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11</w:t>
      </w:r>
      <w:r w:rsidRPr="3E0DCA19" w:rsidR="00AB2D06">
        <w:rPr>
          <w:rFonts w:ascii="Arial" w:hAnsi="Arial" w:eastAsia="Arial" w:cs="Arial"/>
          <w:sz w:val="22"/>
          <w:szCs w:val="22"/>
        </w:rPr>
        <w:t>(2), pp.126-159.</w:t>
      </w:r>
    </w:p>
    <w:p w:rsidR="00AB2D06" w:rsidP="3E0DCA19" w:rsidRDefault="00AB2D06" w14:paraId="59DDEBF8"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Davidson, K.W., Shaffer, J., Ye, S., Falzon, L., </w:t>
      </w:r>
      <w:r w:rsidRPr="3E0DCA19" w:rsidR="00AB2D06">
        <w:rPr>
          <w:rFonts w:ascii="Arial" w:hAnsi="Arial" w:eastAsia="Arial" w:cs="Arial"/>
          <w:sz w:val="22"/>
          <w:szCs w:val="22"/>
        </w:rPr>
        <w:t>Emeruwa</w:t>
      </w:r>
      <w:r w:rsidRPr="3E0DCA19" w:rsidR="00AB2D06">
        <w:rPr>
          <w:rFonts w:ascii="Arial" w:hAnsi="Arial" w:eastAsia="Arial" w:cs="Arial"/>
          <w:sz w:val="22"/>
          <w:szCs w:val="22"/>
        </w:rPr>
        <w:t xml:space="preserve">, I.O., Sundquist, K., </w:t>
      </w:r>
      <w:r w:rsidRPr="3E0DCA19" w:rsidR="00AB2D06">
        <w:rPr>
          <w:rFonts w:ascii="Arial" w:hAnsi="Arial" w:eastAsia="Arial" w:cs="Arial"/>
          <w:sz w:val="22"/>
          <w:szCs w:val="22"/>
        </w:rPr>
        <w:t>Inneh</w:t>
      </w:r>
      <w:r w:rsidRPr="3E0DCA19" w:rsidR="00AB2D06">
        <w:rPr>
          <w:rFonts w:ascii="Arial" w:hAnsi="Arial" w:eastAsia="Arial" w:cs="Arial"/>
          <w:sz w:val="22"/>
          <w:szCs w:val="22"/>
        </w:rPr>
        <w:t>, I.A., Mascitelli, S.L., Manzano, W.M., Vawdrey, D.K. and Ting, H.H.</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2017</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Interventions to improve hospital patient satisfaction with healthcare providers and systems: a systematic review. </w:t>
      </w:r>
      <w:r w:rsidRPr="3E0DCA19" w:rsidR="00AB2D06">
        <w:rPr>
          <w:rFonts w:ascii="Arial" w:hAnsi="Arial" w:eastAsia="Arial" w:cs="Arial"/>
          <w:i w:val="1"/>
          <w:iCs w:val="1"/>
          <w:sz w:val="22"/>
          <w:szCs w:val="22"/>
        </w:rPr>
        <w:t>BMJ quality &amp; safety</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26</w:t>
      </w:r>
      <w:r w:rsidRPr="3E0DCA19" w:rsidR="00AB2D06">
        <w:rPr>
          <w:rFonts w:ascii="Arial" w:hAnsi="Arial" w:eastAsia="Arial" w:cs="Arial"/>
          <w:sz w:val="22"/>
          <w:szCs w:val="22"/>
        </w:rPr>
        <w:t>(7), pp.596-606.</w:t>
      </w:r>
    </w:p>
    <w:p w:rsidR="00AB2D06" w:rsidP="3E0DCA19" w:rsidRDefault="00AB2D06" w14:paraId="385A6C58"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Glasby, J.</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2017</w:t>
      </w:r>
      <w:r w:rsidRPr="3E0DCA19" w:rsidR="00AB2D06">
        <w:rPr>
          <w:rFonts w:ascii="Arial" w:hAnsi="Arial" w:eastAsia="Arial" w:cs="Arial"/>
          <w:sz w:val="22"/>
          <w:szCs w:val="22"/>
        </w:rPr>
        <w:t>)</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Partnership working in health and social care</w:t>
      </w:r>
      <w:r w:rsidRPr="3E0DCA19" w:rsidR="00AB2D06">
        <w:rPr>
          <w:rFonts w:ascii="Arial" w:hAnsi="Arial" w:eastAsia="Arial" w:cs="Arial"/>
          <w:sz w:val="22"/>
          <w:szCs w:val="22"/>
        </w:rPr>
        <w:t> (pp. 71-94). Policy Press.</w:t>
      </w:r>
    </w:p>
    <w:p w:rsidR="00AB2D06" w:rsidP="3E0DCA19" w:rsidRDefault="00AB2D06" w14:paraId="7FFB334C"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Health and Care Act (2022). </w:t>
      </w:r>
      <w:r w:rsidRPr="3E0DCA19" w:rsidR="00AB2D06">
        <w:rPr>
          <w:rFonts w:ascii="Arial" w:hAnsi="Arial" w:eastAsia="Arial" w:cs="Arial"/>
          <w:i w:val="1"/>
          <w:iCs w:val="1"/>
          <w:sz w:val="22"/>
          <w:szCs w:val="22"/>
        </w:rPr>
        <w:t>Health and Care Act 2022</w:t>
      </w:r>
      <w:r w:rsidRPr="3E0DCA19" w:rsidR="00AB2D06">
        <w:rPr>
          <w:rFonts w:ascii="Arial" w:hAnsi="Arial" w:eastAsia="Arial" w:cs="Arial"/>
          <w:sz w:val="22"/>
          <w:szCs w:val="22"/>
        </w:rPr>
        <w:t xml:space="preserve">. [online] Legislation.gov.uk. Available at: </w:t>
      </w:r>
      <w:hyperlink r:id="Ra562f35a72674c18">
        <w:r w:rsidRPr="3E0DCA19" w:rsidR="00AB2D06">
          <w:rPr>
            <w:rStyle w:val="Hyperlink"/>
            <w:rFonts w:ascii="Arial" w:hAnsi="Arial" w:eastAsia="Arial" w:cs="Arial"/>
            <w:sz w:val="22"/>
            <w:szCs w:val="22"/>
          </w:rPr>
          <w:t>https://www.legislation.gov.uk/ukpga/2022/31/contents</w:t>
        </w:r>
      </w:hyperlink>
      <w:r w:rsidRPr="3E0DCA19" w:rsidR="00AB2D06">
        <w:rPr>
          <w:rFonts w:ascii="Arial" w:hAnsi="Arial" w:eastAsia="Arial" w:cs="Arial"/>
          <w:sz w:val="22"/>
          <w:szCs w:val="22"/>
        </w:rPr>
        <w:t>. [Accessed: 5</w:t>
      </w:r>
      <w:r w:rsidRPr="3E0DCA19" w:rsidR="00AB2D06">
        <w:rPr>
          <w:rFonts w:ascii="Arial" w:hAnsi="Arial" w:eastAsia="Arial" w:cs="Arial"/>
          <w:sz w:val="22"/>
          <w:szCs w:val="22"/>
          <w:vertAlign w:val="superscript"/>
        </w:rPr>
        <w:t>th</w:t>
      </w:r>
      <w:r w:rsidRPr="3E0DCA19" w:rsidR="00AB2D06">
        <w:rPr>
          <w:rFonts w:ascii="Arial" w:hAnsi="Arial" w:eastAsia="Arial" w:cs="Arial"/>
          <w:sz w:val="22"/>
          <w:szCs w:val="22"/>
        </w:rPr>
        <w:t xml:space="preserve"> June, 2026]</w:t>
      </w:r>
    </w:p>
    <w:p w:rsidR="00AB2D06" w:rsidP="3E0DCA19" w:rsidRDefault="00AB2D06" w14:paraId="62EBE7D0"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Hughes, G., Shaw, S.E. and Greenhalgh, T.</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2020</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Rethinking integrated care: a systematic hermeneutic review of the literature on integrated care strategies and concepts. </w:t>
      </w:r>
      <w:r w:rsidRPr="3E0DCA19" w:rsidR="00AB2D06">
        <w:rPr>
          <w:rFonts w:ascii="Arial" w:hAnsi="Arial" w:eastAsia="Arial" w:cs="Arial"/>
          <w:i w:val="1"/>
          <w:iCs w:val="1"/>
          <w:sz w:val="22"/>
          <w:szCs w:val="22"/>
        </w:rPr>
        <w:t>The Milbank Quarterly</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98</w:t>
      </w:r>
      <w:r w:rsidRPr="3E0DCA19" w:rsidR="00AB2D06">
        <w:rPr>
          <w:rFonts w:ascii="Arial" w:hAnsi="Arial" w:eastAsia="Arial" w:cs="Arial"/>
          <w:sz w:val="22"/>
          <w:szCs w:val="22"/>
        </w:rPr>
        <w:t>(2), pp.446-492.</w:t>
      </w:r>
    </w:p>
    <w:p w:rsidR="00AB2D06" w:rsidP="3E0DCA19" w:rsidRDefault="00AB2D06" w14:paraId="0F29047C"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Human Rights Act (1998). </w:t>
      </w:r>
      <w:r w:rsidRPr="3E0DCA19" w:rsidR="00AB2D06">
        <w:rPr>
          <w:rFonts w:ascii="Arial" w:hAnsi="Arial" w:eastAsia="Arial" w:cs="Arial"/>
          <w:i w:val="1"/>
          <w:iCs w:val="1"/>
          <w:sz w:val="22"/>
          <w:szCs w:val="22"/>
        </w:rPr>
        <w:t>Human Rights Act 1998</w:t>
      </w:r>
      <w:r w:rsidRPr="3E0DCA19" w:rsidR="00AB2D06">
        <w:rPr>
          <w:rFonts w:ascii="Arial" w:hAnsi="Arial" w:eastAsia="Arial" w:cs="Arial"/>
          <w:sz w:val="22"/>
          <w:szCs w:val="22"/>
        </w:rPr>
        <w:t xml:space="preserve">. [online] Legislation.gov.uk. Available at: </w:t>
      </w:r>
      <w:hyperlink r:id="Rd462f8f5f6274083">
        <w:r w:rsidRPr="3E0DCA19" w:rsidR="00AB2D06">
          <w:rPr>
            <w:rStyle w:val="Hyperlink"/>
            <w:rFonts w:ascii="Arial" w:hAnsi="Arial" w:eastAsia="Arial" w:cs="Arial"/>
            <w:sz w:val="22"/>
            <w:szCs w:val="22"/>
          </w:rPr>
          <w:t>https://www.legislation.gov.uk/ukpga/1998/42/contents</w:t>
        </w:r>
      </w:hyperlink>
      <w:r w:rsidRPr="3E0DCA19" w:rsidR="00AB2D06">
        <w:rPr>
          <w:rFonts w:ascii="Arial" w:hAnsi="Arial" w:eastAsia="Arial" w:cs="Arial"/>
          <w:sz w:val="22"/>
          <w:szCs w:val="22"/>
        </w:rPr>
        <w:t>. [Accessed: 5</w:t>
      </w:r>
      <w:r w:rsidRPr="3E0DCA19" w:rsidR="00AB2D06">
        <w:rPr>
          <w:rFonts w:ascii="Arial" w:hAnsi="Arial" w:eastAsia="Arial" w:cs="Arial"/>
          <w:sz w:val="22"/>
          <w:szCs w:val="22"/>
          <w:vertAlign w:val="superscript"/>
        </w:rPr>
        <w:t>th</w:t>
      </w:r>
      <w:r w:rsidRPr="3E0DCA19" w:rsidR="00AB2D06">
        <w:rPr>
          <w:rFonts w:ascii="Arial" w:hAnsi="Arial" w:eastAsia="Arial" w:cs="Arial"/>
          <w:sz w:val="22"/>
          <w:szCs w:val="22"/>
        </w:rPr>
        <w:t xml:space="preserve"> June, 2026]</w:t>
      </w:r>
    </w:p>
    <w:p w:rsidR="00AB2D06" w:rsidP="3E0DCA19" w:rsidRDefault="00AB2D06" w14:paraId="339DCE6E"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Karam, M., Chouinard, M.C., Poitras, M.E., Couturier, Y., Vedel, I., Grgurevic, N. and Hudon, C.</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2021</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Nursing care coordination for patients with complex needs in primary healthcare: a scoping review. </w:t>
      </w:r>
      <w:r w:rsidRPr="3E0DCA19" w:rsidR="00AB2D06">
        <w:rPr>
          <w:rFonts w:ascii="Arial" w:hAnsi="Arial" w:eastAsia="Arial" w:cs="Arial"/>
          <w:i w:val="1"/>
          <w:iCs w:val="1"/>
          <w:sz w:val="22"/>
          <w:szCs w:val="22"/>
        </w:rPr>
        <w:t>International journal of integrated care</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21</w:t>
      </w:r>
      <w:r w:rsidRPr="3E0DCA19" w:rsidR="00AB2D06">
        <w:rPr>
          <w:rFonts w:ascii="Arial" w:hAnsi="Arial" w:eastAsia="Arial" w:cs="Arial"/>
          <w:sz w:val="22"/>
          <w:szCs w:val="22"/>
        </w:rPr>
        <w:t>(1), p.16.</w:t>
      </w:r>
    </w:p>
    <w:p w:rsidR="00AB2D06" w:rsidP="3E0DCA19" w:rsidRDefault="00AB2D06" w14:paraId="48053371"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Kirby, J.</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2019</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Balancing competing interests and obligations in mental health‐care practice and policy. </w:t>
      </w:r>
      <w:r w:rsidRPr="3E0DCA19" w:rsidR="00AB2D06">
        <w:rPr>
          <w:rFonts w:ascii="Arial" w:hAnsi="Arial" w:eastAsia="Arial" w:cs="Arial"/>
          <w:i w:val="1"/>
          <w:iCs w:val="1"/>
          <w:sz w:val="22"/>
          <w:szCs w:val="22"/>
        </w:rPr>
        <w:t>Bioethics</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33</w:t>
      </w:r>
      <w:r w:rsidRPr="3E0DCA19" w:rsidR="00AB2D06">
        <w:rPr>
          <w:rFonts w:ascii="Arial" w:hAnsi="Arial" w:eastAsia="Arial" w:cs="Arial"/>
          <w:sz w:val="22"/>
          <w:szCs w:val="22"/>
        </w:rPr>
        <w:t>(6), pp.699-707.</w:t>
      </w:r>
    </w:p>
    <w:p w:rsidR="00AB2D06" w:rsidP="3E0DCA19" w:rsidRDefault="00AB2D06" w14:paraId="0A935BF5"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Li, E., Clarke, J., </w:t>
      </w:r>
      <w:r w:rsidRPr="3E0DCA19" w:rsidR="00AB2D06">
        <w:rPr>
          <w:rFonts w:ascii="Arial" w:hAnsi="Arial" w:eastAsia="Arial" w:cs="Arial"/>
          <w:sz w:val="22"/>
          <w:szCs w:val="22"/>
        </w:rPr>
        <w:t>Ashrafian</w:t>
      </w:r>
      <w:r w:rsidRPr="3E0DCA19" w:rsidR="00AB2D06">
        <w:rPr>
          <w:rFonts w:ascii="Arial" w:hAnsi="Arial" w:eastAsia="Arial" w:cs="Arial"/>
          <w:sz w:val="22"/>
          <w:szCs w:val="22"/>
        </w:rPr>
        <w:t>, H., Darzi, A. and Neves, A.L.</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2022</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The impact of electronic health record interoperability on safety and quality of care in high-income countries: systematic review. </w:t>
      </w:r>
      <w:r w:rsidRPr="3E0DCA19" w:rsidR="00AB2D06">
        <w:rPr>
          <w:rFonts w:ascii="Arial" w:hAnsi="Arial" w:eastAsia="Arial" w:cs="Arial"/>
          <w:i w:val="1"/>
          <w:iCs w:val="1"/>
          <w:sz w:val="22"/>
          <w:szCs w:val="22"/>
        </w:rPr>
        <w:t>Journal of medical Internet research</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24</w:t>
      </w:r>
      <w:r w:rsidRPr="3E0DCA19" w:rsidR="00AB2D06">
        <w:rPr>
          <w:rFonts w:ascii="Arial" w:hAnsi="Arial" w:eastAsia="Arial" w:cs="Arial"/>
          <w:sz w:val="22"/>
          <w:szCs w:val="22"/>
        </w:rPr>
        <w:t>(9), p.e38144.</w:t>
      </w:r>
    </w:p>
    <w:p w:rsidR="00AB2D06" w:rsidP="3E0DCA19" w:rsidRDefault="00AB2D06" w14:paraId="523B7AAD"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Lu, X., Yang, H., Ying, X. and Lin, S.</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2025</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Enhancing outcomes in type 2 diabetes: the role of psychological interventions within multidisciplinary rehabilitation care. </w:t>
      </w:r>
      <w:r w:rsidRPr="3E0DCA19" w:rsidR="00AB2D06">
        <w:rPr>
          <w:rFonts w:ascii="Arial" w:hAnsi="Arial" w:eastAsia="Arial" w:cs="Arial"/>
          <w:i w:val="1"/>
          <w:iCs w:val="1"/>
          <w:sz w:val="22"/>
          <w:szCs w:val="22"/>
        </w:rPr>
        <w:t>BMC nursing</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24</w:t>
      </w:r>
      <w:r w:rsidRPr="3E0DCA19" w:rsidR="00AB2D06">
        <w:rPr>
          <w:rFonts w:ascii="Arial" w:hAnsi="Arial" w:eastAsia="Arial" w:cs="Arial"/>
          <w:sz w:val="22"/>
          <w:szCs w:val="22"/>
        </w:rPr>
        <w:t>(1), p.1221.</w:t>
      </w:r>
    </w:p>
    <w:p w:rsidR="00AB2D06" w:rsidP="3E0DCA19" w:rsidRDefault="00AB2D06" w14:paraId="4EDE3349"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Mahon, D.</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2023</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Evidence based relationships 4: Empathy, congruence, unconditional positive regard, and real relationship. In </w:t>
      </w:r>
      <w:r w:rsidRPr="3E0DCA19" w:rsidR="00AB2D06">
        <w:rPr>
          <w:rFonts w:ascii="Arial" w:hAnsi="Arial" w:eastAsia="Arial" w:cs="Arial"/>
          <w:i w:val="1"/>
          <w:iCs w:val="1"/>
          <w:sz w:val="22"/>
          <w:szCs w:val="22"/>
        </w:rPr>
        <w:t>Evidence based counselling &amp; psychotherapy for the 21st century practitioner</w:t>
      </w:r>
      <w:r w:rsidRPr="3E0DCA19" w:rsidR="00AB2D06">
        <w:rPr>
          <w:rFonts w:ascii="Arial" w:hAnsi="Arial" w:eastAsia="Arial" w:cs="Arial"/>
          <w:sz w:val="22"/>
          <w:szCs w:val="22"/>
        </w:rPr>
        <w:t> (pp. 71-83). Emerald Publishing Limited.</w:t>
      </w:r>
    </w:p>
    <w:p w:rsidR="00AB2D06" w:rsidP="3E0DCA19" w:rsidRDefault="00AB2D06" w14:paraId="3D625BB3"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Mills, I.J.</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2017</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A person-centred approach to holistic assessment. </w:t>
      </w:r>
      <w:r w:rsidRPr="3E0DCA19" w:rsidR="00AB2D06">
        <w:rPr>
          <w:rFonts w:ascii="Arial" w:hAnsi="Arial" w:eastAsia="Arial" w:cs="Arial"/>
          <w:i w:val="1"/>
          <w:iCs w:val="1"/>
          <w:sz w:val="22"/>
          <w:szCs w:val="22"/>
        </w:rPr>
        <w:t>Primary dental journal</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6</w:t>
      </w:r>
      <w:r w:rsidRPr="3E0DCA19" w:rsidR="00AB2D06">
        <w:rPr>
          <w:rFonts w:ascii="Arial" w:hAnsi="Arial" w:eastAsia="Arial" w:cs="Arial"/>
          <w:sz w:val="22"/>
          <w:szCs w:val="22"/>
        </w:rPr>
        <w:t>(3), pp.18-23.</w:t>
      </w:r>
    </w:p>
    <w:p w:rsidR="00AB2D06" w:rsidP="3E0DCA19" w:rsidRDefault="00AB2D06" w14:paraId="0164B640"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NHS England (2024). </w:t>
      </w:r>
      <w:r w:rsidRPr="3E0DCA19" w:rsidR="00AB2D06">
        <w:rPr>
          <w:rFonts w:ascii="Arial" w:hAnsi="Arial" w:eastAsia="Arial" w:cs="Arial"/>
          <w:i w:val="1"/>
          <w:iCs w:val="1"/>
          <w:sz w:val="22"/>
          <w:szCs w:val="22"/>
        </w:rPr>
        <w:t>Person-centred Care</w:t>
      </w:r>
      <w:r w:rsidRPr="3E0DCA19" w:rsidR="00AB2D06">
        <w:rPr>
          <w:rFonts w:ascii="Arial" w:hAnsi="Arial" w:eastAsia="Arial" w:cs="Arial"/>
          <w:sz w:val="22"/>
          <w:szCs w:val="22"/>
        </w:rPr>
        <w:t xml:space="preserve">. [online] NHS England. Available at: </w:t>
      </w:r>
      <w:hyperlink r:id="R8ba4b75a40e0415e">
        <w:r w:rsidRPr="3E0DCA19" w:rsidR="00AB2D06">
          <w:rPr>
            <w:rStyle w:val="Hyperlink"/>
            <w:rFonts w:ascii="Arial" w:hAnsi="Arial" w:eastAsia="Arial" w:cs="Arial"/>
            <w:sz w:val="22"/>
            <w:szCs w:val="22"/>
          </w:rPr>
          <w:t>https://www.hee.nhs.uk/our-work/person-centred-care</w:t>
        </w:r>
      </w:hyperlink>
      <w:r w:rsidRPr="3E0DCA19" w:rsidR="00AB2D06">
        <w:rPr>
          <w:rFonts w:ascii="Arial" w:hAnsi="Arial" w:eastAsia="Arial" w:cs="Arial"/>
          <w:sz w:val="22"/>
          <w:szCs w:val="22"/>
        </w:rPr>
        <w:t>. [Accessed: 5</w:t>
      </w:r>
      <w:r w:rsidRPr="3E0DCA19" w:rsidR="00AB2D06">
        <w:rPr>
          <w:rFonts w:ascii="Arial" w:hAnsi="Arial" w:eastAsia="Arial" w:cs="Arial"/>
          <w:sz w:val="22"/>
          <w:szCs w:val="22"/>
          <w:vertAlign w:val="superscript"/>
        </w:rPr>
        <w:t>th</w:t>
      </w:r>
      <w:r w:rsidRPr="3E0DCA19" w:rsidR="00AB2D06">
        <w:rPr>
          <w:rFonts w:ascii="Arial" w:hAnsi="Arial" w:eastAsia="Arial" w:cs="Arial"/>
          <w:sz w:val="22"/>
          <w:szCs w:val="22"/>
        </w:rPr>
        <w:t xml:space="preserve"> June, 2026]</w:t>
      </w:r>
    </w:p>
    <w:p w:rsidR="00AB2D06" w:rsidP="3E0DCA19" w:rsidRDefault="00AB2D06" w14:paraId="0FB06F06"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Rogers, C.R.</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1951</w:t>
      </w:r>
      <w:r w:rsidRPr="3E0DCA19" w:rsidR="00AB2D06">
        <w:rPr>
          <w:rFonts w:ascii="Arial" w:hAnsi="Arial" w:eastAsia="Arial" w:cs="Arial"/>
          <w:sz w:val="22"/>
          <w:szCs w:val="22"/>
        </w:rPr>
        <w:t>)</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Client-centered therapy: its current practice, implications, and theory</w:t>
      </w:r>
      <w:r w:rsidRPr="3E0DCA19" w:rsidR="00AB2D06">
        <w:rPr>
          <w:rFonts w:ascii="Arial" w:hAnsi="Arial" w:eastAsia="Arial" w:cs="Arial"/>
          <w:sz w:val="22"/>
          <w:szCs w:val="22"/>
        </w:rPr>
        <w:t>. Boston: Houghton Mifflin.</w:t>
      </w:r>
    </w:p>
    <w:p w:rsidR="00AB2D06" w:rsidP="3E0DCA19" w:rsidRDefault="00AB2D06" w14:paraId="5888E33B" w14:textId="77777777">
      <w:pPr>
        <w:pStyle w:val="NormalWeb"/>
        <w:spacing w:before="0" w:beforeAutospacing="off" w:after="240" w:afterAutospacing="off"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 xml:space="preserve">SCIE (2022). </w:t>
      </w:r>
      <w:r w:rsidRPr="3E0DCA19" w:rsidR="00AB2D06">
        <w:rPr>
          <w:rFonts w:ascii="Arial" w:hAnsi="Arial" w:eastAsia="Arial" w:cs="Arial"/>
          <w:i w:val="1"/>
          <w:iCs w:val="1"/>
          <w:sz w:val="22"/>
          <w:szCs w:val="22"/>
        </w:rPr>
        <w:t>Mental Capacity Act 2005 at a Glance</w:t>
      </w:r>
      <w:r w:rsidRPr="3E0DCA19" w:rsidR="00AB2D06">
        <w:rPr>
          <w:rFonts w:ascii="Arial" w:hAnsi="Arial" w:eastAsia="Arial" w:cs="Arial"/>
          <w:sz w:val="22"/>
          <w:szCs w:val="22"/>
        </w:rPr>
        <w:t xml:space="preserve">. [online] SCIE. Available at: </w:t>
      </w:r>
      <w:hyperlink r:id="Rfd69a033f50649e0">
        <w:r w:rsidRPr="3E0DCA19" w:rsidR="00AB2D06">
          <w:rPr>
            <w:rStyle w:val="Hyperlink"/>
            <w:rFonts w:ascii="Arial" w:hAnsi="Arial" w:eastAsia="Arial" w:cs="Arial"/>
            <w:sz w:val="22"/>
            <w:szCs w:val="22"/>
          </w:rPr>
          <w:t>https://www.scie.org.uk/mca/introduction/mental-capacity-act-2005-at-a-glance/</w:t>
        </w:r>
      </w:hyperlink>
      <w:r w:rsidRPr="3E0DCA19" w:rsidR="00AB2D06">
        <w:rPr>
          <w:rFonts w:ascii="Arial" w:hAnsi="Arial" w:eastAsia="Arial" w:cs="Arial"/>
          <w:sz w:val="22"/>
          <w:szCs w:val="22"/>
        </w:rPr>
        <w:t>. [Accessed: 5</w:t>
      </w:r>
      <w:r w:rsidRPr="3E0DCA19" w:rsidR="00AB2D06">
        <w:rPr>
          <w:rFonts w:ascii="Arial" w:hAnsi="Arial" w:eastAsia="Arial" w:cs="Arial"/>
          <w:sz w:val="22"/>
          <w:szCs w:val="22"/>
          <w:vertAlign w:val="superscript"/>
        </w:rPr>
        <w:t>th</w:t>
      </w:r>
      <w:r w:rsidRPr="3E0DCA19" w:rsidR="00AB2D06">
        <w:rPr>
          <w:rFonts w:ascii="Arial" w:hAnsi="Arial" w:eastAsia="Arial" w:cs="Arial"/>
          <w:sz w:val="22"/>
          <w:szCs w:val="22"/>
        </w:rPr>
        <w:t xml:space="preserve"> June, 2026]</w:t>
      </w:r>
    </w:p>
    <w:p w:rsidR="00AB2D06" w:rsidP="3E0DCA19" w:rsidRDefault="00AB2D06" w14:paraId="16822487"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Small, N., Brooks, H., Grundy, A., Pedley, R., Gibbons, C., Lovell, K. and Bee, P.</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2017</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Understanding experiences of and preferences for service user and carer involvement in physical health care discussions within mental health care planning. </w:t>
      </w:r>
      <w:r w:rsidRPr="3E0DCA19" w:rsidR="00AB2D06">
        <w:rPr>
          <w:rFonts w:ascii="Arial" w:hAnsi="Arial" w:eastAsia="Arial" w:cs="Arial"/>
          <w:i w:val="1"/>
          <w:iCs w:val="1"/>
          <w:sz w:val="22"/>
          <w:szCs w:val="22"/>
        </w:rPr>
        <w:t>BMC psychiatry</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17</w:t>
      </w:r>
      <w:r w:rsidRPr="3E0DCA19" w:rsidR="00AB2D06">
        <w:rPr>
          <w:rFonts w:ascii="Arial" w:hAnsi="Arial" w:eastAsia="Arial" w:cs="Arial"/>
          <w:sz w:val="22"/>
          <w:szCs w:val="22"/>
        </w:rPr>
        <w:t>(1), p.138.</w:t>
      </w:r>
    </w:p>
    <w:p w:rsidR="009077D2" w:rsidP="3E0DCA19" w:rsidRDefault="00AB2D06" w14:paraId="3B4A7195"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Stone, E.G.</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2018</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Evidence-based medicine and bioethics: implications for health care organizations, clinicians, and patients. </w:t>
      </w:r>
      <w:r w:rsidRPr="3E0DCA19" w:rsidR="00AB2D06">
        <w:rPr>
          <w:rFonts w:ascii="Arial" w:hAnsi="Arial" w:eastAsia="Arial" w:cs="Arial"/>
          <w:i w:val="1"/>
          <w:iCs w:val="1"/>
          <w:sz w:val="22"/>
          <w:szCs w:val="22"/>
        </w:rPr>
        <w:t>The Permanente Journal</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22</w:t>
      </w:r>
      <w:r w:rsidRPr="3E0DCA19" w:rsidR="00AB2D06">
        <w:rPr>
          <w:rFonts w:ascii="Arial" w:hAnsi="Arial" w:eastAsia="Arial" w:cs="Arial"/>
          <w:sz w:val="22"/>
          <w:szCs w:val="22"/>
        </w:rPr>
        <w:t>, pp.18-030.</w:t>
      </w:r>
    </w:p>
    <w:p w:rsidR="009077D2" w:rsidP="3E0DCA19" w:rsidRDefault="009077D2" w14:paraId="5FDF33CC" w14:textId="726D3D55">
      <w:pPr>
        <w:spacing w:line="360" w:lineRule="auto"/>
        <w:ind w:left="720" w:hanging="720"/>
        <w:jc w:val="both"/>
        <w:rPr>
          <w:rFonts w:ascii="Arial" w:hAnsi="Arial" w:eastAsia="Arial" w:cs="Arial"/>
          <w:sz w:val="22"/>
          <w:szCs w:val="22"/>
        </w:rPr>
      </w:pPr>
      <w:r w:rsidRPr="3E0DCA19" w:rsidR="009077D2">
        <w:rPr>
          <w:rFonts w:ascii="Arial" w:hAnsi="Arial" w:eastAsia="Arial" w:cs="Arial"/>
          <w:sz w:val="22"/>
          <w:szCs w:val="22"/>
        </w:rPr>
        <w:t xml:space="preserve">Skills for Health (2025). </w:t>
      </w:r>
      <w:r w:rsidRPr="3E0DCA19" w:rsidR="009077D2">
        <w:rPr>
          <w:rFonts w:ascii="Arial" w:hAnsi="Arial" w:eastAsia="Arial" w:cs="Arial"/>
          <w:i w:val="1"/>
          <w:iCs w:val="1"/>
          <w:sz w:val="22"/>
          <w:szCs w:val="22"/>
        </w:rPr>
        <w:t>Person centred care meaning &amp; implications</w:t>
      </w:r>
      <w:r w:rsidRPr="3E0DCA19" w:rsidR="009077D2">
        <w:rPr>
          <w:rFonts w:ascii="Arial" w:hAnsi="Arial" w:eastAsia="Arial" w:cs="Arial"/>
          <w:sz w:val="22"/>
          <w:szCs w:val="22"/>
        </w:rPr>
        <w:t xml:space="preserve">. [online] </w:t>
      </w:r>
      <w:r w:rsidRPr="3E0DCA19" w:rsidR="009077D2">
        <w:rPr>
          <w:rFonts w:ascii="Arial" w:hAnsi="Arial" w:eastAsia="Arial" w:cs="Arial"/>
          <w:i w:val="1"/>
          <w:iCs w:val="1"/>
          <w:sz w:val="22"/>
          <w:szCs w:val="22"/>
        </w:rPr>
        <w:t>Skills for Health</w:t>
      </w:r>
      <w:r w:rsidRPr="3E0DCA19" w:rsidR="009077D2">
        <w:rPr>
          <w:rFonts w:ascii="Arial" w:hAnsi="Arial" w:eastAsia="Arial" w:cs="Arial"/>
          <w:sz w:val="22"/>
          <w:szCs w:val="22"/>
        </w:rPr>
        <w:t xml:space="preserve">. Available at: </w:t>
      </w:r>
      <w:hyperlink r:id="Rab34779803d24e65">
        <w:r w:rsidRPr="3E0DCA19" w:rsidR="009077D2">
          <w:rPr>
            <w:rStyle w:val="Hyperlink"/>
            <w:rFonts w:ascii="Arial" w:hAnsi="Arial" w:eastAsia="Arial" w:cs="Arial"/>
            <w:sz w:val="22"/>
            <w:szCs w:val="22"/>
          </w:rPr>
          <w:t>https://www.skillsforhealth.org.uk/article/person-centred-care-meaning-implications/</w:t>
        </w:r>
      </w:hyperlink>
      <w:r w:rsidRPr="3E0DCA19" w:rsidR="009077D2">
        <w:rPr>
          <w:rFonts w:ascii="Arial" w:hAnsi="Arial" w:eastAsia="Arial" w:cs="Arial"/>
          <w:sz w:val="22"/>
          <w:szCs w:val="22"/>
        </w:rPr>
        <w:t xml:space="preserve"> </w:t>
      </w:r>
      <w:r w:rsidRPr="3E0DCA19" w:rsidR="009077D2">
        <w:rPr>
          <w:rFonts w:ascii="Arial" w:hAnsi="Arial" w:eastAsia="Arial" w:cs="Arial"/>
          <w:sz w:val="22"/>
          <w:szCs w:val="22"/>
        </w:rPr>
        <w:t xml:space="preserve"> [Accessed 19 July 2026].</w:t>
      </w:r>
    </w:p>
    <w:p w:rsidR="00AB2D06" w:rsidP="3E0DCA19" w:rsidRDefault="00AB2D06" w14:paraId="7A3B2B4C" w14:textId="77777777">
      <w:pPr>
        <w:spacing w:line="360" w:lineRule="auto"/>
        <w:ind w:left="720" w:hanging="720"/>
        <w:jc w:val="both"/>
        <w:rPr>
          <w:rFonts w:ascii="Arial" w:hAnsi="Arial" w:eastAsia="Arial" w:cs="Arial"/>
          <w:sz w:val="22"/>
          <w:szCs w:val="22"/>
        </w:rPr>
      </w:pPr>
      <w:r w:rsidRPr="3E0DCA19" w:rsidR="00AB2D06">
        <w:rPr>
          <w:rFonts w:ascii="Arial" w:hAnsi="Arial" w:eastAsia="Arial" w:cs="Arial"/>
          <w:sz w:val="22"/>
          <w:szCs w:val="22"/>
        </w:rPr>
        <w:t>Weber, C.E., Kortkamp, C., Maurer, I. and Hummers, E.</w:t>
      </w:r>
      <w:r w:rsidRPr="3E0DCA19" w:rsidR="00AB2D06">
        <w:rPr>
          <w:rFonts w:ascii="Arial" w:hAnsi="Arial" w:eastAsia="Arial" w:cs="Arial"/>
          <w:sz w:val="22"/>
          <w:szCs w:val="22"/>
        </w:rPr>
        <w:t xml:space="preserve"> (</w:t>
      </w:r>
      <w:r w:rsidRPr="3E0DCA19" w:rsidR="00AB2D06">
        <w:rPr>
          <w:rFonts w:ascii="Arial" w:hAnsi="Arial" w:eastAsia="Arial" w:cs="Arial"/>
          <w:sz w:val="22"/>
          <w:szCs w:val="22"/>
        </w:rPr>
        <w:t>2022</w:t>
      </w:r>
      <w:r w:rsidRPr="3E0DCA19" w:rsidR="00AB2D06">
        <w:rPr>
          <w:rFonts w:ascii="Arial" w:hAnsi="Arial" w:eastAsia="Arial" w:cs="Arial"/>
          <w:sz w:val="22"/>
          <w:szCs w:val="22"/>
        </w:rPr>
        <w:t>)</w:t>
      </w:r>
      <w:r w:rsidRPr="3E0DCA19" w:rsidR="00AB2D06">
        <w:rPr>
          <w:rFonts w:ascii="Arial" w:hAnsi="Arial" w:eastAsia="Arial" w:cs="Arial"/>
          <w:sz w:val="22"/>
          <w:szCs w:val="22"/>
        </w:rPr>
        <w:t xml:space="preserve"> Boundary work in response to professionals’ contextual constraints: Micro-strategies in interprofessional collaboration. </w:t>
      </w:r>
      <w:r w:rsidRPr="3E0DCA19" w:rsidR="00AB2D06">
        <w:rPr>
          <w:rFonts w:ascii="Arial" w:hAnsi="Arial" w:eastAsia="Arial" w:cs="Arial"/>
          <w:i w:val="1"/>
          <w:iCs w:val="1"/>
          <w:sz w:val="22"/>
          <w:szCs w:val="22"/>
        </w:rPr>
        <w:t>Organization Studies</w:t>
      </w:r>
      <w:r w:rsidRPr="3E0DCA19" w:rsidR="00AB2D06">
        <w:rPr>
          <w:rFonts w:ascii="Arial" w:hAnsi="Arial" w:eastAsia="Arial" w:cs="Arial"/>
          <w:sz w:val="22"/>
          <w:szCs w:val="22"/>
        </w:rPr>
        <w:t>, </w:t>
      </w:r>
      <w:r w:rsidRPr="3E0DCA19" w:rsidR="00AB2D06">
        <w:rPr>
          <w:rFonts w:ascii="Arial" w:hAnsi="Arial" w:eastAsia="Arial" w:cs="Arial"/>
          <w:i w:val="1"/>
          <w:iCs w:val="1"/>
          <w:sz w:val="22"/>
          <w:szCs w:val="22"/>
        </w:rPr>
        <w:t>43</w:t>
      </w:r>
      <w:r w:rsidRPr="3E0DCA19" w:rsidR="00AB2D06">
        <w:rPr>
          <w:rFonts w:ascii="Arial" w:hAnsi="Arial" w:eastAsia="Arial" w:cs="Arial"/>
          <w:sz w:val="22"/>
          <w:szCs w:val="22"/>
        </w:rPr>
        <w:t>(9), pp.1453-1477.</w:t>
      </w:r>
    </w:p>
    <w:p w:rsidRPr="002A02C2" w:rsidR="00224038" w:rsidP="00FD168E" w:rsidRDefault="00224038" w14:paraId="7F9FBF8E" w14:textId="77777777"/>
    <w:sectPr w:rsidRPr="002A02C2" w:rsidR="00224038" w:rsidSect="00BD75B0">
      <w:head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4E8E" w:rsidP="003E379E" w:rsidRDefault="00C64E8E" w14:paraId="1CFB3C40" w14:textId="77777777">
      <w:pPr>
        <w:spacing w:after="0" w:line="240" w:lineRule="auto"/>
      </w:pPr>
      <w:r>
        <w:separator/>
      </w:r>
    </w:p>
  </w:endnote>
  <w:endnote w:type="continuationSeparator" w:id="0">
    <w:p w:rsidR="00C64E8E" w:rsidP="003E379E" w:rsidRDefault="00C64E8E" w14:paraId="4321BF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4E8E" w:rsidP="003E379E" w:rsidRDefault="00C64E8E" w14:paraId="5A5ABC01" w14:textId="77777777">
      <w:pPr>
        <w:spacing w:after="0" w:line="240" w:lineRule="auto"/>
      </w:pPr>
      <w:r>
        <w:separator/>
      </w:r>
    </w:p>
  </w:footnote>
  <w:footnote w:type="continuationSeparator" w:id="0">
    <w:p w:rsidR="00C64E8E" w:rsidP="003E379E" w:rsidRDefault="00C64E8E" w14:paraId="0E27E07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4833"/>
      <w:docPartObj>
        <w:docPartGallery w:val="Page Numbers (Top of Page)"/>
        <w:docPartUnique/>
      </w:docPartObj>
    </w:sdtPr>
    <w:sdtEndPr>
      <w:rPr>
        <w:noProof/>
      </w:rPr>
    </w:sdtEndPr>
    <w:sdtContent>
      <w:p w:rsidR="003E379E" w:rsidRDefault="003E379E" w14:paraId="4234353B" w14:textId="3AF5BDC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3E379E" w:rsidRDefault="003E379E" w14:paraId="10B435C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7B6B4E"/>
    <w:multiLevelType w:val="hybridMultilevel"/>
    <w:tmpl w:val="CCD23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1A06FB"/>
    <w:multiLevelType w:val="hybridMultilevel"/>
    <w:tmpl w:val="B94076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0970635">
    <w:abstractNumId w:val="0"/>
  </w:num>
  <w:num w:numId="2" w16cid:durableId="1348291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U0sTA2NDI0MTO0NDZV0lEKTi0uzszPAykwrgUADVNA3SwAAAA="/>
  </w:docVars>
  <w:rsids>
    <w:rsidRoot w:val="00F95CEE"/>
    <w:rsid w:val="00003939"/>
    <w:rsid w:val="00010ABB"/>
    <w:rsid w:val="00033702"/>
    <w:rsid w:val="00052653"/>
    <w:rsid w:val="00062C11"/>
    <w:rsid w:val="00077E23"/>
    <w:rsid w:val="000D6E85"/>
    <w:rsid w:val="00103EE0"/>
    <w:rsid w:val="001A26DD"/>
    <w:rsid w:val="001F2F25"/>
    <w:rsid w:val="00202347"/>
    <w:rsid w:val="00224038"/>
    <w:rsid w:val="00225CA7"/>
    <w:rsid w:val="002A02C2"/>
    <w:rsid w:val="002E192E"/>
    <w:rsid w:val="0031546C"/>
    <w:rsid w:val="003E379E"/>
    <w:rsid w:val="003F0E05"/>
    <w:rsid w:val="004A7A5C"/>
    <w:rsid w:val="004C2CC8"/>
    <w:rsid w:val="005124C7"/>
    <w:rsid w:val="00551B4C"/>
    <w:rsid w:val="005603FD"/>
    <w:rsid w:val="005805D1"/>
    <w:rsid w:val="005A19DA"/>
    <w:rsid w:val="005C2852"/>
    <w:rsid w:val="005C3EDE"/>
    <w:rsid w:val="005F25D1"/>
    <w:rsid w:val="00601F3B"/>
    <w:rsid w:val="00616190"/>
    <w:rsid w:val="00624519"/>
    <w:rsid w:val="00643154"/>
    <w:rsid w:val="00680875"/>
    <w:rsid w:val="00691530"/>
    <w:rsid w:val="006D5B21"/>
    <w:rsid w:val="007469D1"/>
    <w:rsid w:val="007F77C0"/>
    <w:rsid w:val="00856DAB"/>
    <w:rsid w:val="008B6859"/>
    <w:rsid w:val="009077D2"/>
    <w:rsid w:val="009206E4"/>
    <w:rsid w:val="00993222"/>
    <w:rsid w:val="009B0476"/>
    <w:rsid w:val="00A43ACD"/>
    <w:rsid w:val="00AB2D06"/>
    <w:rsid w:val="00AC15E5"/>
    <w:rsid w:val="00B231CF"/>
    <w:rsid w:val="00B4764D"/>
    <w:rsid w:val="00B56317"/>
    <w:rsid w:val="00BA193E"/>
    <w:rsid w:val="00BB0F3D"/>
    <w:rsid w:val="00BC0C23"/>
    <w:rsid w:val="00BD75B0"/>
    <w:rsid w:val="00C4273F"/>
    <w:rsid w:val="00C46338"/>
    <w:rsid w:val="00C64E8E"/>
    <w:rsid w:val="00C9343C"/>
    <w:rsid w:val="00C93B2D"/>
    <w:rsid w:val="00CA5195"/>
    <w:rsid w:val="00D5724F"/>
    <w:rsid w:val="00D73FF4"/>
    <w:rsid w:val="00D86494"/>
    <w:rsid w:val="00D95AF4"/>
    <w:rsid w:val="00E07739"/>
    <w:rsid w:val="00E1592D"/>
    <w:rsid w:val="00E81D20"/>
    <w:rsid w:val="00E91F12"/>
    <w:rsid w:val="00E96123"/>
    <w:rsid w:val="00EB76E5"/>
    <w:rsid w:val="00EE720A"/>
    <w:rsid w:val="00F66165"/>
    <w:rsid w:val="00F95CEE"/>
    <w:rsid w:val="00FD168E"/>
    <w:rsid w:val="00FD25D2"/>
    <w:rsid w:val="0AD79A02"/>
    <w:rsid w:val="0BD34585"/>
    <w:rsid w:val="0FE12F79"/>
    <w:rsid w:val="1A2B02F0"/>
    <w:rsid w:val="21173CD6"/>
    <w:rsid w:val="2B22E234"/>
    <w:rsid w:val="2BB08027"/>
    <w:rsid w:val="2E4E9F8B"/>
    <w:rsid w:val="2FC07DE8"/>
    <w:rsid w:val="30300293"/>
    <w:rsid w:val="33B1CE57"/>
    <w:rsid w:val="39B18EC1"/>
    <w:rsid w:val="3D9AB958"/>
    <w:rsid w:val="3E0DCA19"/>
    <w:rsid w:val="4032A363"/>
    <w:rsid w:val="43F65283"/>
    <w:rsid w:val="45A4A783"/>
    <w:rsid w:val="46B63806"/>
    <w:rsid w:val="47BD8A9F"/>
    <w:rsid w:val="4B07D978"/>
    <w:rsid w:val="4B6BE7B7"/>
    <w:rsid w:val="787A781F"/>
    <w:rsid w:val="7C4699AA"/>
    <w:rsid w:val="7D00D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18E7B"/>
  <w15:chartTrackingRefBased/>
  <w15:docId w15:val="{19D4C21F-31A4-4F2B-B734-675B09262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E379E"/>
    <w:pPr>
      <w:spacing w:line="480" w:lineRule="auto"/>
    </w:pPr>
    <w:rPr>
      <w:rFonts w:asciiTheme="majorBidi" w:hAnsiTheme="majorBidi"/>
    </w:rPr>
  </w:style>
  <w:style w:type="paragraph" w:styleId="Heading1">
    <w:name w:val="heading 1"/>
    <w:basedOn w:val="Normal"/>
    <w:next w:val="Normal"/>
    <w:link w:val="Heading1Char"/>
    <w:uiPriority w:val="9"/>
    <w:qFormat/>
    <w:rsid w:val="003E379E"/>
    <w:pPr>
      <w:keepNext/>
      <w:keepLines/>
      <w:spacing w:before="360" w:after="80"/>
      <w:outlineLvl w:val="0"/>
    </w:pPr>
    <w:rPr>
      <w:rFonts w:eastAsiaTheme="majorEastAsia" w:cstheme="majorBidi"/>
      <w:sz w:val="32"/>
      <w:szCs w:val="40"/>
    </w:rPr>
  </w:style>
  <w:style w:type="paragraph" w:styleId="Heading2">
    <w:name w:val="heading 2"/>
    <w:basedOn w:val="Normal"/>
    <w:next w:val="Normal"/>
    <w:link w:val="Heading2Char"/>
    <w:uiPriority w:val="9"/>
    <w:semiHidden/>
    <w:unhideWhenUsed/>
    <w:qFormat/>
    <w:rsid w:val="003E379E"/>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semiHidden/>
    <w:unhideWhenUsed/>
    <w:qFormat/>
    <w:rsid w:val="00F95C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C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C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C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C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C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CE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E379E"/>
    <w:rPr>
      <w:rFonts w:asciiTheme="majorBidi" w:hAnsiTheme="majorBidi" w:eastAsiaTheme="majorEastAsia" w:cstheme="majorBidi"/>
      <w:sz w:val="32"/>
      <w:szCs w:val="40"/>
    </w:rPr>
  </w:style>
  <w:style w:type="character" w:styleId="Heading2Char" w:customStyle="1">
    <w:name w:val="Heading 2 Char"/>
    <w:basedOn w:val="DefaultParagraphFont"/>
    <w:link w:val="Heading2"/>
    <w:uiPriority w:val="9"/>
    <w:semiHidden/>
    <w:rsid w:val="003E379E"/>
    <w:rPr>
      <w:rFonts w:asciiTheme="majorBidi" w:hAnsiTheme="majorBidi" w:eastAsiaTheme="majorEastAsia" w:cstheme="majorBidi"/>
      <w:sz w:val="28"/>
      <w:szCs w:val="32"/>
    </w:rPr>
  </w:style>
  <w:style w:type="character" w:styleId="Heading3Char" w:customStyle="1">
    <w:name w:val="Heading 3 Char"/>
    <w:basedOn w:val="DefaultParagraphFont"/>
    <w:link w:val="Heading3"/>
    <w:uiPriority w:val="9"/>
    <w:semiHidden/>
    <w:rsid w:val="00F95CE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95CE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95CE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95CE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95CE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95CE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95CEE"/>
    <w:rPr>
      <w:rFonts w:eastAsiaTheme="majorEastAsia" w:cstheme="majorBidi"/>
      <w:color w:val="272727" w:themeColor="text1" w:themeTint="D8"/>
    </w:rPr>
  </w:style>
  <w:style w:type="paragraph" w:styleId="Title">
    <w:name w:val="Title"/>
    <w:basedOn w:val="Normal"/>
    <w:next w:val="Normal"/>
    <w:link w:val="TitleChar"/>
    <w:uiPriority w:val="10"/>
    <w:qFormat/>
    <w:rsid w:val="00F95CE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5CE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95CE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95C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CEE"/>
    <w:pPr>
      <w:spacing w:before="160"/>
      <w:jc w:val="center"/>
    </w:pPr>
    <w:rPr>
      <w:i/>
      <w:iCs/>
      <w:color w:val="404040" w:themeColor="text1" w:themeTint="BF"/>
    </w:rPr>
  </w:style>
  <w:style w:type="character" w:styleId="QuoteChar" w:customStyle="1">
    <w:name w:val="Quote Char"/>
    <w:basedOn w:val="DefaultParagraphFont"/>
    <w:link w:val="Quote"/>
    <w:uiPriority w:val="29"/>
    <w:rsid w:val="00F95CEE"/>
    <w:rPr>
      <w:i/>
      <w:iCs/>
      <w:color w:val="404040" w:themeColor="text1" w:themeTint="BF"/>
    </w:rPr>
  </w:style>
  <w:style w:type="paragraph" w:styleId="ListParagraph">
    <w:name w:val="List Paragraph"/>
    <w:basedOn w:val="Normal"/>
    <w:uiPriority w:val="34"/>
    <w:qFormat/>
    <w:rsid w:val="00F95CEE"/>
    <w:pPr>
      <w:ind w:left="720"/>
      <w:contextualSpacing/>
    </w:pPr>
  </w:style>
  <w:style w:type="character" w:styleId="IntenseEmphasis">
    <w:name w:val="Intense Emphasis"/>
    <w:basedOn w:val="DefaultParagraphFont"/>
    <w:uiPriority w:val="21"/>
    <w:qFormat/>
    <w:rsid w:val="00F95CEE"/>
    <w:rPr>
      <w:i/>
      <w:iCs/>
      <w:color w:val="0F4761" w:themeColor="accent1" w:themeShade="BF"/>
    </w:rPr>
  </w:style>
  <w:style w:type="paragraph" w:styleId="IntenseQuote">
    <w:name w:val="Intense Quote"/>
    <w:basedOn w:val="Normal"/>
    <w:next w:val="Normal"/>
    <w:link w:val="IntenseQuoteChar"/>
    <w:uiPriority w:val="30"/>
    <w:qFormat/>
    <w:rsid w:val="00F95CE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95CEE"/>
    <w:rPr>
      <w:i/>
      <w:iCs/>
      <w:color w:val="0F4761" w:themeColor="accent1" w:themeShade="BF"/>
    </w:rPr>
  </w:style>
  <w:style w:type="character" w:styleId="IntenseReference">
    <w:name w:val="Intense Reference"/>
    <w:basedOn w:val="DefaultParagraphFont"/>
    <w:uiPriority w:val="32"/>
    <w:qFormat/>
    <w:rsid w:val="00F95CEE"/>
    <w:rPr>
      <w:b/>
      <w:bCs/>
      <w:smallCaps/>
      <w:color w:val="0F4761" w:themeColor="accent1" w:themeShade="BF"/>
      <w:spacing w:val="5"/>
    </w:rPr>
  </w:style>
  <w:style w:type="paragraph" w:styleId="Header">
    <w:name w:val="header"/>
    <w:basedOn w:val="Normal"/>
    <w:link w:val="HeaderChar"/>
    <w:uiPriority w:val="99"/>
    <w:unhideWhenUsed/>
    <w:rsid w:val="003E379E"/>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379E"/>
    <w:rPr>
      <w:rFonts w:asciiTheme="majorBidi" w:hAnsiTheme="majorBidi"/>
    </w:rPr>
  </w:style>
  <w:style w:type="paragraph" w:styleId="Footer">
    <w:name w:val="footer"/>
    <w:basedOn w:val="Normal"/>
    <w:link w:val="FooterChar"/>
    <w:uiPriority w:val="99"/>
    <w:unhideWhenUsed/>
    <w:rsid w:val="003E379E"/>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379E"/>
    <w:rPr>
      <w:rFonts w:asciiTheme="majorBidi" w:hAnsiTheme="majorBidi"/>
    </w:rPr>
  </w:style>
  <w:style w:type="paragraph" w:styleId="NoSpacing">
    <w:name w:val="No Spacing"/>
    <w:uiPriority w:val="1"/>
    <w:qFormat/>
    <w:rsid w:val="00225CA7"/>
    <w:pPr>
      <w:spacing w:after="0" w:line="240" w:lineRule="auto"/>
    </w:pPr>
    <w:rPr>
      <w:rFonts w:asciiTheme="majorBidi" w:hAnsiTheme="majorBidi"/>
    </w:rPr>
  </w:style>
  <w:style w:type="paragraph" w:styleId="TOCHeading">
    <w:name w:val="TOC Heading"/>
    <w:basedOn w:val="Heading1"/>
    <w:next w:val="Normal"/>
    <w:uiPriority w:val="39"/>
    <w:unhideWhenUsed/>
    <w:qFormat/>
    <w:rsid w:val="002A02C2"/>
    <w:pPr>
      <w:spacing w:before="240" w:after="0" w:line="259" w:lineRule="auto"/>
      <w:outlineLvl w:val="9"/>
    </w:pPr>
    <w:rPr>
      <w:rFonts w:asciiTheme="majorHAnsi" w:hAnsiTheme="majorHAnsi"/>
      <w:color w:val="0F4761" w:themeColor="accent1" w:themeShade="BF"/>
      <w:szCs w:val="32"/>
      <w:lang w:val="en-US"/>
      <w14:ligatures w14:val="none"/>
    </w:rPr>
  </w:style>
  <w:style w:type="paragraph" w:styleId="TOC1">
    <w:name w:val="toc 1"/>
    <w:basedOn w:val="Normal"/>
    <w:next w:val="Normal"/>
    <w:autoRedefine/>
    <w:uiPriority w:val="39"/>
    <w:unhideWhenUsed/>
    <w:rsid w:val="002A02C2"/>
    <w:pPr>
      <w:spacing w:after="100"/>
    </w:pPr>
  </w:style>
  <w:style w:type="character" w:styleId="Hyperlink">
    <w:name w:val="Hyperlink"/>
    <w:basedOn w:val="DefaultParagraphFont"/>
    <w:uiPriority w:val="99"/>
    <w:unhideWhenUsed/>
    <w:rsid w:val="002A02C2"/>
    <w:rPr>
      <w:color w:val="467886" w:themeColor="hyperlink"/>
      <w:u w:val="single"/>
    </w:rPr>
  </w:style>
  <w:style w:type="paragraph" w:styleId="NormalWeb">
    <w:name w:val="Normal (Web)"/>
    <w:basedOn w:val="Normal"/>
    <w:uiPriority w:val="99"/>
    <w:unhideWhenUsed/>
    <w:rsid w:val="00AB2D06"/>
    <w:pPr>
      <w:spacing w:before="100" w:beforeAutospacing="1" w:after="100" w:afterAutospacing="1" w:line="240" w:lineRule="auto"/>
    </w:pPr>
    <w:rPr>
      <w:rFonts w:ascii="Times New Roman" w:hAnsi="Times New Roman" w:eastAsia="Times New Roman" w:cs="Times New Roman"/>
      <w:lang w:eastAsia="en-GB"/>
      <w14:ligatures w14:val="none"/>
    </w:rPr>
  </w:style>
  <w:style w:type="character" w:styleId="UnresolvedMention">
    <w:name w:val="Unresolved Mention"/>
    <w:basedOn w:val="DefaultParagraphFont"/>
    <w:uiPriority w:val="99"/>
    <w:semiHidden/>
    <w:unhideWhenUsed/>
    <w:rsid w:val="00AB2D06"/>
    <w:rPr>
      <w:color w:val="605E5C"/>
      <w:shd w:val="clear" w:color="auto" w:fill="E1DFDD"/>
    </w:rPr>
  </w:style>
  <w:style w:type="character" w:styleId="Strong">
    <w:name w:val="Strong"/>
    <w:basedOn w:val="DefaultParagraphFont"/>
    <w:uiPriority w:val="22"/>
    <w:qFormat/>
    <w:rsid w:val="00CA5195"/>
    <w:rPr>
      <w:b/>
      <w:bCs/>
    </w:rPr>
  </w:style>
  <w:style w:type="paragraph" w:styleId="isselectedend" w:customStyle="1">
    <w:name w:val="isselectedend"/>
    <w:basedOn w:val="Normal"/>
    <w:rsid w:val="00FD25D2"/>
    <w:pPr>
      <w:spacing w:before="100" w:beforeAutospacing="1" w:after="100" w:afterAutospacing="1" w:line="240" w:lineRule="auto"/>
    </w:pPr>
    <w:rPr>
      <w:rFonts w:ascii="Times New Roman" w:hAnsi="Times New Roman" w:eastAsia="Times New Roman" w:cs="Times New Roman"/>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header" Target="header1.xml" Id="rId14" /><Relationship Type="http://schemas.openxmlformats.org/officeDocument/2006/relationships/hyperlink" Target="https://www.legislation.gov.uk/ukpga/2014/23/contents" TargetMode="External" Id="R751641607fc441c1" /><Relationship Type="http://schemas.openxmlformats.org/officeDocument/2006/relationships/hyperlink" Target="https://www.legislation.gov.uk/ukpga/2022/31/contents" TargetMode="External" Id="Ra562f35a72674c18" /><Relationship Type="http://schemas.openxmlformats.org/officeDocument/2006/relationships/hyperlink" Target="https://www.legislation.gov.uk/ukpga/1998/42/contents" TargetMode="External" Id="Rd462f8f5f6274083" /><Relationship Type="http://schemas.openxmlformats.org/officeDocument/2006/relationships/hyperlink" Target="https://www.hee.nhs.uk/our-work/person-centred-care" TargetMode="External" Id="R8ba4b75a40e0415e" /><Relationship Type="http://schemas.openxmlformats.org/officeDocument/2006/relationships/hyperlink" Target="https://www.scie.org.uk/mca/introduction/mental-capacity-act-2005-at-a-glance/" TargetMode="External" Id="Rfd69a033f50649e0" /><Relationship Type="http://schemas.openxmlformats.org/officeDocument/2006/relationships/hyperlink" Target="https://www.skillsforhealth.org.uk/article/person-centred-care-meaning-implications/" TargetMode="External" Id="Rab34779803d24e6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03138-EA24-4159-95C4-9A091BA7296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 User</dc:creator>
  <keywords/>
  <dc:description/>
  <lastModifiedBy>Tasmia Bano (2433992)</lastModifiedBy>
  <revision>66</revision>
  <dcterms:created xsi:type="dcterms:W3CDTF">2026-06-04T14:40:00.0000000Z</dcterms:created>
  <dcterms:modified xsi:type="dcterms:W3CDTF">2026-07-23T11:24:09.8409654Z</dcterms:modified>
</coreProperties>
</file>