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A1089A" w14:textId="77777777" w:rsidR="00D254FC" w:rsidRDefault="00F64097">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Questions and Guidelines for Assessment Component 1</w:t>
      </w:r>
    </w:p>
    <w:p w14:paraId="0DA1089B" w14:textId="77777777" w:rsidR="00D254FC" w:rsidRDefault="00F64097">
      <w:pPr>
        <w:spacing w:line="360" w:lineRule="auto"/>
      </w:pPr>
      <w:r>
        <w:rPr>
          <w:noProof/>
        </w:rPr>
        <w:drawing>
          <wp:inline distT="0" distB="0" distL="0" distR="0" wp14:anchorId="0DA10910" wp14:editId="0DA10911">
            <wp:extent cx="3345180" cy="1343660"/>
            <wp:effectExtent l="0" t="0" r="0" b="0"/>
            <wp:docPr id="1" name="image2.jpg" descr="UWTSD logo | Discover Dylan Thomas"/>
            <wp:cNvGraphicFramePr/>
            <a:graphic xmlns:a="http://schemas.openxmlformats.org/drawingml/2006/main">
              <a:graphicData uri="http://schemas.openxmlformats.org/drawingml/2006/picture">
                <pic:pic xmlns:pic="http://schemas.openxmlformats.org/drawingml/2006/picture">
                  <pic:nvPicPr>
                    <pic:cNvPr id="0" name="image2.jpg" descr="UWTSD logo | Discover Dylan Thomas"/>
                    <pic:cNvPicPr preferRelativeResize="0"/>
                  </pic:nvPicPr>
                  <pic:blipFill>
                    <a:blip r:embed="rId4"/>
                    <a:srcRect/>
                    <a:stretch>
                      <a:fillRect/>
                    </a:stretch>
                  </pic:blipFill>
                  <pic:spPr>
                    <a:xfrm>
                      <a:off x="0" y="0"/>
                      <a:ext cx="3345180" cy="1343660"/>
                    </a:xfrm>
                    <a:prstGeom prst="rect">
                      <a:avLst/>
                    </a:prstGeom>
                    <a:ln/>
                  </pic:spPr>
                </pic:pic>
              </a:graphicData>
            </a:graphic>
          </wp:inline>
        </w:drawing>
      </w:r>
    </w:p>
    <w:p w14:paraId="0DA1089C" w14:textId="77777777" w:rsidR="00D254FC" w:rsidRDefault="00D254FC">
      <w:pPr>
        <w:spacing w:line="360" w:lineRule="auto"/>
        <w:rPr>
          <w:rFonts w:ascii="Quattrocento Sans" w:eastAsia="Quattrocento Sans" w:hAnsi="Quattrocento Sans" w:cs="Quattrocento Sans"/>
          <w:b/>
          <w:bCs/>
          <w:color w:val="1D2125"/>
        </w:rPr>
      </w:pPr>
    </w:p>
    <w:p w14:paraId="0DA1089D" w14:textId="77777777" w:rsidR="00D254FC" w:rsidRDefault="00D254FC">
      <w:pPr>
        <w:spacing w:line="360" w:lineRule="auto"/>
        <w:rPr>
          <w:rFonts w:ascii="Arial" w:eastAsia="Arial" w:hAnsi="Arial" w:cs="Arial"/>
          <w:b/>
          <w:bCs/>
          <w:color w:val="1D2125"/>
          <w:sz w:val="36"/>
          <w:szCs w:val="36"/>
        </w:rPr>
      </w:pPr>
    </w:p>
    <w:p w14:paraId="0DA1089E" w14:textId="77777777" w:rsidR="00D254FC" w:rsidRDefault="00F64097">
      <w:pPr>
        <w:spacing w:line="360" w:lineRule="auto"/>
        <w:jc w:val="center"/>
        <w:rPr>
          <w:rFonts w:ascii="Arial" w:eastAsia="Arial" w:hAnsi="Arial" w:cs="Arial"/>
          <w:b/>
          <w:bCs/>
          <w:color w:val="1D2125"/>
          <w:sz w:val="36"/>
          <w:szCs w:val="36"/>
        </w:rPr>
      </w:pPr>
      <w:r>
        <w:rPr>
          <w:rFonts w:ascii="Quattrocento Sans" w:eastAsia="Quattrocento Sans" w:hAnsi="Quattrocento Sans" w:cs="Quattrocento Sans"/>
          <w:b/>
          <w:bCs/>
          <w:color w:val="1D2125"/>
          <w:sz w:val="36"/>
          <w:szCs w:val="36"/>
          <w:highlight w:val="white"/>
        </w:rPr>
        <w:t>Changemakers: Creativity and Value Creation</w:t>
      </w:r>
    </w:p>
    <w:p w14:paraId="0DA1089F" w14:textId="77777777" w:rsidR="00D254FC" w:rsidRDefault="00F64097">
      <w:pPr>
        <w:spacing w:line="360" w:lineRule="auto"/>
        <w:jc w:val="center"/>
        <w:rPr>
          <w:rFonts w:ascii="Arial" w:eastAsia="Arial" w:hAnsi="Arial" w:cs="Arial"/>
          <w:b/>
          <w:bCs/>
          <w:color w:val="1D2125"/>
          <w:sz w:val="36"/>
          <w:szCs w:val="36"/>
        </w:rPr>
      </w:pPr>
      <w:r>
        <w:rPr>
          <w:rFonts w:ascii="Arial" w:eastAsia="Arial" w:hAnsi="Arial" w:cs="Arial"/>
          <w:b/>
          <w:bCs/>
          <w:color w:val="1D2125"/>
          <w:sz w:val="36"/>
          <w:szCs w:val="36"/>
        </w:rPr>
        <w:t>Professions (BMHP5014)</w:t>
      </w:r>
    </w:p>
    <w:p w14:paraId="0DA108A0" w14:textId="77777777" w:rsidR="00D254FC" w:rsidRDefault="00D254FC">
      <w:pPr>
        <w:spacing w:line="360" w:lineRule="auto"/>
        <w:jc w:val="center"/>
        <w:rPr>
          <w:rFonts w:ascii="Arial" w:eastAsia="Arial" w:hAnsi="Arial" w:cs="Arial"/>
          <w:b/>
          <w:bCs/>
          <w:color w:val="1D2125"/>
          <w:sz w:val="36"/>
          <w:szCs w:val="36"/>
        </w:rPr>
      </w:pPr>
    </w:p>
    <w:p w14:paraId="0DA108A1" w14:textId="77777777" w:rsidR="00D254FC" w:rsidRDefault="00D254FC">
      <w:pPr>
        <w:spacing w:line="360" w:lineRule="auto"/>
        <w:jc w:val="center"/>
        <w:rPr>
          <w:rFonts w:ascii="Arial" w:eastAsia="Arial" w:hAnsi="Arial" w:cs="Arial"/>
          <w:b/>
          <w:bCs/>
          <w:color w:val="1D2125"/>
          <w:sz w:val="36"/>
          <w:szCs w:val="36"/>
        </w:rPr>
      </w:pPr>
    </w:p>
    <w:p w14:paraId="0DA108A3" w14:textId="77777777" w:rsidR="00D254FC" w:rsidRDefault="00D254FC">
      <w:pPr>
        <w:spacing w:line="360" w:lineRule="auto"/>
        <w:rPr>
          <w:rFonts w:ascii="Arial" w:eastAsia="Arial" w:hAnsi="Arial" w:cs="Arial"/>
          <w:b/>
          <w:bCs/>
          <w:color w:val="1D2125"/>
          <w:sz w:val="32"/>
          <w:szCs w:val="32"/>
        </w:rPr>
      </w:pPr>
    </w:p>
    <w:p w14:paraId="0DA108A4" w14:textId="1798F5A7" w:rsidR="00D254FC" w:rsidRDefault="00F64097">
      <w:pPr>
        <w:spacing w:line="360" w:lineRule="auto"/>
        <w:rPr>
          <w:rFonts w:ascii="Arial" w:eastAsia="Arial" w:hAnsi="Arial" w:cs="Arial"/>
          <w:b/>
          <w:bCs/>
          <w:color w:val="1D2125"/>
          <w:sz w:val="32"/>
          <w:szCs w:val="32"/>
        </w:rPr>
      </w:pPr>
      <w:r>
        <w:rPr>
          <w:rFonts w:ascii="Arial" w:eastAsia="Arial" w:hAnsi="Arial" w:cs="Arial"/>
          <w:b/>
          <w:bCs/>
          <w:color w:val="1D2125"/>
          <w:sz w:val="32"/>
          <w:szCs w:val="32"/>
        </w:rPr>
        <w:t xml:space="preserve">Student </w:t>
      </w:r>
      <w:proofErr w:type="spellStart"/>
      <w:proofErr w:type="gramStart"/>
      <w:r>
        <w:rPr>
          <w:rFonts w:ascii="Arial" w:eastAsia="Arial" w:hAnsi="Arial" w:cs="Arial"/>
          <w:b/>
          <w:bCs/>
          <w:color w:val="1D2125"/>
          <w:sz w:val="32"/>
          <w:szCs w:val="32"/>
        </w:rPr>
        <w:t>name:</w:t>
      </w:r>
      <w:r w:rsidR="00651DC7">
        <w:rPr>
          <w:rFonts w:ascii="Arial" w:eastAsia="Arial" w:hAnsi="Arial" w:cs="Arial"/>
          <w:b/>
          <w:bCs/>
          <w:color w:val="1D2125"/>
          <w:sz w:val="32"/>
          <w:szCs w:val="32"/>
        </w:rPr>
        <w:t>Lucica</w:t>
      </w:r>
      <w:proofErr w:type="spellEnd"/>
      <w:proofErr w:type="gramEnd"/>
      <w:r w:rsidR="00651DC7">
        <w:rPr>
          <w:rFonts w:ascii="Arial" w:eastAsia="Arial" w:hAnsi="Arial" w:cs="Arial"/>
          <w:b/>
          <w:bCs/>
          <w:color w:val="1D2125"/>
          <w:sz w:val="32"/>
          <w:szCs w:val="32"/>
        </w:rPr>
        <w:t xml:space="preserve"> Oprescu</w:t>
      </w:r>
    </w:p>
    <w:p w14:paraId="0DA108A5" w14:textId="16E93778" w:rsidR="00D254FC" w:rsidRDefault="00F64097">
      <w:pPr>
        <w:spacing w:line="360" w:lineRule="auto"/>
        <w:rPr>
          <w:rFonts w:ascii="Arial" w:eastAsia="Arial" w:hAnsi="Arial" w:cs="Arial"/>
          <w:b/>
          <w:bCs/>
          <w:color w:val="1D2125"/>
          <w:sz w:val="32"/>
          <w:szCs w:val="32"/>
        </w:rPr>
      </w:pPr>
      <w:r>
        <w:rPr>
          <w:rFonts w:ascii="Arial" w:eastAsia="Arial" w:hAnsi="Arial" w:cs="Arial"/>
          <w:b/>
          <w:bCs/>
          <w:color w:val="1D2125"/>
          <w:sz w:val="32"/>
          <w:szCs w:val="32"/>
        </w:rPr>
        <w:t>Student number:</w:t>
      </w:r>
      <w:r w:rsidR="00651DC7">
        <w:rPr>
          <w:rFonts w:ascii="Arial" w:eastAsia="Arial" w:hAnsi="Arial" w:cs="Arial"/>
          <w:b/>
          <w:bCs/>
          <w:color w:val="1D2125"/>
          <w:sz w:val="32"/>
          <w:szCs w:val="32"/>
        </w:rPr>
        <w:t>24</w:t>
      </w:r>
      <w:r w:rsidR="006D445A">
        <w:rPr>
          <w:rFonts w:ascii="Arial" w:eastAsia="Arial" w:hAnsi="Arial" w:cs="Arial"/>
          <w:b/>
          <w:bCs/>
          <w:color w:val="1D2125"/>
          <w:sz w:val="32"/>
          <w:szCs w:val="32"/>
        </w:rPr>
        <w:t>17</w:t>
      </w:r>
      <w:r w:rsidR="00CD55AF">
        <w:rPr>
          <w:rFonts w:ascii="Arial" w:eastAsia="Arial" w:hAnsi="Arial" w:cs="Arial"/>
          <w:b/>
          <w:bCs/>
          <w:color w:val="1D2125"/>
          <w:sz w:val="32"/>
          <w:szCs w:val="32"/>
        </w:rPr>
        <w:t>337</w:t>
      </w:r>
    </w:p>
    <w:p w14:paraId="0DA108A6" w14:textId="357AEBB6" w:rsidR="00D254FC" w:rsidRDefault="00F64097">
      <w:pPr>
        <w:spacing w:line="360" w:lineRule="auto"/>
        <w:rPr>
          <w:rFonts w:ascii="Arial" w:eastAsia="Arial" w:hAnsi="Arial" w:cs="Arial"/>
          <w:b/>
          <w:bCs/>
          <w:color w:val="1D2125"/>
          <w:sz w:val="32"/>
          <w:szCs w:val="32"/>
        </w:rPr>
      </w:pPr>
      <w:r>
        <w:rPr>
          <w:rFonts w:ascii="Arial" w:eastAsia="Arial" w:hAnsi="Arial" w:cs="Arial"/>
          <w:b/>
          <w:bCs/>
          <w:color w:val="1D2125"/>
          <w:sz w:val="32"/>
          <w:szCs w:val="32"/>
        </w:rPr>
        <w:t>Lecturer’s name:</w:t>
      </w:r>
      <w:r w:rsidR="00513818">
        <w:rPr>
          <w:rFonts w:ascii="Arial" w:eastAsia="Arial" w:hAnsi="Arial" w:cs="Arial"/>
          <w:b/>
          <w:bCs/>
          <w:color w:val="1D2125"/>
          <w:sz w:val="32"/>
          <w:szCs w:val="32"/>
        </w:rPr>
        <w:t xml:space="preserve"> </w:t>
      </w:r>
      <w:r w:rsidR="00513818" w:rsidRPr="00513818">
        <w:rPr>
          <w:rFonts w:ascii="Arial" w:eastAsia="Arial" w:hAnsi="Arial" w:cs="Arial"/>
          <w:b/>
          <w:bCs/>
          <w:color w:val="1D2125"/>
          <w:sz w:val="32"/>
          <w:szCs w:val="32"/>
        </w:rPr>
        <w:t>Soban Sadiq </w:t>
      </w:r>
    </w:p>
    <w:p w14:paraId="0DA108A7" w14:textId="77777777" w:rsidR="00D254FC" w:rsidRDefault="00D254FC">
      <w:pPr>
        <w:spacing w:line="360" w:lineRule="auto"/>
        <w:rPr>
          <w:sz w:val="36"/>
          <w:szCs w:val="36"/>
        </w:rPr>
      </w:pPr>
    </w:p>
    <w:p w14:paraId="0DA108A8" w14:textId="77777777" w:rsidR="00D254FC" w:rsidRDefault="00D254FC">
      <w:pPr>
        <w:spacing w:line="360" w:lineRule="auto"/>
        <w:rPr>
          <w:rFonts w:ascii="Arial" w:eastAsia="Arial" w:hAnsi="Arial" w:cs="Arial"/>
          <w:sz w:val="36"/>
          <w:szCs w:val="36"/>
        </w:rPr>
      </w:pPr>
    </w:p>
    <w:p w14:paraId="0DA108A9" w14:textId="77777777" w:rsidR="00D254FC" w:rsidRDefault="00D254FC">
      <w:pPr>
        <w:spacing w:line="360" w:lineRule="auto"/>
        <w:rPr>
          <w:rFonts w:ascii="Arial" w:eastAsia="Arial" w:hAnsi="Arial" w:cs="Arial"/>
          <w:sz w:val="36"/>
          <w:szCs w:val="36"/>
        </w:rPr>
      </w:pPr>
    </w:p>
    <w:p w14:paraId="0DA108AA" w14:textId="77777777" w:rsidR="00D254FC" w:rsidRDefault="00D254FC">
      <w:pPr>
        <w:spacing w:line="360" w:lineRule="auto"/>
        <w:rPr>
          <w:rFonts w:ascii="Arial" w:eastAsia="Arial" w:hAnsi="Arial" w:cs="Arial"/>
          <w:sz w:val="36"/>
          <w:szCs w:val="36"/>
        </w:rPr>
      </w:pPr>
    </w:p>
    <w:p w14:paraId="0DA108AB" w14:textId="77777777" w:rsidR="00D254FC" w:rsidRDefault="00F64097">
      <w:pPr>
        <w:pBdr>
          <w:top w:val="nil"/>
          <w:left w:val="nil"/>
          <w:bottom w:val="nil"/>
          <w:right w:val="nil"/>
          <w:between w:val="nil"/>
        </w:pBdr>
        <w:spacing w:before="280" w:after="280" w:line="360" w:lineRule="auto"/>
        <w:jc w:val="center"/>
        <w:rPr>
          <w:rFonts w:ascii="Times New Roman" w:eastAsia="Times New Roman" w:hAnsi="Times New Roman" w:cs="Times New Roman"/>
          <w:b/>
          <w:bCs/>
          <w:color w:val="000000"/>
        </w:rPr>
      </w:pPr>
      <w:r>
        <w:rPr>
          <w:rFonts w:ascii="Times New Roman" w:eastAsia="Times New Roman" w:hAnsi="Times New Roman" w:cs="Times New Roman"/>
          <w:b/>
          <w:bCs/>
          <w:color w:val="000000"/>
        </w:rPr>
        <w:lastRenderedPageBreak/>
        <w:t>Table of contents</w:t>
      </w:r>
    </w:p>
    <w:sdt>
      <w:sdtPr>
        <w:id w:val="1178558148"/>
        <w:docPartObj>
          <w:docPartGallery w:val="Table of Contents"/>
          <w:docPartUnique/>
        </w:docPartObj>
      </w:sdtPr>
      <w:sdtEndPr/>
      <w:sdtContent>
        <w:p w14:paraId="0DA108AC" w14:textId="77777777" w:rsidR="00D254FC" w:rsidRDefault="00F64097">
          <w:pPr>
            <w:widowControl w:val="0"/>
            <w:tabs>
              <w:tab w:val="right" w:leader="dot" w:pos="9025"/>
            </w:tabs>
            <w:spacing w:before="60" w:after="0" w:line="360" w:lineRule="auto"/>
            <w:jc w:val="both"/>
            <w:rPr>
              <w:rFonts w:ascii="Times New Roman" w:eastAsia="Times New Roman" w:hAnsi="Times New Roman" w:cs="Times New Roman"/>
              <w:b/>
              <w:bCs/>
              <w:color w:val="000000"/>
            </w:rPr>
          </w:pPr>
          <w:r>
            <w:fldChar w:fldCharType="begin"/>
          </w:r>
          <w:r>
            <w:instrText xml:space="preserve"> TOC \h \u \z \t "Heading 1,1,Heading 2,2,Heading 3,3,Heading 4,4,Heading 5,5,Heading 6,6,"</w:instrText>
          </w:r>
          <w:r>
            <w:fldChar w:fldCharType="separate"/>
          </w:r>
          <w:hyperlink w:anchor="_hvt3ox8dknac">
            <w:r>
              <w:rPr>
                <w:rFonts w:ascii="Times New Roman" w:eastAsia="Times New Roman" w:hAnsi="Times New Roman" w:cs="Times New Roman"/>
                <w:b/>
                <w:bCs/>
                <w:color w:val="000000"/>
              </w:rPr>
              <w:t>Introduction</w:t>
            </w:r>
            <w:r>
              <w:rPr>
                <w:rFonts w:ascii="Times New Roman" w:eastAsia="Times New Roman" w:hAnsi="Times New Roman" w:cs="Times New Roman"/>
                <w:b/>
                <w:bCs/>
                <w:color w:val="000000"/>
              </w:rPr>
              <w:tab/>
            </w:r>
          </w:hyperlink>
          <w:r>
            <w:fldChar w:fldCharType="begin"/>
          </w:r>
          <w:r>
            <w:instrText xml:space="preserve"> PAGEREF _hvt3ox8dknac \h </w:instrText>
          </w:r>
          <w:r>
            <w:fldChar w:fldCharType="separate"/>
          </w:r>
          <w:r>
            <w:rPr>
              <w:rFonts w:ascii="Times New Roman" w:eastAsia="Times New Roman" w:hAnsi="Times New Roman" w:cs="Times New Roman"/>
              <w:b/>
              <w:bCs/>
            </w:rPr>
            <w:t>3</w:t>
          </w:r>
          <w:r>
            <w:fldChar w:fldCharType="end"/>
          </w:r>
        </w:p>
        <w:p w14:paraId="0DA108AD" w14:textId="77777777" w:rsidR="00D254FC" w:rsidRDefault="00F64097">
          <w:pPr>
            <w:widowControl w:val="0"/>
            <w:tabs>
              <w:tab w:val="right" w:leader="dot" w:pos="9025"/>
            </w:tabs>
            <w:spacing w:before="60" w:after="0" w:line="360" w:lineRule="auto"/>
            <w:jc w:val="both"/>
            <w:rPr>
              <w:rFonts w:ascii="Times New Roman" w:eastAsia="Times New Roman" w:hAnsi="Times New Roman" w:cs="Times New Roman"/>
              <w:b/>
              <w:bCs/>
              <w:color w:val="000000"/>
            </w:rPr>
          </w:pPr>
          <w:hyperlink w:anchor="_vkkiptol2paz">
            <w:r>
              <w:rPr>
                <w:rFonts w:ascii="Times New Roman" w:eastAsia="Times New Roman" w:hAnsi="Times New Roman" w:cs="Times New Roman"/>
                <w:b/>
                <w:bCs/>
                <w:color w:val="000000"/>
              </w:rPr>
              <w:t>Task 1- Defining Key Concepts in Practice</w:t>
            </w:r>
            <w:r>
              <w:rPr>
                <w:rFonts w:ascii="Times New Roman" w:eastAsia="Times New Roman" w:hAnsi="Times New Roman" w:cs="Times New Roman"/>
                <w:b/>
                <w:bCs/>
                <w:color w:val="000000"/>
              </w:rPr>
              <w:tab/>
            </w:r>
          </w:hyperlink>
          <w:r>
            <w:fldChar w:fldCharType="begin"/>
          </w:r>
          <w:r>
            <w:instrText xml:space="preserve"> PAGEREF _vkkiptol2paz \h </w:instrText>
          </w:r>
          <w:r>
            <w:fldChar w:fldCharType="separate"/>
          </w:r>
          <w:r>
            <w:rPr>
              <w:rFonts w:ascii="Times New Roman" w:eastAsia="Times New Roman" w:hAnsi="Times New Roman" w:cs="Times New Roman"/>
              <w:b/>
              <w:bCs/>
            </w:rPr>
            <w:t>3</w:t>
          </w:r>
          <w:r>
            <w:fldChar w:fldCharType="end"/>
          </w:r>
        </w:p>
        <w:p w14:paraId="0DA108AE" w14:textId="77777777" w:rsidR="00D254FC" w:rsidRDefault="00F64097">
          <w:pPr>
            <w:widowControl w:val="0"/>
            <w:tabs>
              <w:tab w:val="right" w:leader="dot" w:pos="9025"/>
            </w:tabs>
            <w:spacing w:before="60" w:after="0" w:line="360" w:lineRule="auto"/>
            <w:jc w:val="both"/>
            <w:rPr>
              <w:rFonts w:ascii="Times New Roman" w:eastAsia="Times New Roman" w:hAnsi="Times New Roman" w:cs="Times New Roman"/>
              <w:b/>
              <w:bCs/>
              <w:color w:val="000000"/>
            </w:rPr>
          </w:pPr>
          <w:hyperlink w:anchor="_p3vhcf816mtn">
            <w:r>
              <w:rPr>
                <w:rFonts w:ascii="Times New Roman" w:eastAsia="Times New Roman" w:hAnsi="Times New Roman" w:cs="Times New Roman"/>
                <w:b/>
                <w:bCs/>
                <w:color w:val="000000"/>
              </w:rPr>
              <w:t>Task 2 - Mind Map</w:t>
            </w:r>
            <w:r>
              <w:rPr>
                <w:rFonts w:ascii="Times New Roman" w:eastAsia="Times New Roman" w:hAnsi="Times New Roman" w:cs="Times New Roman"/>
                <w:b/>
                <w:bCs/>
                <w:color w:val="000000"/>
              </w:rPr>
              <w:tab/>
            </w:r>
          </w:hyperlink>
          <w:r>
            <w:fldChar w:fldCharType="begin"/>
          </w:r>
          <w:r>
            <w:instrText xml:space="preserve"> PAGEREF _p3vhcf816mtn \h </w:instrText>
          </w:r>
          <w:r>
            <w:fldChar w:fldCharType="separate"/>
          </w:r>
          <w:r>
            <w:rPr>
              <w:rFonts w:ascii="Times New Roman" w:eastAsia="Times New Roman" w:hAnsi="Times New Roman" w:cs="Times New Roman"/>
              <w:b/>
              <w:bCs/>
            </w:rPr>
            <w:t>5</w:t>
          </w:r>
          <w:r>
            <w:fldChar w:fldCharType="end"/>
          </w:r>
        </w:p>
        <w:p w14:paraId="0DA108AF" w14:textId="77777777" w:rsidR="00D254FC" w:rsidRDefault="00F64097">
          <w:pPr>
            <w:widowControl w:val="0"/>
            <w:tabs>
              <w:tab w:val="right" w:leader="dot" w:pos="9025"/>
            </w:tabs>
            <w:spacing w:before="60" w:after="0" w:line="360" w:lineRule="auto"/>
            <w:jc w:val="both"/>
            <w:rPr>
              <w:rFonts w:ascii="Times New Roman" w:eastAsia="Times New Roman" w:hAnsi="Times New Roman" w:cs="Times New Roman"/>
              <w:b/>
              <w:bCs/>
              <w:color w:val="000000"/>
            </w:rPr>
          </w:pPr>
          <w:hyperlink w:anchor="_58smpw235lgw">
            <w:r>
              <w:rPr>
                <w:rFonts w:ascii="Times New Roman" w:eastAsia="Times New Roman" w:hAnsi="Times New Roman" w:cs="Times New Roman"/>
                <w:b/>
                <w:bCs/>
                <w:color w:val="000000"/>
              </w:rPr>
              <w:t>Task 3 - Self-Reflection of Group Activity.</w:t>
            </w:r>
            <w:r>
              <w:rPr>
                <w:rFonts w:ascii="Times New Roman" w:eastAsia="Times New Roman" w:hAnsi="Times New Roman" w:cs="Times New Roman"/>
                <w:b/>
                <w:bCs/>
                <w:color w:val="000000"/>
              </w:rPr>
              <w:tab/>
            </w:r>
          </w:hyperlink>
          <w:r>
            <w:fldChar w:fldCharType="begin"/>
          </w:r>
          <w:r>
            <w:instrText xml:space="preserve"> PAGEREF _58smpw235lgw \h </w:instrText>
          </w:r>
          <w:r>
            <w:fldChar w:fldCharType="separate"/>
          </w:r>
          <w:r>
            <w:rPr>
              <w:rFonts w:ascii="Times New Roman" w:eastAsia="Times New Roman" w:hAnsi="Times New Roman" w:cs="Times New Roman"/>
              <w:b/>
              <w:bCs/>
            </w:rPr>
            <w:t>5</w:t>
          </w:r>
          <w:r>
            <w:fldChar w:fldCharType="end"/>
          </w:r>
        </w:p>
        <w:p w14:paraId="0DA108B0" w14:textId="77777777" w:rsidR="00D254FC" w:rsidRDefault="00F64097">
          <w:pPr>
            <w:widowControl w:val="0"/>
            <w:tabs>
              <w:tab w:val="right" w:leader="dot" w:pos="9025"/>
            </w:tabs>
            <w:spacing w:before="60" w:after="0" w:line="360" w:lineRule="auto"/>
            <w:jc w:val="both"/>
            <w:rPr>
              <w:rFonts w:ascii="Times New Roman" w:eastAsia="Times New Roman" w:hAnsi="Times New Roman" w:cs="Times New Roman"/>
              <w:b/>
              <w:bCs/>
              <w:color w:val="000000"/>
            </w:rPr>
          </w:pPr>
          <w:hyperlink w:anchor="_5a6bo1a92jqh">
            <w:r>
              <w:rPr>
                <w:rFonts w:ascii="Times New Roman" w:eastAsia="Times New Roman" w:hAnsi="Times New Roman" w:cs="Times New Roman"/>
                <w:b/>
                <w:bCs/>
                <w:color w:val="000000"/>
              </w:rPr>
              <w:t>Task 4 – Case Study Analysis of a UK Innovation</w:t>
            </w:r>
            <w:r>
              <w:rPr>
                <w:rFonts w:ascii="Times New Roman" w:eastAsia="Times New Roman" w:hAnsi="Times New Roman" w:cs="Times New Roman"/>
                <w:b/>
                <w:bCs/>
                <w:color w:val="000000"/>
              </w:rPr>
              <w:tab/>
            </w:r>
          </w:hyperlink>
          <w:r>
            <w:fldChar w:fldCharType="begin"/>
          </w:r>
          <w:r>
            <w:instrText xml:space="preserve"> PAGEREF _5a6bo1a92jqh \h </w:instrText>
          </w:r>
          <w:r>
            <w:fldChar w:fldCharType="separate"/>
          </w:r>
          <w:r>
            <w:rPr>
              <w:rFonts w:ascii="Times New Roman" w:eastAsia="Times New Roman" w:hAnsi="Times New Roman" w:cs="Times New Roman"/>
              <w:b/>
              <w:bCs/>
            </w:rPr>
            <w:t>6</w:t>
          </w:r>
          <w:r>
            <w:fldChar w:fldCharType="end"/>
          </w:r>
        </w:p>
        <w:p w14:paraId="0DA108B1" w14:textId="77777777" w:rsidR="00D254FC" w:rsidRDefault="00F64097">
          <w:pPr>
            <w:widowControl w:val="0"/>
            <w:tabs>
              <w:tab w:val="right" w:leader="dot" w:pos="9025"/>
            </w:tabs>
            <w:spacing w:before="60" w:after="0" w:line="360" w:lineRule="auto"/>
            <w:jc w:val="both"/>
            <w:rPr>
              <w:rFonts w:ascii="Times New Roman" w:eastAsia="Times New Roman" w:hAnsi="Times New Roman" w:cs="Times New Roman"/>
              <w:b/>
              <w:bCs/>
              <w:color w:val="000000"/>
            </w:rPr>
          </w:pPr>
          <w:hyperlink w:anchor="_siwcbgdfvw77">
            <w:r>
              <w:rPr>
                <w:rFonts w:ascii="Times New Roman" w:eastAsia="Times New Roman" w:hAnsi="Times New Roman" w:cs="Times New Roman"/>
                <w:b/>
                <w:bCs/>
                <w:color w:val="000000"/>
              </w:rPr>
              <w:t>Task 5 - Research Task.</w:t>
            </w:r>
            <w:r>
              <w:rPr>
                <w:rFonts w:ascii="Times New Roman" w:eastAsia="Times New Roman" w:hAnsi="Times New Roman" w:cs="Times New Roman"/>
                <w:b/>
                <w:bCs/>
                <w:color w:val="000000"/>
              </w:rPr>
              <w:tab/>
            </w:r>
          </w:hyperlink>
          <w:r>
            <w:fldChar w:fldCharType="begin"/>
          </w:r>
          <w:r>
            <w:instrText xml:space="preserve"> PAGEREF _siwcbgdfvw77 \h </w:instrText>
          </w:r>
          <w:r>
            <w:fldChar w:fldCharType="separate"/>
          </w:r>
          <w:r>
            <w:rPr>
              <w:rFonts w:ascii="Times New Roman" w:eastAsia="Times New Roman" w:hAnsi="Times New Roman" w:cs="Times New Roman"/>
              <w:b/>
              <w:bCs/>
            </w:rPr>
            <w:t>6</w:t>
          </w:r>
          <w:r>
            <w:fldChar w:fldCharType="end"/>
          </w:r>
        </w:p>
        <w:p w14:paraId="0DA108B2" w14:textId="77777777" w:rsidR="00D254FC" w:rsidRDefault="00F64097">
          <w:pPr>
            <w:widowControl w:val="0"/>
            <w:tabs>
              <w:tab w:val="right" w:leader="dot" w:pos="9025"/>
            </w:tabs>
            <w:spacing w:before="60" w:after="0" w:line="360" w:lineRule="auto"/>
            <w:jc w:val="both"/>
            <w:rPr>
              <w:rFonts w:ascii="Times New Roman" w:eastAsia="Times New Roman" w:hAnsi="Times New Roman" w:cs="Times New Roman"/>
              <w:b/>
              <w:bCs/>
              <w:color w:val="000000"/>
            </w:rPr>
          </w:pPr>
          <w:hyperlink w:anchor="_bwj3s5hlmyg">
            <w:r>
              <w:rPr>
                <w:rFonts w:ascii="Times New Roman" w:eastAsia="Times New Roman" w:hAnsi="Times New Roman" w:cs="Times New Roman"/>
                <w:b/>
                <w:bCs/>
                <w:color w:val="000000"/>
              </w:rPr>
              <w:t>Task 6 - Exploring Digital Innovation in Health and Social Care</w:t>
            </w:r>
            <w:r>
              <w:rPr>
                <w:rFonts w:ascii="Times New Roman" w:eastAsia="Times New Roman" w:hAnsi="Times New Roman" w:cs="Times New Roman"/>
                <w:b/>
                <w:bCs/>
                <w:color w:val="000000"/>
              </w:rPr>
              <w:tab/>
            </w:r>
          </w:hyperlink>
          <w:r>
            <w:fldChar w:fldCharType="begin"/>
          </w:r>
          <w:r>
            <w:instrText xml:space="preserve"> PAGEREF _bwj3s5hlmyg \h </w:instrText>
          </w:r>
          <w:r>
            <w:fldChar w:fldCharType="separate"/>
          </w:r>
          <w:r>
            <w:rPr>
              <w:rFonts w:ascii="Times New Roman" w:eastAsia="Times New Roman" w:hAnsi="Times New Roman" w:cs="Times New Roman"/>
              <w:b/>
              <w:bCs/>
            </w:rPr>
            <w:t>7</w:t>
          </w:r>
          <w:r>
            <w:fldChar w:fldCharType="end"/>
          </w:r>
        </w:p>
        <w:p w14:paraId="0DA108B3" w14:textId="77777777" w:rsidR="00D254FC" w:rsidRDefault="00F64097">
          <w:pPr>
            <w:widowControl w:val="0"/>
            <w:tabs>
              <w:tab w:val="right" w:leader="dot" w:pos="9025"/>
            </w:tabs>
            <w:spacing w:before="60" w:after="0" w:line="360" w:lineRule="auto"/>
            <w:jc w:val="both"/>
            <w:rPr>
              <w:rFonts w:ascii="Times New Roman" w:eastAsia="Times New Roman" w:hAnsi="Times New Roman" w:cs="Times New Roman"/>
              <w:b/>
              <w:bCs/>
              <w:color w:val="000000"/>
            </w:rPr>
          </w:pPr>
          <w:hyperlink w:anchor="_dq9v8kw4omyj">
            <w:r>
              <w:rPr>
                <w:rFonts w:ascii="Times New Roman" w:eastAsia="Times New Roman" w:hAnsi="Times New Roman" w:cs="Times New Roman"/>
                <w:b/>
                <w:bCs/>
                <w:color w:val="000000"/>
              </w:rPr>
              <w:t>Task 7 - Understanding the NHS Leadership Framework</w:t>
            </w:r>
            <w:r>
              <w:rPr>
                <w:rFonts w:ascii="Times New Roman" w:eastAsia="Times New Roman" w:hAnsi="Times New Roman" w:cs="Times New Roman"/>
                <w:b/>
                <w:bCs/>
                <w:color w:val="000000"/>
              </w:rPr>
              <w:tab/>
            </w:r>
          </w:hyperlink>
          <w:r>
            <w:fldChar w:fldCharType="begin"/>
          </w:r>
          <w:r>
            <w:instrText xml:space="preserve"> PAGEREF _dq9v8kw4omyj \h </w:instrText>
          </w:r>
          <w:r>
            <w:fldChar w:fldCharType="separate"/>
          </w:r>
          <w:r>
            <w:rPr>
              <w:rFonts w:ascii="Times New Roman" w:eastAsia="Times New Roman" w:hAnsi="Times New Roman" w:cs="Times New Roman"/>
              <w:b/>
              <w:bCs/>
            </w:rPr>
            <w:t>8</w:t>
          </w:r>
          <w:r>
            <w:fldChar w:fldCharType="end"/>
          </w:r>
        </w:p>
        <w:p w14:paraId="0DA108B4" w14:textId="77777777" w:rsidR="00D254FC" w:rsidRDefault="00F64097">
          <w:pPr>
            <w:widowControl w:val="0"/>
            <w:tabs>
              <w:tab w:val="right" w:leader="dot" w:pos="9025"/>
            </w:tabs>
            <w:spacing w:before="60" w:after="0" w:line="360" w:lineRule="auto"/>
            <w:jc w:val="both"/>
            <w:rPr>
              <w:rFonts w:ascii="Times New Roman" w:eastAsia="Times New Roman" w:hAnsi="Times New Roman" w:cs="Times New Roman"/>
              <w:b/>
              <w:bCs/>
              <w:color w:val="000000"/>
            </w:rPr>
          </w:pPr>
          <w:hyperlink w:anchor="_1dnyx7xlhyzq">
            <w:r>
              <w:rPr>
                <w:rFonts w:ascii="Times New Roman" w:eastAsia="Times New Roman" w:hAnsi="Times New Roman" w:cs="Times New Roman"/>
                <w:b/>
                <w:bCs/>
                <w:color w:val="000000"/>
              </w:rPr>
              <w:t>Task 8 – Self-Reflection Journal Entry</w:t>
            </w:r>
            <w:r>
              <w:rPr>
                <w:rFonts w:ascii="Times New Roman" w:eastAsia="Times New Roman" w:hAnsi="Times New Roman" w:cs="Times New Roman"/>
                <w:b/>
                <w:bCs/>
                <w:color w:val="000000"/>
              </w:rPr>
              <w:tab/>
            </w:r>
          </w:hyperlink>
          <w:r>
            <w:fldChar w:fldCharType="begin"/>
          </w:r>
          <w:r>
            <w:instrText xml:space="preserve"> PAGEREF _1dnyx7xlhyzq \h </w:instrText>
          </w:r>
          <w:r>
            <w:fldChar w:fldCharType="separate"/>
          </w:r>
          <w:r>
            <w:rPr>
              <w:rFonts w:ascii="Times New Roman" w:eastAsia="Times New Roman" w:hAnsi="Times New Roman" w:cs="Times New Roman"/>
              <w:b/>
              <w:bCs/>
            </w:rPr>
            <w:t>9</w:t>
          </w:r>
          <w:r>
            <w:fldChar w:fldCharType="end"/>
          </w:r>
        </w:p>
        <w:p w14:paraId="0DA108B5" w14:textId="77777777" w:rsidR="00D254FC" w:rsidRDefault="00F64097">
          <w:pPr>
            <w:widowControl w:val="0"/>
            <w:tabs>
              <w:tab w:val="right" w:leader="dot" w:pos="9025"/>
            </w:tabs>
            <w:spacing w:before="60" w:after="0" w:line="360" w:lineRule="auto"/>
            <w:jc w:val="both"/>
            <w:rPr>
              <w:rFonts w:ascii="Times New Roman" w:eastAsia="Times New Roman" w:hAnsi="Times New Roman" w:cs="Times New Roman"/>
              <w:b/>
              <w:bCs/>
              <w:color w:val="000000"/>
            </w:rPr>
          </w:pPr>
          <w:hyperlink w:anchor="_7yvvtxab2vze">
            <w:r>
              <w:rPr>
                <w:rFonts w:ascii="Times New Roman" w:eastAsia="Times New Roman" w:hAnsi="Times New Roman" w:cs="Times New Roman"/>
                <w:b/>
                <w:bCs/>
                <w:color w:val="000000"/>
              </w:rPr>
              <w:t>Conclusion</w:t>
            </w:r>
            <w:r>
              <w:rPr>
                <w:rFonts w:ascii="Times New Roman" w:eastAsia="Times New Roman" w:hAnsi="Times New Roman" w:cs="Times New Roman"/>
                <w:b/>
                <w:bCs/>
                <w:color w:val="000000"/>
              </w:rPr>
              <w:tab/>
            </w:r>
          </w:hyperlink>
          <w:r>
            <w:fldChar w:fldCharType="begin"/>
          </w:r>
          <w:r>
            <w:instrText xml:space="preserve"> PAGEREF _7yvvtxab2vze \h </w:instrText>
          </w:r>
          <w:r>
            <w:fldChar w:fldCharType="separate"/>
          </w:r>
          <w:r>
            <w:rPr>
              <w:rFonts w:ascii="Times New Roman" w:eastAsia="Times New Roman" w:hAnsi="Times New Roman" w:cs="Times New Roman"/>
              <w:b/>
              <w:bCs/>
            </w:rPr>
            <w:t>10</w:t>
          </w:r>
          <w:r>
            <w:fldChar w:fldCharType="end"/>
          </w:r>
        </w:p>
        <w:p w14:paraId="0DA108B6" w14:textId="77777777" w:rsidR="00D254FC" w:rsidRDefault="00F64097">
          <w:pPr>
            <w:widowControl w:val="0"/>
            <w:tabs>
              <w:tab w:val="right" w:leader="dot" w:pos="9025"/>
            </w:tabs>
            <w:spacing w:before="60" w:after="0" w:line="360" w:lineRule="auto"/>
            <w:jc w:val="both"/>
            <w:rPr>
              <w:rFonts w:ascii="Times New Roman" w:eastAsia="Times New Roman" w:hAnsi="Times New Roman" w:cs="Times New Roman"/>
              <w:b/>
              <w:bCs/>
              <w:color w:val="000000"/>
            </w:rPr>
          </w:pPr>
          <w:hyperlink w:anchor="_4kfmrpdl9y6r">
            <w:r>
              <w:rPr>
                <w:rFonts w:ascii="Times New Roman" w:eastAsia="Times New Roman" w:hAnsi="Times New Roman" w:cs="Times New Roman"/>
                <w:b/>
                <w:bCs/>
                <w:color w:val="000000"/>
              </w:rPr>
              <w:t>Reference</w:t>
            </w:r>
            <w:r>
              <w:rPr>
                <w:rFonts w:ascii="Times New Roman" w:eastAsia="Times New Roman" w:hAnsi="Times New Roman" w:cs="Times New Roman"/>
                <w:b/>
                <w:bCs/>
                <w:color w:val="000000"/>
              </w:rPr>
              <w:tab/>
            </w:r>
          </w:hyperlink>
          <w:r>
            <w:fldChar w:fldCharType="begin"/>
          </w:r>
          <w:r>
            <w:instrText xml:space="preserve"> PAGEREF _4kfmrpdl9y6r \h </w:instrText>
          </w:r>
          <w:r>
            <w:fldChar w:fldCharType="separate"/>
          </w:r>
          <w:r>
            <w:rPr>
              <w:rFonts w:ascii="Times New Roman" w:eastAsia="Times New Roman" w:hAnsi="Times New Roman" w:cs="Times New Roman"/>
              <w:b/>
              <w:bCs/>
            </w:rPr>
            <w:t>10</w:t>
          </w:r>
          <w:r>
            <w:fldChar w:fldCharType="end"/>
          </w:r>
          <w:r>
            <w:fldChar w:fldCharType="end"/>
          </w:r>
        </w:p>
      </w:sdtContent>
    </w:sdt>
    <w:p w14:paraId="0DA108B7" w14:textId="77777777" w:rsidR="00D254FC" w:rsidRDefault="00D254FC">
      <w:pPr>
        <w:pBdr>
          <w:top w:val="nil"/>
          <w:left w:val="nil"/>
          <w:bottom w:val="nil"/>
          <w:right w:val="nil"/>
          <w:between w:val="nil"/>
        </w:pBdr>
        <w:spacing w:before="280" w:after="280" w:line="360" w:lineRule="auto"/>
        <w:jc w:val="both"/>
        <w:rPr>
          <w:rFonts w:ascii="Times New Roman" w:eastAsia="Times New Roman" w:hAnsi="Times New Roman" w:cs="Times New Roman"/>
          <w:b/>
          <w:bCs/>
        </w:rPr>
      </w:pPr>
    </w:p>
    <w:p w14:paraId="0DA108B8" w14:textId="77777777" w:rsidR="00D254FC" w:rsidRDefault="00D254FC">
      <w:pPr>
        <w:pBdr>
          <w:top w:val="nil"/>
          <w:left w:val="nil"/>
          <w:bottom w:val="nil"/>
          <w:right w:val="nil"/>
          <w:between w:val="nil"/>
        </w:pBdr>
        <w:spacing w:before="280" w:after="280" w:line="360" w:lineRule="auto"/>
        <w:jc w:val="both"/>
        <w:rPr>
          <w:rFonts w:ascii="Times New Roman" w:eastAsia="Times New Roman" w:hAnsi="Times New Roman" w:cs="Times New Roman"/>
          <w:b/>
          <w:bCs/>
          <w:color w:val="000000"/>
        </w:rPr>
      </w:pPr>
    </w:p>
    <w:p w14:paraId="0DA108B9" w14:textId="77777777" w:rsidR="00D254FC" w:rsidRDefault="00D254FC">
      <w:pPr>
        <w:spacing w:line="360" w:lineRule="auto"/>
        <w:jc w:val="both"/>
        <w:rPr>
          <w:rFonts w:ascii="Times New Roman" w:eastAsia="Times New Roman" w:hAnsi="Times New Roman" w:cs="Times New Roman"/>
          <w:b/>
          <w:bCs/>
        </w:rPr>
      </w:pPr>
    </w:p>
    <w:p w14:paraId="0DA108BA" w14:textId="77777777" w:rsidR="00D254FC" w:rsidRDefault="00D254FC">
      <w:pPr>
        <w:spacing w:line="360" w:lineRule="auto"/>
        <w:jc w:val="both"/>
        <w:rPr>
          <w:rFonts w:ascii="Times New Roman" w:eastAsia="Times New Roman" w:hAnsi="Times New Roman" w:cs="Times New Roman"/>
          <w:b/>
          <w:bCs/>
        </w:rPr>
      </w:pPr>
    </w:p>
    <w:p w14:paraId="0DA108BB" w14:textId="77777777" w:rsidR="00D254FC" w:rsidRDefault="00D254FC">
      <w:pPr>
        <w:spacing w:line="360" w:lineRule="auto"/>
        <w:jc w:val="both"/>
        <w:rPr>
          <w:rFonts w:ascii="Times New Roman" w:eastAsia="Times New Roman" w:hAnsi="Times New Roman" w:cs="Times New Roman"/>
          <w:b/>
          <w:bCs/>
        </w:rPr>
      </w:pPr>
    </w:p>
    <w:p w14:paraId="0DA108BC" w14:textId="77777777" w:rsidR="00D254FC" w:rsidRDefault="00D254FC">
      <w:pPr>
        <w:spacing w:line="360" w:lineRule="auto"/>
        <w:jc w:val="both"/>
        <w:rPr>
          <w:rFonts w:ascii="Times New Roman" w:eastAsia="Times New Roman" w:hAnsi="Times New Roman" w:cs="Times New Roman"/>
          <w:b/>
          <w:bCs/>
        </w:rPr>
      </w:pPr>
    </w:p>
    <w:p w14:paraId="0DA108BD" w14:textId="77777777" w:rsidR="00D254FC" w:rsidRDefault="00D254FC">
      <w:pPr>
        <w:spacing w:line="360" w:lineRule="auto"/>
        <w:jc w:val="both"/>
        <w:rPr>
          <w:rFonts w:ascii="Times New Roman" w:eastAsia="Times New Roman" w:hAnsi="Times New Roman" w:cs="Times New Roman"/>
          <w:b/>
          <w:bCs/>
        </w:rPr>
      </w:pPr>
    </w:p>
    <w:p w14:paraId="0DA108BE" w14:textId="77777777" w:rsidR="00D254FC" w:rsidRDefault="00D254FC">
      <w:pPr>
        <w:spacing w:line="360" w:lineRule="auto"/>
        <w:jc w:val="both"/>
        <w:rPr>
          <w:rFonts w:ascii="Times New Roman" w:eastAsia="Times New Roman" w:hAnsi="Times New Roman" w:cs="Times New Roman"/>
          <w:b/>
          <w:bCs/>
        </w:rPr>
      </w:pPr>
    </w:p>
    <w:p w14:paraId="0DA108BF" w14:textId="77777777" w:rsidR="00D254FC" w:rsidRDefault="00D254FC">
      <w:pPr>
        <w:spacing w:line="360" w:lineRule="auto"/>
        <w:jc w:val="both"/>
        <w:rPr>
          <w:rFonts w:ascii="Times New Roman" w:eastAsia="Times New Roman" w:hAnsi="Times New Roman" w:cs="Times New Roman"/>
          <w:b/>
          <w:bCs/>
        </w:rPr>
      </w:pPr>
    </w:p>
    <w:p w14:paraId="0DA108C0" w14:textId="77777777" w:rsidR="00D254FC" w:rsidRDefault="00D254FC">
      <w:pPr>
        <w:spacing w:line="360" w:lineRule="auto"/>
        <w:jc w:val="both"/>
        <w:rPr>
          <w:rFonts w:ascii="Times New Roman" w:eastAsia="Times New Roman" w:hAnsi="Times New Roman" w:cs="Times New Roman"/>
          <w:b/>
          <w:bCs/>
        </w:rPr>
      </w:pPr>
    </w:p>
    <w:p w14:paraId="0DA108C1" w14:textId="77777777" w:rsidR="00D254FC" w:rsidRDefault="00D254FC">
      <w:pPr>
        <w:spacing w:line="360" w:lineRule="auto"/>
        <w:jc w:val="both"/>
        <w:rPr>
          <w:rFonts w:ascii="Times New Roman" w:eastAsia="Times New Roman" w:hAnsi="Times New Roman" w:cs="Times New Roman"/>
          <w:b/>
          <w:bCs/>
        </w:rPr>
      </w:pPr>
    </w:p>
    <w:p w14:paraId="0DA108C2" w14:textId="77777777" w:rsidR="00D254FC" w:rsidRDefault="00D254FC">
      <w:pPr>
        <w:spacing w:line="360" w:lineRule="auto"/>
        <w:jc w:val="both"/>
        <w:rPr>
          <w:rFonts w:ascii="Times New Roman" w:eastAsia="Times New Roman" w:hAnsi="Times New Roman" w:cs="Times New Roman"/>
          <w:b/>
          <w:bCs/>
        </w:rPr>
      </w:pP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254FC" w14:paraId="0DA108C5" w14:textId="77777777">
        <w:tc>
          <w:tcPr>
            <w:tcW w:w="9016" w:type="dxa"/>
          </w:tcPr>
          <w:p w14:paraId="0DA108C3" w14:textId="77777777" w:rsidR="00D254FC" w:rsidRDefault="00F64097">
            <w:pPr>
              <w:pStyle w:val="Heading1"/>
            </w:pPr>
            <w:bookmarkStart w:id="0" w:name="_hvt3ox8dknac" w:colFirst="0" w:colLast="0"/>
            <w:bookmarkEnd w:id="0"/>
            <w:r>
              <w:lastRenderedPageBreak/>
              <w:t>Introduction</w:t>
            </w:r>
          </w:p>
          <w:p w14:paraId="0DA108C4" w14:textId="77777777" w:rsidR="00D254FC" w:rsidRDefault="00F64097">
            <w:pPr>
              <w:pBdr>
                <w:top w:val="nil"/>
                <w:left w:val="nil"/>
                <w:bottom w:val="nil"/>
                <w:right w:val="nil"/>
                <w:between w:val="nil"/>
              </w:pBdr>
              <w:spacing w:line="360" w:lineRule="auto"/>
              <w:jc w:val="both"/>
              <w:rPr>
                <w:rFonts w:ascii="Times New Roman" w:eastAsia="Times New Roman" w:hAnsi="Times New Roman" w:cs="Times New Roman"/>
                <w:b/>
                <w:bCs/>
              </w:rPr>
            </w:pPr>
            <w:r>
              <w:rPr>
                <w:rFonts w:ascii="Times New Roman" w:eastAsia="Times New Roman" w:hAnsi="Times New Roman" w:cs="Times New Roman"/>
                <w:highlight w:val="white"/>
              </w:rPr>
              <w:t xml:space="preserve">Innovation, creativity, value generation, and change are some of the elements that should be </w:t>
            </w:r>
            <w:proofErr w:type="gramStart"/>
            <w:r>
              <w:rPr>
                <w:rFonts w:ascii="Times New Roman" w:eastAsia="Times New Roman" w:hAnsi="Times New Roman" w:cs="Times New Roman"/>
                <w:highlight w:val="white"/>
              </w:rPr>
              <w:t>taken into account</w:t>
            </w:r>
            <w:proofErr w:type="gramEnd"/>
            <w:r>
              <w:rPr>
                <w:rFonts w:ascii="Times New Roman" w:eastAsia="Times New Roman" w:hAnsi="Times New Roman" w:cs="Times New Roman"/>
                <w:highlight w:val="white"/>
              </w:rPr>
              <w:t xml:space="preserve"> </w:t>
            </w:r>
            <w:proofErr w:type="gramStart"/>
            <w:r>
              <w:rPr>
                <w:rFonts w:ascii="Times New Roman" w:eastAsia="Times New Roman" w:hAnsi="Times New Roman" w:cs="Times New Roman"/>
                <w:highlight w:val="white"/>
              </w:rPr>
              <w:t>in order to</w:t>
            </w:r>
            <w:proofErr w:type="gramEnd"/>
            <w:r>
              <w:rPr>
                <w:rFonts w:ascii="Times New Roman" w:eastAsia="Times New Roman" w:hAnsi="Times New Roman" w:cs="Times New Roman"/>
                <w:highlight w:val="white"/>
              </w:rPr>
              <w:t xml:space="preserve"> contribute to the development of health and social care services. Such elements allow the organization to come up with evidence-based solutions that will contribute to the improvement of the patient's outcome, service quality, and effectiveness of the process. The following portfolio is going to address the issue of implementation of such elements in the contemporary NHS cases and innovations.</w:t>
            </w:r>
            <w:r>
              <w:rPr>
                <w:rFonts w:ascii="Times New Roman" w:eastAsia="Times New Roman" w:hAnsi="Times New Roman" w:cs="Times New Roman"/>
                <w:highlight w:val="white"/>
              </w:rPr>
              <w:br/>
            </w:r>
          </w:p>
        </w:tc>
      </w:tr>
      <w:tr w:rsidR="00D254FC" w14:paraId="0DA108CC" w14:textId="77777777">
        <w:tc>
          <w:tcPr>
            <w:tcW w:w="9016" w:type="dxa"/>
          </w:tcPr>
          <w:p w14:paraId="0DA108C6" w14:textId="77777777" w:rsidR="00D254FC" w:rsidRDefault="00F64097">
            <w:pPr>
              <w:pStyle w:val="Heading1"/>
            </w:pPr>
            <w:bookmarkStart w:id="1" w:name="_vkkiptol2paz" w:colFirst="0" w:colLast="0"/>
            <w:bookmarkEnd w:id="1"/>
            <w:r>
              <w:lastRenderedPageBreak/>
              <w:t xml:space="preserve">Task 1- Defining Key Concepts in Practice </w:t>
            </w:r>
          </w:p>
          <w:p w14:paraId="0DA108C7" w14:textId="77777777" w:rsidR="00D254FC" w:rsidRDefault="00F64097">
            <w:p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b/>
                <w:bCs/>
              </w:rPr>
              <w:t>Question</w:t>
            </w:r>
            <w:r>
              <w:rPr>
                <w:rFonts w:ascii="Times New Roman" w:eastAsia="Times New Roman" w:hAnsi="Times New Roman" w:cs="Times New Roman"/>
              </w:rPr>
              <w:t xml:space="preserve"> - Explain the following four key concepts: </w:t>
            </w:r>
            <w:r>
              <w:rPr>
                <w:rFonts w:ascii="Times New Roman" w:eastAsia="Times New Roman" w:hAnsi="Times New Roman" w:cs="Times New Roman"/>
                <w:i/>
                <w:iCs/>
              </w:rPr>
              <w:t>innovation, creativity, value creation, and change.:</w:t>
            </w:r>
          </w:p>
          <w:p w14:paraId="0DA108C8"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Innovation is not just about introducing technology; it’s about using evidence-based innovations that will deliver measurable healthcare benefits. Diffusion of Innovation Theory by Rogers (2003) provides explanations for the reasons behind the adoption, such as perceived usefulness, compatibility and observable advantages. NHS England’s Virtual Wards is recognised as an example of innovation; whereby eligible and suitable patients are not being admitted to hospital. NHS England will more than double the number of beds available for virtual wards in 2024, helping to reduce unnecessary hospital admissions (NHS England, 2024). Innovation can only work if the workforce is able to perform, patients accept and organisations are prepared to act.</w:t>
            </w:r>
          </w:p>
          <w:p w14:paraId="0DA108C9"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Solutions are developed for implementation in practice and creativity is realised in the development of solutions that can be applied in practice, which requires professional expertise, sharing and collaboration between individuals and intrinsic motivation, with the aim of alleviating longstanding problems in the healthcare sector. Amabile (1996) offers a Componential Theory which identifies some of the key determinants of creativity: knowledge, creative thinking and motivation. In some NHS organisations interdisciplinary discharge teams were introduced to restructure pathways for discharge, to reduce delayed discharge. Creativity is therefore able to bring meaningful improvements because frontline professionals are aware of the barriers to operations more than an imposed solution.</w:t>
            </w:r>
          </w:p>
          <w:p w14:paraId="0DA108CA" w14:textId="77777777" w:rsidR="00D254FC" w:rsidRDefault="00F64097">
            <w:pPr>
              <w:spacing w:line="360" w:lineRule="auto"/>
              <w:jc w:val="both"/>
              <w:rPr>
                <w:rFonts w:ascii="Times New Roman" w:eastAsia="Times New Roman" w:hAnsi="Times New Roman" w:cs="Times New Roman"/>
              </w:rPr>
            </w:pPr>
            <w:r>
              <w:rPr>
                <w:rFonts w:ascii="Times New Roman" w:eastAsia="Times New Roman" w:hAnsi="Times New Roman" w:cs="Times New Roman"/>
                <w:highlight w:val="white"/>
              </w:rPr>
              <w:t xml:space="preserve">Value creation causes better outcomes for patients, while efficiently using available resources throughout all healthcare delivery systems (Porter, 2010). Porter argues that healthcare performance should be about outcomes – not intensity of services. In England for example, Community Diagnostic Centres (CDEs) have helped improve diagnostic capacity to enable earlier diagnosis of disease while offering a reduced waiting time (NHS England, 2024). The healthcare performance must then be measurably improved to demonstrate the improvement in the value of the healthcare by increased activity; more activity does not create more value. Change is a process of structured organisational change to accommodate for the pressures of changing demographics, staffing and patient expectations. The Lewin’s Change Management Model outlines the process of sustainable change involves unfreezing the current practice, introducing change, and reinforcing new behaviours. (Burners, 2017) In health services, for example, the implementation of integrated neighbourhood health services </w:t>
            </w:r>
            <w:r>
              <w:rPr>
                <w:rFonts w:ascii="Times New Roman" w:eastAsia="Times New Roman" w:hAnsi="Times New Roman" w:cs="Times New Roman"/>
                <w:highlight w:val="white"/>
              </w:rPr>
              <w:lastRenderedPageBreak/>
              <w:t>promoted multi- and interprofessional working and better coordination of care for people with chronic conditions. Professional engagement is key to change as implementation of policies without commitment of the professional to behaviour change will not usually lead to sustainable improvement in healthcare.</w:t>
            </w:r>
          </w:p>
          <w:p w14:paraId="0DA108CB" w14:textId="77777777" w:rsidR="00D254FC" w:rsidRDefault="00D254FC">
            <w:pPr>
              <w:pBdr>
                <w:top w:val="nil"/>
                <w:left w:val="nil"/>
                <w:bottom w:val="nil"/>
                <w:right w:val="nil"/>
                <w:between w:val="nil"/>
              </w:pBdr>
              <w:spacing w:line="360" w:lineRule="auto"/>
              <w:jc w:val="both"/>
              <w:rPr>
                <w:rFonts w:ascii="Times New Roman" w:eastAsia="Times New Roman" w:hAnsi="Times New Roman" w:cs="Times New Roman"/>
              </w:rPr>
            </w:pPr>
          </w:p>
        </w:tc>
      </w:tr>
      <w:tr w:rsidR="00D254FC" w14:paraId="0DA108D1" w14:textId="77777777">
        <w:tc>
          <w:tcPr>
            <w:tcW w:w="9016" w:type="dxa"/>
          </w:tcPr>
          <w:p w14:paraId="0DA108CD" w14:textId="77777777" w:rsidR="00D254FC" w:rsidRDefault="00F64097">
            <w:pPr>
              <w:pStyle w:val="Heading1"/>
            </w:pPr>
            <w:bookmarkStart w:id="2" w:name="_p3vhcf816mtn" w:colFirst="0" w:colLast="0"/>
            <w:bookmarkEnd w:id="2"/>
            <w:r>
              <w:lastRenderedPageBreak/>
              <w:t xml:space="preserve">Task 2 - Mind Map </w:t>
            </w:r>
          </w:p>
          <w:p w14:paraId="0DA108CE" w14:textId="77777777" w:rsidR="00D254FC" w:rsidRDefault="00F64097">
            <w:pPr>
              <w:spacing w:line="360" w:lineRule="auto"/>
              <w:jc w:val="both"/>
              <w:rPr>
                <w:rFonts w:ascii="Times New Roman" w:eastAsia="Times New Roman" w:hAnsi="Times New Roman" w:cs="Times New Roman"/>
                <w:highlight w:val="white"/>
              </w:rPr>
            </w:pPr>
            <w:bookmarkStart w:id="3" w:name="_7fhllmxu0063" w:colFirst="0" w:colLast="0"/>
            <w:bookmarkEnd w:id="3"/>
            <w:r>
              <w:rPr>
                <w:rFonts w:ascii="Times New Roman" w:eastAsia="Times New Roman" w:hAnsi="Times New Roman" w:cs="Times New Roman"/>
                <w:highlight w:val="white"/>
              </w:rPr>
              <w:t xml:space="preserve"> </w:t>
            </w:r>
            <w:r>
              <w:rPr>
                <w:rFonts w:ascii="Times New Roman" w:eastAsia="Times New Roman" w:hAnsi="Times New Roman" w:cs="Times New Roman"/>
                <w:noProof/>
                <w:highlight w:val="white"/>
              </w:rPr>
              <w:drawing>
                <wp:inline distT="114300" distB="114300" distL="114300" distR="114300" wp14:anchorId="0DA10912" wp14:editId="0DA10913">
                  <wp:extent cx="5372100" cy="32956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372100" cy="3295650"/>
                          </a:xfrm>
                          <a:prstGeom prst="rect">
                            <a:avLst/>
                          </a:prstGeom>
                          <a:ln/>
                        </pic:spPr>
                      </pic:pic>
                    </a:graphicData>
                  </a:graphic>
                </wp:inline>
              </w:drawing>
            </w:r>
          </w:p>
          <w:p w14:paraId="0DA108CF" w14:textId="77777777" w:rsidR="00D254FC" w:rsidRDefault="00F64097">
            <w:pPr>
              <w:spacing w:line="360" w:lineRule="auto"/>
              <w:jc w:val="center"/>
              <w:rPr>
                <w:rFonts w:ascii="Times New Roman" w:eastAsia="Times New Roman" w:hAnsi="Times New Roman" w:cs="Times New Roman"/>
                <w:b/>
                <w:bCs/>
                <w:i/>
                <w:iCs/>
                <w:highlight w:val="white"/>
              </w:rPr>
            </w:pPr>
            <w:r>
              <w:rPr>
                <w:rFonts w:ascii="Times New Roman" w:eastAsia="Times New Roman" w:hAnsi="Times New Roman" w:cs="Times New Roman"/>
                <w:b/>
                <w:bCs/>
                <w:i/>
                <w:iCs/>
                <w:highlight w:val="white"/>
              </w:rPr>
              <w:t>Figure 1: Mid Map: Lack of Connected Digital Signposting Though Local Authority Early Help Portals</w:t>
            </w:r>
          </w:p>
          <w:p w14:paraId="0DA108D0" w14:textId="77777777" w:rsidR="00D254FC" w:rsidRDefault="00F64097">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highlight w:val="white"/>
              </w:rPr>
              <w:t xml:space="preserve">                                                      </w:t>
            </w:r>
            <w:proofErr w:type="gramStart"/>
            <w:r>
              <w:rPr>
                <w:rFonts w:ascii="Times New Roman" w:eastAsia="Times New Roman" w:hAnsi="Times New Roman" w:cs="Times New Roman"/>
                <w:b/>
                <w:bCs/>
                <w:highlight w:val="white"/>
              </w:rPr>
              <w:t>Source :</w:t>
            </w:r>
            <w:proofErr w:type="gramEnd"/>
            <w:r>
              <w:rPr>
                <w:rFonts w:ascii="Times New Roman" w:eastAsia="Times New Roman" w:hAnsi="Times New Roman" w:cs="Times New Roman"/>
                <w:b/>
                <w:bCs/>
                <w:highlight w:val="white"/>
              </w:rPr>
              <w:t xml:space="preserve"> </w:t>
            </w:r>
            <w:proofErr w:type="spellStart"/>
            <w:r>
              <w:rPr>
                <w:rFonts w:ascii="Times New Roman" w:eastAsia="Times New Roman" w:hAnsi="Times New Roman" w:cs="Times New Roman"/>
                <w:b/>
                <w:bCs/>
                <w:highlight w:val="white"/>
              </w:rPr>
              <w:t>Self Created</w:t>
            </w:r>
            <w:proofErr w:type="spellEnd"/>
            <w:r>
              <w:rPr>
                <w:rFonts w:ascii="Times New Roman" w:eastAsia="Times New Roman" w:hAnsi="Times New Roman" w:cs="Times New Roman"/>
                <w:b/>
                <w:bCs/>
                <w:highlight w:val="white"/>
              </w:rPr>
              <w:t>.</w:t>
            </w:r>
            <w:r>
              <w:rPr>
                <w:rFonts w:ascii="Times New Roman" w:eastAsia="Times New Roman" w:hAnsi="Times New Roman" w:cs="Times New Roman"/>
                <w:b/>
                <w:bCs/>
                <w:highlight w:val="white"/>
              </w:rPr>
              <w:br/>
            </w:r>
            <w:r>
              <w:rPr>
                <w:rFonts w:ascii="Times New Roman" w:eastAsia="Times New Roman" w:hAnsi="Times New Roman" w:cs="Times New Roman"/>
                <w:b/>
                <w:bCs/>
                <w:highlight w:val="white"/>
              </w:rPr>
              <w:br/>
            </w:r>
            <w:r>
              <w:rPr>
                <w:rFonts w:ascii="Times New Roman" w:eastAsia="Times New Roman" w:hAnsi="Times New Roman" w:cs="Times New Roman"/>
                <w:highlight w:val="white"/>
              </w:rPr>
              <w:t>Central issues: Lack of connectedness in digital signposting via local authority early help portals. Disconnected digital architecture is a huge obstacle for vulnerable families, as systems thinking shows. One of the key reasons is the lack of integration in local authority IT infrastructures and the presence of data silos. This causes families to wait longer to access needed early preventative intervention services. This has a negative effect on the number of crises point statutory safeguarding interventions as clinical risks increase. For proactive solutions, there must be a single multi-agency digital directory and the necessary cross-sector communications pathway. If these systemic improvements are not present, service users continue to be excluded from the digital world by difficult interfaces and marginalized. Changes to digital improvements without system change do not work.</w:t>
            </w:r>
            <w:r>
              <w:rPr>
                <w:rFonts w:ascii="Times New Roman" w:eastAsia="Times New Roman" w:hAnsi="Times New Roman" w:cs="Times New Roman"/>
                <w:b/>
                <w:bCs/>
                <w:highlight w:val="white"/>
              </w:rPr>
              <w:t xml:space="preserve"> </w:t>
            </w:r>
          </w:p>
        </w:tc>
      </w:tr>
      <w:tr w:rsidR="00D254FC" w14:paraId="0DA108D4" w14:textId="77777777">
        <w:tc>
          <w:tcPr>
            <w:tcW w:w="9016" w:type="dxa"/>
          </w:tcPr>
          <w:p w14:paraId="0DA108D2" w14:textId="77777777" w:rsidR="00D254FC" w:rsidRDefault="00F64097">
            <w:pPr>
              <w:pStyle w:val="Heading1"/>
            </w:pPr>
            <w:bookmarkStart w:id="4" w:name="_58smpw235lgw" w:colFirst="0" w:colLast="0"/>
            <w:bookmarkEnd w:id="4"/>
            <w:r>
              <w:lastRenderedPageBreak/>
              <w:t>Task 3 - Self-Reflection of Group Activity.</w:t>
            </w:r>
          </w:p>
          <w:p w14:paraId="0DA108D3" w14:textId="77777777" w:rsidR="00D254FC" w:rsidRDefault="00F64097">
            <w:pPr>
              <w:spacing w:line="360" w:lineRule="auto"/>
              <w:jc w:val="both"/>
              <w:rPr>
                <w:rFonts w:ascii="Times New Roman" w:eastAsia="Times New Roman" w:hAnsi="Times New Roman" w:cs="Times New Roman"/>
              </w:rPr>
            </w:pPr>
            <w:r>
              <w:rPr>
                <w:rFonts w:ascii="Times New Roman" w:eastAsia="Times New Roman" w:hAnsi="Times New Roman" w:cs="Times New Roman"/>
                <w:highlight w:val="white"/>
              </w:rPr>
              <w:t xml:space="preserve">I thought of using Gibbs' Reflective Cycle (1988) to reflect on our activity in the classroom concerning the idea of convergent and divergent thinking. During brainstorming, we brainstormed some safeguarding solutions using divergent thinking within my group. However, there was some division on the need to focus on digital referrals or workforce training. Initially, it was disappointing that I could not get agreement as each profession had a different perspective. Evidence was reviewed, and through convergent thinking, the pros and cons of the possible options were reviewed and the option agreed to as the immediate intervention was workforce training. This experience showed that it is beneficial to have structured reflection and evidence-based discussion </w:t>
            </w:r>
            <w:proofErr w:type="gramStart"/>
            <w:r>
              <w:rPr>
                <w:rFonts w:ascii="Times New Roman" w:eastAsia="Times New Roman" w:hAnsi="Times New Roman" w:cs="Times New Roman"/>
                <w:highlight w:val="white"/>
              </w:rPr>
              <w:t>as a way to</w:t>
            </w:r>
            <w:proofErr w:type="gramEnd"/>
            <w:r>
              <w:rPr>
                <w:rFonts w:ascii="Times New Roman" w:eastAsia="Times New Roman" w:hAnsi="Times New Roman" w:cs="Times New Roman"/>
                <w:highlight w:val="white"/>
              </w:rPr>
              <w:t xml:space="preserve"> enhance the collaborative decision-making process in multi-disciplinary teams. I realised that paying attention helps me to communicate </w:t>
            </w:r>
            <w:proofErr w:type="gramStart"/>
            <w:r>
              <w:rPr>
                <w:rFonts w:ascii="Times New Roman" w:eastAsia="Times New Roman" w:hAnsi="Times New Roman" w:cs="Times New Roman"/>
                <w:highlight w:val="white"/>
              </w:rPr>
              <w:t>better, and</w:t>
            </w:r>
            <w:proofErr w:type="gramEnd"/>
            <w:r>
              <w:rPr>
                <w:rFonts w:ascii="Times New Roman" w:eastAsia="Times New Roman" w:hAnsi="Times New Roman" w:cs="Times New Roman"/>
                <w:highlight w:val="white"/>
              </w:rPr>
              <w:t xml:space="preserve"> also helps to minimise conflict in group discussions. It was an activity that mirrored my tendency to not seek other solutions, but to support my first thought. The next time before options </w:t>
            </w:r>
            <w:proofErr w:type="gramStart"/>
            <w:r>
              <w:rPr>
                <w:rFonts w:ascii="Times New Roman" w:eastAsia="Times New Roman" w:hAnsi="Times New Roman" w:cs="Times New Roman"/>
                <w:highlight w:val="white"/>
              </w:rPr>
              <w:t>are</w:t>
            </w:r>
            <w:proofErr w:type="gramEnd"/>
            <w:r>
              <w:rPr>
                <w:rFonts w:ascii="Times New Roman" w:eastAsia="Times New Roman" w:hAnsi="Times New Roman" w:cs="Times New Roman"/>
                <w:highlight w:val="white"/>
              </w:rPr>
              <w:t xml:space="preserve"> considered, I will be more proactive in encouraging each member to </w:t>
            </w:r>
            <w:proofErr w:type="gramStart"/>
            <w:r>
              <w:rPr>
                <w:rFonts w:ascii="Times New Roman" w:eastAsia="Times New Roman" w:hAnsi="Times New Roman" w:cs="Times New Roman"/>
                <w:highlight w:val="white"/>
              </w:rPr>
              <w:t>make a contribution</w:t>
            </w:r>
            <w:proofErr w:type="gramEnd"/>
            <w:r>
              <w:rPr>
                <w:rFonts w:ascii="Times New Roman" w:eastAsia="Times New Roman" w:hAnsi="Times New Roman" w:cs="Times New Roman"/>
                <w:highlight w:val="white"/>
              </w:rPr>
              <w:t>; develop consensus and inclusiveness. Reflective practice is supported by Gibbs (1988) who enhances continuous learning and professional development.</w:t>
            </w:r>
          </w:p>
        </w:tc>
      </w:tr>
      <w:tr w:rsidR="00D254FC" w14:paraId="0DA108D8" w14:textId="77777777">
        <w:tc>
          <w:tcPr>
            <w:tcW w:w="9016" w:type="dxa"/>
          </w:tcPr>
          <w:p w14:paraId="0DA108D5" w14:textId="77777777" w:rsidR="00D254FC" w:rsidRDefault="00F64097">
            <w:pPr>
              <w:pStyle w:val="Heading1"/>
            </w:pPr>
            <w:bookmarkStart w:id="5" w:name="_5a6bo1a92jqh" w:colFirst="0" w:colLast="0"/>
            <w:bookmarkEnd w:id="5"/>
            <w:r>
              <w:lastRenderedPageBreak/>
              <w:t xml:space="preserve">Task 4 – Case Study Analysis of a UK Innovation </w:t>
            </w:r>
          </w:p>
          <w:p w14:paraId="0DA108D6"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Research and trials in the NHS have been conducted on Virtual Wards to reduce pressure on hospitals and deliver hospital quality acute care at home (Shi </w:t>
            </w:r>
            <w:r>
              <w:rPr>
                <w:rFonts w:ascii="Times New Roman" w:eastAsia="Times New Roman" w:hAnsi="Times New Roman" w:cs="Times New Roman"/>
                <w:i/>
                <w:iCs/>
                <w:highlight w:val="white"/>
              </w:rPr>
              <w:t>et al</w:t>
            </w:r>
            <w:r>
              <w:rPr>
                <w:rFonts w:ascii="Times New Roman" w:eastAsia="Times New Roman" w:hAnsi="Times New Roman" w:cs="Times New Roman"/>
                <w:highlight w:val="white"/>
              </w:rPr>
              <w:t xml:space="preserve">., 2024) From the perspective of successful adoption, Rogers' Diffusion of Innovation Theory indicates that there are two aspects that should be taken into account: perceived usefulness and compatibility (Rogers, 2003). In 2024, NHS England doubled its virtual wards bed capacity to over 12,000, which will help service users who need clinical monitoring outside of hospitals. This innovation enhanced the patient experience and enabled reduced avoidable admissions and boosted the capacity of hospitals at times of peaks (Ferreira and Collins, 2023). However, in some area’s digital exclusion and a lack of labour are still limiting equitable implementation. Therefore, in the absence of proper staffing, and an integrated service approach, a technology solution to wider structural pressures in healthcare cannot be used. This innovation could be used elsewhere, such as community mental health, chronic disease management and social care, where there is a benefit to continuity of care, avoiding unnecessary admissions and earlier intervention (Lewis </w:t>
            </w:r>
            <w:r>
              <w:rPr>
                <w:rFonts w:ascii="Times New Roman" w:eastAsia="Times New Roman" w:hAnsi="Times New Roman" w:cs="Times New Roman"/>
                <w:i/>
                <w:iCs/>
                <w:highlight w:val="white"/>
              </w:rPr>
              <w:t>et al</w:t>
            </w:r>
            <w:r>
              <w:rPr>
                <w:rFonts w:ascii="Times New Roman" w:eastAsia="Times New Roman" w:hAnsi="Times New Roman" w:cs="Times New Roman"/>
                <w:highlight w:val="white"/>
              </w:rPr>
              <w:t>., 2026). But, for effective transfer, good digital infrastructure and education of staff and equal access for patients are key.</w:t>
            </w:r>
          </w:p>
          <w:p w14:paraId="0DA108D7" w14:textId="77777777" w:rsidR="00D254FC" w:rsidRDefault="00D254FC">
            <w:pPr>
              <w:pBdr>
                <w:top w:val="nil"/>
                <w:left w:val="nil"/>
                <w:bottom w:val="nil"/>
                <w:right w:val="nil"/>
                <w:between w:val="nil"/>
              </w:pBdr>
              <w:spacing w:line="360" w:lineRule="auto"/>
              <w:jc w:val="both"/>
              <w:rPr>
                <w:rFonts w:ascii="Times New Roman" w:eastAsia="Times New Roman" w:hAnsi="Times New Roman" w:cs="Times New Roman"/>
                <w:b/>
                <w:bCs/>
              </w:rPr>
            </w:pPr>
          </w:p>
        </w:tc>
      </w:tr>
      <w:tr w:rsidR="00D254FC" w14:paraId="0DA108DB" w14:textId="77777777">
        <w:tc>
          <w:tcPr>
            <w:tcW w:w="9016" w:type="dxa"/>
          </w:tcPr>
          <w:p w14:paraId="0DA108D9" w14:textId="77777777" w:rsidR="00D254FC" w:rsidRDefault="00F64097">
            <w:pPr>
              <w:pStyle w:val="Heading1"/>
            </w:pPr>
            <w:bookmarkStart w:id="6" w:name="_siwcbgdfvw77" w:colFirst="0" w:colLast="0"/>
            <w:bookmarkEnd w:id="6"/>
            <w:r>
              <w:t>Task 5 - Research Task.</w:t>
            </w:r>
          </w:p>
          <w:p w14:paraId="0DA108DA" w14:textId="77777777" w:rsidR="00D254FC" w:rsidRDefault="00F64097">
            <w:pPr>
              <w:spacing w:line="360" w:lineRule="auto"/>
              <w:jc w:val="both"/>
              <w:rPr>
                <w:rFonts w:ascii="Times New Roman" w:eastAsia="Times New Roman" w:hAnsi="Times New Roman" w:cs="Times New Roman"/>
              </w:rPr>
            </w:pPr>
            <w:r>
              <w:rPr>
                <w:rFonts w:ascii="Times New Roman" w:eastAsia="Times New Roman" w:hAnsi="Times New Roman" w:cs="Times New Roman"/>
                <w:highlight w:val="white"/>
              </w:rPr>
              <w:t>Staff shortages in the health and social care sector in the UK are often due to burnout (</w:t>
            </w:r>
            <w:proofErr w:type="spellStart"/>
            <w:r>
              <w:rPr>
                <w:rFonts w:ascii="Times New Roman" w:eastAsia="Times New Roman" w:hAnsi="Times New Roman" w:cs="Times New Roman"/>
                <w:highlight w:val="white"/>
              </w:rPr>
              <w:t>Shemtob</w:t>
            </w:r>
            <w:proofErr w:type="spellEnd"/>
            <w:r>
              <w:rPr>
                <w:rFonts w:ascii="Times New Roman" w:eastAsia="Times New Roman" w:hAnsi="Times New Roman" w:cs="Times New Roman"/>
                <w:highlight w:val="white"/>
              </w:rPr>
              <w:t xml:space="preserve"> </w:t>
            </w:r>
            <w:r>
              <w:rPr>
                <w:rFonts w:ascii="Times New Roman" w:eastAsia="Times New Roman" w:hAnsi="Times New Roman" w:cs="Times New Roman"/>
                <w:i/>
                <w:iCs/>
                <w:highlight w:val="white"/>
              </w:rPr>
              <w:t>et al</w:t>
            </w:r>
            <w:r>
              <w:rPr>
                <w:rFonts w:ascii="Times New Roman" w:eastAsia="Times New Roman" w:hAnsi="Times New Roman" w:cs="Times New Roman"/>
                <w:highlight w:val="white"/>
              </w:rPr>
              <w:t xml:space="preserve">., 2023). The results of Article 1 indicated that high workloads, shifts that were too long and not enough staffing were associated with higher rates of burnout, less job satisfaction and low staff retention. cited a lack of nurse staffing as not being a cause of emotional exhaustion and being a negative influence on patient safety. Both studies agree staff shortages lead to an unsustainable working environment and impact the quality of care. While emphasising on working patterns, </w:t>
            </w:r>
            <w:proofErr w:type="spellStart"/>
            <w:r>
              <w:rPr>
                <w:rFonts w:ascii="Times New Roman" w:eastAsia="Times New Roman" w:hAnsi="Times New Roman" w:cs="Times New Roman"/>
                <w:highlight w:val="white"/>
              </w:rPr>
              <w:t>Dall'Ora</w:t>
            </w:r>
            <w:proofErr w:type="spellEnd"/>
            <w:r>
              <w:rPr>
                <w:rFonts w:ascii="Times New Roman" w:eastAsia="Times New Roman" w:hAnsi="Times New Roman" w:cs="Times New Roman"/>
                <w:highlight w:val="white"/>
              </w:rPr>
              <w:t xml:space="preserve"> et al. underlined, in contrast, staffing ratios and organisational support were highlighted by Aiken et al. The findings are interpreted through the lens of Systems Theory that sees the overall wellbeing of the workforce as a function of a set of interrelated organisational factors; not individual staffing interventions. Thus, recruiting isn't always the answer to burnout – it demands good leadership, workplace culture and workload administration (Scottish Government, 2022). The findings that were obtained from these results indicate that this cannot be done with a short-term concept on how to staff; it needs a larger organisational change (Hewage and Rostami-Tabar, 2024). </w:t>
            </w:r>
          </w:p>
        </w:tc>
      </w:tr>
      <w:tr w:rsidR="00D254FC" w14:paraId="0DA108E5" w14:textId="77777777">
        <w:tc>
          <w:tcPr>
            <w:tcW w:w="9016" w:type="dxa"/>
          </w:tcPr>
          <w:p w14:paraId="0DA108DC" w14:textId="77777777" w:rsidR="00D254FC" w:rsidRDefault="00F64097">
            <w:pPr>
              <w:pStyle w:val="Heading1"/>
            </w:pPr>
            <w:bookmarkStart w:id="7" w:name="_bwj3s5hlmyg" w:colFirst="0" w:colLast="0"/>
            <w:bookmarkEnd w:id="7"/>
            <w:r>
              <w:lastRenderedPageBreak/>
              <w:t>Task 6 - Exploring Digital Innovation in Health and Social Care</w:t>
            </w:r>
          </w:p>
          <w:p w14:paraId="0DA108DD" w14:textId="77777777" w:rsidR="00D254FC" w:rsidRDefault="00F64097">
            <w:pPr>
              <w:pBdr>
                <w:top w:val="nil"/>
                <w:left w:val="nil"/>
                <w:bottom w:val="nil"/>
                <w:right w:val="nil"/>
                <w:between w:val="nil"/>
              </w:pBdr>
              <w:spacing w:line="360" w:lineRule="auto"/>
              <w:jc w:val="both"/>
              <w:rPr>
                <w:rFonts w:ascii="Times New Roman" w:eastAsia="Times New Roman" w:hAnsi="Times New Roman" w:cs="Times New Roman"/>
                <w:b/>
                <w:bCs/>
                <w:highlight w:val="white"/>
              </w:rPr>
            </w:pPr>
            <w:r>
              <w:rPr>
                <w:rFonts w:ascii="Times New Roman" w:eastAsia="Times New Roman" w:hAnsi="Times New Roman" w:cs="Times New Roman"/>
                <w:b/>
                <w:bCs/>
                <w:highlight w:val="white"/>
              </w:rPr>
              <w:t>Benefit of using wearable health technologies</w:t>
            </w:r>
          </w:p>
          <w:p w14:paraId="0DA108DE" w14:textId="77777777" w:rsidR="00D254FC" w:rsidRDefault="00F64097">
            <w:pPr>
              <w:spacing w:line="360" w:lineRule="auto"/>
              <w:jc w:val="both"/>
              <w:rPr>
                <w:rFonts w:ascii="Times New Roman" w:eastAsia="Times New Roman" w:hAnsi="Times New Roman" w:cs="Times New Roman"/>
                <w:b/>
                <w:bCs/>
                <w:highlight w:val="white"/>
              </w:rPr>
            </w:pPr>
            <w:r>
              <w:rPr>
                <w:rFonts w:ascii="Times New Roman" w:eastAsia="Times New Roman" w:hAnsi="Times New Roman" w:cs="Times New Roman"/>
                <w:highlight w:val="white"/>
              </w:rPr>
              <w:t xml:space="preserve">In the context of the modern era, wearable technologies such as the Smartwatches have been in wide usage for the tracking of the heartbeat, blood pressure and so on (Nazir </w:t>
            </w:r>
            <w:r>
              <w:rPr>
                <w:rFonts w:ascii="Times New Roman" w:eastAsia="Times New Roman" w:hAnsi="Times New Roman" w:cs="Times New Roman"/>
                <w:i/>
                <w:iCs/>
                <w:highlight w:val="white"/>
              </w:rPr>
              <w:t xml:space="preserve">et al., </w:t>
            </w:r>
            <w:r>
              <w:rPr>
                <w:rFonts w:ascii="Times New Roman" w:eastAsia="Times New Roman" w:hAnsi="Times New Roman" w:cs="Times New Roman"/>
                <w:highlight w:val="white"/>
              </w:rPr>
              <w:t xml:space="preserve">2025). Through means of such technologies the individuals can be continuously aware or conscious of their health issues. In the context of the technology acceptance model the characteristics of the systems of the technologies influences the users to accept it decline. Such influence is associated with the 2 factors that is perceived ease of use and the perceived usefulness. In such a context, individuals will make more use of smartwatches if they feel that they are efficient for monitoring and improving health (Prieto-Avalos </w:t>
            </w:r>
            <w:r>
              <w:rPr>
                <w:rFonts w:ascii="Times New Roman" w:eastAsia="Times New Roman" w:hAnsi="Times New Roman" w:cs="Times New Roman"/>
                <w:i/>
                <w:iCs/>
                <w:highlight w:val="white"/>
              </w:rPr>
              <w:t xml:space="preserve">et al., </w:t>
            </w:r>
            <w:r>
              <w:rPr>
                <w:rFonts w:ascii="Times New Roman" w:eastAsia="Times New Roman" w:hAnsi="Times New Roman" w:cs="Times New Roman"/>
                <w:highlight w:val="white"/>
              </w:rPr>
              <w:t xml:space="preserve">2022). Considering such concepts the people use smartwatches because they can be used to track heartbeat, blood pressure, tracking physical fitness and so on. </w:t>
            </w:r>
          </w:p>
          <w:p w14:paraId="0DA108DF" w14:textId="77777777" w:rsidR="00D254FC" w:rsidRDefault="00F64097">
            <w:pPr>
              <w:spacing w:line="360" w:lineRule="auto"/>
              <w:jc w:val="both"/>
              <w:rPr>
                <w:rFonts w:ascii="Times New Roman" w:eastAsia="Times New Roman" w:hAnsi="Times New Roman" w:cs="Times New Roman"/>
                <w:b/>
                <w:bCs/>
                <w:highlight w:val="white"/>
              </w:rPr>
            </w:pPr>
            <w:r>
              <w:rPr>
                <w:rFonts w:ascii="Times New Roman" w:eastAsia="Times New Roman" w:hAnsi="Times New Roman" w:cs="Times New Roman"/>
                <w:b/>
                <w:bCs/>
                <w:highlight w:val="white"/>
              </w:rPr>
              <w:t>Role of electronic health records to improve Communication and Collaboration</w:t>
            </w:r>
          </w:p>
          <w:p w14:paraId="0DA108E0"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The electronic health records have significantly improved the accessibility and the effectiveness of the patient information that has led to the enhanced patient care and the better results (Robertson </w:t>
            </w:r>
            <w:r>
              <w:rPr>
                <w:rFonts w:ascii="Times New Roman" w:eastAsia="Times New Roman" w:hAnsi="Times New Roman" w:cs="Times New Roman"/>
                <w:i/>
                <w:iCs/>
                <w:highlight w:val="white"/>
              </w:rPr>
              <w:t xml:space="preserve">et al., </w:t>
            </w:r>
            <w:r>
              <w:rPr>
                <w:rFonts w:ascii="Times New Roman" w:eastAsia="Times New Roman" w:hAnsi="Times New Roman" w:cs="Times New Roman"/>
                <w:highlight w:val="white"/>
              </w:rPr>
              <w:t xml:space="preserve">2022).  In the context of the technology acceptance model healthcare professionals make use of the electronic health records due to the perceived usefulness. Perceived usefulness is the benefits that electronic health records give to healthcare professionals. It consists of the information sharing patient’s condition, accessing the patients’ records, faster health service and so on (Amano </w:t>
            </w:r>
            <w:r>
              <w:rPr>
                <w:rFonts w:ascii="Times New Roman" w:eastAsia="Times New Roman" w:hAnsi="Times New Roman" w:cs="Times New Roman"/>
                <w:i/>
                <w:iCs/>
                <w:highlight w:val="white"/>
              </w:rPr>
              <w:t xml:space="preserve">et al., </w:t>
            </w:r>
            <w:r>
              <w:rPr>
                <w:rFonts w:ascii="Times New Roman" w:eastAsia="Times New Roman" w:hAnsi="Times New Roman" w:cs="Times New Roman"/>
                <w:highlight w:val="white"/>
              </w:rPr>
              <w:t xml:space="preserve">2023). By means of the Technology acceptance model it can be said that the more the benefits of technology the more people will adopt in their life. </w:t>
            </w:r>
          </w:p>
          <w:p w14:paraId="0DA108E1" w14:textId="77777777" w:rsidR="00D254FC" w:rsidRDefault="00F64097">
            <w:pPr>
              <w:spacing w:line="360" w:lineRule="auto"/>
              <w:jc w:val="both"/>
              <w:rPr>
                <w:rFonts w:ascii="Times New Roman" w:eastAsia="Times New Roman" w:hAnsi="Times New Roman" w:cs="Times New Roman"/>
                <w:b/>
                <w:bCs/>
                <w:highlight w:val="white"/>
              </w:rPr>
            </w:pPr>
            <w:r>
              <w:rPr>
                <w:rFonts w:ascii="Times New Roman" w:eastAsia="Times New Roman" w:hAnsi="Times New Roman" w:cs="Times New Roman"/>
                <w:b/>
                <w:bCs/>
                <w:highlight w:val="white"/>
              </w:rPr>
              <w:t>Role of Digital Technology</w:t>
            </w:r>
          </w:p>
          <w:p w14:paraId="0DA108E2"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In the context of the technology acceptance </w:t>
            </w:r>
            <w:proofErr w:type="gramStart"/>
            <w:r>
              <w:rPr>
                <w:rFonts w:ascii="Times New Roman" w:eastAsia="Times New Roman" w:hAnsi="Times New Roman" w:cs="Times New Roman"/>
                <w:highlight w:val="white"/>
              </w:rPr>
              <w:t>model</w:t>
            </w:r>
            <w:proofErr w:type="gramEnd"/>
            <w:r>
              <w:rPr>
                <w:rFonts w:ascii="Times New Roman" w:eastAsia="Times New Roman" w:hAnsi="Times New Roman" w:cs="Times New Roman"/>
                <w:highlight w:val="white"/>
              </w:rPr>
              <w:t xml:space="preserve"> they make use of the Digital technologies such as mobile applications, smart watches and due to the perceived ease of use and the perceived usefulness. In the context of the perceived ease of smart watches, individuals can check the blood pressure, </w:t>
            </w:r>
            <w:proofErr w:type="gramStart"/>
            <w:r>
              <w:rPr>
                <w:rFonts w:ascii="Times New Roman" w:eastAsia="Times New Roman" w:hAnsi="Times New Roman" w:cs="Times New Roman"/>
                <w:highlight w:val="white"/>
              </w:rPr>
              <w:t>heart beat</w:t>
            </w:r>
            <w:proofErr w:type="gramEnd"/>
            <w:r>
              <w:rPr>
                <w:rFonts w:ascii="Times New Roman" w:eastAsia="Times New Roman" w:hAnsi="Times New Roman" w:cs="Times New Roman"/>
                <w:highlight w:val="white"/>
              </w:rPr>
              <w:t xml:space="preserve"> or make calls such easiest and effortless to use makes the people adopt it (</w:t>
            </w:r>
            <w:proofErr w:type="spellStart"/>
            <w:r>
              <w:rPr>
                <w:rFonts w:ascii="Times New Roman" w:eastAsia="Times New Roman" w:hAnsi="Times New Roman" w:cs="Times New Roman"/>
                <w:highlight w:val="white"/>
              </w:rPr>
              <w:t>Mogaji</w:t>
            </w:r>
            <w:proofErr w:type="spellEnd"/>
            <w:r>
              <w:rPr>
                <w:rFonts w:ascii="Times New Roman" w:eastAsia="Times New Roman" w:hAnsi="Times New Roman" w:cs="Times New Roman"/>
                <w:highlight w:val="white"/>
              </w:rPr>
              <w:t xml:space="preserve"> </w:t>
            </w:r>
            <w:r>
              <w:rPr>
                <w:rFonts w:ascii="Times New Roman" w:eastAsia="Times New Roman" w:hAnsi="Times New Roman" w:cs="Times New Roman"/>
                <w:i/>
                <w:iCs/>
                <w:highlight w:val="white"/>
              </w:rPr>
              <w:t xml:space="preserve">et al., </w:t>
            </w:r>
            <w:r>
              <w:rPr>
                <w:rFonts w:ascii="Times New Roman" w:eastAsia="Times New Roman" w:hAnsi="Times New Roman" w:cs="Times New Roman"/>
                <w:highlight w:val="white"/>
              </w:rPr>
              <w:t xml:space="preserve">2024). Similarly, the perceived usefulness is the process by which the individual feels the technology will improve their performance. In the context of smartphones, the individual can make appointments, make calls for necessary assistance and other benefits. Digital devices such as smart watches and other electronic devices assist in making the individual aware regarding medical health and can offer guidance regarding health issues (De Santis </w:t>
            </w:r>
            <w:r>
              <w:rPr>
                <w:rFonts w:ascii="Times New Roman" w:eastAsia="Times New Roman" w:hAnsi="Times New Roman" w:cs="Times New Roman"/>
                <w:i/>
                <w:iCs/>
                <w:highlight w:val="white"/>
              </w:rPr>
              <w:t xml:space="preserve">et al., </w:t>
            </w:r>
            <w:r>
              <w:rPr>
                <w:rFonts w:ascii="Times New Roman" w:eastAsia="Times New Roman" w:hAnsi="Times New Roman" w:cs="Times New Roman"/>
                <w:highlight w:val="white"/>
              </w:rPr>
              <w:t xml:space="preserve">2023). The patients can get their </w:t>
            </w:r>
            <w:proofErr w:type="gramStart"/>
            <w:r>
              <w:rPr>
                <w:rFonts w:ascii="Times New Roman" w:eastAsia="Times New Roman" w:hAnsi="Times New Roman" w:cs="Times New Roman"/>
                <w:highlight w:val="white"/>
              </w:rPr>
              <w:t>heart beat</w:t>
            </w:r>
            <w:proofErr w:type="gramEnd"/>
            <w:r>
              <w:rPr>
                <w:rFonts w:ascii="Times New Roman" w:eastAsia="Times New Roman" w:hAnsi="Times New Roman" w:cs="Times New Roman"/>
                <w:highlight w:val="white"/>
              </w:rPr>
              <w:t xml:space="preserve"> and the blood </w:t>
            </w:r>
            <w:r>
              <w:rPr>
                <w:rFonts w:ascii="Times New Roman" w:eastAsia="Times New Roman" w:hAnsi="Times New Roman" w:cs="Times New Roman"/>
                <w:highlight w:val="white"/>
              </w:rPr>
              <w:lastRenderedPageBreak/>
              <w:t xml:space="preserve">pressure checkup by means of such devices. Among digital devices, social media such as </w:t>
            </w:r>
            <w:proofErr w:type="spellStart"/>
            <w:r>
              <w:rPr>
                <w:rFonts w:ascii="Times New Roman" w:eastAsia="Times New Roman" w:hAnsi="Times New Roman" w:cs="Times New Roman"/>
                <w:highlight w:val="white"/>
              </w:rPr>
              <w:t>Youtube</w:t>
            </w:r>
            <w:proofErr w:type="spellEnd"/>
            <w:r>
              <w:rPr>
                <w:rFonts w:ascii="Times New Roman" w:eastAsia="Times New Roman" w:hAnsi="Times New Roman" w:cs="Times New Roman"/>
                <w:highlight w:val="white"/>
              </w:rPr>
              <w:t>, Facebook and so on act as the most effective platforms for the spreading of information about health. The information regarding the health awareness campaign, education health and so on can be promoted by means of such platforms.</w:t>
            </w:r>
          </w:p>
          <w:p w14:paraId="0DA108E3" w14:textId="77777777" w:rsidR="00D254FC" w:rsidRDefault="00D254FC">
            <w:pPr>
              <w:pBdr>
                <w:top w:val="nil"/>
                <w:left w:val="nil"/>
                <w:bottom w:val="nil"/>
                <w:right w:val="nil"/>
                <w:between w:val="nil"/>
              </w:pBdr>
              <w:spacing w:line="360" w:lineRule="auto"/>
              <w:jc w:val="both"/>
              <w:rPr>
                <w:rFonts w:ascii="Times New Roman" w:eastAsia="Times New Roman" w:hAnsi="Times New Roman" w:cs="Times New Roman"/>
              </w:rPr>
            </w:pPr>
          </w:p>
          <w:p w14:paraId="0DA108E4" w14:textId="77777777" w:rsidR="00D254FC" w:rsidRDefault="00D254FC">
            <w:pPr>
              <w:pBdr>
                <w:top w:val="nil"/>
                <w:left w:val="nil"/>
                <w:bottom w:val="nil"/>
                <w:right w:val="nil"/>
                <w:between w:val="nil"/>
              </w:pBdr>
              <w:spacing w:line="360" w:lineRule="auto"/>
              <w:jc w:val="both"/>
              <w:rPr>
                <w:rFonts w:ascii="Times New Roman" w:eastAsia="Times New Roman" w:hAnsi="Times New Roman" w:cs="Times New Roman"/>
              </w:rPr>
            </w:pPr>
          </w:p>
        </w:tc>
      </w:tr>
      <w:tr w:rsidR="00D254FC" w14:paraId="0DA108EC" w14:textId="77777777">
        <w:tc>
          <w:tcPr>
            <w:tcW w:w="9016" w:type="dxa"/>
          </w:tcPr>
          <w:p w14:paraId="0DA108E6" w14:textId="77777777" w:rsidR="00D254FC" w:rsidRDefault="00F64097">
            <w:pPr>
              <w:pStyle w:val="Heading1"/>
            </w:pPr>
            <w:bookmarkStart w:id="8" w:name="_dq9v8kw4omyj" w:colFirst="0" w:colLast="0"/>
            <w:bookmarkEnd w:id="8"/>
            <w:r>
              <w:lastRenderedPageBreak/>
              <w:t xml:space="preserve">Task 7 - Understanding the NHS Leadership Framework </w:t>
            </w:r>
          </w:p>
          <w:p w14:paraId="0DA108E7"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Inspiring shared purpose is the most effective in the case of healthcare organisations like the NHS UK (Florez-Jimenez </w:t>
            </w:r>
            <w:r>
              <w:rPr>
                <w:rFonts w:ascii="Times New Roman" w:eastAsia="Times New Roman" w:hAnsi="Times New Roman" w:cs="Times New Roman"/>
                <w:i/>
                <w:iCs/>
                <w:highlight w:val="white"/>
              </w:rPr>
              <w:t xml:space="preserve">et al., </w:t>
            </w:r>
            <w:r>
              <w:rPr>
                <w:rFonts w:ascii="Times New Roman" w:eastAsia="Times New Roman" w:hAnsi="Times New Roman" w:cs="Times New Roman"/>
                <w:highlight w:val="white"/>
              </w:rPr>
              <w:t xml:space="preserve">2025). By means of such approaches the leaders can apply their vision or their creativity by combining or cooperating with the different individuals across the UK. As healthcare is a complex profession and it comprises the saving of the lives of the people, there must be leaders that can inspire and guide individuals towards common goals. For example, the NHS leaders can cooperate or communicate with the healthcare professionals or nurses regarding the health services (Tyus-Myles, 2024). </w:t>
            </w:r>
          </w:p>
          <w:p w14:paraId="0DA108E8"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My learning is closely related with the transformational leadership theory in which the leaders guide and motivate the team members towards the goals by means of continuous creativity and innovation (Eaton, Bridgman and Cummings, 2024). It has guided me the way the leaders have to act to bring the creativity, innovation and cooperation in a team in the context of healthcare. In the context of health and social care there is a need for continuous innovation and change and by means of the Transformational Leadership theory I can accomplish such change. </w:t>
            </w:r>
          </w:p>
          <w:p w14:paraId="0DA108E9" w14:textId="77777777" w:rsidR="00D254FC" w:rsidRDefault="00F64097">
            <w:pPr>
              <w:spacing w:line="360" w:lineRule="auto"/>
              <w:jc w:val="both"/>
              <w:rPr>
                <w:rFonts w:ascii="Times New Roman" w:eastAsia="Times New Roman" w:hAnsi="Times New Roman" w:cs="Times New Roman"/>
                <w:b/>
                <w:bCs/>
                <w:highlight w:val="white"/>
              </w:rPr>
            </w:pPr>
            <w:r>
              <w:rPr>
                <w:rFonts w:ascii="Times New Roman" w:eastAsia="Times New Roman" w:hAnsi="Times New Roman" w:cs="Times New Roman"/>
                <w:b/>
                <w:bCs/>
                <w:highlight w:val="white"/>
              </w:rPr>
              <w:t xml:space="preserve">What have you learned during this module? </w:t>
            </w:r>
          </w:p>
          <w:p w14:paraId="0DA108EA"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From this module I have learned that creativity and value creation is the most significant part in the context of the healthcare sector (Bha </w:t>
            </w:r>
            <w:r>
              <w:rPr>
                <w:rFonts w:ascii="Times New Roman" w:eastAsia="Times New Roman" w:hAnsi="Times New Roman" w:cs="Times New Roman"/>
                <w:i/>
                <w:iCs/>
                <w:highlight w:val="white"/>
              </w:rPr>
              <w:t xml:space="preserve">et al., </w:t>
            </w:r>
            <w:r>
              <w:rPr>
                <w:rFonts w:ascii="Times New Roman" w:eastAsia="Times New Roman" w:hAnsi="Times New Roman" w:cs="Times New Roman"/>
                <w:highlight w:val="white"/>
              </w:rPr>
              <w:t>2022). This module has helped me to understand that creativity and value creation are significant aspects in the context of the healthcare sector. It is not only involved in the developing of the distinct ideas but rather the applying of the principles in the real-life context to make the healthcare more effective and reachable even to the common people of the nation</w:t>
            </w:r>
          </w:p>
          <w:p w14:paraId="0DA108EB" w14:textId="77777777" w:rsidR="00D254FC" w:rsidRDefault="00D254FC">
            <w:pPr>
              <w:spacing w:line="360" w:lineRule="auto"/>
              <w:jc w:val="both"/>
              <w:rPr>
                <w:rFonts w:ascii="Times New Roman" w:eastAsia="Times New Roman" w:hAnsi="Times New Roman" w:cs="Times New Roman"/>
                <w:highlight w:val="white"/>
              </w:rPr>
            </w:pPr>
          </w:p>
        </w:tc>
      </w:tr>
      <w:tr w:rsidR="00D254FC" w14:paraId="0DA108F4" w14:textId="77777777">
        <w:tc>
          <w:tcPr>
            <w:tcW w:w="9016" w:type="dxa"/>
          </w:tcPr>
          <w:p w14:paraId="0DA108ED" w14:textId="77777777" w:rsidR="00D254FC" w:rsidRDefault="00F64097">
            <w:pPr>
              <w:pStyle w:val="Heading1"/>
            </w:pPr>
            <w:bookmarkStart w:id="9" w:name="_1dnyx7xlhyzq" w:colFirst="0" w:colLast="0"/>
            <w:bookmarkEnd w:id="9"/>
            <w:r>
              <w:lastRenderedPageBreak/>
              <w:t xml:space="preserve">Task 8 – Self-Reflection Journal Entry </w:t>
            </w:r>
          </w:p>
          <w:p w14:paraId="0DA108EE" w14:textId="77777777" w:rsidR="00D254FC" w:rsidRDefault="00F64097">
            <w:pPr>
              <w:spacing w:line="360" w:lineRule="auto"/>
              <w:jc w:val="both"/>
              <w:rPr>
                <w:rFonts w:ascii="Times New Roman" w:eastAsia="Times New Roman" w:hAnsi="Times New Roman" w:cs="Times New Roman"/>
                <w:b/>
                <w:bCs/>
                <w:highlight w:val="white"/>
              </w:rPr>
            </w:pPr>
            <w:r>
              <w:rPr>
                <w:rFonts w:ascii="Times New Roman" w:eastAsia="Times New Roman" w:hAnsi="Times New Roman" w:cs="Times New Roman"/>
                <w:b/>
                <w:bCs/>
                <w:highlight w:val="white"/>
              </w:rPr>
              <w:t>Reflective model</w:t>
            </w:r>
          </w:p>
          <w:p w14:paraId="0DA108EF"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The </w:t>
            </w:r>
            <w:proofErr w:type="spellStart"/>
            <w:r>
              <w:rPr>
                <w:rFonts w:ascii="Times New Roman" w:eastAsia="Times New Roman" w:hAnsi="Times New Roman" w:cs="Times New Roman"/>
                <w:highlight w:val="white"/>
              </w:rPr>
              <w:t>Kolbs</w:t>
            </w:r>
            <w:proofErr w:type="spellEnd"/>
            <w:r>
              <w:rPr>
                <w:rFonts w:ascii="Times New Roman" w:eastAsia="Times New Roman" w:hAnsi="Times New Roman" w:cs="Times New Roman"/>
                <w:highlight w:val="white"/>
              </w:rPr>
              <w:t xml:space="preserve"> learning cycle assists to explore and understand how learning takes place through means of experience (Sinha, 2023). In the context of concrete experience comprises diagnosis, treatment so that the doctors can understand the necessary steps to be taken for care of the patients. In the reflective observation the healthcare professional further takes care of the patients and identifies the further improvement procedure. In the abstract conceptualisation the healthcare professionals evaluate their experiences and work upon the areas of improvement so that the proper care can be offered to the patients (Egan </w:t>
            </w:r>
            <w:r>
              <w:rPr>
                <w:rFonts w:ascii="Times New Roman" w:eastAsia="Times New Roman" w:hAnsi="Times New Roman" w:cs="Times New Roman"/>
                <w:i/>
                <w:iCs/>
                <w:highlight w:val="white"/>
              </w:rPr>
              <w:t xml:space="preserve">et al., </w:t>
            </w:r>
            <w:r>
              <w:rPr>
                <w:rFonts w:ascii="Times New Roman" w:eastAsia="Times New Roman" w:hAnsi="Times New Roman" w:cs="Times New Roman"/>
                <w:highlight w:val="white"/>
              </w:rPr>
              <w:t xml:space="preserve">2023). Finally, in the active experimentation they apply the knowledge into the practice so that the patient centred care can be offered to the patients. </w:t>
            </w:r>
          </w:p>
          <w:p w14:paraId="0DA108F0" w14:textId="77777777" w:rsidR="00D254FC" w:rsidRDefault="00F64097">
            <w:pPr>
              <w:spacing w:line="360" w:lineRule="auto"/>
              <w:jc w:val="both"/>
              <w:rPr>
                <w:rFonts w:ascii="Times New Roman" w:eastAsia="Times New Roman" w:hAnsi="Times New Roman" w:cs="Times New Roman"/>
                <w:b/>
                <w:bCs/>
                <w:highlight w:val="white"/>
              </w:rPr>
            </w:pPr>
            <w:r>
              <w:rPr>
                <w:rFonts w:ascii="Times New Roman" w:eastAsia="Times New Roman" w:hAnsi="Times New Roman" w:cs="Times New Roman"/>
                <w:b/>
                <w:bCs/>
                <w:highlight w:val="white"/>
              </w:rPr>
              <w:t>Activity that changed thinking</w:t>
            </w:r>
          </w:p>
          <w:p w14:paraId="0DA108F1"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In the context of healthcare, one activity that changed my perspective was patient centred care. I have understood that healthcare is not only about offering medicine and </w:t>
            </w:r>
            <w:proofErr w:type="gramStart"/>
            <w:r>
              <w:rPr>
                <w:rFonts w:ascii="Times New Roman" w:eastAsia="Times New Roman" w:hAnsi="Times New Roman" w:cs="Times New Roman"/>
                <w:highlight w:val="white"/>
              </w:rPr>
              <w:t>treatment</w:t>
            </w:r>
            <w:proofErr w:type="gramEnd"/>
            <w:r>
              <w:rPr>
                <w:rFonts w:ascii="Times New Roman" w:eastAsia="Times New Roman" w:hAnsi="Times New Roman" w:cs="Times New Roman"/>
                <w:highlight w:val="white"/>
              </w:rPr>
              <w:t xml:space="preserve"> but it also comprises the fulfilling of emotional needs of patients (Havana </w:t>
            </w:r>
            <w:r>
              <w:rPr>
                <w:rFonts w:ascii="Times New Roman" w:eastAsia="Times New Roman" w:hAnsi="Times New Roman" w:cs="Times New Roman"/>
                <w:i/>
                <w:iCs/>
                <w:highlight w:val="white"/>
              </w:rPr>
              <w:t xml:space="preserve">et al., </w:t>
            </w:r>
            <w:r>
              <w:rPr>
                <w:rFonts w:ascii="Times New Roman" w:eastAsia="Times New Roman" w:hAnsi="Times New Roman" w:cs="Times New Roman"/>
                <w:highlight w:val="white"/>
              </w:rPr>
              <w:t xml:space="preserve">2023). Offering of proper care, hope, active listening and empathy is most crucial. For example, offering sympathy to patients gives hope and confidence for early recovery and better health. </w:t>
            </w:r>
          </w:p>
          <w:p w14:paraId="0DA108F2" w14:textId="77777777" w:rsidR="00D254FC" w:rsidRDefault="00F64097">
            <w:pPr>
              <w:spacing w:line="360" w:lineRule="auto"/>
              <w:jc w:val="both"/>
              <w:rPr>
                <w:rFonts w:ascii="Times New Roman" w:eastAsia="Times New Roman" w:hAnsi="Times New Roman" w:cs="Times New Roman"/>
                <w:b/>
                <w:bCs/>
                <w:highlight w:val="white"/>
              </w:rPr>
            </w:pPr>
            <w:r>
              <w:rPr>
                <w:rFonts w:ascii="Times New Roman" w:eastAsia="Times New Roman" w:hAnsi="Times New Roman" w:cs="Times New Roman"/>
                <w:b/>
                <w:bCs/>
                <w:highlight w:val="white"/>
              </w:rPr>
              <w:t>Future professional role</w:t>
            </w:r>
          </w:p>
          <w:p w14:paraId="0DA108F3" w14:textId="77777777" w:rsidR="00D254FC" w:rsidRDefault="00F64097">
            <w:pPr>
              <w:spacing w:line="360" w:lineRule="auto"/>
              <w:jc w:val="both"/>
              <w:rPr>
                <w:rFonts w:ascii="Times New Roman" w:eastAsia="Times New Roman" w:hAnsi="Times New Roman" w:cs="Times New Roman"/>
              </w:rPr>
            </w:pPr>
            <w:r>
              <w:rPr>
                <w:rFonts w:ascii="Times New Roman" w:eastAsia="Times New Roman" w:hAnsi="Times New Roman" w:cs="Times New Roman"/>
                <w:highlight w:val="white"/>
              </w:rPr>
              <w:t xml:space="preserve">From the healthcare context I will continuously introspect myself and engage in the learning and developing process so that I can continuously update myself with the different skills and experience required in my role. Along with it I will work upon my emotional intelligence such as love, empathy, listening and so on. I have understood that being emotionally intelligent is vital to establish better relationships and wining trust. </w:t>
            </w:r>
          </w:p>
        </w:tc>
      </w:tr>
      <w:tr w:rsidR="00D254FC" w14:paraId="0DA108F7" w14:textId="77777777">
        <w:tc>
          <w:tcPr>
            <w:tcW w:w="9016" w:type="dxa"/>
          </w:tcPr>
          <w:p w14:paraId="0DA108F5" w14:textId="77777777" w:rsidR="00D254FC" w:rsidRDefault="00F64097">
            <w:pPr>
              <w:pStyle w:val="Heading1"/>
            </w:pPr>
            <w:bookmarkStart w:id="10" w:name="_7yvvtxab2vze" w:colFirst="0" w:colLast="0"/>
            <w:bookmarkEnd w:id="10"/>
            <w:r>
              <w:t xml:space="preserve">Conclusion </w:t>
            </w:r>
          </w:p>
          <w:p w14:paraId="0DA108F6" w14:textId="77777777" w:rsidR="00D254FC" w:rsidRDefault="00F64097">
            <w:pPr>
              <w:spacing w:line="360" w:lineRule="auto"/>
              <w:jc w:val="both"/>
              <w:rPr>
                <w:rFonts w:ascii="Times New Roman" w:eastAsia="Times New Roman" w:hAnsi="Times New Roman" w:cs="Times New Roman"/>
              </w:rPr>
            </w:pPr>
            <w:r>
              <w:rPr>
                <w:rFonts w:ascii="Times New Roman" w:eastAsia="Times New Roman" w:hAnsi="Times New Roman" w:cs="Times New Roman"/>
                <w:highlight w:val="white"/>
              </w:rPr>
              <w:t xml:space="preserve">The NHS is among the leading healthcare of the UK that has been working across the many generations for the welfare of the people of the UK. It has been able to offer a wide range of support and assistance to the nation's people. Through means of its continuous efforts the NHS has been able to take care of numerous people. It has applied the creativity and the value creation approach that has been able to succeed in the larger context in the UK. </w:t>
            </w:r>
          </w:p>
        </w:tc>
      </w:tr>
      <w:tr w:rsidR="00D254FC" w14:paraId="0DA1090D" w14:textId="77777777">
        <w:tc>
          <w:tcPr>
            <w:tcW w:w="9016" w:type="dxa"/>
          </w:tcPr>
          <w:p w14:paraId="0DA108F8" w14:textId="77777777" w:rsidR="00D254FC" w:rsidRDefault="00F64097">
            <w:pPr>
              <w:pStyle w:val="Heading1"/>
            </w:pPr>
            <w:bookmarkStart w:id="11" w:name="_4kfmrpdl9y6r" w:colFirst="0" w:colLast="0"/>
            <w:bookmarkEnd w:id="11"/>
            <w:r>
              <w:lastRenderedPageBreak/>
              <w:t>Reference</w:t>
            </w:r>
          </w:p>
          <w:p w14:paraId="0DA108F9"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Amano, A., Brown-Johnson, C.G., Winget, M., Sinha, A., Shah, S., Sinsky, C.A., Sharp, C., Shanafelt, T. and Skeff, K., 2023. Perspectives on the intersection of electronic health records and health care team communication, function, and well-being. JAMA Network Open, 6(5), p.e2313178.</w:t>
            </w:r>
          </w:p>
          <w:p w14:paraId="0DA108FA"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Bhat, K., </w:t>
            </w:r>
            <w:proofErr w:type="spellStart"/>
            <w:r>
              <w:rPr>
                <w:rFonts w:ascii="Times New Roman" w:eastAsia="Times New Roman" w:hAnsi="Times New Roman" w:cs="Times New Roman"/>
                <w:highlight w:val="white"/>
              </w:rPr>
              <w:t>Easwarathasan</w:t>
            </w:r>
            <w:proofErr w:type="spellEnd"/>
            <w:r>
              <w:rPr>
                <w:rFonts w:ascii="Times New Roman" w:eastAsia="Times New Roman" w:hAnsi="Times New Roman" w:cs="Times New Roman"/>
                <w:highlight w:val="white"/>
              </w:rPr>
              <w:t xml:space="preserve">, R., Jacob, M., Poole, W., </w:t>
            </w:r>
            <w:proofErr w:type="spellStart"/>
            <w:r>
              <w:rPr>
                <w:rFonts w:ascii="Times New Roman" w:eastAsia="Times New Roman" w:hAnsi="Times New Roman" w:cs="Times New Roman"/>
                <w:highlight w:val="white"/>
              </w:rPr>
              <w:t>Sapaetharan</w:t>
            </w:r>
            <w:proofErr w:type="spellEnd"/>
            <w:r>
              <w:rPr>
                <w:rFonts w:ascii="Times New Roman" w:eastAsia="Times New Roman" w:hAnsi="Times New Roman" w:cs="Times New Roman"/>
                <w:highlight w:val="white"/>
              </w:rPr>
              <w:t xml:space="preserve">, V., Sidhu, M. and Thomas, A., 2022. Identifying and understanding the factors that influence the functioning of integrated healthcare systems in the NHS: a systematic literature review. BMJ open, 12(4), </w:t>
            </w:r>
            <w:proofErr w:type="gramStart"/>
            <w:r>
              <w:rPr>
                <w:rFonts w:ascii="Times New Roman" w:eastAsia="Times New Roman" w:hAnsi="Times New Roman" w:cs="Times New Roman"/>
                <w:highlight w:val="white"/>
              </w:rPr>
              <w:t>p.e</w:t>
            </w:r>
            <w:proofErr w:type="gramEnd"/>
            <w:r>
              <w:rPr>
                <w:rFonts w:ascii="Times New Roman" w:eastAsia="Times New Roman" w:hAnsi="Times New Roman" w:cs="Times New Roman"/>
                <w:highlight w:val="white"/>
              </w:rPr>
              <w:t>049296.</w:t>
            </w:r>
            <w:r>
              <w:rPr>
                <w:rFonts w:ascii="Times New Roman" w:eastAsia="Times New Roman" w:hAnsi="Times New Roman" w:cs="Times New Roman"/>
                <w:highlight w:val="white"/>
              </w:rPr>
              <w:br/>
              <w:t xml:space="preserve">Ferreira, T. and Collins, A. (2023). The NHS Long Term Workforce Plan: An ambitious leap or a misstep? </w:t>
            </w:r>
            <w:r>
              <w:rPr>
                <w:rFonts w:ascii="Times New Roman" w:eastAsia="Times New Roman" w:hAnsi="Times New Roman" w:cs="Times New Roman"/>
                <w:i/>
                <w:iCs/>
                <w:highlight w:val="white"/>
              </w:rPr>
              <w:t>Journal of the Royal Society of Medicine</w:t>
            </w:r>
            <w:r>
              <w:rPr>
                <w:rFonts w:ascii="Times New Roman" w:eastAsia="Times New Roman" w:hAnsi="Times New Roman" w:cs="Times New Roman"/>
                <w:highlight w:val="white"/>
              </w:rPr>
              <w:t>, [online] 116(11). doi:10.1177/01410768231198373.</w:t>
            </w:r>
          </w:p>
          <w:p w14:paraId="0DA108FB"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De Santis, K.K., Mergenthal, L., Christianson, L., </w:t>
            </w:r>
            <w:proofErr w:type="spellStart"/>
            <w:r>
              <w:rPr>
                <w:rFonts w:ascii="Times New Roman" w:eastAsia="Times New Roman" w:hAnsi="Times New Roman" w:cs="Times New Roman"/>
                <w:highlight w:val="white"/>
              </w:rPr>
              <w:t>Busskamp</w:t>
            </w:r>
            <w:proofErr w:type="spellEnd"/>
            <w:r>
              <w:rPr>
                <w:rFonts w:ascii="Times New Roman" w:eastAsia="Times New Roman" w:hAnsi="Times New Roman" w:cs="Times New Roman"/>
                <w:highlight w:val="white"/>
              </w:rPr>
              <w:t>, A., Vonstein, C. and Zeeb, H., 2023. Digital technologies for health promotion and disease prevention in older people: scoping review. Journal of medical Internet research, 25, p.e43542.</w:t>
            </w:r>
          </w:p>
          <w:p w14:paraId="0DA108FC"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Eaton, L., Bridgman, T. and Cummings, S., 2024. Advancing the democratization of work: A new intellectual history of transformational leadership theory. Leadership, 20(3), pp.125-143.</w:t>
            </w:r>
          </w:p>
          <w:p w14:paraId="0DA108FD"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Egan, J.D., Tolman, S., McBrayer, J.S. and Ballesteros, E., 2023. Reconceptualizing Kolb's Learning Cycle as Episodic &amp; Lifelong. Experiential Learning and Teaching in Higher Education, 6(1), pp.24-33.</w:t>
            </w:r>
          </w:p>
          <w:p w14:paraId="0DA108FE"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Florez-Jimenez, M.P., Lleo, A., Ruiz-Palomino, P. and Muñoz-Villamizar, A.F., 2025. Corporate sustainability, organizational resilience, and corporate purpose: a review of the academic traditions connecting them. Review of Managerial Science, 19(1), pp.67-104.</w:t>
            </w:r>
          </w:p>
          <w:p w14:paraId="0DA108FF" w14:textId="77777777" w:rsidR="00D254FC" w:rsidRDefault="00F64097">
            <w:pPr>
              <w:spacing w:line="360" w:lineRule="auto"/>
              <w:jc w:val="both"/>
              <w:rPr>
                <w:rFonts w:ascii="Times New Roman" w:eastAsia="Times New Roman" w:hAnsi="Times New Roman" w:cs="Times New Roman"/>
                <w:highlight w:val="white"/>
              </w:rPr>
            </w:pPr>
            <w:proofErr w:type="spellStart"/>
            <w:r>
              <w:rPr>
                <w:rFonts w:ascii="Times New Roman" w:eastAsia="Times New Roman" w:hAnsi="Times New Roman" w:cs="Times New Roman"/>
                <w:highlight w:val="white"/>
              </w:rPr>
              <w:t>Halgamuwe</w:t>
            </w:r>
            <w:proofErr w:type="spellEnd"/>
            <w:r>
              <w:rPr>
                <w:rFonts w:ascii="Times New Roman" w:eastAsia="Times New Roman" w:hAnsi="Times New Roman" w:cs="Times New Roman"/>
                <w:highlight w:val="white"/>
              </w:rPr>
              <w:t xml:space="preserve"> Hewage, H. and Rostami-Tabar, B., (2025). A hybrid predictive and prescriptive modelling framework for long-term mental healthcare workforce planning. </w:t>
            </w:r>
            <w:r>
              <w:rPr>
                <w:rFonts w:ascii="Times New Roman" w:eastAsia="Times New Roman" w:hAnsi="Times New Roman" w:cs="Times New Roman"/>
                <w:i/>
                <w:iCs/>
                <w:highlight w:val="white"/>
              </w:rPr>
              <w:t>Journal of the Operational Research Society</w:t>
            </w:r>
            <w:r>
              <w:rPr>
                <w:rFonts w:ascii="Times New Roman" w:eastAsia="Times New Roman" w:hAnsi="Times New Roman" w:cs="Times New Roman"/>
                <w:highlight w:val="white"/>
              </w:rPr>
              <w:t xml:space="preserve">, pp.1-25. </w:t>
            </w:r>
          </w:p>
          <w:p w14:paraId="0DA10900"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Havana, T., Kuha, S., </w:t>
            </w:r>
            <w:proofErr w:type="spellStart"/>
            <w:r>
              <w:rPr>
                <w:rFonts w:ascii="Times New Roman" w:eastAsia="Times New Roman" w:hAnsi="Times New Roman" w:cs="Times New Roman"/>
                <w:highlight w:val="white"/>
              </w:rPr>
              <w:t>Laukka</w:t>
            </w:r>
            <w:proofErr w:type="spellEnd"/>
            <w:r>
              <w:rPr>
                <w:rFonts w:ascii="Times New Roman" w:eastAsia="Times New Roman" w:hAnsi="Times New Roman" w:cs="Times New Roman"/>
                <w:highlight w:val="white"/>
              </w:rPr>
              <w:t xml:space="preserve">, E. and </w:t>
            </w:r>
            <w:proofErr w:type="spellStart"/>
            <w:r>
              <w:rPr>
                <w:rFonts w:ascii="Times New Roman" w:eastAsia="Times New Roman" w:hAnsi="Times New Roman" w:cs="Times New Roman"/>
                <w:highlight w:val="white"/>
              </w:rPr>
              <w:t>Kanste</w:t>
            </w:r>
            <w:proofErr w:type="spellEnd"/>
            <w:r>
              <w:rPr>
                <w:rFonts w:ascii="Times New Roman" w:eastAsia="Times New Roman" w:hAnsi="Times New Roman" w:cs="Times New Roman"/>
                <w:highlight w:val="white"/>
              </w:rPr>
              <w:t>, O., 2023. Patients' experiences of patient‐centred care in hospital setting: A systematic review of qualitative studies. Scandinavian Journal of Caring Sciences, 37(4), pp.1001-1015.</w:t>
            </w:r>
          </w:p>
          <w:p w14:paraId="0DA10901"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Lewis, C., Kearns, T. and Shannon, M., (2026). Beyond the Bedside: The Pivotal Role of Nursing Clinical Leadership in Developing Virtual Ward Care Through Telemedicine—A Review of the Evidence. </w:t>
            </w:r>
            <w:r>
              <w:rPr>
                <w:rFonts w:ascii="Times New Roman" w:eastAsia="Times New Roman" w:hAnsi="Times New Roman" w:cs="Times New Roman"/>
                <w:i/>
                <w:iCs/>
                <w:highlight w:val="white"/>
              </w:rPr>
              <w:t>Journal of Clinical Nursing</w:t>
            </w:r>
            <w:r>
              <w:rPr>
                <w:rFonts w:ascii="Times New Roman" w:eastAsia="Times New Roman" w:hAnsi="Times New Roman" w:cs="Times New Roman"/>
                <w:highlight w:val="white"/>
              </w:rPr>
              <w:t xml:space="preserve">. </w:t>
            </w:r>
          </w:p>
          <w:p w14:paraId="0DA10902" w14:textId="77777777" w:rsidR="00D254FC" w:rsidRDefault="00F64097">
            <w:pPr>
              <w:spacing w:line="360" w:lineRule="auto"/>
              <w:jc w:val="both"/>
              <w:rPr>
                <w:rFonts w:ascii="Times New Roman" w:eastAsia="Times New Roman" w:hAnsi="Times New Roman" w:cs="Times New Roman"/>
                <w:highlight w:val="white"/>
              </w:rPr>
            </w:pPr>
            <w:proofErr w:type="spellStart"/>
            <w:r>
              <w:rPr>
                <w:rFonts w:ascii="Times New Roman" w:eastAsia="Times New Roman" w:hAnsi="Times New Roman" w:cs="Times New Roman"/>
                <w:highlight w:val="white"/>
              </w:rPr>
              <w:lastRenderedPageBreak/>
              <w:t>Mogaji</w:t>
            </w:r>
            <w:proofErr w:type="spellEnd"/>
            <w:r>
              <w:rPr>
                <w:rFonts w:ascii="Times New Roman" w:eastAsia="Times New Roman" w:hAnsi="Times New Roman" w:cs="Times New Roman"/>
                <w:highlight w:val="white"/>
              </w:rPr>
              <w:t xml:space="preserve">, E., </w:t>
            </w:r>
            <w:proofErr w:type="spellStart"/>
            <w:r>
              <w:rPr>
                <w:rFonts w:ascii="Times New Roman" w:eastAsia="Times New Roman" w:hAnsi="Times New Roman" w:cs="Times New Roman"/>
                <w:highlight w:val="white"/>
              </w:rPr>
              <w:t>Viglia</w:t>
            </w:r>
            <w:proofErr w:type="spellEnd"/>
            <w:r>
              <w:rPr>
                <w:rFonts w:ascii="Times New Roman" w:eastAsia="Times New Roman" w:hAnsi="Times New Roman" w:cs="Times New Roman"/>
                <w:highlight w:val="white"/>
              </w:rPr>
              <w:t xml:space="preserve">, G., Srivastava, P. and Dwivedi, Y.K., 2024. Is it the end of the technology acceptance model in the era of generative artificial </w:t>
            </w:r>
            <w:proofErr w:type="gramStart"/>
            <w:r>
              <w:rPr>
                <w:rFonts w:ascii="Times New Roman" w:eastAsia="Times New Roman" w:hAnsi="Times New Roman" w:cs="Times New Roman"/>
                <w:highlight w:val="white"/>
              </w:rPr>
              <w:t>intelligence?.</w:t>
            </w:r>
            <w:proofErr w:type="gramEnd"/>
            <w:r>
              <w:rPr>
                <w:rFonts w:ascii="Times New Roman" w:eastAsia="Times New Roman" w:hAnsi="Times New Roman" w:cs="Times New Roman"/>
                <w:highlight w:val="white"/>
              </w:rPr>
              <w:t xml:space="preserve"> International Journal of Contemporary Hospitality Management, 36(10), pp.3324-3339.</w:t>
            </w:r>
          </w:p>
          <w:p w14:paraId="0DA10903"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Nazir, A., Nazir, A., Shah Wali Jamal, M., Sadiq, S.U.R., Aman, S., Mustapha, M.J., Lawal, S.O., </w:t>
            </w:r>
            <w:proofErr w:type="spellStart"/>
            <w:r>
              <w:rPr>
                <w:rFonts w:ascii="Times New Roman" w:eastAsia="Times New Roman" w:hAnsi="Times New Roman" w:cs="Times New Roman"/>
                <w:highlight w:val="white"/>
              </w:rPr>
              <w:t>AbdulKareem</w:t>
            </w:r>
            <w:proofErr w:type="spellEnd"/>
            <w:r>
              <w:rPr>
                <w:rFonts w:ascii="Times New Roman" w:eastAsia="Times New Roman" w:hAnsi="Times New Roman" w:cs="Times New Roman"/>
                <w:highlight w:val="white"/>
              </w:rPr>
              <w:t xml:space="preserve">, M.O. and </w:t>
            </w:r>
            <w:proofErr w:type="spellStart"/>
            <w:r>
              <w:rPr>
                <w:rFonts w:ascii="Times New Roman" w:eastAsia="Times New Roman" w:hAnsi="Times New Roman" w:cs="Times New Roman"/>
                <w:highlight w:val="white"/>
              </w:rPr>
              <w:t>Bamigbola</w:t>
            </w:r>
            <w:proofErr w:type="spellEnd"/>
            <w:r>
              <w:rPr>
                <w:rFonts w:ascii="Times New Roman" w:eastAsia="Times New Roman" w:hAnsi="Times New Roman" w:cs="Times New Roman"/>
                <w:highlight w:val="white"/>
              </w:rPr>
              <w:t>, M.F., 2025. Wearable Technology and Its Potential Role in Cardiovascular Health Monitoring and Disease Management. Health Science Reports, 8(11), p.e71486.</w:t>
            </w:r>
          </w:p>
          <w:p w14:paraId="0DA10904" w14:textId="77777777" w:rsidR="00D254FC" w:rsidRDefault="00F64097">
            <w:pPr>
              <w:spacing w:after="240"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NHS England (2024a). </w:t>
            </w:r>
            <w:r>
              <w:rPr>
                <w:rFonts w:ascii="Times New Roman" w:eastAsia="Times New Roman" w:hAnsi="Times New Roman" w:cs="Times New Roman"/>
                <w:i/>
                <w:iCs/>
                <w:highlight w:val="white"/>
              </w:rPr>
              <w:t>NHS England » Community diagnostic centres</w:t>
            </w:r>
            <w:r>
              <w:rPr>
                <w:rFonts w:ascii="Times New Roman" w:eastAsia="Times New Roman" w:hAnsi="Times New Roman" w:cs="Times New Roman"/>
                <w:highlight w:val="white"/>
              </w:rPr>
              <w:t>. [online] England.nhs.uk. Available at: https://www.england.nhs.uk/long-read/community-diagnostic-centres/ [Accessed 9 July 2026a].</w:t>
            </w:r>
          </w:p>
          <w:p w14:paraId="0DA10905" w14:textId="77777777" w:rsidR="00D254FC" w:rsidRDefault="00F64097">
            <w:pPr>
              <w:spacing w:after="240"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NHS England (2024b). </w:t>
            </w:r>
            <w:r>
              <w:rPr>
                <w:rFonts w:ascii="Times New Roman" w:eastAsia="Times New Roman" w:hAnsi="Times New Roman" w:cs="Times New Roman"/>
                <w:i/>
                <w:iCs/>
                <w:highlight w:val="white"/>
              </w:rPr>
              <w:t>Virtual Wards Operational Framework</w:t>
            </w:r>
            <w:r>
              <w:rPr>
                <w:rFonts w:ascii="Times New Roman" w:eastAsia="Times New Roman" w:hAnsi="Times New Roman" w:cs="Times New Roman"/>
                <w:highlight w:val="white"/>
              </w:rPr>
              <w:t>. [online] England.nhs.uk. Available at: https://www.england.nhs.uk/long-read/virtual-wards-operational-framework/ [Accessed 9 July 2026b].</w:t>
            </w:r>
          </w:p>
          <w:p w14:paraId="0DA10906" w14:textId="77777777" w:rsidR="00D254FC" w:rsidRDefault="00F64097">
            <w:pPr>
              <w:spacing w:after="240"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Prieto-Avalos, G., Cruz-Ramos, N.A., Alor-Hernandez, G., Sánchez-Cervantes, J.L., Rodriguez-Mazahua, L. and Guarneros-Nolasco, L.R., 2022. Wearable devices for physical monitoring of the heart: a review. Biosensors, 12(5), p.292.</w:t>
            </w:r>
          </w:p>
          <w:p w14:paraId="0DA10907"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Robertson, S.T., </w:t>
            </w:r>
            <w:proofErr w:type="spellStart"/>
            <w:r>
              <w:rPr>
                <w:rFonts w:ascii="Times New Roman" w:eastAsia="Times New Roman" w:hAnsi="Times New Roman" w:cs="Times New Roman"/>
                <w:highlight w:val="white"/>
              </w:rPr>
              <w:t>Rosbergen</w:t>
            </w:r>
            <w:proofErr w:type="spellEnd"/>
            <w:r>
              <w:rPr>
                <w:rFonts w:ascii="Times New Roman" w:eastAsia="Times New Roman" w:hAnsi="Times New Roman" w:cs="Times New Roman"/>
                <w:highlight w:val="white"/>
              </w:rPr>
              <w:t>, I.C., Burton-Jones, A., Grimley, R.S. and Brauer, S.G., 2022. The effect of the electronic health record on interprofessional practice: a systematic review. Applied Clinical Informatics, 13(03), pp.541-559.</w:t>
            </w:r>
          </w:p>
          <w:p w14:paraId="0DA10908" w14:textId="77777777" w:rsidR="00D254FC" w:rsidRDefault="00F64097">
            <w:pPr>
              <w:spacing w:after="240"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Scottish Government (2022). </w:t>
            </w:r>
            <w:r>
              <w:rPr>
                <w:rFonts w:ascii="Times New Roman" w:eastAsia="Times New Roman" w:hAnsi="Times New Roman" w:cs="Times New Roman"/>
                <w:i/>
                <w:iCs/>
                <w:highlight w:val="white"/>
              </w:rPr>
              <w:t>Health and social care: National workforce strategy</w:t>
            </w:r>
            <w:r>
              <w:rPr>
                <w:rFonts w:ascii="Times New Roman" w:eastAsia="Times New Roman" w:hAnsi="Times New Roman" w:cs="Times New Roman"/>
                <w:highlight w:val="white"/>
              </w:rPr>
              <w:t xml:space="preserve">. [online] </w:t>
            </w:r>
            <w:proofErr w:type="spellStart"/>
            <w:r>
              <w:rPr>
                <w:rFonts w:ascii="Times New Roman" w:eastAsia="Times New Roman" w:hAnsi="Times New Roman" w:cs="Times New Roman"/>
                <w:highlight w:val="white"/>
              </w:rPr>
              <w:t>Www.gov.scot</w:t>
            </w:r>
            <w:proofErr w:type="spellEnd"/>
            <w:r>
              <w:rPr>
                <w:rFonts w:ascii="Times New Roman" w:eastAsia="Times New Roman" w:hAnsi="Times New Roman" w:cs="Times New Roman"/>
                <w:highlight w:val="white"/>
              </w:rPr>
              <w:t>. Available at: https://www.gov.scot/publications/national-workforce-strategy-health-social-care/ [Accessed 9 July 2026].</w:t>
            </w:r>
          </w:p>
          <w:p w14:paraId="0DA10909" w14:textId="77777777" w:rsidR="00D254FC" w:rsidRDefault="00F64097">
            <w:pPr>
              <w:spacing w:line="360" w:lineRule="auto"/>
              <w:jc w:val="both"/>
              <w:rPr>
                <w:rFonts w:ascii="Times New Roman" w:eastAsia="Times New Roman" w:hAnsi="Times New Roman" w:cs="Times New Roman"/>
                <w:highlight w:val="white"/>
              </w:rPr>
            </w:pPr>
            <w:proofErr w:type="spellStart"/>
            <w:r>
              <w:rPr>
                <w:rFonts w:ascii="Times New Roman" w:eastAsia="Times New Roman" w:hAnsi="Times New Roman" w:cs="Times New Roman"/>
                <w:highlight w:val="white"/>
              </w:rPr>
              <w:t>Shemtob</w:t>
            </w:r>
            <w:proofErr w:type="spellEnd"/>
            <w:r>
              <w:rPr>
                <w:rFonts w:ascii="Times New Roman" w:eastAsia="Times New Roman" w:hAnsi="Times New Roman" w:cs="Times New Roman"/>
                <w:highlight w:val="white"/>
              </w:rPr>
              <w:t xml:space="preserve">, L., </w:t>
            </w:r>
            <w:proofErr w:type="spellStart"/>
            <w:r>
              <w:rPr>
                <w:rFonts w:ascii="Times New Roman" w:eastAsia="Times New Roman" w:hAnsi="Times New Roman" w:cs="Times New Roman"/>
                <w:highlight w:val="white"/>
              </w:rPr>
              <w:t>Asanati</w:t>
            </w:r>
            <w:proofErr w:type="spellEnd"/>
            <w:r>
              <w:rPr>
                <w:rFonts w:ascii="Times New Roman" w:eastAsia="Times New Roman" w:hAnsi="Times New Roman" w:cs="Times New Roman"/>
                <w:highlight w:val="white"/>
              </w:rPr>
              <w:t xml:space="preserve">, K., Pahl, N. and Majeed, A., (2023). What needs to be done to address staffing shortages in health and social </w:t>
            </w:r>
            <w:proofErr w:type="gramStart"/>
            <w:r>
              <w:rPr>
                <w:rFonts w:ascii="Times New Roman" w:eastAsia="Times New Roman" w:hAnsi="Times New Roman" w:cs="Times New Roman"/>
                <w:highlight w:val="white"/>
              </w:rPr>
              <w:t>care?.</w:t>
            </w:r>
            <w:proofErr w:type="gramEnd"/>
            <w:r>
              <w:rPr>
                <w:rFonts w:ascii="Times New Roman" w:eastAsia="Times New Roman" w:hAnsi="Times New Roman" w:cs="Times New Roman"/>
                <w:highlight w:val="white"/>
              </w:rPr>
              <w:t xml:space="preserve"> </w:t>
            </w:r>
            <w:r>
              <w:rPr>
                <w:rFonts w:ascii="Times New Roman" w:eastAsia="Times New Roman" w:hAnsi="Times New Roman" w:cs="Times New Roman"/>
                <w:i/>
                <w:iCs/>
                <w:highlight w:val="white"/>
              </w:rPr>
              <w:t>The British Journal of General Practice</w:t>
            </w:r>
            <w:r>
              <w:rPr>
                <w:rFonts w:ascii="Times New Roman" w:eastAsia="Times New Roman" w:hAnsi="Times New Roman" w:cs="Times New Roman"/>
                <w:highlight w:val="white"/>
              </w:rPr>
              <w:t xml:space="preserve">, </w:t>
            </w:r>
            <w:r>
              <w:rPr>
                <w:rFonts w:ascii="Times New Roman" w:eastAsia="Times New Roman" w:hAnsi="Times New Roman" w:cs="Times New Roman"/>
                <w:i/>
                <w:iCs/>
                <w:highlight w:val="white"/>
              </w:rPr>
              <w:t>73</w:t>
            </w:r>
            <w:r>
              <w:rPr>
                <w:rFonts w:ascii="Times New Roman" w:eastAsia="Times New Roman" w:hAnsi="Times New Roman" w:cs="Times New Roman"/>
                <w:highlight w:val="white"/>
              </w:rPr>
              <w:t xml:space="preserve">(728), p.102. </w:t>
            </w:r>
          </w:p>
          <w:p w14:paraId="0DA1090A" w14:textId="77777777" w:rsidR="00D254FC" w:rsidRDefault="00F64097">
            <w:pPr>
              <w:spacing w:after="240"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Shi, C., </w:t>
            </w:r>
            <w:proofErr w:type="spellStart"/>
            <w:r>
              <w:rPr>
                <w:rFonts w:ascii="Times New Roman" w:eastAsia="Times New Roman" w:hAnsi="Times New Roman" w:cs="Times New Roman"/>
                <w:highlight w:val="white"/>
              </w:rPr>
              <w:t>Dumville</w:t>
            </w:r>
            <w:proofErr w:type="spellEnd"/>
            <w:r>
              <w:rPr>
                <w:rFonts w:ascii="Times New Roman" w:eastAsia="Times New Roman" w:hAnsi="Times New Roman" w:cs="Times New Roman"/>
                <w:highlight w:val="white"/>
              </w:rPr>
              <w:t xml:space="preserve">, J., Rubinstein, F., Norman, G., Ullah, A., Bashir, S., Bower, P. and Vardy, E.R., (2024). Inpatient-level care at home delivered by virtual wards and hospital at home: a systematic review and meta-analysis of complex interventions and their components. </w:t>
            </w:r>
            <w:r>
              <w:rPr>
                <w:rFonts w:ascii="Times New Roman" w:eastAsia="Times New Roman" w:hAnsi="Times New Roman" w:cs="Times New Roman"/>
                <w:i/>
                <w:iCs/>
                <w:highlight w:val="white"/>
              </w:rPr>
              <w:t>BMC medicine</w:t>
            </w:r>
            <w:r>
              <w:rPr>
                <w:rFonts w:ascii="Times New Roman" w:eastAsia="Times New Roman" w:hAnsi="Times New Roman" w:cs="Times New Roman"/>
                <w:highlight w:val="white"/>
              </w:rPr>
              <w:t xml:space="preserve">, </w:t>
            </w:r>
            <w:r>
              <w:rPr>
                <w:rFonts w:ascii="Times New Roman" w:eastAsia="Times New Roman" w:hAnsi="Times New Roman" w:cs="Times New Roman"/>
                <w:i/>
                <w:iCs/>
                <w:highlight w:val="white"/>
              </w:rPr>
              <w:t>22</w:t>
            </w:r>
            <w:r>
              <w:rPr>
                <w:rFonts w:ascii="Times New Roman" w:eastAsia="Times New Roman" w:hAnsi="Times New Roman" w:cs="Times New Roman"/>
                <w:highlight w:val="white"/>
              </w:rPr>
              <w:t xml:space="preserve">(1), p.145. </w:t>
            </w:r>
          </w:p>
          <w:p w14:paraId="0DA1090B" w14:textId="77777777" w:rsidR="00D254FC" w:rsidRDefault="00F64097">
            <w:pPr>
              <w:spacing w:line="360" w:lineRule="auto"/>
              <w:jc w:val="both"/>
              <w:rPr>
                <w:rFonts w:ascii="Times New Roman" w:eastAsia="Times New Roman" w:hAnsi="Times New Roman" w:cs="Times New Roman"/>
                <w:highlight w:val="white"/>
              </w:rPr>
            </w:pPr>
            <w:r>
              <w:rPr>
                <w:rFonts w:ascii="Times New Roman" w:eastAsia="Times New Roman" w:hAnsi="Times New Roman" w:cs="Times New Roman"/>
                <w:highlight w:val="white"/>
              </w:rPr>
              <w:lastRenderedPageBreak/>
              <w:t>Sinha, E., 2023. ‘Co-</w:t>
            </w:r>
            <w:proofErr w:type="spellStart"/>
            <w:r>
              <w:rPr>
                <w:rFonts w:ascii="Times New Roman" w:eastAsia="Times New Roman" w:hAnsi="Times New Roman" w:cs="Times New Roman"/>
                <w:highlight w:val="white"/>
              </w:rPr>
              <w:t>creating’experiential</w:t>
            </w:r>
            <w:proofErr w:type="spellEnd"/>
            <w:r>
              <w:rPr>
                <w:rFonts w:ascii="Times New Roman" w:eastAsia="Times New Roman" w:hAnsi="Times New Roman" w:cs="Times New Roman"/>
                <w:highlight w:val="white"/>
              </w:rPr>
              <w:t xml:space="preserve"> learning in the metaverse-extending the Kolb's learning cycle and identifying potential challenges. The International Journal of Management Education, 21(3), p.100875.</w:t>
            </w:r>
          </w:p>
          <w:p w14:paraId="0DA1090C" w14:textId="77777777" w:rsidR="00D254FC" w:rsidRDefault="00F64097">
            <w:pPr>
              <w:spacing w:line="360" w:lineRule="auto"/>
              <w:jc w:val="both"/>
              <w:rPr>
                <w:rFonts w:ascii="Times New Roman" w:eastAsia="Times New Roman" w:hAnsi="Times New Roman" w:cs="Times New Roman"/>
              </w:rPr>
            </w:pPr>
            <w:r>
              <w:rPr>
                <w:rFonts w:ascii="Times New Roman" w:eastAsia="Times New Roman" w:hAnsi="Times New Roman" w:cs="Times New Roman"/>
                <w:highlight w:val="white"/>
              </w:rPr>
              <w:t>Tyus-Myles, A., 2024. From Aspiration to Impact: Paving the Path in Healthcare and Inspiring Future Generations. Missouri Medicine, 121(1), p.27.</w:t>
            </w:r>
          </w:p>
        </w:tc>
      </w:tr>
    </w:tbl>
    <w:p w14:paraId="0DA1090E" w14:textId="77777777" w:rsidR="00D254FC" w:rsidRDefault="00D254FC">
      <w:pPr>
        <w:spacing w:line="360" w:lineRule="auto"/>
        <w:jc w:val="center"/>
        <w:rPr>
          <w:rFonts w:ascii="Times New Roman" w:eastAsia="Times New Roman" w:hAnsi="Times New Roman" w:cs="Times New Roman"/>
          <w:b/>
          <w:bCs/>
        </w:rPr>
      </w:pPr>
    </w:p>
    <w:p w14:paraId="0DA1090F" w14:textId="77777777" w:rsidR="00D254FC" w:rsidRDefault="00D254FC"/>
    <w:sectPr w:rsidR="00D254FC">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61F40DED-7FD4-47AD-9491-E849C1F3EEE3}"/>
    <w:embedItalic r:id="rId2" w:fontKey="{B4198489-F840-4090-B5FE-AA9BE08D0F88}"/>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3" w:fontKey="{16CBF70C-7A56-4102-BA15-71194C3D1C84}"/>
  </w:font>
  <w:font w:name="Quattrocento Sans">
    <w:charset w:val="00"/>
    <w:family w:val="swiss"/>
    <w:pitch w:val="variable"/>
    <w:sig w:usb0="800000BF" w:usb1="4000005B" w:usb2="00000000" w:usb3="00000000" w:csb0="00000001" w:csb1="00000000"/>
    <w:embedBold r:id="rId4" w:fontKey="{67E91E6A-308E-4B4A-99B3-00348C84333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5" w:fontKey="{76EFB889-F1F8-4533-AAC1-2C23EBD21819}"/>
  </w:font>
  <w:font w:name="Cambria">
    <w:panose1 w:val="02040503050406030204"/>
    <w:charset w:val="00"/>
    <w:family w:val="roman"/>
    <w:pitch w:val="variable"/>
    <w:sig w:usb0="E00006FF" w:usb1="420024FF" w:usb2="02000000" w:usb3="00000000" w:csb0="0000019F" w:csb1="00000000"/>
    <w:embedRegular r:id="rId6" w:fontKey="{35E08F78-CF8B-434E-9793-5FD7CFFD67B5}"/>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54FC"/>
    <w:rsid w:val="00321454"/>
    <w:rsid w:val="003F1F6C"/>
    <w:rsid w:val="00513818"/>
    <w:rsid w:val="00651DC7"/>
    <w:rsid w:val="00663C60"/>
    <w:rsid w:val="006D445A"/>
    <w:rsid w:val="00CD55AF"/>
    <w:rsid w:val="00D254FC"/>
    <w:rsid w:val="00F640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1089A"/>
  <w15:docId w15:val="{A759686B-28E9-47AF-9135-073EA56C5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line="360" w:lineRule="auto"/>
      <w:jc w:val="both"/>
      <w:outlineLvl w:val="0"/>
    </w:pPr>
    <w:rPr>
      <w:rFonts w:ascii="Times New Roman" w:eastAsia="Times New Roman" w:hAnsi="Times New Roman" w:cs="Times New Roman"/>
      <w:b/>
      <w:bCs/>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15</Pages>
  <Words>3313</Words>
  <Characters>18890</Characters>
  <Application>Microsoft Office Word</Application>
  <DocSecurity>0</DocSecurity>
  <Lines>157</Lines>
  <Paragraphs>44</Paragraphs>
  <ScaleCrop>false</ScaleCrop>
  <Company/>
  <LinksUpToDate>false</LinksUpToDate>
  <CharactersWithSpaces>22159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Lucica-Stanca Oprescu (2417337)</cp:lastModifiedBy>
  <cp:revision>6</cp:revision>
  <dcterms:created xsi:type="dcterms:W3CDTF">2026-07-13T21:31:00Z</dcterms:created>
  <dcterms:modified xsi:type="dcterms:W3CDTF">2026-07-18T18:11:00Z</dcterms:modified>
</cp:coreProperties>
</file>