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794D" w:rsidRPr="00520821" w:rsidRDefault="0019794D" w:rsidP="00C215F8">
      <w:pPr>
        <w:spacing w:line="360" w:lineRule="auto"/>
        <w:jc w:val="center"/>
        <w:rPr>
          <w:rFonts w:cstheme="minorHAnsi"/>
          <w:b/>
          <w:sz w:val="32"/>
          <w:szCs w:val="32"/>
        </w:rPr>
      </w:pPr>
      <w:r w:rsidRPr="00520821">
        <w:rPr>
          <w:rFonts w:cstheme="minorHAnsi"/>
          <w:b/>
          <w:sz w:val="32"/>
          <w:szCs w:val="32"/>
        </w:rPr>
        <w:t xml:space="preserve">Choose </w:t>
      </w:r>
      <w:r w:rsidRPr="00520821">
        <w:rPr>
          <w:rStyle w:val="Strong"/>
          <w:rFonts w:cstheme="minorHAnsi"/>
          <w:sz w:val="32"/>
          <w:szCs w:val="32"/>
        </w:rPr>
        <w:t>either</w:t>
      </w:r>
      <w:r w:rsidRPr="00520821">
        <w:rPr>
          <w:rFonts w:cstheme="minorHAnsi"/>
          <w:b/>
          <w:sz w:val="32"/>
          <w:szCs w:val="32"/>
        </w:rPr>
        <w:t xml:space="preserve"> one building</w:t>
      </w:r>
      <w:r w:rsidRPr="00520821">
        <w:rPr>
          <w:rStyle w:val="Strong"/>
          <w:rFonts w:cstheme="minorHAnsi"/>
          <w:b w:val="0"/>
          <w:sz w:val="32"/>
          <w:szCs w:val="32"/>
        </w:rPr>
        <w:t xml:space="preserve"> </w:t>
      </w:r>
      <w:r w:rsidRPr="00520821">
        <w:rPr>
          <w:rStyle w:val="Strong"/>
          <w:rFonts w:cstheme="minorHAnsi"/>
          <w:sz w:val="32"/>
          <w:szCs w:val="32"/>
        </w:rPr>
        <w:t>or</w:t>
      </w:r>
      <w:r w:rsidRPr="00520821">
        <w:rPr>
          <w:rFonts w:cstheme="minorHAnsi"/>
          <w:sz w:val="32"/>
          <w:szCs w:val="32"/>
        </w:rPr>
        <w:t xml:space="preserve"> </w:t>
      </w:r>
      <w:r w:rsidRPr="00520821">
        <w:rPr>
          <w:rFonts w:cstheme="minorHAnsi"/>
          <w:b/>
          <w:sz w:val="32"/>
          <w:szCs w:val="32"/>
        </w:rPr>
        <w:t>one object and explain its significance and importance wit</w:t>
      </w:r>
      <w:r w:rsidR="00B66922" w:rsidRPr="00520821">
        <w:rPr>
          <w:rFonts w:cstheme="minorHAnsi"/>
          <w:b/>
          <w:sz w:val="32"/>
          <w:szCs w:val="32"/>
        </w:rPr>
        <w:t>hin Islamic art and archaeology:</w:t>
      </w:r>
    </w:p>
    <w:p w:rsidR="0019794D" w:rsidRPr="00520821" w:rsidRDefault="0019794D" w:rsidP="00C215F8">
      <w:pPr>
        <w:spacing w:line="360" w:lineRule="auto"/>
        <w:jc w:val="center"/>
        <w:rPr>
          <w:rFonts w:cstheme="minorHAnsi"/>
          <w:b/>
          <w:sz w:val="32"/>
          <w:szCs w:val="32"/>
        </w:rPr>
      </w:pPr>
      <w:r w:rsidRPr="00520821">
        <w:rPr>
          <w:rFonts w:cstheme="minorHAnsi"/>
          <w:b/>
          <w:sz w:val="32"/>
          <w:szCs w:val="32"/>
        </w:rPr>
        <w:t>The Mosque of Ibn Tulun</w:t>
      </w:r>
    </w:p>
    <w:p w:rsidR="006C4C3D" w:rsidRPr="00520821" w:rsidRDefault="006C4C3D" w:rsidP="006C4C3D">
      <w:pPr>
        <w:keepNext/>
        <w:spacing w:line="360" w:lineRule="auto"/>
        <w:jc w:val="center"/>
      </w:pPr>
      <w:r w:rsidRPr="00520821">
        <w:drawing>
          <wp:inline distT="0" distB="0" distL="0" distR="0" wp14:anchorId="007E17C4" wp14:editId="0211435F">
            <wp:extent cx="5731510" cy="37255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25545"/>
                    </a:xfrm>
                    <a:prstGeom prst="rect">
                      <a:avLst/>
                    </a:prstGeom>
                  </pic:spPr>
                </pic:pic>
              </a:graphicData>
            </a:graphic>
          </wp:inline>
        </w:drawing>
      </w:r>
    </w:p>
    <w:p w:rsidR="006C4C3D" w:rsidRPr="00520821" w:rsidRDefault="006C4C3D" w:rsidP="006C4C3D">
      <w:pPr>
        <w:pStyle w:val="Caption"/>
        <w:jc w:val="center"/>
        <w:rPr>
          <w:rFonts w:cstheme="minorHAnsi"/>
          <w:b/>
          <w:sz w:val="32"/>
          <w:szCs w:val="32"/>
        </w:rPr>
      </w:pPr>
      <w:r w:rsidRPr="00520821">
        <w:t xml:space="preserve">Figure </w:t>
      </w:r>
      <w:r w:rsidRPr="00520821">
        <w:fldChar w:fldCharType="begin"/>
      </w:r>
      <w:r w:rsidRPr="00520821">
        <w:instrText xml:space="preserve"> SEQ Figure \* ARABIC </w:instrText>
      </w:r>
      <w:r w:rsidRPr="00520821">
        <w:fldChar w:fldCharType="separate"/>
      </w:r>
      <w:r w:rsidR="00010128">
        <w:rPr>
          <w:noProof/>
        </w:rPr>
        <w:t>1</w:t>
      </w:r>
      <w:r w:rsidRPr="00520821">
        <w:fldChar w:fldCharType="end"/>
      </w:r>
      <w:r w:rsidRPr="00520821">
        <w:t>: Arial view of the Mosque of Ibn Tulun.</w:t>
      </w:r>
    </w:p>
    <w:p w:rsidR="00254C6B" w:rsidRPr="00520821" w:rsidRDefault="00254C6B" w:rsidP="00C215F8">
      <w:pPr>
        <w:spacing w:line="360" w:lineRule="auto"/>
        <w:rPr>
          <w:rFonts w:cstheme="minorHAnsi"/>
          <w:b/>
        </w:rPr>
      </w:pPr>
      <w:r w:rsidRPr="00520821">
        <w:rPr>
          <w:rFonts w:cstheme="minorHAnsi"/>
          <w:b/>
        </w:rPr>
        <w:t>Intro</w:t>
      </w:r>
      <w:r w:rsidR="00B66922" w:rsidRPr="00520821">
        <w:rPr>
          <w:rFonts w:cstheme="minorHAnsi"/>
          <w:b/>
        </w:rPr>
        <w:t>duction</w:t>
      </w:r>
    </w:p>
    <w:p w:rsidR="00254C6B" w:rsidRPr="00520821" w:rsidRDefault="00DE0239" w:rsidP="00C215F8">
      <w:pPr>
        <w:spacing w:line="360" w:lineRule="auto"/>
        <w:rPr>
          <w:rFonts w:cstheme="minorHAnsi"/>
        </w:rPr>
      </w:pPr>
      <w:r w:rsidRPr="00520821">
        <w:rPr>
          <w:rFonts w:cstheme="minorHAnsi"/>
        </w:rPr>
        <w:t>The Mosque of Ib</w:t>
      </w:r>
      <w:r w:rsidR="00B66922" w:rsidRPr="00520821">
        <w:rPr>
          <w:rFonts w:cstheme="minorHAnsi"/>
        </w:rPr>
        <w:t>n Tulun,</w:t>
      </w:r>
      <w:r w:rsidR="008B6F97" w:rsidRPr="00520821">
        <w:rPr>
          <w:rFonts w:cstheme="minorHAnsi"/>
        </w:rPr>
        <w:t xml:space="preserve"> sometimes referred to as the Mosque of Al-Maydan,</w:t>
      </w:r>
      <w:r w:rsidR="00B66922" w:rsidRPr="00520821">
        <w:rPr>
          <w:rFonts w:cstheme="minorHAnsi"/>
        </w:rPr>
        <w:t xml:space="preserve"> </w:t>
      </w:r>
      <w:r w:rsidR="0019794D" w:rsidRPr="00520821">
        <w:rPr>
          <w:rFonts w:cstheme="minorHAnsi"/>
        </w:rPr>
        <w:t>is the oldest intact example of Islamic architecture in Egypt</w:t>
      </w:r>
      <w:r w:rsidR="00254DF7" w:rsidRPr="00520821">
        <w:rPr>
          <w:rFonts w:cstheme="minorHAnsi"/>
        </w:rPr>
        <w:t>.</w:t>
      </w:r>
      <w:r w:rsidR="008B6F97" w:rsidRPr="00520821">
        <w:rPr>
          <w:rFonts w:cstheme="minorHAnsi"/>
        </w:rPr>
        <w:t xml:space="preserve"> Although there are various dates given for the beginning of its construction, a foundation inscription states it was completed</w:t>
      </w:r>
      <w:r w:rsidR="008B6F97" w:rsidRPr="00520821">
        <w:rPr>
          <w:rFonts w:cstheme="minorHAnsi"/>
        </w:rPr>
        <w:t xml:space="preserve"> in 879 AD (265</w:t>
      </w:r>
      <w:r w:rsidR="008B6F97" w:rsidRPr="00520821">
        <w:rPr>
          <w:rFonts w:cstheme="minorHAnsi"/>
        </w:rPr>
        <w:t xml:space="preserve"> AH).</w:t>
      </w:r>
      <w:r w:rsidR="00D65FB0" w:rsidRPr="00520821">
        <w:rPr>
          <w:rStyle w:val="FootnoteReference"/>
          <w:rFonts w:cstheme="minorHAnsi"/>
        </w:rPr>
        <w:footnoteReference w:id="1"/>
      </w:r>
      <w:r w:rsidR="00254DF7" w:rsidRPr="00520821">
        <w:rPr>
          <w:rFonts w:cstheme="minorHAnsi"/>
        </w:rPr>
        <w:t xml:space="preserve"> Now part of the greater conurbation of Cairo, it is set apart from the many other mosques of the city by its architectural features, making it an interesting example for study. Whilst very much of the Samarran style,</w:t>
      </w:r>
      <w:r w:rsidR="00962596" w:rsidRPr="00520821">
        <w:rPr>
          <w:rFonts w:cstheme="minorHAnsi"/>
        </w:rPr>
        <w:t xml:space="preserve"> it is also host to a confluence of other artistic and architectural features from around the contemporary Islamic world.</w:t>
      </w:r>
    </w:p>
    <w:p w:rsidR="008D1FCC" w:rsidRPr="00520821" w:rsidRDefault="00B66922" w:rsidP="00C215F8">
      <w:pPr>
        <w:spacing w:line="360" w:lineRule="auto"/>
        <w:rPr>
          <w:rFonts w:cstheme="minorHAnsi"/>
        </w:rPr>
      </w:pPr>
      <w:r w:rsidRPr="00520821">
        <w:rPr>
          <w:rFonts w:cstheme="minorHAnsi"/>
        </w:rPr>
        <w:t xml:space="preserve">There are numerous historical factors that make the Ibn Tulun mosque important. Due to the impending collapse of the Abbasid Caliphate, Ibn Tulun was able to capitalize on his favoured </w:t>
      </w:r>
      <w:r w:rsidRPr="00520821">
        <w:rPr>
          <w:rFonts w:cstheme="minorHAnsi"/>
        </w:rPr>
        <w:lastRenderedPageBreak/>
        <w:t>administrative position to secure “nominal” control of Egypt</w:t>
      </w:r>
      <w:r w:rsidRPr="00520821">
        <w:rPr>
          <w:rFonts w:cstheme="minorHAnsi"/>
        </w:rPr>
        <w:t xml:space="preserve">, </w:t>
      </w:r>
      <w:r w:rsidRPr="00520821">
        <w:rPr>
          <w:rFonts w:cstheme="minorHAnsi"/>
        </w:rPr>
        <w:t>before going on to bring Syria within his sphere of influence.</w:t>
      </w:r>
      <w:r w:rsidR="00AE0316" w:rsidRPr="00520821">
        <w:rPr>
          <w:rFonts w:cstheme="minorHAnsi"/>
        </w:rPr>
        <w:t xml:space="preserve"> The fusion of architectural influence</w:t>
      </w:r>
      <w:r w:rsidR="008D1FCC" w:rsidRPr="00520821">
        <w:rPr>
          <w:rFonts w:cstheme="minorHAnsi"/>
        </w:rPr>
        <w:t xml:space="preserve">s within this structure are derived from numerous places, peoples and even religious backgrounds. This essay will attempt to describe the site, provide historical context to the mosque, define the influences both </w:t>
      </w:r>
      <w:r w:rsidR="008D1FCC" w:rsidRPr="00520821">
        <w:rPr>
          <w:rFonts w:cstheme="minorHAnsi"/>
          <w:i/>
        </w:rPr>
        <w:t>on</w:t>
      </w:r>
      <w:r w:rsidR="008D1FCC" w:rsidRPr="00520821">
        <w:rPr>
          <w:rFonts w:cstheme="minorHAnsi"/>
        </w:rPr>
        <w:t xml:space="preserve"> and </w:t>
      </w:r>
      <w:r w:rsidR="008D1FCC" w:rsidRPr="00520821">
        <w:rPr>
          <w:rFonts w:cstheme="minorHAnsi"/>
          <w:i/>
        </w:rPr>
        <w:t>of</w:t>
      </w:r>
      <w:r w:rsidR="008D1FCC" w:rsidRPr="00520821">
        <w:rPr>
          <w:rFonts w:cstheme="minorHAnsi"/>
        </w:rPr>
        <w:t xml:space="preserve"> the structure in its contemporary world, and ultimately attempt to evaluate the lasting impression this monumental early Islamic structure </w:t>
      </w:r>
      <w:r w:rsidR="0069679B" w:rsidRPr="00520821">
        <w:rPr>
          <w:rFonts w:cstheme="minorHAnsi"/>
        </w:rPr>
        <w:t>has had on the modern era.</w:t>
      </w:r>
    </w:p>
    <w:p w:rsidR="00AE0316" w:rsidRPr="00520821" w:rsidRDefault="00AE0316" w:rsidP="00C215F8">
      <w:pPr>
        <w:spacing w:line="360" w:lineRule="auto"/>
        <w:rPr>
          <w:rFonts w:cstheme="minorHAnsi"/>
          <w:b/>
        </w:rPr>
      </w:pPr>
      <w:r w:rsidRPr="00520821">
        <w:rPr>
          <w:rFonts w:cstheme="minorHAnsi"/>
          <w:b/>
        </w:rPr>
        <w:t>Historical Context</w:t>
      </w:r>
    </w:p>
    <w:p w:rsidR="00B66922" w:rsidRPr="00520821" w:rsidRDefault="00B66922" w:rsidP="00C215F8">
      <w:pPr>
        <w:spacing w:line="360" w:lineRule="auto"/>
        <w:rPr>
          <w:rFonts w:cstheme="minorHAnsi"/>
        </w:rPr>
      </w:pPr>
      <w:r w:rsidRPr="00520821">
        <w:rPr>
          <w:rFonts w:cstheme="minorHAnsi"/>
        </w:rPr>
        <w:t xml:space="preserve">To call the Tulunid </w:t>
      </w:r>
      <w:r w:rsidR="00AE0316" w:rsidRPr="00520821">
        <w:rPr>
          <w:rFonts w:cstheme="minorHAnsi"/>
        </w:rPr>
        <w:t>rulers</w:t>
      </w:r>
      <w:r w:rsidRPr="00520821">
        <w:rPr>
          <w:rFonts w:cstheme="minorHAnsi"/>
        </w:rPr>
        <w:t xml:space="preserve"> a dynasty appears an overstatement, when considering the relatively short duration of their rule. In but a handful of generations, the Tulunids were again overthrown by briefly resurgent Abbasid leadership. In much scholarship they are</w:t>
      </w:r>
      <w:r w:rsidR="00812022" w:rsidRPr="00520821">
        <w:rPr>
          <w:rFonts w:cstheme="minorHAnsi"/>
        </w:rPr>
        <w:t xml:space="preserve"> unfairly</w:t>
      </w:r>
      <w:r w:rsidRPr="00520821">
        <w:rPr>
          <w:rFonts w:cstheme="minorHAnsi"/>
        </w:rPr>
        <w:t xml:space="preserve"> reduced to little more than a footnote or a mention in passing.</w:t>
      </w:r>
      <w:r w:rsidR="00812022" w:rsidRPr="00520821">
        <w:rPr>
          <w:rStyle w:val="FootnoteReference"/>
          <w:rFonts w:cstheme="minorHAnsi"/>
        </w:rPr>
        <w:footnoteReference w:id="2"/>
      </w:r>
      <w:r w:rsidRPr="00520821">
        <w:rPr>
          <w:rFonts w:cstheme="minorHAnsi"/>
        </w:rPr>
        <w:t xml:space="preserve"> Yet they undoubtedly left their mark on the face of the Islamic world, even outside of the cut-throat political arena of their age. Nowhere is this in greater evidence than in their architectural monuments.</w:t>
      </w:r>
    </w:p>
    <w:p w:rsidR="00A76DE9" w:rsidRPr="00520821" w:rsidRDefault="00AE0316" w:rsidP="00C215F8">
      <w:pPr>
        <w:spacing w:line="360" w:lineRule="auto"/>
        <w:rPr>
          <w:rFonts w:cstheme="minorHAnsi"/>
        </w:rPr>
      </w:pPr>
      <w:r w:rsidRPr="00520821">
        <w:rPr>
          <w:rFonts w:cstheme="minorHAnsi"/>
        </w:rPr>
        <w:t>Ahmad ibn Tulun,</w:t>
      </w:r>
      <w:r w:rsidR="00B0395B" w:rsidRPr="00520821">
        <w:rPr>
          <w:rFonts w:cstheme="minorHAnsi"/>
        </w:rPr>
        <w:t xml:space="preserve"> of Turkish slave background,</w:t>
      </w:r>
      <w:r w:rsidRPr="00520821">
        <w:rPr>
          <w:rFonts w:cstheme="minorHAnsi"/>
        </w:rPr>
        <w:t xml:space="preserve"> </w:t>
      </w:r>
      <w:r w:rsidR="00B0395B" w:rsidRPr="00520821">
        <w:rPr>
          <w:rFonts w:cstheme="minorHAnsi"/>
        </w:rPr>
        <w:t>ruled</w:t>
      </w:r>
      <w:r w:rsidRPr="00520821">
        <w:rPr>
          <w:rFonts w:cstheme="minorHAnsi"/>
        </w:rPr>
        <w:t xml:space="preserve"> between 868 and 884</w:t>
      </w:r>
      <w:r w:rsidR="00B0395B" w:rsidRPr="00520821">
        <w:rPr>
          <w:rFonts w:cstheme="minorHAnsi"/>
        </w:rPr>
        <w:t xml:space="preserve"> as</w:t>
      </w:r>
      <w:r w:rsidRPr="00520821">
        <w:rPr>
          <w:rFonts w:cstheme="minorHAnsi"/>
        </w:rPr>
        <w:t xml:space="preserve"> the Abbasid</w:t>
      </w:r>
      <w:r w:rsidR="00B0395B" w:rsidRPr="00520821">
        <w:rPr>
          <w:rFonts w:cstheme="minorHAnsi"/>
        </w:rPr>
        <w:t xml:space="preserve"> governor for the region. </w:t>
      </w:r>
      <w:r w:rsidRPr="00520821">
        <w:rPr>
          <w:rFonts w:cstheme="minorHAnsi"/>
        </w:rPr>
        <w:t>Yet his rule was essentially one</w:t>
      </w:r>
      <w:r w:rsidR="00B0395B" w:rsidRPr="00520821">
        <w:rPr>
          <w:rFonts w:cstheme="minorHAnsi"/>
        </w:rPr>
        <w:t xml:space="preserve"> characterized by</w:t>
      </w:r>
      <w:r w:rsidRPr="00520821">
        <w:rPr>
          <w:rFonts w:cstheme="minorHAnsi"/>
        </w:rPr>
        <w:t xml:space="preserve"> independence, with little involvement from Abbasid authority. </w:t>
      </w:r>
      <w:r w:rsidR="00A76DE9" w:rsidRPr="00520821">
        <w:rPr>
          <w:rFonts w:cstheme="minorHAnsi"/>
        </w:rPr>
        <w:t>He</w:t>
      </w:r>
      <w:r w:rsidRPr="00520821">
        <w:rPr>
          <w:rFonts w:cstheme="minorHAnsi"/>
        </w:rPr>
        <w:t xml:space="preserve"> commissioned numerous construction projects within Egypt</w:t>
      </w:r>
      <w:r w:rsidR="00A76DE9" w:rsidRPr="00520821">
        <w:rPr>
          <w:rFonts w:cstheme="minorHAnsi"/>
        </w:rPr>
        <w:t xml:space="preserve">, building his own capital city al-Qata’i much as the Abbasids did </w:t>
      </w:r>
      <w:r w:rsidR="00C83026" w:rsidRPr="00520821">
        <w:rPr>
          <w:rFonts w:cstheme="minorHAnsi"/>
        </w:rPr>
        <w:t>with their own Samarra in Iraq.</w:t>
      </w:r>
    </w:p>
    <w:p w:rsidR="00B66922" w:rsidRPr="00520821" w:rsidRDefault="00B66922" w:rsidP="00C215F8">
      <w:pPr>
        <w:spacing w:line="360" w:lineRule="auto"/>
        <w:rPr>
          <w:rFonts w:cstheme="minorHAnsi"/>
        </w:rPr>
      </w:pPr>
      <w:r w:rsidRPr="00520821">
        <w:rPr>
          <w:rFonts w:cstheme="minorHAnsi"/>
        </w:rPr>
        <w:t xml:space="preserve">As the oldest intact example of monumental Islamic architecture in </w:t>
      </w:r>
      <w:r w:rsidRPr="00520821">
        <w:rPr>
          <w:rFonts w:cstheme="minorHAnsi"/>
        </w:rPr>
        <w:t>Cairo</w:t>
      </w:r>
      <w:r w:rsidRPr="00520821">
        <w:rPr>
          <w:rFonts w:cstheme="minorHAnsi"/>
        </w:rPr>
        <w:t>, the mosque is host to a fusion of features from around the Islamic world of its time.</w:t>
      </w:r>
      <w:r w:rsidR="00AE0316" w:rsidRPr="00520821">
        <w:rPr>
          <w:rFonts w:cstheme="minorHAnsi"/>
        </w:rPr>
        <w:t xml:space="preserve"> </w:t>
      </w:r>
      <w:r w:rsidRPr="00520821">
        <w:rPr>
          <w:rFonts w:cstheme="minorHAnsi"/>
        </w:rPr>
        <w:t xml:space="preserve">Samarran mosques, notably the mosque of Al-Muttawakil and its sister structure the Abu Dulaf mosque were constructed over wide areas of land as sprawling monumental structures. Also evident are the wide, open colonnades and presence of early example of a minaret. Indeed, this minaret takes clear inspiration from the famous spiral minarets found in Samarra, such as the Malwiya. </w:t>
      </w:r>
    </w:p>
    <w:p w:rsidR="00B66922" w:rsidRPr="00520821" w:rsidRDefault="00C83026" w:rsidP="00C215F8">
      <w:pPr>
        <w:spacing w:line="360" w:lineRule="auto"/>
        <w:rPr>
          <w:rFonts w:cstheme="minorHAnsi"/>
        </w:rPr>
      </w:pPr>
      <w:r w:rsidRPr="00520821">
        <w:rPr>
          <w:rFonts w:cstheme="minorHAnsi"/>
        </w:rPr>
        <w:t>When viewed in historical context, the structure could be considered as much a political statement as a centre of worship.</w:t>
      </w:r>
      <w:r w:rsidR="00B66922" w:rsidRPr="00520821">
        <w:rPr>
          <w:rFonts w:cstheme="minorHAnsi"/>
        </w:rPr>
        <w:t xml:space="preserve"> Ibn Tulun was f</w:t>
      </w:r>
      <w:r w:rsidRPr="00520821">
        <w:rPr>
          <w:rFonts w:cstheme="minorHAnsi"/>
        </w:rPr>
        <w:t xml:space="preserve">amiliar with Samarra, and the </w:t>
      </w:r>
      <w:r w:rsidR="00D2652D" w:rsidRPr="00520821">
        <w:rPr>
          <w:rFonts w:cstheme="minorHAnsi"/>
        </w:rPr>
        <w:t>presence</w:t>
      </w:r>
      <w:r w:rsidRPr="00520821">
        <w:rPr>
          <w:rFonts w:cstheme="minorHAnsi"/>
        </w:rPr>
        <w:t xml:space="preserve"> of a rival structure to the Abbasid wonders of the Islamic </w:t>
      </w:r>
      <w:r w:rsidR="008D1FCC" w:rsidRPr="00520821">
        <w:rPr>
          <w:rFonts w:cstheme="minorHAnsi"/>
        </w:rPr>
        <w:t>world could well have been a</w:t>
      </w:r>
      <w:r w:rsidRPr="00520821">
        <w:rPr>
          <w:rFonts w:cstheme="minorHAnsi"/>
        </w:rPr>
        <w:t xml:space="preserve"> statement of power.</w:t>
      </w:r>
    </w:p>
    <w:p w:rsidR="00172B34" w:rsidRPr="00520821" w:rsidRDefault="00172B34" w:rsidP="00C215F8">
      <w:pPr>
        <w:spacing w:line="360" w:lineRule="auto"/>
        <w:rPr>
          <w:rFonts w:cstheme="minorHAnsi"/>
        </w:rPr>
      </w:pPr>
      <w:r w:rsidRPr="00520821">
        <w:rPr>
          <w:rFonts w:cstheme="minorHAnsi"/>
        </w:rPr>
        <w:lastRenderedPageBreak/>
        <w:t>As with many other historic buildings, there are numerous legends associated with the construction of the structure, which provide valuable insight into its design. One such legend describes the design of the minaret:</w:t>
      </w:r>
    </w:p>
    <w:p w:rsidR="00172B34" w:rsidRPr="00520821" w:rsidRDefault="00172B34" w:rsidP="00C215F8">
      <w:pPr>
        <w:spacing w:line="360" w:lineRule="auto"/>
        <w:rPr>
          <w:rFonts w:cstheme="minorHAnsi"/>
          <w:i/>
        </w:rPr>
      </w:pPr>
      <w:r w:rsidRPr="00520821">
        <w:rPr>
          <w:rFonts w:cstheme="minorHAnsi"/>
          <w:i/>
        </w:rPr>
        <w:t>“Ibn Tulun was sitting with his officials and absentmindedly winding a piece of parchment around his finger. When asked by someone what the gesture meant, he answered out of embarrassment that he was planning the shape of his minaret.”</w:t>
      </w:r>
      <w:r w:rsidRPr="00520821">
        <w:rPr>
          <w:rStyle w:val="FootnoteReference"/>
          <w:rFonts w:cstheme="minorHAnsi"/>
          <w:i/>
        </w:rPr>
        <w:footnoteReference w:id="3"/>
      </w:r>
    </w:p>
    <w:p w:rsidR="001F5F4E" w:rsidRPr="00520821" w:rsidRDefault="009F4384" w:rsidP="00C215F8">
      <w:pPr>
        <w:spacing w:line="360" w:lineRule="auto"/>
        <w:rPr>
          <w:rFonts w:cstheme="minorHAnsi"/>
        </w:rPr>
      </w:pPr>
      <w:r w:rsidRPr="00520821">
        <w:rPr>
          <w:rFonts w:cstheme="minorHAnsi"/>
        </w:rPr>
        <w:t xml:space="preserve">Creswell also highlights two legends regarding the use of piers in the structure, rather than columns, an apparently unusual architectural choice. </w:t>
      </w:r>
      <w:r w:rsidR="001B3C98" w:rsidRPr="00520821">
        <w:rPr>
          <w:rFonts w:cstheme="minorHAnsi"/>
        </w:rPr>
        <w:t>According to another</w:t>
      </w:r>
      <w:r w:rsidRPr="00520821">
        <w:rPr>
          <w:rFonts w:cstheme="minorHAnsi"/>
        </w:rPr>
        <w:t>, more practical legend, the piers were constructed of brick rather than marble for their increased ability to withstand fire.</w:t>
      </w:r>
      <w:r w:rsidR="001B3C98" w:rsidRPr="00520821">
        <w:rPr>
          <w:rStyle w:val="FootnoteReference"/>
          <w:rFonts w:cstheme="minorHAnsi"/>
        </w:rPr>
        <w:footnoteReference w:id="4"/>
      </w:r>
      <w:r w:rsidR="002347A0" w:rsidRPr="00520821">
        <w:rPr>
          <w:rFonts w:cstheme="minorHAnsi"/>
        </w:rPr>
        <w:t xml:space="preserve"> The other legend, according to Creswell, indicates that a Christian architect was involved in the construction.</w:t>
      </w:r>
      <w:r w:rsidR="002347A0" w:rsidRPr="00520821">
        <w:rPr>
          <w:rStyle w:val="FootnoteReference"/>
          <w:rFonts w:cstheme="minorHAnsi"/>
        </w:rPr>
        <w:footnoteReference w:id="5"/>
      </w:r>
      <w:r w:rsidR="002347A0" w:rsidRPr="00520821">
        <w:rPr>
          <w:rFonts w:cstheme="minorHAnsi"/>
        </w:rPr>
        <w:t xml:space="preserve"> Whilst these piers are </w:t>
      </w:r>
      <w:r w:rsidR="001F5F4E" w:rsidRPr="00520821">
        <w:rPr>
          <w:rFonts w:cstheme="minorHAnsi"/>
        </w:rPr>
        <w:t>most likely Samarran inspired due to Ibn Tulun’s background, Coptic architectural features are also in evidence, perhaps lending some credence to the tale.</w:t>
      </w:r>
    </w:p>
    <w:p w:rsidR="00B66922" w:rsidRPr="00520821" w:rsidRDefault="00B66922" w:rsidP="00C215F8">
      <w:pPr>
        <w:spacing w:line="360" w:lineRule="auto"/>
        <w:rPr>
          <w:rFonts w:cstheme="minorHAnsi"/>
          <w:b/>
        </w:rPr>
      </w:pPr>
      <w:r w:rsidRPr="00520821">
        <w:rPr>
          <w:rFonts w:cstheme="minorHAnsi"/>
          <w:b/>
        </w:rPr>
        <w:t>Description of Site</w:t>
      </w:r>
    </w:p>
    <w:p w:rsidR="00010128" w:rsidRDefault="00010128" w:rsidP="00C215F8">
      <w:pPr>
        <w:spacing w:line="360" w:lineRule="auto"/>
        <w:rPr>
          <w:rFonts w:cstheme="minorHAnsi"/>
        </w:rPr>
      </w:pPr>
    </w:p>
    <w:p w:rsidR="00010128" w:rsidRDefault="00642460" w:rsidP="00C215F8">
      <w:pPr>
        <w:spacing w:line="360" w:lineRule="auto"/>
        <w:rPr>
          <w:rFonts w:cstheme="minorHAnsi"/>
        </w:rPr>
      </w:pPr>
      <w:r w:rsidRPr="00520821">
        <w:rPr>
          <w:rFonts w:cstheme="minorHAnsi"/>
        </w:rPr>
        <w:t>Covering a large area, the structure has many features that are common to contemporary mosques. It is a rectangular structure, enclosed by a ziyada, with a free-standing minaret. At one point, Ibn Tulun’s palace was connected to the mo</w:t>
      </w:r>
      <w:r w:rsidR="00520821">
        <w:rPr>
          <w:rFonts w:cstheme="minorHAnsi"/>
        </w:rPr>
        <w:t>sque by a door near the mihrab. There are 6 mihrabs presently, one of which is constructed as a niche. Newer mihrabs often feature examples of Cufic script</w:t>
      </w:r>
    </w:p>
    <w:p w:rsidR="00010128" w:rsidRDefault="00010128" w:rsidP="00010128">
      <w:pPr>
        <w:keepNext/>
        <w:spacing w:line="360" w:lineRule="auto"/>
      </w:pPr>
      <w:r>
        <w:rPr>
          <w:noProof/>
        </w:rPr>
        <w:lastRenderedPageBreak/>
        <w:drawing>
          <wp:inline distT="0" distB="0" distL="0" distR="0" wp14:anchorId="217868F7" wp14:editId="235F9457">
            <wp:extent cx="4724400" cy="3215640"/>
            <wp:effectExtent l="0" t="0" r="0" b="3810"/>
            <wp:docPr id="8" name="Picture 8" descr="https://archnet.org/system/media_contents/contents/6074/original/IHC0163.jpg?1384688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archnet.org/system/media_contents/contents/6074/original/IHC0163.jpg?138468864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24400" cy="3215640"/>
                    </a:xfrm>
                    <a:prstGeom prst="rect">
                      <a:avLst/>
                    </a:prstGeom>
                    <a:noFill/>
                    <a:ln>
                      <a:noFill/>
                    </a:ln>
                  </pic:spPr>
                </pic:pic>
              </a:graphicData>
            </a:graphic>
          </wp:inline>
        </w:drawing>
      </w:r>
    </w:p>
    <w:p w:rsidR="00010128" w:rsidRPr="00520821" w:rsidRDefault="00010128" w:rsidP="00010128">
      <w:pPr>
        <w:pStyle w:val="Caption"/>
        <w:rPr>
          <w:rFonts w:cstheme="minorHAnsi"/>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2B33C6">
        <w:t>:The North-East wall, showing the remarkable crenulations and exterior detailing.</w:t>
      </w:r>
    </w:p>
    <w:p w:rsidR="00CF1353" w:rsidRPr="00520821" w:rsidRDefault="001F5F4E" w:rsidP="00C215F8">
      <w:pPr>
        <w:spacing w:line="360" w:lineRule="auto"/>
        <w:rPr>
          <w:rFonts w:cstheme="minorHAnsi"/>
        </w:rPr>
      </w:pPr>
      <w:r w:rsidRPr="00520821">
        <w:rPr>
          <w:rFonts w:cstheme="minorHAnsi"/>
        </w:rPr>
        <w:t xml:space="preserve">While the mosque itself is predominately built in brick, the minaret is constructed of limestone. This free-standing minaret is remarkably similar to Samarran examples. </w:t>
      </w:r>
      <w:r w:rsidR="00642460" w:rsidRPr="00520821">
        <w:rPr>
          <w:rFonts w:cstheme="minorHAnsi"/>
        </w:rPr>
        <w:t xml:space="preserve">The exterior of the structure was at one point covered in plaster, which is now damaged by the passage of time (fig. </w:t>
      </w:r>
      <w:r w:rsidR="00390B68">
        <w:rPr>
          <w:rFonts w:cstheme="minorHAnsi"/>
        </w:rPr>
        <w:t>2</w:t>
      </w:r>
      <w:r w:rsidR="00642460" w:rsidRPr="00520821">
        <w:rPr>
          <w:rFonts w:cstheme="minorHAnsi"/>
        </w:rPr>
        <w:t>)</w:t>
      </w:r>
      <w:r w:rsidR="00010128">
        <w:rPr>
          <w:rFonts w:cstheme="minorHAnsi"/>
        </w:rPr>
        <w:t xml:space="preserve"> As</w:t>
      </w:r>
      <w:r w:rsidR="00CF1353" w:rsidRPr="00520821">
        <w:rPr>
          <w:rFonts w:cstheme="minorHAnsi"/>
        </w:rPr>
        <w:t xml:space="preserve"> previously mentioned, the structure is host to a fusion of influences from around the contemporary world. Persian, Hellenistic and Samarran features (amongst others) are all present within the structure. The piers around the edge of mosque are built in the Mesopotamian (and therefore Samarran) style, according to Be</w:t>
      </w:r>
      <w:r w:rsidR="00642460" w:rsidRPr="00520821">
        <w:rPr>
          <w:rFonts w:cstheme="minorHAnsi"/>
        </w:rPr>
        <w:t>hrens-Abouseif</w:t>
      </w:r>
      <w:r w:rsidR="00642460" w:rsidRPr="00520821">
        <w:rPr>
          <w:rStyle w:val="FootnoteReference"/>
          <w:rFonts w:cstheme="minorHAnsi"/>
        </w:rPr>
        <w:footnoteReference w:id="6"/>
      </w:r>
      <w:r w:rsidR="00390B68">
        <w:rPr>
          <w:rFonts w:cstheme="minorHAnsi"/>
        </w:rPr>
        <w:t>.</w:t>
      </w:r>
    </w:p>
    <w:p w:rsidR="002C7209" w:rsidRPr="00520821" w:rsidRDefault="002C7209" w:rsidP="002C7209">
      <w:pPr>
        <w:keepNext/>
        <w:spacing w:line="360" w:lineRule="auto"/>
        <w:rPr>
          <w:rFonts w:cstheme="minorHAnsi"/>
        </w:rPr>
      </w:pPr>
      <w:r w:rsidRPr="00520821">
        <w:rPr>
          <w:rFonts w:cstheme="minorHAnsi"/>
          <w:noProof/>
        </w:rPr>
        <w:lastRenderedPageBreak/>
        <w:drawing>
          <wp:inline distT="0" distB="0" distL="0" distR="0">
            <wp:extent cx="4867275" cy="5602406"/>
            <wp:effectExtent l="0" t="0" r="0" b="0"/>
            <wp:docPr id="4" name="Picture 4" descr="https://archnet.org/system/publications/covers/1245/original/FLS1293.jpg?1421335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rchnet.org/system/publications/covers/1245/original/FLS1293.jpg?142133503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69867" cy="5605389"/>
                    </a:xfrm>
                    <a:prstGeom prst="rect">
                      <a:avLst/>
                    </a:prstGeom>
                    <a:noFill/>
                    <a:ln>
                      <a:noFill/>
                    </a:ln>
                  </pic:spPr>
                </pic:pic>
              </a:graphicData>
            </a:graphic>
          </wp:inline>
        </w:drawing>
      </w:r>
    </w:p>
    <w:p w:rsidR="002C7209" w:rsidRPr="00520821" w:rsidRDefault="002C7209" w:rsidP="002C7209">
      <w:pPr>
        <w:pStyle w:val="Caption"/>
        <w:jc w:val="center"/>
        <w:rPr>
          <w:rFonts w:cstheme="minorHAnsi"/>
          <w:b/>
        </w:rPr>
      </w:pPr>
      <w:r w:rsidRPr="00520821">
        <w:rPr>
          <w:rFonts w:cstheme="minorHAnsi"/>
        </w:rPr>
        <w:t xml:space="preserve">Figure </w:t>
      </w:r>
      <w:r w:rsidRPr="00520821">
        <w:rPr>
          <w:rFonts w:cstheme="minorHAnsi"/>
        </w:rPr>
        <w:fldChar w:fldCharType="begin"/>
      </w:r>
      <w:r w:rsidRPr="00520821">
        <w:rPr>
          <w:rFonts w:cstheme="minorHAnsi"/>
        </w:rPr>
        <w:instrText xml:space="preserve"> SEQ Figure \* ARABIC </w:instrText>
      </w:r>
      <w:r w:rsidRPr="00520821">
        <w:rPr>
          <w:rFonts w:cstheme="minorHAnsi"/>
        </w:rPr>
        <w:fldChar w:fldCharType="separate"/>
      </w:r>
      <w:r w:rsidR="00010128">
        <w:rPr>
          <w:rFonts w:cstheme="minorHAnsi"/>
          <w:noProof/>
        </w:rPr>
        <w:t>4</w:t>
      </w:r>
      <w:r w:rsidRPr="00520821">
        <w:rPr>
          <w:rFonts w:cstheme="minorHAnsi"/>
        </w:rPr>
        <w:fldChar w:fldCharType="end"/>
      </w:r>
      <w:r w:rsidRPr="00520821">
        <w:rPr>
          <w:rFonts w:cstheme="minorHAnsi"/>
        </w:rPr>
        <w:t>: Plan of the Ibn Tulun Mosque in its modern-day form.</w:t>
      </w:r>
    </w:p>
    <w:p w:rsidR="002C7209" w:rsidRPr="00520821" w:rsidRDefault="002C7209" w:rsidP="00C215F8">
      <w:pPr>
        <w:spacing w:line="360" w:lineRule="auto"/>
        <w:rPr>
          <w:rFonts w:cstheme="minorHAnsi"/>
        </w:rPr>
      </w:pPr>
      <w:r w:rsidRPr="00520821">
        <w:rPr>
          <w:rFonts w:cstheme="minorHAnsi"/>
        </w:rPr>
        <w:t>It is important to note that as a structure so close to Cairo, the mosque has been through many phases in its history. Whilst some of those phases involved disuse and a general falling into poor condition, there have been many attempts to restore it thr</w:t>
      </w:r>
      <w:r w:rsidR="008B6F97" w:rsidRPr="00520821">
        <w:rPr>
          <w:rFonts w:cstheme="minorHAnsi"/>
        </w:rPr>
        <w:t>oughout the years. According to Creswell, “by the second half of the twelfth century the mosque became completely neglected and served as a camping place for North African pilgrims on their way to Mekka [sic].”</w:t>
      </w:r>
      <w:r w:rsidR="008B6F97" w:rsidRPr="00520821">
        <w:rPr>
          <w:rStyle w:val="FootnoteReference"/>
          <w:rFonts w:cstheme="minorHAnsi"/>
        </w:rPr>
        <w:footnoteReference w:id="7"/>
      </w:r>
      <w:r w:rsidR="008B6F97" w:rsidRPr="00520821">
        <w:rPr>
          <w:rFonts w:cstheme="minorHAnsi"/>
        </w:rPr>
        <w:t xml:space="preserve"> Some restorations bee</w:t>
      </w:r>
      <w:r w:rsidRPr="00520821">
        <w:rPr>
          <w:rFonts w:cstheme="minorHAnsi"/>
        </w:rPr>
        <w:t xml:space="preserve">n closer to the original design intent of the structure than others, and as a result the structure has </w:t>
      </w:r>
      <w:r w:rsidRPr="00520821">
        <w:rPr>
          <w:rFonts w:cstheme="minorHAnsi"/>
        </w:rPr>
        <w:lastRenderedPageBreak/>
        <w:t xml:space="preserve">gained an iterative character of various parts of Egyptian and Islamic history. Mamluk reconstruction and enhancement of the structure is evident, </w:t>
      </w:r>
      <w:r w:rsidR="00390B68">
        <w:rPr>
          <w:rFonts w:cstheme="minorHAnsi"/>
        </w:rPr>
        <w:t>such as</w:t>
      </w:r>
      <w:bookmarkStart w:id="0" w:name="_GoBack"/>
      <w:bookmarkEnd w:id="0"/>
      <w:r w:rsidRPr="00520821">
        <w:rPr>
          <w:rFonts w:cstheme="minorHAnsi"/>
        </w:rPr>
        <w:t xml:space="preserve"> the </w:t>
      </w:r>
      <w:r w:rsidR="00245719" w:rsidRPr="00520821">
        <w:rPr>
          <w:rFonts w:cstheme="minorHAnsi"/>
        </w:rPr>
        <w:t>improvements to the minaret</w:t>
      </w:r>
      <w:r w:rsidR="00172B34" w:rsidRPr="00520821">
        <w:rPr>
          <w:rFonts w:cstheme="minorHAnsi"/>
        </w:rPr>
        <w:t xml:space="preserve"> of 1296</w:t>
      </w:r>
      <w:r w:rsidR="00B0395B" w:rsidRPr="00520821">
        <w:rPr>
          <w:rStyle w:val="FootnoteReference"/>
          <w:rFonts w:cstheme="minorHAnsi"/>
        </w:rPr>
        <w:footnoteReference w:id="8"/>
      </w:r>
    </w:p>
    <w:p w:rsidR="00254C6B" w:rsidRPr="00520821" w:rsidRDefault="00254C6B" w:rsidP="00C215F8">
      <w:pPr>
        <w:spacing w:line="360" w:lineRule="auto"/>
        <w:rPr>
          <w:rFonts w:cstheme="minorHAnsi"/>
          <w:b/>
        </w:rPr>
      </w:pPr>
      <w:r w:rsidRPr="00520821">
        <w:rPr>
          <w:rFonts w:cstheme="minorHAnsi"/>
          <w:b/>
        </w:rPr>
        <w:t>Influences</w:t>
      </w:r>
      <w:r w:rsidR="00B25A52" w:rsidRPr="00520821">
        <w:rPr>
          <w:rFonts w:cstheme="minorHAnsi"/>
          <w:b/>
        </w:rPr>
        <w:t xml:space="preserve"> on the Modern World</w:t>
      </w:r>
    </w:p>
    <w:p w:rsidR="00B13E6C" w:rsidRPr="00520821" w:rsidRDefault="00A76DE9" w:rsidP="00C215F8">
      <w:pPr>
        <w:spacing w:line="360" w:lineRule="auto"/>
        <w:rPr>
          <w:rFonts w:cstheme="minorHAnsi"/>
        </w:rPr>
      </w:pPr>
      <w:r w:rsidRPr="00520821">
        <w:rPr>
          <w:rFonts w:cstheme="minorHAnsi"/>
        </w:rPr>
        <w:t>The Mosque of Ibn Tulun influenced</w:t>
      </w:r>
      <w:r w:rsidR="007F45A5" w:rsidRPr="00520821">
        <w:rPr>
          <w:rFonts w:cstheme="minorHAnsi"/>
        </w:rPr>
        <w:t xml:space="preserve"> various European artists, when Orientalism was at its peak in the 19</w:t>
      </w:r>
      <w:r w:rsidR="007F45A5" w:rsidRPr="00520821">
        <w:rPr>
          <w:rFonts w:cstheme="minorHAnsi"/>
          <w:vertAlign w:val="superscript"/>
        </w:rPr>
        <w:t>th</w:t>
      </w:r>
      <w:r w:rsidR="007F45A5" w:rsidRPr="00520821">
        <w:rPr>
          <w:rFonts w:cstheme="minorHAnsi"/>
        </w:rPr>
        <w:t xml:space="preserve"> century. It features in multiple examples of 19</w:t>
      </w:r>
      <w:r w:rsidR="007F45A5" w:rsidRPr="00520821">
        <w:rPr>
          <w:rFonts w:cstheme="minorHAnsi"/>
          <w:vertAlign w:val="superscript"/>
        </w:rPr>
        <w:t>th</w:t>
      </w:r>
      <w:r w:rsidR="007F45A5" w:rsidRPr="00520821">
        <w:rPr>
          <w:rFonts w:cstheme="minorHAnsi"/>
        </w:rPr>
        <w:t xml:space="preserve"> century art, perhaps due to its iconic beauty. It seems evident that the structure took hold in the minds of many westerners as a memorable</w:t>
      </w:r>
      <w:r w:rsidR="00B13E6C" w:rsidRPr="00520821">
        <w:rPr>
          <w:rFonts w:cstheme="minorHAnsi"/>
        </w:rPr>
        <w:t xml:space="preserve"> example of the “perfect mosque.” Yet </w:t>
      </w:r>
      <w:r w:rsidR="00B25A52" w:rsidRPr="00520821">
        <w:rPr>
          <w:rFonts w:cstheme="minorHAnsi"/>
        </w:rPr>
        <w:t>the composition of</w:t>
      </w:r>
      <w:r w:rsidR="00B13E6C" w:rsidRPr="00520821">
        <w:rPr>
          <w:rFonts w:cstheme="minorHAnsi"/>
        </w:rPr>
        <w:t xml:space="preserve"> artistic examples </w:t>
      </w:r>
      <w:r w:rsidR="00B25A52" w:rsidRPr="00520821">
        <w:rPr>
          <w:rFonts w:cstheme="minorHAnsi"/>
        </w:rPr>
        <w:t>are often impossible perspectives, adding to the artistic appeal of the pieces on one hand, but often ultimately exemplifying 19</w:t>
      </w:r>
      <w:r w:rsidR="00B25A52" w:rsidRPr="00520821">
        <w:rPr>
          <w:rFonts w:cstheme="minorHAnsi"/>
          <w:vertAlign w:val="superscript"/>
        </w:rPr>
        <w:t>th</w:t>
      </w:r>
      <w:r w:rsidR="00B25A52" w:rsidRPr="00520821">
        <w:rPr>
          <w:rFonts w:cstheme="minorHAnsi"/>
        </w:rPr>
        <w:t xml:space="preserve"> century fetishization of the middle east.</w:t>
      </w:r>
    </w:p>
    <w:p w:rsidR="00D74D18" w:rsidRPr="00520821" w:rsidRDefault="00B13E6C" w:rsidP="00C215F8">
      <w:pPr>
        <w:spacing w:line="360" w:lineRule="auto"/>
        <w:rPr>
          <w:rFonts w:cstheme="minorHAnsi"/>
        </w:rPr>
      </w:pPr>
      <w:r w:rsidRPr="00520821">
        <w:rPr>
          <w:rFonts w:cstheme="minorHAnsi"/>
        </w:rPr>
        <w:t xml:space="preserve">After the </w:t>
      </w:r>
      <w:r w:rsidR="00A311A9" w:rsidRPr="00520821">
        <w:rPr>
          <w:rFonts w:cstheme="minorHAnsi"/>
        </w:rPr>
        <w:t>campaign in</w:t>
      </w:r>
      <w:r w:rsidRPr="00520821">
        <w:rPr>
          <w:rFonts w:cstheme="minorHAnsi"/>
        </w:rPr>
        <w:t xml:space="preserve"> Egypt by Napoleon, </w:t>
      </w:r>
      <w:r w:rsidR="00B25A52" w:rsidRPr="00520821">
        <w:rPr>
          <w:rFonts w:cstheme="minorHAnsi"/>
        </w:rPr>
        <w:t xml:space="preserve">there was a resurgence in interest in the middle east. On Napoleon’s orders, a work was published collecting together a series of lithographs, observations and research on Egypt. This multi-volume work, the </w:t>
      </w:r>
      <w:r w:rsidR="00B25A52" w:rsidRPr="00520821">
        <w:rPr>
          <w:rFonts w:cstheme="minorHAnsi"/>
          <w:i/>
        </w:rPr>
        <w:t>Description de l’Egypte</w:t>
      </w:r>
      <w:r w:rsidR="00B25A52" w:rsidRPr="00520821">
        <w:rPr>
          <w:rFonts w:cstheme="minorHAnsi"/>
        </w:rPr>
        <w:t xml:space="preserve"> can be argued as pioneering the</w:t>
      </w:r>
      <w:r w:rsidR="00CF53F5" w:rsidRPr="00520821">
        <w:rPr>
          <w:rFonts w:cstheme="minorHAnsi"/>
        </w:rPr>
        <w:t xml:space="preserve"> academic</w:t>
      </w:r>
      <w:r w:rsidR="00B25A52" w:rsidRPr="00520821">
        <w:rPr>
          <w:rFonts w:cstheme="minorHAnsi"/>
        </w:rPr>
        <w:t xml:space="preserve"> field</w:t>
      </w:r>
      <w:r w:rsidR="00CF53F5" w:rsidRPr="00520821">
        <w:rPr>
          <w:rFonts w:cstheme="minorHAnsi"/>
        </w:rPr>
        <w:t xml:space="preserve"> of</w:t>
      </w:r>
      <w:r w:rsidR="00B25A52" w:rsidRPr="00520821">
        <w:rPr>
          <w:rFonts w:cstheme="minorHAnsi"/>
        </w:rPr>
        <w:t xml:space="preserve"> Egyptology.</w:t>
      </w:r>
      <w:r w:rsidR="00B25A52" w:rsidRPr="00520821">
        <w:rPr>
          <w:rStyle w:val="FootnoteReference"/>
          <w:rFonts w:cstheme="minorHAnsi"/>
        </w:rPr>
        <w:footnoteReference w:id="9"/>
      </w:r>
      <w:r w:rsidR="00CF53F5" w:rsidRPr="00520821">
        <w:rPr>
          <w:rFonts w:cstheme="minorHAnsi"/>
        </w:rPr>
        <w:t xml:space="preserve"> Depictions of the Mosque of Ibn Tulun can be found within (fig. ?)</w:t>
      </w:r>
      <w:r w:rsidR="00032EF8" w:rsidRPr="00520821">
        <w:rPr>
          <w:rFonts w:cstheme="minorHAnsi"/>
        </w:rPr>
        <w:t>, made by Protain</w:t>
      </w:r>
      <w:r w:rsidR="00CF53F5" w:rsidRPr="00520821">
        <w:rPr>
          <w:rFonts w:cstheme="minorHAnsi"/>
        </w:rPr>
        <w:t xml:space="preserve">. Although </w:t>
      </w:r>
      <w:r w:rsidR="00BB11D6" w:rsidRPr="00520821">
        <w:rPr>
          <w:rFonts w:cstheme="minorHAnsi"/>
        </w:rPr>
        <w:t>viewed from an impossible perspective, in this instance it can be attributed to a desire to show as much of the structure as possible.</w:t>
      </w:r>
      <w:r w:rsidR="00032EF8" w:rsidRPr="00520821">
        <w:rPr>
          <w:rStyle w:val="FootnoteReference"/>
          <w:rFonts w:cstheme="minorHAnsi"/>
        </w:rPr>
        <w:footnoteReference w:id="10"/>
      </w:r>
    </w:p>
    <w:p w:rsidR="00BB11D6" w:rsidRPr="00520821" w:rsidRDefault="007F45A5" w:rsidP="00C215F8">
      <w:pPr>
        <w:keepNext/>
        <w:spacing w:line="360" w:lineRule="auto"/>
        <w:rPr>
          <w:rFonts w:cstheme="minorHAnsi"/>
        </w:rPr>
      </w:pPr>
      <w:r w:rsidRPr="00520821">
        <w:rPr>
          <w:rFonts w:cstheme="minorHAnsi"/>
          <w:noProof/>
        </w:rPr>
        <w:lastRenderedPageBreak/>
        <w:drawing>
          <wp:inline distT="0" distB="0" distL="0" distR="0" wp14:anchorId="4B8B7866" wp14:editId="5488C9DC">
            <wp:extent cx="5731510" cy="4295641"/>
            <wp:effectExtent l="0" t="0" r="2540" b="0"/>
            <wp:docPr id="2" name="Picture 2" descr="https://www.edition-originale.com/media/h-3000-protain_le-kaire-vue-perspective-interieure-de-la-mosquee-de-touloun-e-m-vol-i_1809_edition-originale_0_253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edition-originale.com/media/h-3000-protain_le-kaire-vue-perspective-interieure-de-la-mosquee-de-touloun-e-m-vol-i_1809_edition-originale_0_25319.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5641"/>
                    </a:xfrm>
                    <a:prstGeom prst="rect">
                      <a:avLst/>
                    </a:prstGeom>
                    <a:noFill/>
                    <a:ln>
                      <a:noFill/>
                    </a:ln>
                  </pic:spPr>
                </pic:pic>
              </a:graphicData>
            </a:graphic>
          </wp:inline>
        </w:drawing>
      </w:r>
    </w:p>
    <w:p w:rsidR="00306393" w:rsidRPr="00520821" w:rsidRDefault="00B13E6C" w:rsidP="00C215F8">
      <w:pPr>
        <w:pStyle w:val="Caption"/>
        <w:spacing w:line="360" w:lineRule="auto"/>
        <w:jc w:val="center"/>
        <w:rPr>
          <w:rFonts w:cstheme="minorHAnsi"/>
        </w:rPr>
      </w:pPr>
      <w:r w:rsidRPr="00520821">
        <w:rPr>
          <w:rFonts w:cstheme="minorHAnsi"/>
          <w:b/>
        </w:rPr>
        <w:t xml:space="preserve">Figure </w:t>
      </w:r>
      <w:r w:rsidRPr="00520821">
        <w:rPr>
          <w:rFonts w:cstheme="minorHAnsi"/>
          <w:b/>
        </w:rPr>
        <w:fldChar w:fldCharType="begin"/>
      </w:r>
      <w:r w:rsidRPr="00520821">
        <w:rPr>
          <w:rFonts w:cstheme="minorHAnsi"/>
          <w:b/>
        </w:rPr>
        <w:instrText xml:space="preserve"> SEQ Figure \* ARABIC </w:instrText>
      </w:r>
      <w:r w:rsidRPr="00520821">
        <w:rPr>
          <w:rFonts w:cstheme="minorHAnsi"/>
          <w:b/>
        </w:rPr>
        <w:fldChar w:fldCharType="separate"/>
      </w:r>
      <w:r w:rsidR="00010128">
        <w:rPr>
          <w:rFonts w:cstheme="minorHAnsi"/>
          <w:b/>
          <w:noProof/>
        </w:rPr>
        <w:t>5</w:t>
      </w:r>
      <w:r w:rsidRPr="00520821">
        <w:rPr>
          <w:rFonts w:cstheme="minorHAnsi"/>
          <w:b/>
        </w:rPr>
        <w:fldChar w:fldCharType="end"/>
      </w:r>
      <w:r w:rsidR="00B25A52" w:rsidRPr="00520821">
        <w:rPr>
          <w:rFonts w:cstheme="minorHAnsi"/>
          <w:b/>
        </w:rPr>
        <w:t>:</w:t>
      </w:r>
      <w:r w:rsidRPr="00520821">
        <w:rPr>
          <w:rFonts w:cstheme="minorHAnsi"/>
        </w:rPr>
        <w:t xml:space="preserve"> </w:t>
      </w:r>
      <w:r w:rsidR="00B25A52" w:rsidRPr="00520821">
        <w:rPr>
          <w:rFonts w:cstheme="minorHAnsi"/>
        </w:rPr>
        <w:t>P</w:t>
      </w:r>
      <w:r w:rsidRPr="00520821">
        <w:rPr>
          <w:rFonts w:cstheme="minorHAnsi"/>
        </w:rPr>
        <w:t>ROTAIN (delineavit) &amp; BOUILLARD (sculpsit) DESCRIPTION DE L'EGYPTE. Le Kaire [Le Caire</w:t>
      </w:r>
      <w:r w:rsidRPr="00520821">
        <w:rPr>
          <w:rFonts w:cstheme="minorHAnsi"/>
          <w:b/>
        </w:rPr>
        <w:t>]. Vue perspective intérieure de la Mosquée de Touloun.</w:t>
      </w:r>
      <w:r w:rsidRPr="00520821">
        <w:rPr>
          <w:rFonts w:cstheme="minorHAnsi"/>
        </w:rPr>
        <w:t xml:space="preserve"> (ETAT MODERNE, volume I, planche 31) Imprimerie Impériale, Paris 1809-1829, 53,5x70,5cm, une feuille.</w:t>
      </w:r>
    </w:p>
    <w:p w:rsidR="00BB11D6" w:rsidRPr="00520821" w:rsidRDefault="00032EF8" w:rsidP="00C215F8">
      <w:pPr>
        <w:spacing w:line="360" w:lineRule="auto"/>
        <w:rPr>
          <w:rFonts w:cstheme="minorHAnsi"/>
        </w:rPr>
      </w:pPr>
      <w:r w:rsidRPr="00520821">
        <w:rPr>
          <w:rFonts w:cstheme="minorHAnsi"/>
        </w:rPr>
        <w:t>Later examples of western art featuring the mosque of Ibn Tulun, notably in the Orientalist tradition, are common. One such example by Dauzats (fig. ??), indicates the view of the visiting artist fr</w:t>
      </w:r>
      <w:r w:rsidR="005C3A63" w:rsidRPr="00520821">
        <w:rPr>
          <w:rFonts w:cstheme="minorHAnsi"/>
        </w:rPr>
        <w:t xml:space="preserve">om another culture. </w:t>
      </w:r>
      <w:r w:rsidR="006C4C3D" w:rsidRPr="00520821">
        <w:rPr>
          <w:rFonts w:cstheme="minorHAnsi"/>
        </w:rPr>
        <w:t>An undeniably beautiful painting, t</w:t>
      </w:r>
      <w:r w:rsidR="005C3A63" w:rsidRPr="00520821">
        <w:rPr>
          <w:rFonts w:cstheme="minorHAnsi"/>
        </w:rPr>
        <w:t>he minaret of the mos</w:t>
      </w:r>
      <w:r w:rsidR="006C4C3D" w:rsidRPr="00520821">
        <w:rPr>
          <w:rFonts w:cstheme="minorHAnsi"/>
        </w:rPr>
        <w:t xml:space="preserve">que features in the background. </w:t>
      </w:r>
      <w:r w:rsidR="005C3A63" w:rsidRPr="00520821">
        <w:rPr>
          <w:rFonts w:cstheme="minorHAnsi"/>
        </w:rPr>
        <w:t>Its presence in the painting appears to have a</w:t>
      </w:r>
      <w:r w:rsidR="006C4C3D" w:rsidRPr="00520821">
        <w:rPr>
          <w:rFonts w:cstheme="minorHAnsi"/>
        </w:rPr>
        <w:t xml:space="preserve"> merely</w:t>
      </w:r>
      <w:r w:rsidR="005C3A63" w:rsidRPr="00520821">
        <w:rPr>
          <w:rFonts w:cstheme="minorHAnsi"/>
        </w:rPr>
        <w:t xml:space="preserve"> compositional purpose, filling what would otherwise be a gap in the formation of the painting. The buildings in the foreground are the focus of the painting, yet the presence of the mosque of Ibn Tulun in the background indicates the position of the structure in the minds of Orientalists</w:t>
      </w:r>
      <w:r w:rsidR="006C4C3D" w:rsidRPr="00520821">
        <w:rPr>
          <w:rFonts w:cstheme="minorHAnsi"/>
        </w:rPr>
        <w:t>, and perhaps the contemporary western view,</w:t>
      </w:r>
      <w:r w:rsidR="005C3A63" w:rsidRPr="00520821">
        <w:rPr>
          <w:rFonts w:cstheme="minorHAnsi"/>
        </w:rPr>
        <w:t xml:space="preserve"> as the quintessential mosque.</w:t>
      </w:r>
    </w:p>
    <w:p w:rsidR="005C3A63" w:rsidRPr="00520821" w:rsidRDefault="005C3A63" w:rsidP="00C215F8">
      <w:pPr>
        <w:spacing w:line="360" w:lineRule="auto"/>
        <w:rPr>
          <w:rFonts w:cstheme="minorHAnsi"/>
        </w:rPr>
      </w:pPr>
    </w:p>
    <w:p w:rsidR="00B13E6C" w:rsidRPr="00520821" w:rsidRDefault="00B13E6C" w:rsidP="00C215F8">
      <w:pPr>
        <w:spacing w:after="0" w:line="360" w:lineRule="auto"/>
        <w:rPr>
          <w:rFonts w:eastAsia="Times New Roman" w:cstheme="minorHAnsi"/>
          <w:b/>
          <w:sz w:val="24"/>
          <w:szCs w:val="24"/>
          <w:lang w:eastAsia="en-GB"/>
        </w:rPr>
      </w:pPr>
      <w:r w:rsidRPr="00520821">
        <w:rPr>
          <w:rFonts w:cstheme="minorHAnsi"/>
          <w:noProof/>
        </w:rPr>
        <w:lastRenderedPageBreak/>
        <w:drawing>
          <wp:inline distT="0" distB="0" distL="0" distR="0" wp14:anchorId="1FD137DA" wp14:editId="38585F97">
            <wp:extent cx="5731510" cy="7751445"/>
            <wp:effectExtent l="0" t="0" r="2540" b="1905"/>
            <wp:docPr id="1" name="Picture 1" descr="https://3.bp.blogspot.com/-toOlTlejRDA/Um6S7QVspOI/AAAAAAAAA8Y/v-g-nK5cLZo/s1600/A+street+scene+in+old+Cairo+near+the+Ibn+Tulun+Mosque+by+Adrien+Dauzats+,+Oil+on+panel+,+63.8+by+47.6+c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3.bp.blogspot.com/-toOlTlejRDA/Um6S7QVspOI/AAAAAAAAA8Y/v-g-nK5cLZo/s1600/A+street+scene+in+old+Cairo+near+the+Ibn+Tulun+Mosque+by+Adrien+Dauzats+,+Oil+on+panel+,+63.8+by+47.6+cm.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751445"/>
                    </a:xfrm>
                    <a:prstGeom prst="rect">
                      <a:avLst/>
                    </a:prstGeom>
                    <a:noFill/>
                    <a:ln>
                      <a:noFill/>
                    </a:ln>
                  </pic:spPr>
                </pic:pic>
              </a:graphicData>
            </a:graphic>
          </wp:inline>
        </w:drawing>
      </w:r>
    </w:p>
    <w:p w:rsidR="00B13E6C" w:rsidRPr="00520821" w:rsidRDefault="00B13E6C" w:rsidP="00C215F8">
      <w:pPr>
        <w:spacing w:after="0" w:line="360" w:lineRule="auto"/>
        <w:rPr>
          <w:rFonts w:eastAsia="Times New Roman" w:cstheme="minorHAnsi"/>
          <w:b/>
          <w:sz w:val="24"/>
          <w:szCs w:val="24"/>
          <w:lang w:eastAsia="en-GB"/>
        </w:rPr>
      </w:pPr>
    </w:p>
    <w:p w:rsidR="00B13E6C" w:rsidRPr="00520821" w:rsidRDefault="00B13E6C" w:rsidP="00C215F8">
      <w:pPr>
        <w:pStyle w:val="Caption"/>
        <w:spacing w:line="360" w:lineRule="auto"/>
        <w:jc w:val="center"/>
        <w:rPr>
          <w:rStyle w:val="hascaption"/>
          <w:rFonts w:cstheme="minorHAnsi"/>
        </w:rPr>
      </w:pPr>
      <w:r w:rsidRPr="00520821">
        <w:rPr>
          <w:rFonts w:cstheme="minorHAnsi"/>
          <w:b/>
        </w:rPr>
        <w:t xml:space="preserve">Figure </w:t>
      </w:r>
      <w:r w:rsidRPr="00520821">
        <w:rPr>
          <w:rFonts w:cstheme="minorHAnsi"/>
          <w:b/>
        </w:rPr>
        <w:fldChar w:fldCharType="begin"/>
      </w:r>
      <w:r w:rsidRPr="00520821">
        <w:rPr>
          <w:rFonts w:cstheme="minorHAnsi"/>
          <w:b/>
        </w:rPr>
        <w:instrText xml:space="preserve"> SEQ Figure \* ARABIC </w:instrText>
      </w:r>
      <w:r w:rsidRPr="00520821">
        <w:rPr>
          <w:rFonts w:cstheme="minorHAnsi"/>
          <w:b/>
        </w:rPr>
        <w:fldChar w:fldCharType="separate"/>
      </w:r>
      <w:r w:rsidR="00010128">
        <w:rPr>
          <w:rFonts w:cstheme="minorHAnsi"/>
          <w:b/>
          <w:noProof/>
        </w:rPr>
        <w:t>6</w:t>
      </w:r>
      <w:r w:rsidRPr="00520821">
        <w:rPr>
          <w:rFonts w:cstheme="minorHAnsi"/>
          <w:b/>
        </w:rPr>
        <w:fldChar w:fldCharType="end"/>
      </w:r>
      <w:r w:rsidR="00B25A52" w:rsidRPr="00520821">
        <w:rPr>
          <w:rFonts w:cstheme="minorHAnsi"/>
          <w:b/>
        </w:rPr>
        <w:t xml:space="preserve">: </w:t>
      </w:r>
      <w:r w:rsidRPr="00520821">
        <w:rPr>
          <w:rFonts w:cstheme="minorHAnsi"/>
        </w:rPr>
        <w:t xml:space="preserve"> </w:t>
      </w:r>
      <w:r w:rsidRPr="00520821">
        <w:rPr>
          <w:rStyle w:val="hascaption"/>
          <w:rFonts w:cstheme="minorHAnsi"/>
          <w:b/>
          <w:bCs/>
        </w:rPr>
        <w:t xml:space="preserve">A street scene in old Cairo near the Ibn Tulun Mosque </w:t>
      </w:r>
      <w:r w:rsidRPr="00520821">
        <w:rPr>
          <w:rFonts w:cstheme="minorHAnsi"/>
          <w:b/>
          <w:bCs/>
        </w:rPr>
        <w:br/>
      </w:r>
      <w:r w:rsidRPr="00520821">
        <w:rPr>
          <w:rStyle w:val="hascaption"/>
          <w:rFonts w:cstheme="minorHAnsi"/>
          <w:b/>
          <w:bCs/>
        </w:rPr>
        <w:t xml:space="preserve">by Adrien Dauzats (French , 1804–1868) </w:t>
      </w:r>
      <w:r w:rsidRPr="00520821">
        <w:rPr>
          <w:rFonts w:cstheme="minorHAnsi"/>
          <w:b/>
          <w:bCs/>
        </w:rPr>
        <w:br/>
      </w:r>
      <w:r w:rsidRPr="00520821">
        <w:rPr>
          <w:rStyle w:val="hascaption"/>
          <w:rFonts w:cstheme="minorHAnsi"/>
        </w:rPr>
        <w:t>Oil On Panel , 63.8 cm X 47.6 cm</w:t>
      </w:r>
    </w:p>
    <w:p w:rsidR="005C3A63" w:rsidRPr="00520821" w:rsidRDefault="002F37B3" w:rsidP="00C215F8">
      <w:pPr>
        <w:spacing w:line="360" w:lineRule="auto"/>
        <w:rPr>
          <w:rFonts w:cstheme="minorHAnsi"/>
        </w:rPr>
      </w:pPr>
      <w:r w:rsidRPr="00520821">
        <w:rPr>
          <w:rFonts w:cstheme="minorHAnsi"/>
        </w:rPr>
        <w:lastRenderedPageBreak/>
        <w:t xml:space="preserve">Western architects have been inspired by the Ibn Tulun mosque: when the French Architect Pascal Coste </w:t>
      </w:r>
      <w:r w:rsidR="00C83026" w:rsidRPr="00520821">
        <w:rPr>
          <w:rFonts w:cstheme="minorHAnsi"/>
        </w:rPr>
        <w:t>was commissioned to build the msque of Muhammad ‘Ali Pasha, used the mosque as an inspiration. Drawing new plans of the structure, he ultimately added to earlier academic study of the mosque in general.</w:t>
      </w:r>
      <w:r w:rsidR="00C83026" w:rsidRPr="00520821">
        <w:rPr>
          <w:rStyle w:val="FootnoteReference"/>
          <w:rFonts w:cstheme="minorHAnsi"/>
        </w:rPr>
        <w:footnoteReference w:id="11"/>
      </w:r>
    </w:p>
    <w:p w:rsidR="005C3A63" w:rsidRPr="00520821" w:rsidRDefault="00857D62" w:rsidP="00C215F8">
      <w:pPr>
        <w:spacing w:line="360" w:lineRule="auto"/>
        <w:rPr>
          <w:rFonts w:cstheme="minorHAnsi"/>
        </w:rPr>
      </w:pPr>
      <w:r w:rsidRPr="00520821">
        <w:rPr>
          <w:rFonts w:cstheme="minorHAnsi"/>
          <w:noProof/>
        </w:rPr>
        <w:drawing>
          <wp:anchor distT="0" distB="0" distL="114300" distR="114300" simplePos="0" relativeHeight="251658240" behindDoc="1" locked="0" layoutInCell="1" allowOverlap="1" wp14:anchorId="01464675">
            <wp:simplePos x="0" y="0"/>
            <wp:positionH relativeFrom="margin">
              <wp:align>right</wp:align>
            </wp:positionH>
            <wp:positionV relativeFrom="paragraph">
              <wp:posOffset>8890</wp:posOffset>
            </wp:positionV>
            <wp:extent cx="2514600" cy="3524250"/>
            <wp:effectExtent l="0" t="0" r="0" b="0"/>
            <wp:wrapTight wrapText="bothSides">
              <wp:wrapPolygon edited="0">
                <wp:start x="0" y="0"/>
                <wp:lineTo x="0" y="21483"/>
                <wp:lineTo x="21436" y="21483"/>
                <wp:lineTo x="21436" y="0"/>
                <wp:lineTo x="0" y="0"/>
              </wp:wrapPolygon>
            </wp:wrapTight>
            <wp:docPr id="3" name="Picture 3" descr="https://screenshotscdn.firefoxusercontent.com/images/02028b48-60fc-48b1-995a-ba04cd24cd7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reenshotscdn.firefoxusercontent.com/images/02028b48-60fc-48b1-995a-ba04cd24cd7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14600" cy="3524250"/>
                    </a:xfrm>
                    <a:prstGeom prst="rect">
                      <a:avLst/>
                    </a:prstGeom>
                    <a:noFill/>
                    <a:ln>
                      <a:noFill/>
                    </a:ln>
                  </pic:spPr>
                </pic:pic>
              </a:graphicData>
            </a:graphic>
          </wp:anchor>
        </w:drawing>
      </w:r>
      <w:r w:rsidR="005C3A63" w:rsidRPr="00520821">
        <w:rPr>
          <w:rFonts w:cstheme="minorHAnsi"/>
        </w:rPr>
        <w:t xml:space="preserve">The mosque is, however, evidently important to present day Egyptians. It features on the five-pound note first in 1973 and later in 2013, indicating its role as a national symbol. During the </w:t>
      </w:r>
      <w:r w:rsidR="004C735C" w:rsidRPr="00520821">
        <w:rPr>
          <w:rFonts w:cstheme="minorHAnsi"/>
        </w:rPr>
        <w:t>2011 revolution which removed President Mubarak from power, the Mosque of Ibn Tulun was but one of many historic structures that were vandalized, yet efforts to restore the structure were extremely swift.</w:t>
      </w:r>
      <w:r w:rsidR="004C735C" w:rsidRPr="00520821">
        <w:rPr>
          <w:rStyle w:val="FootnoteReference"/>
          <w:rFonts w:cstheme="minorHAnsi"/>
        </w:rPr>
        <w:footnoteReference w:id="12"/>
      </w:r>
      <w:r w:rsidR="004C735C" w:rsidRPr="00520821">
        <w:rPr>
          <w:rFonts w:cstheme="minorHAnsi"/>
        </w:rPr>
        <w:t xml:space="preserve"> It retains importance not merely as an iconic structure mostly of interest to tourists. From the activities of the Megwara society – an architectural society – to the increased use of the structure by worshippers of the Bohra sect, the building has developed new life.</w:t>
      </w:r>
      <w:r w:rsidR="004C735C" w:rsidRPr="00520821">
        <w:rPr>
          <w:rStyle w:val="FootnoteReference"/>
          <w:rFonts w:cstheme="minorHAnsi"/>
        </w:rPr>
        <w:footnoteReference w:id="13"/>
      </w:r>
    </w:p>
    <w:p w:rsidR="004C735C" w:rsidRPr="00520821" w:rsidRDefault="00857D62" w:rsidP="00C215F8">
      <w:pPr>
        <w:spacing w:line="360" w:lineRule="auto"/>
        <w:rPr>
          <w:rFonts w:cstheme="minorHAnsi"/>
        </w:rPr>
      </w:pPr>
      <w:r w:rsidRPr="00520821">
        <w:rPr>
          <w:noProof/>
        </w:rPr>
        <mc:AlternateContent>
          <mc:Choice Requires="wps">
            <w:drawing>
              <wp:anchor distT="0" distB="0" distL="114300" distR="114300" simplePos="0" relativeHeight="251660288" behindDoc="1" locked="0" layoutInCell="1" allowOverlap="1" wp14:anchorId="6E0C5A3F" wp14:editId="6AEF12E7">
                <wp:simplePos x="0" y="0"/>
                <wp:positionH relativeFrom="column">
                  <wp:posOffset>3228975</wp:posOffset>
                </wp:positionH>
                <wp:positionV relativeFrom="paragraph">
                  <wp:posOffset>143510</wp:posOffset>
                </wp:positionV>
                <wp:extent cx="251460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rsidR="00857D62" w:rsidRPr="00120FBB" w:rsidRDefault="00857D62" w:rsidP="00857D62">
                            <w:pPr>
                              <w:pStyle w:val="Caption"/>
                              <w:rPr>
                                <w:rFonts w:cstheme="minorHAnsi"/>
                                <w:noProof/>
                              </w:rPr>
                            </w:pPr>
                            <w:r>
                              <w:t xml:space="preserve">Figure </w:t>
                            </w:r>
                            <w:r>
                              <w:fldChar w:fldCharType="begin"/>
                            </w:r>
                            <w:r>
                              <w:instrText xml:space="preserve"> SEQ Figure \* ARABIC </w:instrText>
                            </w:r>
                            <w:r>
                              <w:fldChar w:fldCharType="separate"/>
                            </w:r>
                            <w:r w:rsidR="00010128">
                              <w:rPr>
                                <w:noProof/>
                              </w:rPr>
                              <w:t>7</w:t>
                            </w:r>
                            <w:r>
                              <w:fldChar w:fldCharType="end"/>
                            </w:r>
                            <w:r>
                              <w:t xml:space="preserve">: </w:t>
                            </w:r>
                            <w:r w:rsidRPr="00407517">
                              <w:t xml:space="preserve"> An example of a mosque inspired by the Ibn Tulun Mosque, on the Northern coast of Egypt.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E0C5A3F" id="_x0000_t202" coordsize="21600,21600" o:spt="202" path="m,l,21600r21600,l21600,xe">
                <v:stroke joinstyle="miter"/>
                <v:path gradientshapeok="t" o:connecttype="rect"/>
              </v:shapetype>
              <v:shape id="Text Box 7" o:spid="_x0000_s1026" type="#_x0000_t202" style="position:absolute;margin-left:254.25pt;margin-top:11.3pt;width:19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" stroked="f">
                <v:textbox style="mso-fit-shape-to-text:t" inset="0,0,0,0">
                  <w:txbxContent>
                    <w:p w:rsidR="00857D62" w:rsidRPr="00120FBB" w:rsidRDefault="00857D62" w:rsidP="00857D62">
                      <w:pPr>
                        <w:pStyle w:val="Caption"/>
                        <w:rPr>
                          <w:rFonts w:cstheme="minorHAnsi"/>
                          <w:noProof/>
                        </w:rPr>
                      </w:pPr>
                      <w:r>
                        <w:t xml:space="preserve">Figure </w:t>
                      </w:r>
                      <w:r>
                        <w:fldChar w:fldCharType="begin"/>
                      </w:r>
                      <w:r>
                        <w:instrText xml:space="preserve"> SEQ Figure \* ARABIC </w:instrText>
                      </w:r>
                      <w:r>
                        <w:fldChar w:fldCharType="separate"/>
                      </w:r>
                      <w:r w:rsidR="00010128">
                        <w:rPr>
                          <w:noProof/>
                        </w:rPr>
                        <w:t>7</w:t>
                      </w:r>
                      <w:r>
                        <w:fldChar w:fldCharType="end"/>
                      </w:r>
                      <w:r>
                        <w:t xml:space="preserve">: </w:t>
                      </w:r>
                      <w:r w:rsidRPr="00407517">
                        <w:t xml:space="preserve"> An example of a mosque inspired by the Ibn Tulun Mosque, on the Northern coast of Egypt.</w:t>
                      </w:r>
                    </w:p>
                  </w:txbxContent>
                </v:textbox>
                <w10:wrap type="tight"/>
              </v:shape>
            </w:pict>
          </mc:Fallback>
        </mc:AlternateContent>
      </w:r>
      <w:r w:rsidR="004C735C" w:rsidRPr="00520821">
        <w:rPr>
          <w:rFonts w:cstheme="minorHAnsi"/>
        </w:rPr>
        <w:t>Elements of the Ibn Tulun mosque are</w:t>
      </w:r>
      <w:r w:rsidR="001660DF" w:rsidRPr="00520821">
        <w:rPr>
          <w:rFonts w:cstheme="minorHAnsi"/>
        </w:rPr>
        <w:t xml:space="preserve"> also</w:t>
      </w:r>
      <w:r w:rsidR="004C735C" w:rsidRPr="00520821">
        <w:rPr>
          <w:rFonts w:cstheme="minorHAnsi"/>
        </w:rPr>
        <w:t xml:space="preserve"> being replicated in modern structures.</w:t>
      </w:r>
      <w:r w:rsidR="001660DF" w:rsidRPr="00520821">
        <w:rPr>
          <w:rFonts w:cstheme="minorHAnsi"/>
        </w:rPr>
        <w:t xml:space="preserve"> Examples include a mosque on the north coast of Egypt</w:t>
      </w:r>
      <w:r w:rsidR="002F37B3" w:rsidRPr="00520821">
        <w:rPr>
          <w:rFonts w:cstheme="minorHAnsi"/>
        </w:rPr>
        <w:t xml:space="preserve"> in the Marina resort,</w:t>
      </w:r>
      <w:r w:rsidR="00C83026" w:rsidRPr="00520821">
        <w:rPr>
          <w:rFonts w:cstheme="minorHAnsi"/>
        </w:rPr>
        <w:t xml:space="preserve"> a mosque at the resort of Hacienda (also on the north Coast of Egypt)</w:t>
      </w:r>
      <w:r w:rsidR="001660DF" w:rsidRPr="00520821">
        <w:rPr>
          <w:rFonts w:cstheme="minorHAnsi"/>
        </w:rPr>
        <w:t xml:space="preserve"> and two in Giza, all featuring an external staircase.</w:t>
      </w:r>
      <w:r w:rsidR="002F37B3" w:rsidRPr="00520821">
        <w:rPr>
          <w:rStyle w:val="FootnoteReference"/>
          <w:rFonts w:cstheme="minorHAnsi"/>
        </w:rPr>
        <w:footnoteReference w:id="14"/>
      </w:r>
      <w:r w:rsidR="004C735C" w:rsidRPr="00520821">
        <w:rPr>
          <w:rFonts w:cstheme="minorHAnsi"/>
        </w:rPr>
        <w:t xml:space="preserve"> </w:t>
      </w:r>
      <w:r w:rsidR="00C83026" w:rsidRPr="00520821">
        <w:rPr>
          <w:rFonts w:cstheme="minorHAnsi"/>
        </w:rPr>
        <w:t xml:space="preserve">Both the minarets of Hacienda and Marina are notably free standing. </w:t>
      </w:r>
      <w:r w:rsidR="001660DF" w:rsidRPr="00520821">
        <w:rPr>
          <w:rFonts w:cstheme="minorHAnsi"/>
        </w:rPr>
        <w:t>It is interesting to note that these structures pay homage to the spiral minaret of the Ibn Tulun mosque through replication, less so the Malwiya of Samarra.</w:t>
      </w:r>
    </w:p>
    <w:p w:rsidR="00C83026" w:rsidRPr="00520821" w:rsidRDefault="00C83026" w:rsidP="00C215F8">
      <w:pPr>
        <w:spacing w:line="360" w:lineRule="auto"/>
        <w:rPr>
          <w:rFonts w:cstheme="minorHAnsi"/>
          <w:b/>
        </w:rPr>
      </w:pPr>
      <w:r w:rsidRPr="00520821">
        <w:rPr>
          <w:rFonts w:cstheme="minorHAnsi"/>
          <w:b/>
        </w:rPr>
        <w:t>Conclusion</w:t>
      </w:r>
    </w:p>
    <w:p w:rsidR="00C83026" w:rsidRPr="00520821" w:rsidRDefault="00C83026" w:rsidP="00C215F8">
      <w:pPr>
        <w:spacing w:line="360" w:lineRule="auto"/>
        <w:rPr>
          <w:rFonts w:cstheme="minorHAnsi"/>
          <w:b/>
        </w:rPr>
      </w:pPr>
    </w:p>
    <w:p w:rsidR="00642460" w:rsidRPr="00520821" w:rsidRDefault="00642460">
      <w:pPr>
        <w:rPr>
          <w:rFonts w:cstheme="minorHAnsi"/>
        </w:rPr>
      </w:pPr>
      <w:r w:rsidRPr="00520821">
        <w:rPr>
          <w:rFonts w:cstheme="minorHAnsi"/>
        </w:rPr>
        <w:br w:type="page"/>
      </w:r>
    </w:p>
    <w:p w:rsidR="007A458E" w:rsidRPr="00520821" w:rsidRDefault="005D498A" w:rsidP="00C215F8">
      <w:pPr>
        <w:spacing w:line="360" w:lineRule="auto"/>
        <w:rPr>
          <w:rFonts w:cstheme="minorHAnsi"/>
          <w:b/>
        </w:rPr>
      </w:pPr>
      <w:r w:rsidRPr="00520821">
        <w:rPr>
          <w:rFonts w:cstheme="minorHAnsi"/>
          <w:b/>
        </w:rPr>
        <w:lastRenderedPageBreak/>
        <w:t>Bibliography</w:t>
      </w:r>
    </w:p>
    <w:p w:rsidR="006C4C3D" w:rsidRPr="00520821" w:rsidRDefault="006C4C3D" w:rsidP="00FD19D0">
      <w:pPr>
        <w:spacing w:after="0" w:line="360" w:lineRule="auto"/>
        <w:rPr>
          <w:rFonts w:eastAsia="Times New Roman" w:cstheme="minorHAnsi"/>
          <w:sz w:val="24"/>
          <w:szCs w:val="24"/>
          <w:lang w:eastAsia="en-GB"/>
        </w:rPr>
      </w:pPr>
    </w:p>
    <w:p w:rsidR="006C4C3D" w:rsidRPr="00520821" w:rsidRDefault="006C4C3D" w:rsidP="00C215F8">
      <w:pPr>
        <w:spacing w:line="360" w:lineRule="auto"/>
        <w:rPr>
          <w:rFonts w:cstheme="minorHAnsi"/>
        </w:rPr>
      </w:pPr>
      <w:r w:rsidRPr="00520821">
        <w:rPr>
          <w:rFonts w:cstheme="minorHAnsi"/>
        </w:rPr>
        <w:t xml:space="preserve">ARCHNET, ‘Jami’ ibn Tulun: Cairo, Iraq’ [online]. Available at: </w:t>
      </w:r>
      <w:hyperlink r:id="rId13" w:history="1">
        <w:r w:rsidRPr="00520821">
          <w:rPr>
            <w:rStyle w:val="Hyperlink"/>
            <w:rFonts w:cstheme="minorHAnsi"/>
          </w:rPr>
          <w:t>https://archnet.org/sites/1522</w:t>
        </w:r>
      </w:hyperlink>
      <w:r w:rsidRPr="00520821">
        <w:rPr>
          <w:rFonts w:cstheme="minorHAnsi"/>
        </w:rPr>
        <w:t xml:space="preserve"> (accessed: 23/01/2018).</w:t>
      </w:r>
    </w:p>
    <w:p w:rsidR="006C4C3D" w:rsidRPr="00520821" w:rsidRDefault="006C4C3D" w:rsidP="00C215F8">
      <w:pPr>
        <w:spacing w:line="360" w:lineRule="auto"/>
        <w:rPr>
          <w:rFonts w:cstheme="minorHAnsi"/>
        </w:rPr>
      </w:pPr>
      <w:r w:rsidRPr="00520821">
        <w:rPr>
          <w:rFonts w:cstheme="minorHAnsi"/>
          <w:i/>
        </w:rPr>
        <w:t>Cambridge Illustrated History of the Islamic World</w:t>
      </w:r>
      <w:r w:rsidRPr="00520821">
        <w:rPr>
          <w:rFonts w:cstheme="minorHAnsi"/>
        </w:rPr>
        <w:t>, ed. Francis Robinson (Cambridge: Cambridge University Press, 1996).</w:t>
      </w:r>
    </w:p>
    <w:p w:rsidR="006C4C3D" w:rsidRPr="00520821" w:rsidRDefault="006C4C3D" w:rsidP="00C215F8">
      <w:pPr>
        <w:spacing w:line="360" w:lineRule="auto"/>
        <w:rPr>
          <w:rFonts w:cstheme="minorHAnsi"/>
        </w:rPr>
      </w:pPr>
      <w:bookmarkStart w:id="1" w:name="_Hlk504512563"/>
      <w:r w:rsidRPr="00520821">
        <w:rPr>
          <w:rFonts w:cstheme="minorHAnsi"/>
        </w:rPr>
        <w:t xml:space="preserve">Creswell, K. A. C., Allan, J. W., </w:t>
      </w:r>
      <w:r w:rsidRPr="00520821">
        <w:rPr>
          <w:rFonts w:cstheme="minorHAnsi"/>
          <w:i/>
        </w:rPr>
        <w:t>A Short Account of Early Muslim Architecture</w:t>
      </w:r>
      <w:r w:rsidRPr="00520821">
        <w:rPr>
          <w:rFonts w:cstheme="minorHAnsi"/>
        </w:rPr>
        <w:t xml:space="preserve"> (Aldershot: Scolar Press, 1989).</w:t>
      </w:r>
    </w:p>
    <w:bookmarkEnd w:id="1"/>
    <w:p w:rsidR="006C4C3D" w:rsidRPr="00520821" w:rsidRDefault="006C4C3D" w:rsidP="00C215F8">
      <w:pPr>
        <w:spacing w:line="360" w:lineRule="auto"/>
        <w:rPr>
          <w:rFonts w:cstheme="minorHAnsi"/>
        </w:rPr>
      </w:pPr>
      <w:r w:rsidRPr="00520821">
        <w:rPr>
          <w:rFonts w:cstheme="minorHAnsi"/>
        </w:rPr>
        <w:t xml:space="preserve">Engineer, A. A., </w:t>
      </w:r>
      <w:r w:rsidRPr="00520821">
        <w:rPr>
          <w:rFonts w:cstheme="minorHAnsi"/>
          <w:i/>
        </w:rPr>
        <w:t xml:space="preserve">The Origin and Development of Islam: An essay on its socio-economic growth </w:t>
      </w:r>
      <w:r w:rsidRPr="00520821">
        <w:rPr>
          <w:rFonts w:cstheme="minorHAnsi"/>
        </w:rPr>
        <w:t>(New Delhi: Orient Longman Limited, 1980).</w:t>
      </w:r>
    </w:p>
    <w:p w:rsidR="006C4C3D" w:rsidRPr="00520821" w:rsidRDefault="006C4C3D" w:rsidP="0095537A">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 xml:space="preserve">Gordon, G. Ibn Tulun, al-Quata’I and the Legacy of Samarra </w:t>
      </w:r>
      <w:r w:rsidRPr="00520821">
        <w:rPr>
          <w:rFonts w:eastAsia="Times New Roman" w:cstheme="minorHAnsi"/>
          <w:sz w:val="24"/>
          <w:szCs w:val="24"/>
          <w:lang w:eastAsia="en-GB"/>
        </w:rPr>
        <w:t xml:space="preserve">[online]. </w:t>
      </w:r>
      <w:r w:rsidRPr="00520821">
        <w:rPr>
          <w:rFonts w:eastAsia="Times New Roman" w:cstheme="minorHAnsi"/>
          <w:sz w:val="24"/>
          <w:szCs w:val="24"/>
          <w:lang w:eastAsia="en-GB"/>
        </w:rPr>
        <w:t>Available</w:t>
      </w:r>
      <w:r w:rsidRPr="00520821">
        <w:rPr>
          <w:rFonts w:eastAsia="Times New Roman" w:cstheme="minorHAnsi"/>
          <w:sz w:val="24"/>
          <w:szCs w:val="24"/>
          <w:lang w:eastAsia="en-GB"/>
        </w:rPr>
        <w:t xml:space="preserve"> at:</w:t>
      </w:r>
      <w:r w:rsidRPr="00520821">
        <w:rPr>
          <w:rFonts w:eastAsia="Times New Roman" w:cstheme="minorHAnsi"/>
          <w:sz w:val="24"/>
          <w:szCs w:val="24"/>
          <w:lang w:eastAsia="en-GB"/>
        </w:rPr>
        <w:t xml:space="preserve"> </w:t>
      </w:r>
      <w:hyperlink r:id="rId14" w:tgtFrame="_blank" w:history="1">
        <w:r w:rsidRPr="00520821">
          <w:rPr>
            <w:rFonts w:eastAsia="Times New Roman" w:cstheme="minorHAnsi"/>
            <w:color w:val="0000FF"/>
            <w:sz w:val="24"/>
            <w:szCs w:val="24"/>
            <w:u w:val="single"/>
            <w:lang w:eastAsia="en-GB"/>
          </w:rPr>
          <w:t>https</w:t>
        </w:r>
        <w:r w:rsidRPr="00520821">
          <w:rPr>
            <w:rFonts w:eastAsia="Times New Roman" w:cstheme="minorHAnsi"/>
            <w:color w:val="0000FF"/>
            <w:sz w:val="24"/>
            <w:szCs w:val="24"/>
            <w:u w:val="single"/>
            <w:lang w:eastAsia="en-GB"/>
          </w:rPr>
          <w:t>:</w:t>
        </w:r>
        <w:r w:rsidRPr="00520821">
          <w:rPr>
            <w:rFonts w:eastAsia="Times New Roman" w:cstheme="minorHAnsi"/>
            <w:color w:val="0000FF"/>
            <w:sz w:val="24"/>
            <w:szCs w:val="24"/>
            <w:u w:val="single"/>
            <w:lang w:eastAsia="en-GB"/>
          </w:rPr>
          <w:t>//www.academia.edu/10310902/Ibn_Tulun_al-Qatai_and_the_Legacy_of_Samarra</w:t>
        </w:r>
      </w:hyperlink>
      <w:r w:rsidRPr="00520821">
        <w:rPr>
          <w:rFonts w:eastAsia="Times New Roman" w:cstheme="minorHAnsi"/>
          <w:sz w:val="24"/>
          <w:szCs w:val="24"/>
          <w:lang w:eastAsia="en-GB"/>
        </w:rPr>
        <w:t xml:space="preserve"> </w:t>
      </w:r>
      <w:r w:rsidRPr="00520821">
        <w:rPr>
          <w:rFonts w:eastAsia="Times New Roman" w:cstheme="minorHAnsi"/>
          <w:sz w:val="24"/>
          <w:szCs w:val="24"/>
          <w:lang w:eastAsia="en-GB"/>
        </w:rPr>
        <w:t>(accessed 23/01/18).</w:t>
      </w:r>
    </w:p>
    <w:p w:rsidR="006C4C3D" w:rsidRPr="00520821" w:rsidRDefault="006C4C3D" w:rsidP="006C4C3D">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 xml:space="preserve">Islamic Arts &amp; Architecture, ‘Ibn Tulun Mosque’ [online]. Available at: </w:t>
      </w:r>
      <w:hyperlink r:id="rId15" w:tgtFrame="_blank" w:history="1">
        <w:r w:rsidRPr="00520821">
          <w:rPr>
            <w:rFonts w:eastAsia="Times New Roman" w:cstheme="minorHAnsi"/>
            <w:color w:val="0000FF"/>
            <w:sz w:val="24"/>
            <w:szCs w:val="24"/>
            <w:u w:val="single"/>
            <w:lang w:eastAsia="en-GB"/>
          </w:rPr>
          <w:t>http://islamic-arts.org/2011/ibn-tulun-mosque/</w:t>
        </w:r>
      </w:hyperlink>
      <w:r w:rsidRPr="00520821">
        <w:rPr>
          <w:rFonts w:eastAsia="Times New Roman" w:cstheme="minorHAnsi"/>
          <w:sz w:val="24"/>
          <w:szCs w:val="24"/>
          <w:lang w:eastAsia="en-GB"/>
        </w:rPr>
        <w:t xml:space="preserve"> (accessed 23/01/18.</w:t>
      </w:r>
    </w:p>
    <w:p w:rsidR="006C4C3D" w:rsidRPr="00520821" w:rsidRDefault="006C4C3D" w:rsidP="00C215F8">
      <w:pPr>
        <w:spacing w:line="360" w:lineRule="auto"/>
        <w:rPr>
          <w:rFonts w:cstheme="minorHAnsi"/>
        </w:rPr>
      </w:pPr>
      <w:r w:rsidRPr="00520821">
        <w:rPr>
          <w:rFonts w:cstheme="minorHAnsi"/>
        </w:rPr>
        <w:t>Lapidus, I. M.,</w:t>
      </w:r>
      <w:r w:rsidRPr="00520821">
        <w:rPr>
          <w:rFonts w:cstheme="minorHAnsi"/>
          <w:i/>
        </w:rPr>
        <w:t xml:space="preserve"> A History of Islamic Societies</w:t>
      </w:r>
      <w:r w:rsidRPr="00520821">
        <w:rPr>
          <w:rFonts w:cstheme="minorHAnsi"/>
        </w:rPr>
        <w:t>, 2</w:t>
      </w:r>
      <w:r w:rsidRPr="00520821">
        <w:rPr>
          <w:rFonts w:cstheme="minorHAnsi"/>
          <w:vertAlign w:val="superscript"/>
        </w:rPr>
        <w:t>nd</w:t>
      </w:r>
      <w:r w:rsidRPr="00520821">
        <w:rPr>
          <w:rFonts w:cstheme="minorHAnsi"/>
        </w:rPr>
        <w:t xml:space="preserve"> edition (Cambridge: Cambridge University Press, 2002).</w:t>
      </w:r>
    </w:p>
    <w:p w:rsidR="006C4C3D" w:rsidRPr="00520821" w:rsidRDefault="006C4C3D" w:rsidP="00FD19D0">
      <w:pPr>
        <w:spacing w:line="360" w:lineRule="auto"/>
        <w:rPr>
          <w:rFonts w:eastAsia="Times New Roman" w:cstheme="minorHAnsi"/>
          <w:sz w:val="24"/>
          <w:szCs w:val="24"/>
          <w:lang w:eastAsia="en-GB"/>
        </w:rPr>
      </w:pPr>
      <w:r w:rsidRPr="00520821">
        <w:rPr>
          <w:rFonts w:cstheme="minorHAnsi"/>
        </w:rPr>
        <w:t xml:space="preserve">Muslim Heritage, ‘Ibn Tulun Mosque’ [online]. Available at: </w:t>
      </w:r>
      <w:hyperlink r:id="rId16" w:tgtFrame="_blank" w:history="1">
        <w:r w:rsidRPr="00520821">
          <w:rPr>
            <w:rFonts w:eastAsia="Times New Roman" w:cstheme="minorHAnsi"/>
            <w:color w:val="0000FF"/>
            <w:sz w:val="24"/>
            <w:szCs w:val="24"/>
            <w:u w:val="single"/>
            <w:lang w:eastAsia="en-GB"/>
          </w:rPr>
          <w:t>http://www.muslimheritage.com/article/ibn-tulun-mosque</w:t>
        </w:r>
      </w:hyperlink>
      <w:r w:rsidRPr="00520821">
        <w:rPr>
          <w:rFonts w:cstheme="minorHAnsi"/>
        </w:rPr>
        <w:t xml:space="preserve"> (accessed: 23/01/2018). </w:t>
      </w:r>
    </w:p>
    <w:p w:rsidR="006C4C3D" w:rsidRPr="00520821" w:rsidRDefault="006C4C3D" w:rsidP="00FD19D0">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 xml:space="preserve">Saoud, R., Foundation for Science Technology and Civilisation, ‘Muslim Architecture under the Abbasid Patronage (750-892AD)’ </w:t>
      </w:r>
      <w:r w:rsidRPr="00520821">
        <w:rPr>
          <w:rFonts w:eastAsia="Times New Roman" w:cstheme="minorHAnsi"/>
          <w:sz w:val="24"/>
          <w:szCs w:val="24"/>
          <w:lang w:eastAsia="en-GB"/>
        </w:rPr>
        <w:t xml:space="preserve">[online]. </w:t>
      </w:r>
      <w:r w:rsidRPr="00520821">
        <w:rPr>
          <w:rFonts w:eastAsia="Times New Roman" w:cstheme="minorHAnsi"/>
          <w:sz w:val="24"/>
          <w:szCs w:val="24"/>
          <w:lang w:eastAsia="en-GB"/>
        </w:rPr>
        <w:t>Available</w:t>
      </w:r>
      <w:r w:rsidRPr="00520821">
        <w:rPr>
          <w:rFonts w:eastAsia="Times New Roman" w:cstheme="minorHAnsi"/>
          <w:sz w:val="24"/>
          <w:szCs w:val="24"/>
          <w:lang w:eastAsia="en-GB"/>
        </w:rPr>
        <w:t xml:space="preserve"> at:</w:t>
      </w:r>
      <w:r w:rsidRPr="00520821">
        <w:rPr>
          <w:rFonts w:eastAsia="Times New Roman" w:cstheme="minorHAnsi"/>
          <w:sz w:val="24"/>
          <w:szCs w:val="24"/>
          <w:lang w:eastAsia="en-GB"/>
        </w:rPr>
        <w:t xml:space="preserve"> </w:t>
      </w:r>
      <w:hyperlink r:id="rId17" w:tgtFrame="_blank" w:history="1">
        <w:r w:rsidRPr="00520821">
          <w:rPr>
            <w:rFonts w:eastAsia="Times New Roman" w:cstheme="minorHAnsi"/>
            <w:color w:val="0000FF"/>
            <w:sz w:val="24"/>
            <w:szCs w:val="24"/>
            <w:u w:val="single"/>
            <w:lang w:eastAsia="en-GB"/>
          </w:rPr>
          <w:t>http://www.muslimheritage.com/uploads/Architechture%20Abbassid.pdf</w:t>
        </w:r>
      </w:hyperlink>
      <w:r w:rsidRPr="00520821">
        <w:rPr>
          <w:rFonts w:eastAsia="Times New Roman" w:cstheme="minorHAnsi"/>
          <w:sz w:val="24"/>
          <w:szCs w:val="24"/>
          <w:lang w:eastAsia="en-GB"/>
        </w:rPr>
        <w:t xml:space="preserve"> (accessed 23/01/18).</w:t>
      </w:r>
    </w:p>
    <w:p w:rsidR="006C4C3D" w:rsidRPr="00520821" w:rsidRDefault="006C4C3D" w:rsidP="00C215F8">
      <w:pPr>
        <w:spacing w:line="360" w:lineRule="auto"/>
        <w:rPr>
          <w:rFonts w:cstheme="minorHAnsi"/>
        </w:rPr>
      </w:pPr>
      <w:r w:rsidRPr="00520821">
        <w:rPr>
          <w:rFonts w:cstheme="minorHAnsi"/>
        </w:rPr>
        <w:t xml:space="preserve">Stewart, D., </w:t>
      </w:r>
      <w:r w:rsidRPr="00520821">
        <w:rPr>
          <w:rFonts w:cstheme="minorHAnsi"/>
          <w:i/>
        </w:rPr>
        <w:t>Great Ages of Man, A History of the World’s Cultures: Early Islam</w:t>
      </w:r>
      <w:r w:rsidRPr="00520821">
        <w:rPr>
          <w:rFonts w:cstheme="minorHAnsi"/>
        </w:rPr>
        <w:t xml:space="preserve"> (Time-Life International, 1969).</w:t>
      </w:r>
    </w:p>
    <w:p w:rsidR="006C4C3D" w:rsidRPr="00520821" w:rsidRDefault="006C4C3D" w:rsidP="00C215F8">
      <w:pPr>
        <w:spacing w:line="360" w:lineRule="auto"/>
        <w:rPr>
          <w:rFonts w:cstheme="minorHAnsi"/>
        </w:rPr>
      </w:pPr>
      <w:r w:rsidRPr="00520821">
        <w:rPr>
          <w:rFonts w:cstheme="minorHAnsi"/>
        </w:rPr>
        <w:t xml:space="preserve">Swelim, T., </w:t>
      </w:r>
      <w:r w:rsidRPr="00520821">
        <w:rPr>
          <w:rFonts w:cstheme="minorHAnsi"/>
          <w:i/>
        </w:rPr>
        <w:t>Ibn Tulun: His Lost City and Great Mosque</w:t>
      </w:r>
      <w:r w:rsidRPr="00520821">
        <w:rPr>
          <w:rFonts w:cstheme="minorHAnsi"/>
        </w:rPr>
        <w:t xml:space="preserve"> (Cairo: The American University in Cairo Press, 2015).</w:t>
      </w:r>
    </w:p>
    <w:p w:rsidR="006C4C3D" w:rsidRPr="00520821" w:rsidRDefault="006C4C3D" w:rsidP="00C215F8">
      <w:pPr>
        <w:spacing w:line="360" w:lineRule="auto"/>
        <w:rPr>
          <w:rFonts w:cstheme="minorHAnsi"/>
        </w:rPr>
      </w:pPr>
      <w:r w:rsidRPr="00520821">
        <w:rPr>
          <w:rFonts w:cstheme="minorHAnsi"/>
        </w:rPr>
        <w:t xml:space="preserve">Von Grunebaum, G. E., </w:t>
      </w:r>
      <w:r w:rsidRPr="00520821">
        <w:rPr>
          <w:rFonts w:cstheme="minorHAnsi"/>
          <w:i/>
        </w:rPr>
        <w:t>Islam and Medieval Hellenism: Social and Cultural Perspectives</w:t>
      </w:r>
      <w:r w:rsidRPr="00520821">
        <w:rPr>
          <w:rFonts w:cstheme="minorHAnsi"/>
        </w:rPr>
        <w:t>, ed. Dunning S. Wilson (London: Valorium Reprints, 1976).</w:t>
      </w:r>
    </w:p>
    <w:p w:rsidR="00172B34" w:rsidRPr="00520821" w:rsidRDefault="00172B34" w:rsidP="00C215F8">
      <w:pPr>
        <w:spacing w:line="360" w:lineRule="auto"/>
        <w:rPr>
          <w:rFonts w:cstheme="minorHAnsi"/>
        </w:rPr>
      </w:pPr>
      <w:r w:rsidRPr="00520821">
        <w:rPr>
          <w:rFonts w:eastAsia="Times New Roman" w:cstheme="minorHAnsi"/>
          <w:sz w:val="18"/>
          <w:szCs w:val="18"/>
          <w:lang w:eastAsia="en-GB"/>
        </w:rPr>
        <w:t xml:space="preserve">D. </w:t>
      </w:r>
      <w:r w:rsidRPr="00520821">
        <w:rPr>
          <w:rFonts w:eastAsia="Times New Roman" w:cstheme="minorHAnsi"/>
          <w:sz w:val="18"/>
          <w:szCs w:val="18"/>
          <w:lang w:eastAsia="en-GB"/>
        </w:rPr>
        <w:t xml:space="preserve">Behrens-Abouseif, </w:t>
      </w:r>
      <w:r w:rsidRPr="00520821">
        <w:rPr>
          <w:rFonts w:eastAsia="Times New Roman" w:cstheme="minorHAnsi"/>
          <w:i/>
          <w:sz w:val="18"/>
          <w:szCs w:val="18"/>
          <w:lang w:eastAsia="en-GB"/>
        </w:rPr>
        <w:t>Islamic Architecture in Cairo: An Introduction</w:t>
      </w:r>
      <w:r w:rsidRPr="00520821">
        <w:rPr>
          <w:rFonts w:eastAsia="Times New Roman" w:cstheme="minorHAnsi"/>
          <w:sz w:val="18"/>
          <w:szCs w:val="18"/>
          <w:lang w:eastAsia="en-GB"/>
        </w:rPr>
        <w:t xml:space="preserve"> (New York: Leiden, 1989</w:t>
      </w:r>
      <w:r w:rsidRPr="00520821">
        <w:rPr>
          <w:rFonts w:eastAsia="Times New Roman" w:cstheme="minorHAnsi"/>
          <w:sz w:val="18"/>
          <w:szCs w:val="18"/>
          <w:lang w:eastAsia="en-GB"/>
        </w:rPr>
        <w:t>).</w:t>
      </w:r>
    </w:p>
    <w:p w:rsidR="00FD19D0" w:rsidRPr="00520821" w:rsidRDefault="00FD19D0" w:rsidP="00FD19D0">
      <w:pPr>
        <w:spacing w:line="360" w:lineRule="auto"/>
        <w:rPr>
          <w:rFonts w:eastAsia="Times New Roman" w:cstheme="minorHAnsi"/>
          <w:sz w:val="24"/>
          <w:szCs w:val="24"/>
          <w:lang w:eastAsia="en-GB"/>
        </w:rPr>
      </w:pPr>
    </w:p>
    <w:p w:rsidR="00FD19D0" w:rsidRPr="00520821" w:rsidRDefault="00FD19D0" w:rsidP="00C215F8">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 xml:space="preserve">[online]. </w:t>
      </w:r>
      <w:r w:rsidR="006C4C3D" w:rsidRPr="00520821">
        <w:rPr>
          <w:rFonts w:eastAsia="Times New Roman" w:cstheme="minorHAnsi"/>
          <w:sz w:val="24"/>
          <w:szCs w:val="24"/>
          <w:lang w:eastAsia="en-GB"/>
        </w:rPr>
        <w:t>Available</w:t>
      </w:r>
      <w:r w:rsidRPr="00520821">
        <w:rPr>
          <w:rFonts w:eastAsia="Times New Roman" w:cstheme="minorHAnsi"/>
          <w:sz w:val="24"/>
          <w:szCs w:val="24"/>
          <w:lang w:eastAsia="en-GB"/>
        </w:rPr>
        <w:t xml:space="preserve"> at: (accessed</w:t>
      </w:r>
      <w:r w:rsidR="006C4C3D" w:rsidRPr="00520821">
        <w:rPr>
          <w:rFonts w:eastAsia="Times New Roman" w:cstheme="minorHAnsi"/>
          <w:sz w:val="24"/>
          <w:szCs w:val="24"/>
          <w:lang w:eastAsia="en-GB"/>
        </w:rPr>
        <w:t xml:space="preserve"> on:</w:t>
      </w:r>
      <w:r w:rsidRPr="00520821">
        <w:rPr>
          <w:rFonts w:eastAsia="Times New Roman" w:cstheme="minorHAnsi"/>
          <w:sz w:val="24"/>
          <w:szCs w:val="24"/>
          <w:lang w:eastAsia="en-GB"/>
        </w:rPr>
        <w:t xml:space="preserve"> 23/01/18)</w:t>
      </w:r>
      <w:r w:rsidRPr="00520821">
        <w:rPr>
          <w:rFonts w:eastAsia="Times New Roman" w:cstheme="minorHAnsi"/>
          <w:sz w:val="24"/>
          <w:szCs w:val="24"/>
          <w:lang w:eastAsia="en-GB"/>
        </w:rPr>
        <w:t>.</w:t>
      </w:r>
    </w:p>
    <w:p w:rsidR="007F45A5" w:rsidRPr="00520821" w:rsidRDefault="007F45A5" w:rsidP="00C215F8">
      <w:pPr>
        <w:spacing w:after="0" w:line="360" w:lineRule="auto"/>
        <w:rPr>
          <w:rFonts w:eastAsia="Times New Roman" w:cstheme="minorHAnsi"/>
          <w:sz w:val="24"/>
          <w:szCs w:val="24"/>
          <w:lang w:eastAsia="en-GB"/>
        </w:rPr>
      </w:pPr>
    </w:p>
    <w:p w:rsidR="00B13E6C" w:rsidRPr="00520821" w:rsidRDefault="00B13E6C" w:rsidP="00C215F8">
      <w:pPr>
        <w:spacing w:after="0" w:line="360" w:lineRule="auto"/>
        <w:rPr>
          <w:rFonts w:eastAsia="Times New Roman" w:cstheme="minorHAnsi"/>
          <w:b/>
          <w:sz w:val="24"/>
          <w:szCs w:val="24"/>
          <w:lang w:eastAsia="en-GB"/>
        </w:rPr>
      </w:pPr>
      <w:r w:rsidRPr="00520821">
        <w:rPr>
          <w:rFonts w:eastAsia="Times New Roman" w:cstheme="minorHAnsi"/>
          <w:b/>
          <w:sz w:val="24"/>
          <w:szCs w:val="24"/>
          <w:lang w:eastAsia="en-GB"/>
        </w:rPr>
        <w:t>References for Images</w:t>
      </w:r>
    </w:p>
    <w:p w:rsidR="00B13E6C" w:rsidRPr="00520821" w:rsidRDefault="00B13E6C" w:rsidP="00C215F8">
      <w:pPr>
        <w:spacing w:after="0" w:line="360" w:lineRule="auto"/>
        <w:rPr>
          <w:rFonts w:eastAsia="Times New Roman" w:cstheme="minorHAnsi"/>
          <w:b/>
          <w:sz w:val="24"/>
          <w:szCs w:val="24"/>
          <w:lang w:eastAsia="en-GB"/>
        </w:rPr>
      </w:pPr>
    </w:p>
    <w:p w:rsidR="0095537A" w:rsidRPr="00520821" w:rsidRDefault="007962BC" w:rsidP="0095537A">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 xml:space="preserve">Various: Bridgeman Education, ‘Ibn Tulun Mosque’ [online] </w:t>
      </w:r>
      <w:hyperlink r:id="rId18" w:tgtFrame="_blank" w:history="1">
        <w:r w:rsidRPr="00520821">
          <w:rPr>
            <w:rFonts w:eastAsia="Times New Roman" w:cstheme="minorHAnsi"/>
            <w:color w:val="0000FF"/>
            <w:sz w:val="24"/>
            <w:szCs w:val="24"/>
            <w:u w:val="single"/>
            <w:lang w:eastAsia="en-GB"/>
          </w:rPr>
          <w:t>https://www-bridgemaneducation-com.ezproxy.uwtsd.ac.uk/en/search?filter_text=ibn+tulun+mosque</w:t>
        </w:r>
      </w:hyperlink>
      <w:r w:rsidR="0095537A" w:rsidRPr="00520821">
        <w:rPr>
          <w:rFonts w:eastAsia="Times New Roman" w:cstheme="minorHAnsi"/>
          <w:color w:val="0000FF"/>
          <w:sz w:val="24"/>
          <w:szCs w:val="24"/>
          <w:u w:val="single"/>
          <w:lang w:eastAsia="en-GB"/>
        </w:rPr>
        <w:t xml:space="preserve"> </w:t>
      </w:r>
      <w:r w:rsidR="0095537A" w:rsidRPr="00520821">
        <w:rPr>
          <w:rFonts w:eastAsia="Times New Roman" w:cstheme="minorHAnsi"/>
          <w:sz w:val="24"/>
          <w:szCs w:val="24"/>
          <w:lang w:eastAsia="en-GB"/>
        </w:rPr>
        <w:t>Avaliable at: (accessed 23/01/18).</w:t>
      </w:r>
    </w:p>
    <w:p w:rsidR="007962BC" w:rsidRPr="00520821" w:rsidRDefault="007962BC" w:rsidP="00C215F8">
      <w:pPr>
        <w:spacing w:after="0" w:line="360" w:lineRule="auto"/>
        <w:rPr>
          <w:rFonts w:eastAsia="Times New Roman" w:cstheme="minorHAnsi"/>
          <w:b/>
          <w:sz w:val="24"/>
          <w:szCs w:val="24"/>
          <w:lang w:eastAsia="en-GB"/>
        </w:rPr>
      </w:pPr>
    </w:p>
    <w:p w:rsidR="006C4C3D" w:rsidRPr="00520821" w:rsidRDefault="006C4C3D" w:rsidP="00C215F8">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 xml:space="preserve">Figure 1: Otte, G. ‘Aerial View,’ 2000 [online]. Available at: </w:t>
      </w:r>
      <w:hyperlink r:id="rId19" w:history="1">
        <w:r w:rsidRPr="00520821">
          <w:rPr>
            <w:rStyle w:val="Hyperlink"/>
            <w:rFonts w:eastAsia="Times New Roman" w:cstheme="minorHAnsi"/>
            <w:sz w:val="24"/>
            <w:szCs w:val="24"/>
            <w:lang w:eastAsia="en-GB"/>
          </w:rPr>
          <w:t>https://archnet.org/sites/1522/media_contents/6394</w:t>
        </w:r>
      </w:hyperlink>
      <w:r w:rsidRPr="00520821">
        <w:rPr>
          <w:rFonts w:eastAsia="Times New Roman" w:cstheme="minorHAnsi"/>
          <w:sz w:val="24"/>
          <w:szCs w:val="24"/>
          <w:lang w:eastAsia="en-GB"/>
        </w:rPr>
        <w:t xml:space="preserve"> (accessed on: 23/01/18).</w:t>
      </w:r>
    </w:p>
    <w:p w:rsidR="006C4C3D" w:rsidRPr="00520821" w:rsidRDefault="006C4C3D" w:rsidP="00C215F8">
      <w:pPr>
        <w:spacing w:after="0" w:line="360" w:lineRule="auto"/>
        <w:rPr>
          <w:rFonts w:eastAsia="Times New Roman" w:cstheme="minorHAnsi"/>
          <w:sz w:val="24"/>
          <w:szCs w:val="24"/>
          <w:lang w:eastAsia="en-GB"/>
        </w:rPr>
      </w:pPr>
    </w:p>
    <w:p w:rsidR="002C7209" w:rsidRPr="00520821" w:rsidRDefault="002C7209" w:rsidP="00C215F8">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 xml:space="preserve">Figure ?: Arida, S., ‘Floor plan of mosque in AutoCAD 2000 format.’ </w:t>
      </w:r>
      <w:r w:rsidRPr="00520821">
        <w:rPr>
          <w:rFonts w:eastAsia="Times New Roman" w:cstheme="minorHAnsi"/>
          <w:sz w:val="24"/>
          <w:szCs w:val="24"/>
          <w:lang w:eastAsia="en-GB"/>
        </w:rPr>
        <w:t xml:space="preserve">[online] </w:t>
      </w:r>
      <w:hyperlink r:id="rId20" w:history="1">
        <w:r w:rsidRPr="00520821">
          <w:rPr>
            <w:rStyle w:val="Hyperlink"/>
            <w:rFonts w:eastAsia="Times New Roman" w:cstheme="minorHAnsi"/>
            <w:sz w:val="24"/>
            <w:szCs w:val="24"/>
            <w:lang w:eastAsia="en-GB"/>
          </w:rPr>
          <w:t>https://archnet.org/system/publications/covers/1245/original/FLS1293.jpg?1421335037</w:t>
        </w:r>
      </w:hyperlink>
      <w:r w:rsidRPr="00520821">
        <w:rPr>
          <w:rFonts w:eastAsia="Times New Roman" w:cstheme="minorHAnsi"/>
          <w:sz w:val="24"/>
          <w:szCs w:val="24"/>
          <w:lang w:eastAsia="en-GB"/>
        </w:rPr>
        <w:t xml:space="preserve"> </w:t>
      </w:r>
      <w:r w:rsidRPr="00520821">
        <w:rPr>
          <w:rFonts w:eastAsia="Times New Roman" w:cstheme="minorHAnsi"/>
          <w:sz w:val="24"/>
          <w:szCs w:val="24"/>
          <w:lang w:eastAsia="en-GB"/>
        </w:rPr>
        <w:t>Avaliable at: (accessed 23/01/18).</w:t>
      </w:r>
    </w:p>
    <w:p w:rsidR="002C7209" w:rsidRPr="00520821" w:rsidRDefault="002C7209" w:rsidP="00C215F8">
      <w:pPr>
        <w:spacing w:after="0" w:line="360" w:lineRule="auto"/>
        <w:rPr>
          <w:rFonts w:eastAsia="Times New Roman" w:cstheme="minorHAnsi"/>
          <w:sz w:val="24"/>
          <w:szCs w:val="24"/>
          <w:lang w:eastAsia="en-GB"/>
        </w:rPr>
      </w:pPr>
    </w:p>
    <w:p w:rsidR="00B25A52" w:rsidRPr="00520821" w:rsidRDefault="002C7209" w:rsidP="00C215F8">
      <w:pPr>
        <w:spacing w:after="0" w:line="360" w:lineRule="auto"/>
        <w:rPr>
          <w:rFonts w:eastAsia="Times New Roman" w:cstheme="minorHAnsi"/>
          <w:sz w:val="24"/>
          <w:szCs w:val="24"/>
          <w:lang w:eastAsia="en-GB"/>
        </w:rPr>
      </w:pPr>
      <w:r w:rsidRPr="00520821">
        <w:rPr>
          <w:rFonts w:eastAsia="Times New Roman" w:cstheme="minorHAnsi"/>
          <w:sz w:val="24"/>
          <w:szCs w:val="24"/>
          <w:lang w:eastAsia="en-GB"/>
        </w:rPr>
        <w:t>Figure ?</w:t>
      </w:r>
      <w:r w:rsidR="00B25A52" w:rsidRPr="00520821">
        <w:rPr>
          <w:rFonts w:eastAsia="Times New Roman" w:cstheme="minorHAnsi"/>
          <w:sz w:val="24"/>
          <w:szCs w:val="24"/>
          <w:lang w:eastAsia="en-GB"/>
        </w:rPr>
        <w:t xml:space="preserve">: </w:t>
      </w:r>
      <w:r w:rsidR="0095537A" w:rsidRPr="00520821">
        <w:rPr>
          <w:rFonts w:eastAsia="Times New Roman" w:cstheme="minorHAnsi"/>
          <w:sz w:val="24"/>
          <w:szCs w:val="24"/>
          <w:lang w:eastAsia="en-GB"/>
        </w:rPr>
        <w:t xml:space="preserve">Edition Originale, ‘DESCRIPTION DE L'EGYPTE. Le Kaire [Le Caire]. Vue perspective intérieure de la Mosquée de Touloun. (ETAT MODERNE, volume I, planche 31)’ [Online] </w:t>
      </w:r>
      <w:hyperlink r:id="rId21" w:history="1">
        <w:r w:rsidR="0095537A" w:rsidRPr="00520821">
          <w:rPr>
            <w:rStyle w:val="Hyperlink"/>
            <w:rFonts w:eastAsia="Times New Roman" w:cstheme="minorHAnsi"/>
            <w:sz w:val="24"/>
            <w:szCs w:val="24"/>
            <w:lang w:eastAsia="en-GB"/>
          </w:rPr>
          <w:t>https://www.edition-originale.com/en/prints-engravings-photographs/description-de-legypte-1809/-description-de-legypte-le-kaire-le-1809-25319</w:t>
        </w:r>
      </w:hyperlink>
      <w:r w:rsidR="0095537A" w:rsidRPr="00520821">
        <w:rPr>
          <w:rFonts w:eastAsia="Times New Roman" w:cstheme="minorHAnsi"/>
          <w:sz w:val="24"/>
          <w:szCs w:val="24"/>
          <w:lang w:eastAsia="en-GB"/>
        </w:rPr>
        <w:t xml:space="preserve"> (Accessed on: 23/01/18).</w:t>
      </w:r>
    </w:p>
    <w:p w:rsidR="00B25A52" w:rsidRPr="00520821" w:rsidRDefault="00B25A52" w:rsidP="00C215F8">
      <w:pPr>
        <w:spacing w:after="0" w:line="360" w:lineRule="auto"/>
        <w:rPr>
          <w:rFonts w:eastAsia="Times New Roman" w:cstheme="minorHAnsi"/>
          <w:b/>
          <w:sz w:val="24"/>
          <w:szCs w:val="24"/>
          <w:lang w:eastAsia="en-GB"/>
        </w:rPr>
      </w:pPr>
    </w:p>
    <w:p w:rsidR="005D498A" w:rsidRPr="00520821" w:rsidRDefault="002C7209" w:rsidP="0095537A">
      <w:pPr>
        <w:spacing w:line="360" w:lineRule="auto"/>
        <w:rPr>
          <w:rFonts w:cstheme="minorHAnsi"/>
        </w:rPr>
      </w:pPr>
      <w:r w:rsidRPr="00520821">
        <w:rPr>
          <w:rFonts w:cstheme="minorHAnsi"/>
        </w:rPr>
        <w:t>Figure ?</w:t>
      </w:r>
      <w:r w:rsidR="00B13E6C" w:rsidRPr="00520821">
        <w:rPr>
          <w:rFonts w:cstheme="minorHAnsi"/>
        </w:rPr>
        <w:t>:</w:t>
      </w:r>
      <w:r w:rsidR="0095537A" w:rsidRPr="00520821">
        <w:rPr>
          <w:rFonts w:cstheme="minorHAnsi"/>
        </w:rPr>
        <w:t xml:space="preserve"> ‘</w:t>
      </w:r>
      <w:r w:rsidR="0095537A" w:rsidRPr="00520821">
        <w:rPr>
          <w:rFonts w:cstheme="minorHAnsi"/>
        </w:rPr>
        <w:t>A street scene in old Cairo near the Ibn Tulun Mosque</w:t>
      </w:r>
      <w:r w:rsidR="0095537A" w:rsidRPr="00520821">
        <w:rPr>
          <w:rFonts w:cstheme="minorHAnsi"/>
        </w:rPr>
        <w:t xml:space="preserve"> </w:t>
      </w:r>
      <w:r w:rsidR="0095537A" w:rsidRPr="00520821">
        <w:rPr>
          <w:rFonts w:cstheme="minorHAnsi"/>
        </w:rPr>
        <w:t>by Adri</w:t>
      </w:r>
      <w:r w:rsidR="0095537A" w:rsidRPr="00520821">
        <w:rPr>
          <w:rFonts w:cstheme="minorHAnsi"/>
        </w:rPr>
        <w:t>en Dauzats (French , 1804–1868)’ [online] Available at:</w:t>
      </w:r>
      <w:r w:rsidR="00B13E6C" w:rsidRPr="00520821">
        <w:rPr>
          <w:rFonts w:cstheme="minorHAnsi"/>
        </w:rPr>
        <w:t xml:space="preserve"> </w:t>
      </w:r>
      <w:hyperlink r:id="rId22" w:history="1">
        <w:r w:rsidR="002F37B3" w:rsidRPr="00520821">
          <w:rPr>
            <w:rStyle w:val="Hyperlink"/>
            <w:rFonts w:cstheme="minorHAnsi"/>
          </w:rPr>
          <w:t>https://oldcairo1.blogspot.co.uk/2012/08/adrien-dauzats-french-18041868-street.html#sthash.EatFJQDf.dpuf</w:t>
        </w:r>
      </w:hyperlink>
      <w:r w:rsidR="0095537A" w:rsidRPr="00520821">
        <w:rPr>
          <w:rFonts w:cstheme="minorHAnsi"/>
        </w:rPr>
        <w:t xml:space="preserve"> (Accessed on: 23/01/18). </w:t>
      </w:r>
    </w:p>
    <w:p w:rsidR="002F37B3" w:rsidRPr="00520821" w:rsidRDefault="002C7209" w:rsidP="00C215F8">
      <w:pPr>
        <w:spacing w:line="360" w:lineRule="auto"/>
        <w:rPr>
          <w:rFonts w:cstheme="minorHAnsi"/>
        </w:rPr>
      </w:pPr>
      <w:r w:rsidRPr="00520821">
        <w:rPr>
          <w:rFonts w:cstheme="minorHAnsi"/>
        </w:rPr>
        <w:t>Figure ?</w:t>
      </w:r>
      <w:r w:rsidR="002F37B3" w:rsidRPr="00520821">
        <w:rPr>
          <w:rFonts w:cstheme="minorHAnsi"/>
        </w:rPr>
        <w:t xml:space="preserve">: </w:t>
      </w:r>
      <w:r w:rsidR="002F37B3" w:rsidRPr="00520821">
        <w:rPr>
          <w:rFonts w:cstheme="minorHAnsi"/>
        </w:rPr>
        <w:t>Swelim, T.,</w:t>
      </w:r>
      <w:r w:rsidR="002F37B3" w:rsidRPr="00520821">
        <w:rPr>
          <w:rFonts w:cstheme="minorHAnsi"/>
        </w:rPr>
        <w:t xml:space="preserve"> “Figure 152: The Mosque at gate six of the popular Marina resort on the North Coast of Egypt.”</w:t>
      </w:r>
      <w:r w:rsidR="002F37B3" w:rsidRPr="00520821">
        <w:rPr>
          <w:rFonts w:cstheme="minorHAnsi"/>
        </w:rPr>
        <w:t xml:space="preserve"> </w:t>
      </w:r>
      <w:r w:rsidR="002F37B3" w:rsidRPr="00520821">
        <w:rPr>
          <w:rFonts w:cstheme="minorHAnsi"/>
          <w:i/>
        </w:rPr>
        <w:t>Ibn Tulun: His Lost City and Great Mosque</w:t>
      </w:r>
      <w:r w:rsidR="002F37B3" w:rsidRPr="00520821">
        <w:rPr>
          <w:rFonts w:cstheme="minorHAnsi"/>
        </w:rPr>
        <w:t xml:space="preserve"> (Cairo: The American U</w:t>
      </w:r>
      <w:r w:rsidR="002F37B3" w:rsidRPr="00520821">
        <w:rPr>
          <w:rFonts w:cstheme="minorHAnsi"/>
        </w:rPr>
        <w:t>niversity in Cairo Press, 2015), p. 256.</w:t>
      </w:r>
    </w:p>
    <w:p w:rsidR="0095537A" w:rsidRPr="00DA29BF" w:rsidRDefault="0095537A" w:rsidP="00C215F8">
      <w:pPr>
        <w:spacing w:line="360" w:lineRule="auto"/>
        <w:rPr>
          <w:rFonts w:cstheme="minorHAnsi"/>
        </w:rPr>
      </w:pPr>
    </w:p>
    <w:sectPr w:rsidR="0095537A" w:rsidRPr="00DA29BF">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3BD9" w:rsidRDefault="00573BD9" w:rsidP="00B25A52">
      <w:pPr>
        <w:spacing w:after="0" w:line="240" w:lineRule="auto"/>
      </w:pPr>
      <w:r>
        <w:separator/>
      </w:r>
    </w:p>
  </w:endnote>
  <w:endnote w:type="continuationSeparator" w:id="0">
    <w:p w:rsidR="00573BD9" w:rsidRDefault="00573BD9" w:rsidP="00B25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8135719"/>
      <w:docPartObj>
        <w:docPartGallery w:val="Page Numbers (Bottom of Page)"/>
        <w:docPartUnique/>
      </w:docPartObj>
    </w:sdtPr>
    <w:sdtEndPr>
      <w:rPr>
        <w:noProof/>
      </w:rPr>
    </w:sdtEndPr>
    <w:sdtContent>
      <w:p w:rsidR="00DA0FE8" w:rsidRDefault="004B02D6" w:rsidP="00DA29BF">
        <w:pPr>
          <w:pStyle w:val="Footer"/>
          <w:jc w:val="right"/>
          <w:rPr>
            <w:noProof/>
          </w:rPr>
        </w:pPr>
        <w:r>
          <w:fldChar w:fldCharType="begin"/>
        </w:r>
        <w:r>
          <w:instrText xml:space="preserve"> PAGE   \* MERGEFORMAT </w:instrText>
        </w:r>
        <w:r>
          <w:fldChar w:fldCharType="separate"/>
        </w:r>
        <w:r w:rsidR="00390B68">
          <w:rPr>
            <w:noProof/>
          </w:rPr>
          <w:t>6</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3BD9" w:rsidRDefault="00573BD9" w:rsidP="00B25A52">
      <w:pPr>
        <w:spacing w:after="0" w:line="240" w:lineRule="auto"/>
      </w:pPr>
      <w:r>
        <w:separator/>
      </w:r>
    </w:p>
  </w:footnote>
  <w:footnote w:type="continuationSeparator" w:id="0">
    <w:p w:rsidR="00573BD9" w:rsidRDefault="00573BD9" w:rsidP="00B25A52">
      <w:pPr>
        <w:spacing w:after="0" w:line="240" w:lineRule="auto"/>
      </w:pPr>
      <w:r>
        <w:continuationSeparator/>
      </w:r>
    </w:p>
  </w:footnote>
  <w:footnote w:id="1">
    <w:p w:rsidR="00D65FB0" w:rsidRDefault="00D65FB0">
      <w:pPr>
        <w:pStyle w:val="FootnoteText"/>
      </w:pPr>
      <w:r>
        <w:rPr>
          <w:rStyle w:val="FootnoteReference"/>
        </w:rPr>
        <w:footnoteRef/>
      </w:r>
      <w:r>
        <w:t xml:space="preserve"> K. A. C. Creswell, J. W. Allan,</w:t>
      </w:r>
      <w:r w:rsidRPr="00D65FB0">
        <w:t xml:space="preserve"> </w:t>
      </w:r>
      <w:r w:rsidRPr="00D65FB0">
        <w:rPr>
          <w:i/>
        </w:rPr>
        <w:t xml:space="preserve">A Short Account of Early Muslim Architecture </w:t>
      </w:r>
      <w:r w:rsidRPr="00D65FB0">
        <w:t>(Aldershot: Scolar Press, 1989)</w:t>
      </w:r>
      <w:r w:rsidR="00812022">
        <w:t>, p. 393.</w:t>
      </w:r>
    </w:p>
  </w:footnote>
  <w:footnote w:id="2">
    <w:p w:rsidR="00812022" w:rsidRDefault="00812022" w:rsidP="00812022">
      <w:pPr>
        <w:spacing w:line="360" w:lineRule="auto"/>
      </w:pPr>
      <w:r>
        <w:rPr>
          <w:rStyle w:val="FootnoteReference"/>
        </w:rPr>
        <w:footnoteRef/>
      </w:r>
      <w:r>
        <w:t xml:space="preserve"> </w:t>
      </w:r>
      <w:r>
        <w:rPr>
          <w:rFonts w:cstheme="minorHAnsi"/>
        </w:rPr>
        <w:t>I. M. Lapidus,</w:t>
      </w:r>
      <w:r w:rsidRPr="00DA29BF">
        <w:rPr>
          <w:rFonts w:cstheme="minorHAnsi"/>
          <w:i/>
        </w:rPr>
        <w:t xml:space="preserve"> A History of Islamic Societies</w:t>
      </w:r>
      <w:r w:rsidRPr="00DA29BF">
        <w:rPr>
          <w:rFonts w:cstheme="minorHAnsi"/>
        </w:rPr>
        <w:t>, 2</w:t>
      </w:r>
      <w:r w:rsidRPr="00DA29BF">
        <w:rPr>
          <w:rFonts w:cstheme="minorHAnsi"/>
          <w:vertAlign w:val="superscript"/>
        </w:rPr>
        <w:t>nd</w:t>
      </w:r>
      <w:r w:rsidRPr="00DA29BF">
        <w:rPr>
          <w:rFonts w:cstheme="minorHAnsi"/>
        </w:rPr>
        <w:t xml:space="preserve"> edition (Cambridge: Cambridge University Press, 2002).</w:t>
      </w:r>
    </w:p>
  </w:footnote>
  <w:footnote w:id="3">
    <w:p w:rsidR="00172B34" w:rsidRDefault="00172B34">
      <w:pPr>
        <w:pStyle w:val="FootnoteText"/>
      </w:pPr>
      <w:r>
        <w:rPr>
          <w:rStyle w:val="FootnoteReference"/>
        </w:rPr>
        <w:footnoteRef/>
      </w:r>
      <w:r>
        <w:t xml:space="preserve"> </w:t>
      </w:r>
      <w:r w:rsidRPr="000B6D7F">
        <w:rPr>
          <w:sz w:val="18"/>
          <w:szCs w:val="18"/>
        </w:rPr>
        <w:t xml:space="preserve">D. </w:t>
      </w:r>
      <w:r w:rsidRPr="000B6D7F">
        <w:rPr>
          <w:rFonts w:eastAsia="Times New Roman" w:cstheme="minorHAnsi"/>
          <w:sz w:val="18"/>
          <w:szCs w:val="18"/>
          <w:lang w:eastAsia="en-GB"/>
        </w:rPr>
        <w:t xml:space="preserve">Behrens-Abouseif, </w:t>
      </w:r>
      <w:r w:rsidRPr="000B6D7F">
        <w:rPr>
          <w:rFonts w:eastAsia="Times New Roman" w:cstheme="minorHAnsi"/>
          <w:i/>
          <w:sz w:val="18"/>
          <w:szCs w:val="18"/>
          <w:lang w:eastAsia="en-GB"/>
        </w:rPr>
        <w:t>Islamic Architecture in Cairo: An Introduction</w:t>
      </w:r>
      <w:r w:rsidRPr="000B6D7F">
        <w:rPr>
          <w:rFonts w:eastAsia="Times New Roman" w:cstheme="minorHAnsi"/>
          <w:sz w:val="18"/>
          <w:szCs w:val="18"/>
          <w:lang w:eastAsia="en-GB"/>
        </w:rPr>
        <w:t xml:space="preserve"> (New York: Leiden, 1989</w:t>
      </w:r>
      <w:r>
        <w:rPr>
          <w:rFonts w:eastAsia="Times New Roman" w:cstheme="minorHAnsi"/>
          <w:sz w:val="18"/>
          <w:szCs w:val="18"/>
          <w:lang w:eastAsia="en-GB"/>
        </w:rPr>
        <w:t>),</w:t>
      </w:r>
      <w:r>
        <w:t xml:space="preserve"> p. 55.</w:t>
      </w:r>
    </w:p>
  </w:footnote>
  <w:footnote w:id="4">
    <w:p w:rsidR="001B3C98" w:rsidRDefault="001B3C98">
      <w:pPr>
        <w:pStyle w:val="FootnoteText"/>
      </w:pPr>
      <w:r>
        <w:rPr>
          <w:rStyle w:val="FootnoteReference"/>
        </w:rPr>
        <w:footnoteRef/>
      </w:r>
      <w:r>
        <w:t xml:space="preserve"> </w:t>
      </w:r>
      <w:r>
        <w:t>K. A. C. Creswell, J. W. Allan,</w:t>
      </w:r>
      <w:r w:rsidRPr="00D65FB0">
        <w:t xml:space="preserve"> </w:t>
      </w:r>
      <w:r w:rsidRPr="00D65FB0">
        <w:rPr>
          <w:i/>
        </w:rPr>
        <w:t>A Short Accou</w:t>
      </w:r>
      <w:r>
        <w:rPr>
          <w:i/>
        </w:rPr>
        <w:t xml:space="preserve">nt of Early Muslim Architecture, </w:t>
      </w:r>
      <w:r>
        <w:t>p. 392</w:t>
      </w:r>
      <w:r>
        <w:t>.</w:t>
      </w:r>
    </w:p>
  </w:footnote>
  <w:footnote w:id="5">
    <w:p w:rsidR="002347A0" w:rsidRPr="002347A0" w:rsidRDefault="002347A0">
      <w:pPr>
        <w:pStyle w:val="FootnoteText"/>
        <w:rPr>
          <w:i/>
        </w:rPr>
      </w:pPr>
      <w:r>
        <w:rPr>
          <w:rStyle w:val="FootnoteReference"/>
        </w:rPr>
        <w:footnoteRef/>
      </w:r>
      <w:r>
        <w:t xml:space="preserve"> </w:t>
      </w:r>
      <w:r>
        <w:rPr>
          <w:i/>
        </w:rPr>
        <w:t xml:space="preserve">Ibid., </w:t>
      </w:r>
      <w:r w:rsidRPr="002347A0">
        <w:t>p 392.</w:t>
      </w:r>
    </w:p>
  </w:footnote>
  <w:footnote w:id="6">
    <w:p w:rsidR="00642460" w:rsidRPr="00642460" w:rsidRDefault="00642460">
      <w:pPr>
        <w:pStyle w:val="FootnoteText"/>
        <w:rPr>
          <w:i/>
        </w:rPr>
      </w:pPr>
      <w:r>
        <w:rPr>
          <w:rStyle w:val="FootnoteReference"/>
        </w:rPr>
        <w:footnoteRef/>
      </w:r>
      <w:r>
        <w:t xml:space="preserve"> D. Behrens-Abouseif, </w:t>
      </w:r>
      <w:r>
        <w:rPr>
          <w:i/>
        </w:rPr>
        <w:t xml:space="preserve">Islamic Architecture in Cairo, p. </w:t>
      </w:r>
    </w:p>
  </w:footnote>
  <w:footnote w:id="7">
    <w:p w:rsidR="00812022" w:rsidRPr="00DA29BF" w:rsidRDefault="008B6F97" w:rsidP="00812022">
      <w:pPr>
        <w:spacing w:line="360" w:lineRule="auto"/>
        <w:rPr>
          <w:rFonts w:cstheme="minorHAnsi"/>
        </w:rPr>
      </w:pPr>
      <w:r>
        <w:rPr>
          <w:rStyle w:val="FootnoteReference"/>
        </w:rPr>
        <w:footnoteRef/>
      </w:r>
      <w:r>
        <w:t xml:space="preserve"> </w:t>
      </w:r>
      <w:r w:rsidR="00812022" w:rsidRPr="00DA29BF">
        <w:rPr>
          <w:rFonts w:cstheme="minorHAnsi"/>
        </w:rPr>
        <w:t>Lapidus, I. M.,</w:t>
      </w:r>
      <w:r w:rsidR="00812022" w:rsidRPr="00DA29BF">
        <w:rPr>
          <w:rFonts w:cstheme="minorHAnsi"/>
          <w:i/>
        </w:rPr>
        <w:t xml:space="preserve"> A History of Islamic Societies</w:t>
      </w:r>
      <w:r w:rsidR="00812022" w:rsidRPr="00DA29BF">
        <w:rPr>
          <w:rFonts w:cstheme="minorHAnsi"/>
        </w:rPr>
        <w:t>, 2</w:t>
      </w:r>
      <w:r w:rsidR="00812022" w:rsidRPr="00DA29BF">
        <w:rPr>
          <w:rFonts w:cstheme="minorHAnsi"/>
          <w:vertAlign w:val="superscript"/>
        </w:rPr>
        <w:t>nd</w:t>
      </w:r>
      <w:r w:rsidR="00812022" w:rsidRPr="00DA29BF">
        <w:rPr>
          <w:rFonts w:cstheme="minorHAnsi"/>
        </w:rPr>
        <w:t xml:space="preserve"> edition (Cambridge: Cambridge University Press, 2002).</w:t>
      </w:r>
    </w:p>
    <w:p w:rsidR="008B6F97" w:rsidRDefault="008B6F97">
      <w:pPr>
        <w:pStyle w:val="FootnoteText"/>
      </w:pPr>
    </w:p>
  </w:footnote>
  <w:footnote w:id="8">
    <w:p w:rsidR="00B0395B" w:rsidRDefault="00B0395B">
      <w:pPr>
        <w:pStyle w:val="FootnoteText"/>
      </w:pPr>
      <w:r>
        <w:rPr>
          <w:rStyle w:val="FootnoteReference"/>
        </w:rPr>
        <w:footnoteRef/>
      </w:r>
      <w:r>
        <w:t xml:space="preserve"> </w:t>
      </w:r>
      <w:r w:rsidR="001B3C98" w:rsidRPr="00B13E6C">
        <w:rPr>
          <w:rFonts w:cstheme="minorHAnsi"/>
        </w:rPr>
        <w:t xml:space="preserve">Swelim, T., </w:t>
      </w:r>
      <w:r w:rsidR="001B3C98" w:rsidRPr="00B13E6C">
        <w:rPr>
          <w:rFonts w:cstheme="minorHAnsi"/>
          <w:i/>
        </w:rPr>
        <w:t>Ibn Tulun: His Lost City and Great Mosque</w:t>
      </w:r>
      <w:r w:rsidR="001B3C98">
        <w:rPr>
          <w:rFonts w:cstheme="minorHAnsi"/>
          <w:i/>
        </w:rPr>
        <w:t xml:space="preserve"> </w:t>
      </w:r>
      <w:r w:rsidR="001B3C98" w:rsidRPr="00DA29BF">
        <w:rPr>
          <w:rFonts w:cstheme="minorHAnsi"/>
        </w:rPr>
        <w:t>(Cairo: The American University in Cairo Press, 2015)</w:t>
      </w:r>
      <w:r w:rsidR="001B3C98">
        <w:rPr>
          <w:rFonts w:cstheme="minorHAnsi"/>
          <w:i/>
        </w:rPr>
        <w:t>, p. 249.</w:t>
      </w:r>
    </w:p>
  </w:footnote>
  <w:footnote w:id="9">
    <w:p w:rsidR="00B25A52" w:rsidRDefault="00B25A52">
      <w:pPr>
        <w:pStyle w:val="FootnoteText"/>
      </w:pPr>
      <w:r>
        <w:rPr>
          <w:rStyle w:val="FootnoteReference"/>
        </w:rPr>
        <w:footnoteRef/>
      </w:r>
      <w:r>
        <w:t xml:space="preserve"> </w:t>
      </w:r>
      <w:r w:rsidR="00412E27" w:rsidRPr="00412E27">
        <w:t>Edition Originale, ‘DESCRIPTION DE L'EGYPTE. Le Kaire [Le Caire]. Vue perspective intérieure de la Mosquée de Touloun. (ETAT MODERNE, volume I, planche 31)’ [Online] https://www.edition-originale.com/en/prints-engravings-photographs/description-de-legypte-1809/-description-de-legypte-le-kaire-le-1809-25319 (Accessed on: 23/01/18).</w:t>
      </w:r>
    </w:p>
  </w:footnote>
  <w:footnote w:id="10">
    <w:p w:rsidR="00032EF8" w:rsidRDefault="00032EF8">
      <w:pPr>
        <w:pStyle w:val="FootnoteText"/>
      </w:pPr>
      <w:r>
        <w:rPr>
          <w:rStyle w:val="FootnoteReference"/>
        </w:rPr>
        <w:footnoteRef/>
      </w:r>
      <w:r>
        <w:t xml:space="preserve"> </w:t>
      </w:r>
      <w:r w:rsidRPr="00B13E6C">
        <w:rPr>
          <w:rFonts w:cstheme="minorHAnsi"/>
        </w:rPr>
        <w:t xml:space="preserve">Swelim, T., </w:t>
      </w:r>
      <w:r w:rsidRPr="00B13E6C">
        <w:rPr>
          <w:rFonts w:cstheme="minorHAnsi"/>
          <w:i/>
        </w:rPr>
        <w:t>Ibn Tulun: His Lost City and Great Mosque</w:t>
      </w:r>
      <w:r>
        <w:rPr>
          <w:rFonts w:cstheme="minorHAnsi"/>
          <w:i/>
        </w:rPr>
        <w:t>, p. 249.</w:t>
      </w:r>
    </w:p>
  </w:footnote>
  <w:footnote w:id="11">
    <w:p w:rsidR="00C83026" w:rsidRPr="00C83026" w:rsidRDefault="00C83026">
      <w:pPr>
        <w:pStyle w:val="FootnoteText"/>
      </w:pPr>
      <w:r>
        <w:rPr>
          <w:rStyle w:val="FootnoteReference"/>
        </w:rPr>
        <w:footnoteRef/>
      </w:r>
      <w:r>
        <w:t xml:space="preserve"> </w:t>
      </w:r>
      <w:r>
        <w:rPr>
          <w:i/>
        </w:rPr>
        <w:t>Ibid</w:t>
      </w:r>
      <w:r>
        <w:t>, p. 249.</w:t>
      </w:r>
    </w:p>
  </w:footnote>
  <w:footnote w:id="12">
    <w:p w:rsidR="004C735C" w:rsidRPr="004C735C" w:rsidRDefault="004C735C">
      <w:pPr>
        <w:pStyle w:val="FootnoteText"/>
        <w:rPr>
          <w:i/>
        </w:rPr>
      </w:pPr>
      <w:r>
        <w:rPr>
          <w:rStyle w:val="FootnoteReference"/>
        </w:rPr>
        <w:footnoteRef/>
      </w:r>
      <w:r>
        <w:t xml:space="preserve"> </w:t>
      </w:r>
      <w:r>
        <w:rPr>
          <w:i/>
        </w:rPr>
        <w:t>Ibid, p. 246.</w:t>
      </w:r>
    </w:p>
  </w:footnote>
  <w:footnote w:id="13">
    <w:p w:rsidR="004C735C" w:rsidRPr="004C735C" w:rsidRDefault="004C735C">
      <w:pPr>
        <w:pStyle w:val="FootnoteText"/>
      </w:pPr>
      <w:r>
        <w:rPr>
          <w:rStyle w:val="FootnoteReference"/>
        </w:rPr>
        <w:footnoteRef/>
      </w:r>
      <w:r>
        <w:t xml:space="preserve"> </w:t>
      </w:r>
      <w:r>
        <w:rPr>
          <w:i/>
        </w:rPr>
        <w:t xml:space="preserve">Ibid, </w:t>
      </w:r>
      <w:r w:rsidR="002F37B3">
        <w:t>pp.</w:t>
      </w:r>
      <w:r>
        <w:t>. 246-247.</w:t>
      </w:r>
    </w:p>
  </w:footnote>
  <w:footnote w:id="14">
    <w:p w:rsidR="002F37B3" w:rsidRPr="002F37B3" w:rsidRDefault="002F37B3">
      <w:pPr>
        <w:pStyle w:val="FootnoteText"/>
        <w:rPr>
          <w:i/>
        </w:rPr>
      </w:pPr>
      <w:r>
        <w:rPr>
          <w:rStyle w:val="FootnoteReference"/>
        </w:rPr>
        <w:footnoteRef/>
      </w:r>
      <w:r>
        <w:t xml:space="preserve"> </w:t>
      </w:r>
      <w:r>
        <w:rPr>
          <w:i/>
        </w:rPr>
        <w:t xml:space="preserve">Ibid, </w:t>
      </w:r>
      <w:r>
        <w:t>p. 255-257.</w:t>
      </w:r>
      <w:r>
        <w:rPr>
          <w:i/>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0FE8" w:rsidRDefault="00DA0FE8">
    <w:pPr>
      <w:pStyle w:val="Header"/>
    </w:pPr>
    <w:r>
      <w:t>Benjamin Dale</w:t>
    </w:r>
    <w:r>
      <w:ptab w:relativeTo="margin" w:alignment="center" w:leader="none"/>
    </w:r>
    <w:r>
      <w:ptab w:relativeTo="margin" w:alignment="right" w:leader="none"/>
    </w:r>
    <w:r>
      <w:t>1502041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411"/>
    <w:rsid w:val="00010128"/>
    <w:rsid w:val="00032EF8"/>
    <w:rsid w:val="001660DF"/>
    <w:rsid w:val="00172B34"/>
    <w:rsid w:val="00186C13"/>
    <w:rsid w:val="0019794D"/>
    <w:rsid w:val="001B3C98"/>
    <w:rsid w:val="001C738D"/>
    <w:rsid w:val="001F5F4E"/>
    <w:rsid w:val="00233542"/>
    <w:rsid w:val="002347A0"/>
    <w:rsid w:val="00245719"/>
    <w:rsid w:val="00254C6B"/>
    <w:rsid w:val="00254DF7"/>
    <w:rsid w:val="002C7209"/>
    <w:rsid w:val="002F37B3"/>
    <w:rsid w:val="00306393"/>
    <w:rsid w:val="00390B68"/>
    <w:rsid w:val="00412E27"/>
    <w:rsid w:val="00422109"/>
    <w:rsid w:val="004B02D6"/>
    <w:rsid w:val="004C735C"/>
    <w:rsid w:val="00520821"/>
    <w:rsid w:val="00551A34"/>
    <w:rsid w:val="00573BD9"/>
    <w:rsid w:val="0059017A"/>
    <w:rsid w:val="005C3A63"/>
    <w:rsid w:val="005D498A"/>
    <w:rsid w:val="00642460"/>
    <w:rsid w:val="0068623A"/>
    <w:rsid w:val="0069233D"/>
    <w:rsid w:val="0069679B"/>
    <w:rsid w:val="006C4C3D"/>
    <w:rsid w:val="00750538"/>
    <w:rsid w:val="00781E33"/>
    <w:rsid w:val="007962BC"/>
    <w:rsid w:val="007A458E"/>
    <w:rsid w:val="007E6A52"/>
    <w:rsid w:val="007F45A5"/>
    <w:rsid w:val="00812022"/>
    <w:rsid w:val="00857D62"/>
    <w:rsid w:val="008B6F97"/>
    <w:rsid w:val="008D1FCC"/>
    <w:rsid w:val="00913A73"/>
    <w:rsid w:val="009512B1"/>
    <w:rsid w:val="0095537A"/>
    <w:rsid w:val="00962596"/>
    <w:rsid w:val="00994DC5"/>
    <w:rsid w:val="009F4384"/>
    <w:rsid w:val="00A311A9"/>
    <w:rsid w:val="00A550E4"/>
    <w:rsid w:val="00A76DE9"/>
    <w:rsid w:val="00AE0316"/>
    <w:rsid w:val="00AF30EC"/>
    <w:rsid w:val="00B0395B"/>
    <w:rsid w:val="00B13E6C"/>
    <w:rsid w:val="00B25A52"/>
    <w:rsid w:val="00B52F2A"/>
    <w:rsid w:val="00B66922"/>
    <w:rsid w:val="00BB11D6"/>
    <w:rsid w:val="00BD5939"/>
    <w:rsid w:val="00BF4CEA"/>
    <w:rsid w:val="00C215F8"/>
    <w:rsid w:val="00C83026"/>
    <w:rsid w:val="00CF1353"/>
    <w:rsid w:val="00CF53F5"/>
    <w:rsid w:val="00D2652D"/>
    <w:rsid w:val="00D63818"/>
    <w:rsid w:val="00D65FB0"/>
    <w:rsid w:val="00D74D18"/>
    <w:rsid w:val="00DA0FE8"/>
    <w:rsid w:val="00DA29BF"/>
    <w:rsid w:val="00DE0239"/>
    <w:rsid w:val="00F01411"/>
    <w:rsid w:val="00F6498D"/>
    <w:rsid w:val="00FD1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96812"/>
  <w15:chartTrackingRefBased/>
  <w15:docId w15:val="{82E325C3-C7D1-4285-A129-9FB34FCD4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3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498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D498A"/>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5D498A"/>
    <w:rPr>
      <w:color w:val="0000FF"/>
      <w:u w:val="single"/>
    </w:rPr>
  </w:style>
  <w:style w:type="character" w:styleId="Strong">
    <w:name w:val="Strong"/>
    <w:basedOn w:val="DefaultParagraphFont"/>
    <w:uiPriority w:val="22"/>
    <w:qFormat/>
    <w:rsid w:val="0019794D"/>
    <w:rPr>
      <w:b/>
      <w:bCs/>
    </w:rPr>
  </w:style>
  <w:style w:type="paragraph" w:styleId="Caption">
    <w:name w:val="caption"/>
    <w:basedOn w:val="Normal"/>
    <w:next w:val="Normal"/>
    <w:uiPriority w:val="35"/>
    <w:unhideWhenUsed/>
    <w:qFormat/>
    <w:rsid w:val="00B13E6C"/>
    <w:pPr>
      <w:spacing w:after="200" w:line="240" w:lineRule="auto"/>
    </w:pPr>
    <w:rPr>
      <w:i/>
      <w:iCs/>
      <w:color w:val="44546A" w:themeColor="text2"/>
      <w:sz w:val="18"/>
      <w:szCs w:val="18"/>
    </w:rPr>
  </w:style>
  <w:style w:type="character" w:customStyle="1" w:styleId="hascaption">
    <w:name w:val="hascaption"/>
    <w:basedOn w:val="DefaultParagraphFont"/>
    <w:rsid w:val="00B13E6C"/>
  </w:style>
  <w:style w:type="paragraph" w:customStyle="1" w:styleId="titreauteur">
    <w:name w:val="titre_auteur"/>
    <w:basedOn w:val="Normal"/>
    <w:rsid w:val="00B13E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trelivre">
    <w:name w:val="titre_livre"/>
    <w:basedOn w:val="Normal"/>
    <w:rsid w:val="00B13E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lementlivre">
    <w:name w:val="complement_livre"/>
    <w:basedOn w:val="Normal"/>
    <w:rsid w:val="00B13E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B25A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5A52"/>
    <w:rPr>
      <w:sz w:val="20"/>
      <w:szCs w:val="20"/>
    </w:rPr>
  </w:style>
  <w:style w:type="character" w:styleId="FootnoteReference">
    <w:name w:val="footnote reference"/>
    <w:basedOn w:val="DefaultParagraphFont"/>
    <w:uiPriority w:val="99"/>
    <w:semiHidden/>
    <w:unhideWhenUsed/>
    <w:rsid w:val="00B25A52"/>
    <w:rPr>
      <w:vertAlign w:val="superscript"/>
    </w:rPr>
  </w:style>
  <w:style w:type="character" w:styleId="UnresolvedMention">
    <w:name w:val="Unresolved Mention"/>
    <w:basedOn w:val="DefaultParagraphFont"/>
    <w:uiPriority w:val="99"/>
    <w:semiHidden/>
    <w:unhideWhenUsed/>
    <w:rsid w:val="002F37B3"/>
    <w:rPr>
      <w:color w:val="808080"/>
      <w:shd w:val="clear" w:color="auto" w:fill="E6E6E6"/>
    </w:rPr>
  </w:style>
  <w:style w:type="character" w:customStyle="1" w:styleId="Heading1Char">
    <w:name w:val="Heading 1 Char"/>
    <w:basedOn w:val="DefaultParagraphFont"/>
    <w:link w:val="Heading1"/>
    <w:uiPriority w:val="9"/>
    <w:rsid w:val="0095537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A0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FE8"/>
  </w:style>
  <w:style w:type="paragraph" w:styleId="Footer">
    <w:name w:val="footer"/>
    <w:basedOn w:val="Normal"/>
    <w:link w:val="FooterChar"/>
    <w:uiPriority w:val="99"/>
    <w:unhideWhenUsed/>
    <w:rsid w:val="00DA0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7528436">
      <w:bodyDiv w:val="1"/>
      <w:marLeft w:val="0"/>
      <w:marRight w:val="0"/>
      <w:marTop w:val="0"/>
      <w:marBottom w:val="0"/>
      <w:divBdr>
        <w:top w:val="none" w:sz="0" w:space="0" w:color="auto"/>
        <w:left w:val="none" w:sz="0" w:space="0" w:color="auto"/>
        <w:bottom w:val="none" w:sz="0" w:space="0" w:color="auto"/>
        <w:right w:val="none" w:sz="0" w:space="0" w:color="auto"/>
      </w:divBdr>
    </w:div>
    <w:div w:id="979116923">
      <w:bodyDiv w:val="1"/>
      <w:marLeft w:val="0"/>
      <w:marRight w:val="0"/>
      <w:marTop w:val="0"/>
      <w:marBottom w:val="0"/>
      <w:divBdr>
        <w:top w:val="none" w:sz="0" w:space="0" w:color="auto"/>
        <w:left w:val="none" w:sz="0" w:space="0" w:color="auto"/>
        <w:bottom w:val="none" w:sz="0" w:space="0" w:color="auto"/>
        <w:right w:val="none" w:sz="0" w:space="0" w:color="auto"/>
      </w:divBdr>
    </w:div>
    <w:div w:id="1403983222">
      <w:bodyDiv w:val="1"/>
      <w:marLeft w:val="0"/>
      <w:marRight w:val="0"/>
      <w:marTop w:val="0"/>
      <w:marBottom w:val="0"/>
      <w:divBdr>
        <w:top w:val="none" w:sz="0" w:space="0" w:color="auto"/>
        <w:left w:val="none" w:sz="0" w:space="0" w:color="auto"/>
        <w:bottom w:val="none" w:sz="0" w:space="0" w:color="auto"/>
        <w:right w:val="none" w:sz="0" w:space="0" w:color="auto"/>
      </w:divBdr>
      <w:divsChild>
        <w:div w:id="1549415802">
          <w:marLeft w:val="0"/>
          <w:marRight w:val="0"/>
          <w:marTop w:val="0"/>
          <w:marBottom w:val="0"/>
          <w:divBdr>
            <w:top w:val="none" w:sz="0" w:space="0" w:color="auto"/>
            <w:left w:val="none" w:sz="0" w:space="0" w:color="auto"/>
            <w:bottom w:val="none" w:sz="0" w:space="0" w:color="auto"/>
            <w:right w:val="none" w:sz="0" w:space="0" w:color="auto"/>
          </w:divBdr>
        </w:div>
        <w:div w:id="660232470">
          <w:marLeft w:val="0"/>
          <w:marRight w:val="0"/>
          <w:marTop w:val="0"/>
          <w:marBottom w:val="0"/>
          <w:divBdr>
            <w:top w:val="none" w:sz="0" w:space="0" w:color="auto"/>
            <w:left w:val="none" w:sz="0" w:space="0" w:color="auto"/>
            <w:bottom w:val="none" w:sz="0" w:space="0" w:color="auto"/>
            <w:right w:val="none" w:sz="0" w:space="0" w:color="auto"/>
          </w:divBdr>
        </w:div>
        <w:div w:id="1038433790">
          <w:marLeft w:val="0"/>
          <w:marRight w:val="0"/>
          <w:marTop w:val="0"/>
          <w:marBottom w:val="0"/>
          <w:divBdr>
            <w:top w:val="none" w:sz="0" w:space="0" w:color="auto"/>
            <w:left w:val="none" w:sz="0" w:space="0" w:color="auto"/>
            <w:bottom w:val="none" w:sz="0" w:space="0" w:color="auto"/>
            <w:right w:val="none" w:sz="0" w:space="0" w:color="auto"/>
          </w:divBdr>
        </w:div>
        <w:div w:id="1274895635">
          <w:marLeft w:val="0"/>
          <w:marRight w:val="0"/>
          <w:marTop w:val="0"/>
          <w:marBottom w:val="0"/>
          <w:divBdr>
            <w:top w:val="none" w:sz="0" w:space="0" w:color="auto"/>
            <w:left w:val="none" w:sz="0" w:space="0" w:color="auto"/>
            <w:bottom w:val="none" w:sz="0" w:space="0" w:color="auto"/>
            <w:right w:val="none" w:sz="0" w:space="0" w:color="auto"/>
          </w:divBdr>
        </w:div>
        <w:div w:id="1429306876">
          <w:marLeft w:val="0"/>
          <w:marRight w:val="0"/>
          <w:marTop w:val="0"/>
          <w:marBottom w:val="0"/>
          <w:divBdr>
            <w:top w:val="none" w:sz="0" w:space="0" w:color="auto"/>
            <w:left w:val="none" w:sz="0" w:space="0" w:color="auto"/>
            <w:bottom w:val="none" w:sz="0" w:space="0" w:color="auto"/>
            <w:right w:val="none" w:sz="0" w:space="0" w:color="auto"/>
          </w:divBdr>
        </w:div>
        <w:div w:id="1549562065">
          <w:marLeft w:val="0"/>
          <w:marRight w:val="0"/>
          <w:marTop w:val="0"/>
          <w:marBottom w:val="0"/>
          <w:divBdr>
            <w:top w:val="none" w:sz="0" w:space="0" w:color="auto"/>
            <w:left w:val="none" w:sz="0" w:space="0" w:color="auto"/>
            <w:bottom w:val="none" w:sz="0" w:space="0" w:color="auto"/>
            <w:right w:val="none" w:sz="0" w:space="0" w:color="auto"/>
          </w:divBdr>
        </w:div>
        <w:div w:id="1044409607">
          <w:marLeft w:val="0"/>
          <w:marRight w:val="0"/>
          <w:marTop w:val="0"/>
          <w:marBottom w:val="0"/>
          <w:divBdr>
            <w:top w:val="none" w:sz="0" w:space="0" w:color="auto"/>
            <w:left w:val="none" w:sz="0" w:space="0" w:color="auto"/>
            <w:bottom w:val="none" w:sz="0" w:space="0" w:color="auto"/>
            <w:right w:val="none" w:sz="0" w:space="0" w:color="auto"/>
          </w:divBdr>
        </w:div>
        <w:div w:id="1301232961">
          <w:marLeft w:val="0"/>
          <w:marRight w:val="0"/>
          <w:marTop w:val="0"/>
          <w:marBottom w:val="0"/>
          <w:divBdr>
            <w:top w:val="none" w:sz="0" w:space="0" w:color="auto"/>
            <w:left w:val="none" w:sz="0" w:space="0" w:color="auto"/>
            <w:bottom w:val="none" w:sz="0" w:space="0" w:color="auto"/>
            <w:right w:val="none" w:sz="0" w:space="0" w:color="auto"/>
          </w:divBdr>
        </w:div>
        <w:div w:id="24138732">
          <w:marLeft w:val="0"/>
          <w:marRight w:val="0"/>
          <w:marTop w:val="0"/>
          <w:marBottom w:val="0"/>
          <w:divBdr>
            <w:top w:val="none" w:sz="0" w:space="0" w:color="auto"/>
            <w:left w:val="none" w:sz="0" w:space="0" w:color="auto"/>
            <w:bottom w:val="none" w:sz="0" w:space="0" w:color="auto"/>
            <w:right w:val="none" w:sz="0" w:space="0" w:color="auto"/>
          </w:divBdr>
        </w:div>
        <w:div w:id="522013419">
          <w:marLeft w:val="0"/>
          <w:marRight w:val="0"/>
          <w:marTop w:val="0"/>
          <w:marBottom w:val="0"/>
          <w:divBdr>
            <w:top w:val="none" w:sz="0" w:space="0" w:color="auto"/>
            <w:left w:val="none" w:sz="0" w:space="0" w:color="auto"/>
            <w:bottom w:val="none" w:sz="0" w:space="0" w:color="auto"/>
            <w:right w:val="none" w:sz="0" w:space="0" w:color="auto"/>
          </w:divBdr>
        </w:div>
        <w:div w:id="1194224363">
          <w:marLeft w:val="0"/>
          <w:marRight w:val="0"/>
          <w:marTop w:val="0"/>
          <w:marBottom w:val="0"/>
          <w:divBdr>
            <w:top w:val="none" w:sz="0" w:space="0" w:color="auto"/>
            <w:left w:val="none" w:sz="0" w:space="0" w:color="auto"/>
            <w:bottom w:val="none" w:sz="0" w:space="0" w:color="auto"/>
            <w:right w:val="none" w:sz="0" w:space="0" w:color="auto"/>
          </w:divBdr>
        </w:div>
        <w:div w:id="1375540877">
          <w:marLeft w:val="0"/>
          <w:marRight w:val="0"/>
          <w:marTop w:val="0"/>
          <w:marBottom w:val="0"/>
          <w:divBdr>
            <w:top w:val="none" w:sz="0" w:space="0" w:color="auto"/>
            <w:left w:val="none" w:sz="0" w:space="0" w:color="auto"/>
            <w:bottom w:val="none" w:sz="0" w:space="0" w:color="auto"/>
            <w:right w:val="none" w:sz="0" w:space="0" w:color="auto"/>
          </w:divBdr>
        </w:div>
        <w:div w:id="985360993">
          <w:marLeft w:val="0"/>
          <w:marRight w:val="0"/>
          <w:marTop w:val="0"/>
          <w:marBottom w:val="0"/>
          <w:divBdr>
            <w:top w:val="none" w:sz="0" w:space="0" w:color="auto"/>
            <w:left w:val="none" w:sz="0" w:space="0" w:color="auto"/>
            <w:bottom w:val="none" w:sz="0" w:space="0" w:color="auto"/>
            <w:right w:val="none" w:sz="0" w:space="0" w:color="auto"/>
          </w:divBdr>
        </w:div>
        <w:div w:id="677199897">
          <w:marLeft w:val="0"/>
          <w:marRight w:val="0"/>
          <w:marTop w:val="0"/>
          <w:marBottom w:val="0"/>
          <w:divBdr>
            <w:top w:val="none" w:sz="0" w:space="0" w:color="auto"/>
            <w:left w:val="none" w:sz="0" w:space="0" w:color="auto"/>
            <w:bottom w:val="none" w:sz="0" w:space="0" w:color="auto"/>
            <w:right w:val="none" w:sz="0" w:space="0" w:color="auto"/>
          </w:divBdr>
        </w:div>
        <w:div w:id="244074929">
          <w:marLeft w:val="0"/>
          <w:marRight w:val="0"/>
          <w:marTop w:val="0"/>
          <w:marBottom w:val="0"/>
          <w:divBdr>
            <w:top w:val="none" w:sz="0" w:space="0" w:color="auto"/>
            <w:left w:val="none" w:sz="0" w:space="0" w:color="auto"/>
            <w:bottom w:val="none" w:sz="0" w:space="0" w:color="auto"/>
            <w:right w:val="none" w:sz="0" w:space="0" w:color="auto"/>
          </w:divBdr>
        </w:div>
        <w:div w:id="611286994">
          <w:marLeft w:val="0"/>
          <w:marRight w:val="0"/>
          <w:marTop w:val="0"/>
          <w:marBottom w:val="0"/>
          <w:divBdr>
            <w:top w:val="none" w:sz="0" w:space="0" w:color="auto"/>
            <w:left w:val="none" w:sz="0" w:space="0" w:color="auto"/>
            <w:bottom w:val="none" w:sz="0" w:space="0" w:color="auto"/>
            <w:right w:val="none" w:sz="0" w:space="0" w:color="auto"/>
          </w:divBdr>
        </w:div>
        <w:div w:id="983698012">
          <w:marLeft w:val="0"/>
          <w:marRight w:val="0"/>
          <w:marTop w:val="0"/>
          <w:marBottom w:val="0"/>
          <w:divBdr>
            <w:top w:val="none" w:sz="0" w:space="0" w:color="auto"/>
            <w:left w:val="none" w:sz="0" w:space="0" w:color="auto"/>
            <w:bottom w:val="none" w:sz="0" w:space="0" w:color="auto"/>
            <w:right w:val="none" w:sz="0" w:space="0" w:color="auto"/>
          </w:divBdr>
        </w:div>
        <w:div w:id="2004162990">
          <w:marLeft w:val="0"/>
          <w:marRight w:val="0"/>
          <w:marTop w:val="0"/>
          <w:marBottom w:val="0"/>
          <w:divBdr>
            <w:top w:val="none" w:sz="0" w:space="0" w:color="auto"/>
            <w:left w:val="none" w:sz="0" w:space="0" w:color="auto"/>
            <w:bottom w:val="none" w:sz="0" w:space="0" w:color="auto"/>
            <w:right w:val="none" w:sz="0" w:space="0" w:color="auto"/>
          </w:divBdr>
        </w:div>
        <w:div w:id="680398117">
          <w:marLeft w:val="0"/>
          <w:marRight w:val="0"/>
          <w:marTop w:val="0"/>
          <w:marBottom w:val="0"/>
          <w:divBdr>
            <w:top w:val="none" w:sz="0" w:space="0" w:color="auto"/>
            <w:left w:val="none" w:sz="0" w:space="0" w:color="auto"/>
            <w:bottom w:val="none" w:sz="0" w:space="0" w:color="auto"/>
            <w:right w:val="none" w:sz="0" w:space="0" w:color="auto"/>
          </w:divBdr>
        </w:div>
        <w:div w:id="1563636897">
          <w:marLeft w:val="0"/>
          <w:marRight w:val="0"/>
          <w:marTop w:val="0"/>
          <w:marBottom w:val="0"/>
          <w:divBdr>
            <w:top w:val="none" w:sz="0" w:space="0" w:color="auto"/>
            <w:left w:val="none" w:sz="0" w:space="0" w:color="auto"/>
            <w:bottom w:val="none" w:sz="0" w:space="0" w:color="auto"/>
            <w:right w:val="none" w:sz="0" w:space="0" w:color="auto"/>
          </w:divBdr>
        </w:div>
        <w:div w:id="394161395">
          <w:marLeft w:val="0"/>
          <w:marRight w:val="0"/>
          <w:marTop w:val="0"/>
          <w:marBottom w:val="0"/>
          <w:divBdr>
            <w:top w:val="none" w:sz="0" w:space="0" w:color="auto"/>
            <w:left w:val="none" w:sz="0" w:space="0" w:color="auto"/>
            <w:bottom w:val="none" w:sz="0" w:space="0" w:color="auto"/>
            <w:right w:val="none" w:sz="0" w:space="0" w:color="auto"/>
          </w:divBdr>
        </w:div>
        <w:div w:id="1072043766">
          <w:marLeft w:val="0"/>
          <w:marRight w:val="0"/>
          <w:marTop w:val="0"/>
          <w:marBottom w:val="0"/>
          <w:divBdr>
            <w:top w:val="none" w:sz="0" w:space="0" w:color="auto"/>
            <w:left w:val="none" w:sz="0" w:space="0" w:color="auto"/>
            <w:bottom w:val="none" w:sz="0" w:space="0" w:color="auto"/>
            <w:right w:val="none" w:sz="0" w:space="0" w:color="auto"/>
          </w:divBdr>
        </w:div>
        <w:div w:id="1553424762">
          <w:marLeft w:val="0"/>
          <w:marRight w:val="0"/>
          <w:marTop w:val="0"/>
          <w:marBottom w:val="0"/>
          <w:divBdr>
            <w:top w:val="none" w:sz="0" w:space="0" w:color="auto"/>
            <w:left w:val="none" w:sz="0" w:space="0" w:color="auto"/>
            <w:bottom w:val="none" w:sz="0" w:space="0" w:color="auto"/>
            <w:right w:val="none" w:sz="0" w:space="0" w:color="auto"/>
          </w:divBdr>
        </w:div>
        <w:div w:id="497233583">
          <w:marLeft w:val="0"/>
          <w:marRight w:val="0"/>
          <w:marTop w:val="0"/>
          <w:marBottom w:val="0"/>
          <w:divBdr>
            <w:top w:val="none" w:sz="0" w:space="0" w:color="auto"/>
            <w:left w:val="none" w:sz="0" w:space="0" w:color="auto"/>
            <w:bottom w:val="none" w:sz="0" w:space="0" w:color="auto"/>
            <w:right w:val="none" w:sz="0" w:space="0" w:color="auto"/>
          </w:divBdr>
        </w:div>
        <w:div w:id="88820513">
          <w:marLeft w:val="0"/>
          <w:marRight w:val="0"/>
          <w:marTop w:val="0"/>
          <w:marBottom w:val="0"/>
          <w:divBdr>
            <w:top w:val="none" w:sz="0" w:space="0" w:color="auto"/>
            <w:left w:val="none" w:sz="0" w:space="0" w:color="auto"/>
            <w:bottom w:val="none" w:sz="0" w:space="0" w:color="auto"/>
            <w:right w:val="none" w:sz="0" w:space="0" w:color="auto"/>
          </w:divBdr>
        </w:div>
      </w:divsChild>
    </w:div>
    <w:div w:id="204586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rchnet.org/sites/1522" TargetMode="External"/><Relationship Id="rId18" Type="http://schemas.openxmlformats.org/officeDocument/2006/relationships/hyperlink" Target="https://www-bridgemaneducation-com.ezproxy.uwtsd.ac.uk/en/search?filter_text=ibn+tulun+mosque"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www.edition-originale.com/en/prints-engravings-photographs/description-de-legypte-1809/-description-de-legypte-le-kaire-le-1809-2531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muslimheritage.com/uploads/Architechture%20Abbassid.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muslimheritage.com/article/ibn-tulun-mosque" TargetMode="External"/><Relationship Id="rId20" Type="http://schemas.openxmlformats.org/officeDocument/2006/relationships/hyperlink" Target="https://archnet.org/system/publications/covers/1245/original/FLS1293.jpg?142133503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islamic-arts.org/2011/ibn-tulun-mosque/" TargetMode="External"/><Relationship Id="rId23"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archnet.org/sites/1522/media_contents/6394"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cademia.edu/10310902/Ibn_Tulun_al-Qatai_and_the_Legacy_of_Samarra" TargetMode="External"/><Relationship Id="rId22" Type="http://schemas.openxmlformats.org/officeDocument/2006/relationships/hyperlink" Target="https://oldcairo1.blogspot.co.uk/2012/08/adrien-dauzats-french-18041868-street.html#sthash.EatFJQDf.dpuf"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B49"/>
    <w:rsid w:val="002B5B49"/>
    <w:rsid w:val="00D33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D91D6A0608448F8364CC74F4CEB5A4">
    <w:name w:val="EFD91D6A0608448F8364CC74F4CEB5A4"/>
    <w:rsid w:val="002B5B49"/>
  </w:style>
  <w:style w:type="paragraph" w:customStyle="1" w:styleId="95820B05579F4B518DDB8AA4D5FC8C9E">
    <w:name w:val="95820B05579F4B518DDB8AA4D5FC8C9E"/>
    <w:rsid w:val="002B5B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BCE77-997C-4A0E-86B9-6DD77CE61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11</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20</cp:revision>
  <dcterms:created xsi:type="dcterms:W3CDTF">2018-01-23T22:30:00Z</dcterms:created>
  <dcterms:modified xsi:type="dcterms:W3CDTF">2018-01-23T23:58:00Z</dcterms:modified>
</cp:coreProperties>
</file>