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0F5C2B"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5BDB8B63" w:rsidR="00CD33A8" w:rsidRPr="00301FF0" w:rsidRDefault="00CD33A8" w:rsidP="00301FF0">
      <w:pPr>
        <w:spacing w:after="120"/>
      </w:pPr>
      <w:r w:rsidRPr="00CD33A8">
        <w:rPr>
          <w:rFonts w:ascii="Arial" w:hAnsi="Arial" w:cs="Arial"/>
          <w:b/>
          <w:bCs/>
          <w:sz w:val="28"/>
          <w:szCs w:val="28"/>
          <w:lang w:val="nl-NL"/>
        </w:rPr>
        <w:t>Module name</w:t>
      </w:r>
      <w:r w:rsidRPr="00CD33A8">
        <w:rPr>
          <w:rFonts w:ascii="Arial" w:hAnsi="Arial" w:cs="Arial"/>
          <w:sz w:val="28"/>
          <w:szCs w:val="28"/>
          <w:lang w:val="nl-NL"/>
        </w:rPr>
        <w:t>:</w:t>
      </w:r>
      <w:r w:rsidR="00301FF0">
        <w:t xml:space="preserve"> </w:t>
      </w:r>
      <w:r w:rsidR="00301FF0" w:rsidRPr="00301FF0">
        <w:rPr>
          <w:rFonts w:ascii="Arial" w:hAnsi="Arial" w:cs="Arial"/>
          <w:sz w:val="28"/>
          <w:szCs w:val="28"/>
        </w:rPr>
        <w:t>Introduction to Health and Social Care</w:t>
      </w:r>
    </w:p>
    <w:p w14:paraId="529D7354" w14:textId="3F6F61D4" w:rsidR="00CD33A8" w:rsidRPr="00301FF0" w:rsidRDefault="00CD33A8" w:rsidP="00CD33A8">
      <w:pPr>
        <w:tabs>
          <w:tab w:val="left" w:pos="6540"/>
        </w:tabs>
        <w:spacing w:line="360" w:lineRule="auto"/>
        <w:rPr>
          <w:rFonts w:ascii="Arial" w:hAnsi="Arial" w:cs="Arial"/>
          <w:sz w:val="28"/>
          <w:szCs w:val="28"/>
        </w:rPr>
      </w:pPr>
      <w:r w:rsidRPr="00CD33A8">
        <w:rPr>
          <w:rFonts w:ascii="Arial" w:hAnsi="Arial" w:cs="Arial"/>
          <w:b/>
          <w:bCs/>
          <w:sz w:val="28"/>
          <w:szCs w:val="28"/>
        </w:rPr>
        <w:t>Module code</w:t>
      </w:r>
      <w:r w:rsidRPr="00CD33A8">
        <w:rPr>
          <w:rFonts w:ascii="Arial" w:hAnsi="Arial" w:cs="Arial"/>
          <w:sz w:val="28"/>
          <w:szCs w:val="28"/>
        </w:rPr>
        <w:t>:</w:t>
      </w:r>
      <w:r w:rsidR="00301FF0">
        <w:t xml:space="preserve"> </w:t>
      </w:r>
      <w:r w:rsidR="00301FF0" w:rsidRPr="00301FF0">
        <w:rPr>
          <w:rFonts w:ascii="Arial" w:hAnsi="Arial" w:cs="Arial"/>
          <w:sz w:val="28"/>
          <w:szCs w:val="28"/>
        </w:rPr>
        <w:t>LCHS4003</w:t>
      </w:r>
    </w:p>
    <w:p w14:paraId="0A48766D" w14:textId="0864479F" w:rsidR="00074402" w:rsidRPr="00CD33A8"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name</w:t>
      </w:r>
      <w:r w:rsidRPr="00CD33A8">
        <w:rPr>
          <w:rFonts w:ascii="Arial" w:hAnsi="Arial" w:cs="Arial"/>
          <w:sz w:val="28"/>
          <w:szCs w:val="28"/>
          <w:lang w:val="nl-NL"/>
        </w:rPr>
        <w:t>:</w:t>
      </w:r>
      <w:r w:rsidR="00301FF0">
        <w:rPr>
          <w:rFonts w:ascii="Arial" w:hAnsi="Arial" w:cs="Arial"/>
          <w:sz w:val="28"/>
          <w:szCs w:val="28"/>
          <w:lang w:val="nl-NL"/>
        </w:rPr>
        <w:t>Monika Dabkowska</w:t>
      </w:r>
    </w:p>
    <w:p w14:paraId="05AB2C84" w14:textId="3708B40B" w:rsidR="00B87E75" w:rsidRPr="00301FF0" w:rsidRDefault="00074402" w:rsidP="00301FF0">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301FF0">
        <w:rPr>
          <w:rFonts w:ascii="Arial" w:hAnsi="Arial" w:cs="Arial"/>
          <w:sz w:val="28"/>
          <w:szCs w:val="28"/>
          <w:lang w:val="nl-NL"/>
        </w:rPr>
        <w:t>2508842</w:t>
      </w:r>
    </w:p>
    <w:p w14:paraId="13E00080" w14:textId="137FF22A" w:rsidR="00B87E75" w:rsidRPr="00CD33A8" w:rsidRDefault="00B87E75" w:rsidP="00CD33A8">
      <w:pPr>
        <w:spacing w:line="360" w:lineRule="auto"/>
        <w:rPr>
          <w:rFonts w:asciiTheme="minorBidi" w:hAnsiTheme="minorBidi"/>
          <w:sz w:val="22"/>
        </w:rPr>
      </w:pPr>
    </w:p>
    <w:p w14:paraId="2E79F7ED" w14:textId="182913C0" w:rsidR="00B87E75" w:rsidRPr="00CD33A8" w:rsidRDefault="00B87E75" w:rsidP="00CD33A8">
      <w:pPr>
        <w:spacing w:line="360" w:lineRule="auto"/>
        <w:rPr>
          <w:rFonts w:asciiTheme="minorBidi" w:hAnsiTheme="minorBidi"/>
          <w:sz w:val="22"/>
        </w:rPr>
      </w:pPr>
    </w:p>
    <w:p w14:paraId="7AE771D5" w14:textId="1C06E45A" w:rsidR="00B87E75" w:rsidRPr="00CD33A8" w:rsidRDefault="00B87E75" w:rsidP="00CD33A8">
      <w:pPr>
        <w:spacing w:line="360" w:lineRule="auto"/>
        <w:rPr>
          <w:rFonts w:asciiTheme="minorBidi" w:hAnsiTheme="minorBidi"/>
          <w:sz w:val="22"/>
        </w:rPr>
      </w:pPr>
    </w:p>
    <w:p w14:paraId="4F7320CB" w14:textId="000D21B8"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12D76753" w14:textId="58467F90" w:rsidR="00B87E75" w:rsidRPr="00CD33A8" w:rsidRDefault="00B87E75" w:rsidP="00E620E7">
      <w:pPr>
        <w:pStyle w:val="Heading1"/>
      </w:pPr>
      <w:r w:rsidRPr="00CD33A8">
        <w:lastRenderedPageBreak/>
        <w:t xml:space="preserve"> Introduction</w:t>
      </w:r>
    </w:p>
    <w:p w14:paraId="14BF3272" w14:textId="32D847DC" w:rsidR="0026393A" w:rsidRPr="00301FF0" w:rsidRDefault="00301FF0" w:rsidP="00301FF0">
      <w:pPr>
        <w:ind w:firstLine="432"/>
      </w:pPr>
      <w:r>
        <w:t>This report looks at the case of Mr Ahmed, a 68-year-old man who has returned home after a stroke. He now needs support from different health and social care professionals. He receives help with personal care, medication and meals, and he also has support from a GP, a district nurse and a speech and language therapist. Mr Ahmed’s first language is Bengali, and he finds complex English difficult. This means that good communication is very important in his care. There has also been a missed home visit, which led to a delay in his medication. This shows that weak administration and poor coordination can create real risks. The report will discuss three areas from the brief: effective communication, good administrative skills and collaborative working. It will also refer to key law and policy, including the Equality Act 2010, the Data Protection Act 2018 and the Care Act 2014, because safe and respectful care must follow both professional practice and legal duties.</w:t>
      </w:r>
    </w:p>
    <w:p w14:paraId="35B191AF" w14:textId="77777777" w:rsidR="00301FF0" w:rsidRDefault="0026393A" w:rsidP="008E3943">
      <w:pPr>
        <w:pStyle w:val="Heading1"/>
      </w:pPr>
      <w:r w:rsidRPr="00CD33A8">
        <w:t xml:space="preserve"> </w:t>
      </w:r>
    </w:p>
    <w:p w14:paraId="73B07562" w14:textId="39F2E114" w:rsidR="008E3943" w:rsidRDefault="008E3943" w:rsidP="008E3943">
      <w:pPr>
        <w:pStyle w:val="Heading1"/>
      </w:pPr>
      <w:r>
        <w:t>I</w:t>
      </w:r>
      <w:r w:rsidRPr="008E3943">
        <w:t>mportance of effective communication</w:t>
      </w:r>
    </w:p>
    <w:p w14:paraId="447D22E0" w14:textId="77777777" w:rsidR="00301FF0" w:rsidRDefault="00301FF0" w:rsidP="00301FF0">
      <w:pPr>
        <w:ind w:firstLine="432"/>
      </w:pPr>
      <w:r>
        <w:t>Effective communication is one of the most important parts of health and social care. It helps professionals understand what a person needs, what they prefer and what problems they are facing. In Mr Ahmed’s case, communication is especially important because he is recovering from a stroke. Stroke can affect speech, understanding, memory and swallowing. Some people develop aphasia, which can make it harder to understand words or express ideas clearly. Research shows that communication problems after stroke can affect the quality and safety of care, especially when staff do not adapt their approach well (Carragher et al., 2024; Simmons-Mackie et al., 2010). If staff do not communicate clearly with Mr Ahmed, he may not fully understand his medication, appointments, care plan or choices about his own support.</w:t>
      </w:r>
    </w:p>
    <w:p w14:paraId="0FAFC644" w14:textId="77777777" w:rsidR="00301FF0" w:rsidRDefault="00301FF0" w:rsidP="00301FF0">
      <w:pPr>
        <w:ind w:firstLine="432"/>
      </w:pPr>
      <w:r>
        <w:t>A useful communication model for this case is the Calgary-Cambridge model. Silverman, Kurtz and Draper (2013) explain that good professional communication includes building a relationship, finding out the patient’s concerns, giving information clearly and agreeing a plan together. In practice, this means staff should introduce themselves properly, speak slowly, use short and simple sentences and check understanding often. They should not rush him or ask several questions at the same time. It may also help to use pictures, gestures, written key words or communication boards. These small changes can make communication more accessible and can reduce stress for both the service user and staff.</w:t>
      </w:r>
    </w:p>
    <w:p w14:paraId="6555DED7" w14:textId="77777777" w:rsidR="00301FF0" w:rsidRDefault="00301FF0" w:rsidP="00301FF0">
      <w:pPr>
        <w:ind w:firstLine="432"/>
      </w:pPr>
      <w:r>
        <w:t>It is also important to communicate with Mr Ahmed’s wife, because she often speaks to the care team on his behalf. However, staff should not speak only to her and ignore Mr Ahmed. Person-centred care means that he should remain at the centre of decisions as much as possible. Professionals should look at him, give him time to answer and involve his wife as support, not as a replacement for his own voice. This is important for dignity, respect and independence. Doyle, Lennox and Bell (2013) found that better patient experience is linked with better safety and effectiveness, so communication is not just a social skill. It has a direct effect on quality of care.</w:t>
      </w:r>
    </w:p>
    <w:p w14:paraId="34FFEF86" w14:textId="5994C650" w:rsidR="00301FF0" w:rsidRDefault="00301FF0" w:rsidP="00301FF0">
      <w:pPr>
        <w:ind w:firstLine="432"/>
      </w:pPr>
      <w:r>
        <w:lastRenderedPageBreak/>
        <w:t>The Equality Act 2010 is very relevant in this situation. Health and social care services must not discriminate, and they must make reasonable adjustments when someone has additional needs. In Mr Ahmed’s case, staff should think about both his stroke-related communication problems and the fact that English is not his first language. Reasonable adjustments might include simpler language, extra time, translated information or an interpreter where necessary. NICE (2023) also says that communication support should be part of stroke rehabilitation. For Mr Ahmed, effective communication helps him understand his care, take part in decisions and stay safer at home. Because of this, communication is both a professional responsibility and a legal duty.</w:t>
      </w:r>
    </w:p>
    <w:p w14:paraId="0B55284E" w14:textId="77777777" w:rsidR="00301FF0" w:rsidRDefault="008E3943" w:rsidP="00E620E7">
      <w:pPr>
        <w:pStyle w:val="Heading1"/>
      </w:pPr>
      <w:r>
        <w:t xml:space="preserve"> </w:t>
      </w:r>
    </w:p>
    <w:p w14:paraId="60B2CDC3" w14:textId="3B88D4B6" w:rsidR="00B87E75" w:rsidRPr="00CD33A8" w:rsidRDefault="008E3943" w:rsidP="00E620E7">
      <w:pPr>
        <w:pStyle w:val="Heading1"/>
      </w:pPr>
      <w:r>
        <w:t>I</w:t>
      </w:r>
      <w:r w:rsidRPr="008E3943">
        <w:t xml:space="preserve">mportance of good administrative skills </w:t>
      </w:r>
    </w:p>
    <w:p w14:paraId="08C6C468" w14:textId="77777777" w:rsidR="00301FF0" w:rsidRDefault="00301FF0" w:rsidP="00301FF0">
      <w:pPr>
        <w:ind w:firstLine="432"/>
      </w:pPr>
      <w:r>
        <w:t xml:space="preserve">Good administrative skills are also essential in health and social care. Administrative work may seem less visible than direct care, but it has a major effect on safety and quality. In Mr Ahmed’s case, the missed home visit is a clear example of what can happen when systems do not work properly. If a visit is missed, medication may be late, personal care may not be </w:t>
      </w:r>
      <w:proofErr w:type="gramStart"/>
      <w:r>
        <w:t>completed</w:t>
      </w:r>
      <w:proofErr w:type="gramEnd"/>
      <w:r>
        <w:t xml:space="preserve"> and health problems may get worse. Good administration includes accurate record keeping, planning visits, updating care plans, reporting incidents and sharing information correctly. When these tasks are done well, care is more organised, safer and easier to monitor.</w:t>
      </w:r>
    </w:p>
    <w:p w14:paraId="4C698918" w14:textId="77777777" w:rsidR="00301FF0" w:rsidRDefault="00301FF0" w:rsidP="00301FF0">
      <w:pPr>
        <w:ind w:firstLine="432"/>
      </w:pPr>
      <w:r>
        <w:t>Record keeping is one of the most important administrative tasks. Records should be clear, accurate, up to date and factual. They should show what care was given, when it was given, who provided it and whether there were any concerns or changes. In this case, professionals should record blood pressure checks, wound care, medication support, speech and language therapy input, missed visits and conversations with Mr Ahmed and his wife. Good records support continuity of care because all professionals can see the same important information. Research on nursing documentation shows that poor-quality records can reduce safety and make coordinated care more difficult (Akhu-Zaheya, Al-</w:t>
      </w:r>
      <w:proofErr w:type="spellStart"/>
      <w:r>
        <w:t>Maaitah</w:t>
      </w:r>
      <w:proofErr w:type="spellEnd"/>
      <w:r>
        <w:t xml:space="preserve"> and Bany Hani, 2018).</w:t>
      </w:r>
    </w:p>
    <w:p w14:paraId="07BD4A38" w14:textId="77777777" w:rsidR="00301FF0" w:rsidRDefault="00301FF0" w:rsidP="00301FF0">
      <w:pPr>
        <w:ind w:firstLine="432"/>
      </w:pPr>
      <w:r>
        <w:t>The Data Protection Act 2018 is another key part of this section. Health and social care workers deal with private and sensitive information, so they must use it lawfully, fairly and securely. Information about Mr Ahmed’s health, medication, language needs and home life should only be shared with professionals who need it for his care. Records should be stored safely, whether they are on paper or on a computer. Staff should not discuss his private information in public places or leave documents where others can see them. At the same time, confidentiality does not mean that information should never be shared. Important information should be shared with the right professionals when this is needed for safe care. This balance is part of good professional judgement.</w:t>
      </w:r>
    </w:p>
    <w:p w14:paraId="03D4FA6C" w14:textId="77777777" w:rsidR="00301FF0" w:rsidRDefault="00301FF0" w:rsidP="00301FF0">
      <w:pPr>
        <w:ind w:firstLine="432"/>
      </w:pPr>
      <w:r>
        <w:t xml:space="preserve">Other law and policy also support good administration. The Care Act 2014 supports person-centred planning and coordinated care. NICE (2017) says that support with medicines in the community should be safe, clear and based on assessed need. In Mr Ahmed’s case, the care agency should investigate why the visit was missed, record the incident properly and review its systems so that the same problem does not happen again. This may include better </w:t>
      </w:r>
      <w:r>
        <w:lastRenderedPageBreak/>
        <w:t>scheduling, clearer handover, stronger monitoring and quicker reporting of problems. Good administrative skills are therefore not just office tasks. They are part of safe practice, accountability and high-quality care.</w:t>
      </w:r>
    </w:p>
    <w:p w14:paraId="4FC14C6B" w14:textId="77777777" w:rsidR="00B87E75" w:rsidRDefault="00B87E75" w:rsidP="00CD33A8">
      <w:pPr>
        <w:tabs>
          <w:tab w:val="left" w:pos="6540"/>
        </w:tabs>
        <w:spacing w:line="360" w:lineRule="auto"/>
        <w:rPr>
          <w:rFonts w:asciiTheme="minorBidi" w:hAnsiTheme="minorBidi"/>
          <w:sz w:val="22"/>
        </w:rPr>
      </w:pPr>
    </w:p>
    <w:p w14:paraId="581C99BF" w14:textId="115A0F24" w:rsidR="00B87E75" w:rsidRDefault="00B87E75" w:rsidP="00E620E7">
      <w:pPr>
        <w:pStyle w:val="Heading1"/>
      </w:pPr>
      <w:r w:rsidRPr="00CD33A8">
        <w:t xml:space="preserve"> </w:t>
      </w:r>
      <w:r w:rsidR="008E3943">
        <w:t>I</w:t>
      </w:r>
      <w:r w:rsidR="008E3943" w:rsidRPr="008E3943">
        <w:t>mportance of working collaboratively</w:t>
      </w:r>
    </w:p>
    <w:p w14:paraId="3D3A9D3E" w14:textId="77777777" w:rsidR="00301FF0" w:rsidRDefault="00301FF0" w:rsidP="00301FF0">
      <w:pPr>
        <w:ind w:firstLine="432"/>
      </w:pPr>
      <w:r>
        <w:t>Collaborative working is the third key area in this case. Mr Ahmed has several needs after his stroke, so no one professional can meet all of them alone. The GP manages his overall medical care. The district nurse monitors his blood pressure and wound care. Domiciliary care workers help with daily living tasks and medication support. The speech and language therapist helps with communication and swallowing. When these professionals work well together, care is more joined up, more consistent and more person-centred. This is especially important after stroke, because recovery often depends on support from different services over time (NICE, 2023).</w:t>
      </w:r>
    </w:p>
    <w:p w14:paraId="0CAF1EC1" w14:textId="77777777" w:rsidR="00301FF0" w:rsidRDefault="00301FF0" w:rsidP="00301FF0">
      <w:pPr>
        <w:ind w:firstLine="432"/>
      </w:pPr>
      <w:r>
        <w:t xml:space="preserve">To collaborate well, professionals need clear roles, regular communication and shared goals. They should understand who is responsible for each part of care and know when to report changes or concerns. Shared care plans, case reviews, phone calls and clear notes can all help. </w:t>
      </w:r>
      <w:proofErr w:type="spellStart"/>
      <w:r>
        <w:t>Doornebosch</w:t>
      </w:r>
      <w:proofErr w:type="spellEnd"/>
      <w:r>
        <w:t xml:space="preserve">, </w:t>
      </w:r>
      <w:proofErr w:type="spellStart"/>
      <w:r>
        <w:t>Smaling</w:t>
      </w:r>
      <w:proofErr w:type="spellEnd"/>
      <w:r>
        <w:t xml:space="preserve"> and Achterberg (2022) found that interprofessional collaboration is stronger when staff respect each other’s knowledge, communicate well and understand the common goals of care. In Mr Ahmed’s case, one shared goal could be to keep him safe at home while improving his health, communication and independence as much as possible.</w:t>
      </w:r>
    </w:p>
    <w:p w14:paraId="353B93AD" w14:textId="77777777" w:rsidR="00301FF0" w:rsidRDefault="00301FF0" w:rsidP="00301FF0">
      <w:pPr>
        <w:ind w:firstLine="432"/>
      </w:pPr>
      <w:r>
        <w:t>However, multi-agency working can also face challenges. Common problems include poor information sharing, unclear responsibility, different working systems and lack of time. The missed visit in this case may show a gap in communication or coordination. Reeves et al. (2017) found that interprofessional action can improve professional practice and health outcomes when teamwork problems are addressed properly. To reduce these problems, services should use clear referral systems, accurate records and quick escalation when risks appear. Staff should also involve Mr Ahmed and his wife in planning and reviewing care. This can improve trust, reduce confusion and help professionals respond more quickly when something goes wrong.</w:t>
      </w:r>
    </w:p>
    <w:p w14:paraId="713B13A8" w14:textId="77777777" w:rsidR="00301FF0" w:rsidRPr="00301FF0" w:rsidRDefault="00301FF0" w:rsidP="00301FF0"/>
    <w:p w14:paraId="16FAF0EA" w14:textId="59E0C0E6" w:rsidR="00B87E75" w:rsidRPr="00CD33A8" w:rsidRDefault="00B87E75" w:rsidP="00E620E7">
      <w:pPr>
        <w:pStyle w:val="Heading1"/>
      </w:pPr>
      <w:r w:rsidRPr="00CD33A8">
        <w:t xml:space="preserve"> Conclusion</w:t>
      </w:r>
      <w:r w:rsidR="00CD33A8">
        <w:t xml:space="preserve"> </w:t>
      </w:r>
    </w:p>
    <w:p w14:paraId="6DBC958B" w14:textId="50847464" w:rsidR="00CD33A8" w:rsidRPr="00CD33A8" w:rsidRDefault="00301FF0" w:rsidP="008E3943">
      <w:pPr>
        <w:tabs>
          <w:tab w:val="left" w:pos="6540"/>
        </w:tabs>
        <w:spacing w:line="360" w:lineRule="auto"/>
        <w:rPr>
          <w:rFonts w:asciiTheme="minorBidi" w:hAnsiTheme="minorBidi"/>
          <w:sz w:val="22"/>
        </w:rPr>
      </w:pPr>
      <w:r>
        <w:t xml:space="preserve">In conclusion, the case of Mr Ahmed shows why communication, administration and collaborative working are all necessary for safe and effective care. Good communication helps staff understand his needs and include him in decisions, even though he has language and stroke-related communication difficulties. Good administrative skills, especially record keeping and safe information management, reduce risk and support accountability. Collaborative working brings together the GP, district nurse, domiciliary care workers and </w:t>
      </w:r>
      <w:r>
        <w:lastRenderedPageBreak/>
        <w:t>speech and language therapist so that care is coordinated rather than fragmented. The missed home visit is a reminder that small system failures can have serious effects. By following person-centred practice and key legislation such as the Equality Act 2010, the Data Protection Act 2018 and the Care Act 2014, professionals can provide care that is safer, fairer and better matched to Mr Ahmed’s needs.</w:t>
      </w:r>
    </w:p>
    <w:p w14:paraId="6812580D" w14:textId="47452A39" w:rsidR="0090040D" w:rsidRPr="00CD33A8" w:rsidRDefault="0090040D" w:rsidP="00CD33A8">
      <w:pPr>
        <w:tabs>
          <w:tab w:val="left" w:pos="6540"/>
        </w:tabs>
        <w:spacing w:line="360" w:lineRule="auto"/>
        <w:rPr>
          <w:rFonts w:asciiTheme="minorBidi" w:hAnsiTheme="minorBidi"/>
          <w:sz w:val="22"/>
        </w:rPr>
      </w:pPr>
    </w:p>
    <w:p w14:paraId="444BAD02" w14:textId="77777777" w:rsidR="00814A9E" w:rsidRPr="00CD33A8" w:rsidRDefault="00814A9E" w:rsidP="00CD33A8">
      <w:pPr>
        <w:tabs>
          <w:tab w:val="left" w:pos="6540"/>
        </w:tabs>
        <w:spacing w:line="360" w:lineRule="auto"/>
        <w:rPr>
          <w:rFonts w:asciiTheme="minorBidi" w:hAnsiTheme="minorBidi"/>
          <w:sz w:val="22"/>
        </w:rPr>
      </w:pPr>
    </w:p>
    <w:p w14:paraId="71022E41" w14:textId="77777777" w:rsidR="00814A9E" w:rsidRPr="00CD33A8" w:rsidRDefault="00814A9E" w:rsidP="00CD33A8">
      <w:pPr>
        <w:tabs>
          <w:tab w:val="left" w:pos="6540"/>
        </w:tabs>
        <w:spacing w:line="360" w:lineRule="auto"/>
        <w:rPr>
          <w:rFonts w:asciiTheme="minorBidi" w:hAnsiTheme="minorBidi"/>
          <w:sz w:val="22"/>
        </w:rPr>
      </w:pPr>
    </w:p>
    <w:p w14:paraId="3EA3C7DD" w14:textId="2C373198" w:rsidR="00F66E1B" w:rsidRPr="00CD33A8" w:rsidRDefault="00F66E1B" w:rsidP="00CD33A8">
      <w:pPr>
        <w:tabs>
          <w:tab w:val="left" w:pos="6540"/>
        </w:tabs>
        <w:spacing w:line="360" w:lineRule="auto"/>
        <w:rPr>
          <w:rFonts w:asciiTheme="minorBidi" w:hAnsiTheme="minorBidi"/>
          <w:sz w:val="22"/>
        </w:rPr>
      </w:pPr>
    </w:p>
    <w:p w14:paraId="5C76528F" w14:textId="77777777" w:rsidR="00F66E1B" w:rsidRPr="00CD33A8" w:rsidRDefault="00F66E1B" w:rsidP="00CD33A8">
      <w:pPr>
        <w:tabs>
          <w:tab w:val="left" w:pos="6540"/>
        </w:tabs>
        <w:spacing w:line="360" w:lineRule="auto"/>
        <w:rPr>
          <w:rFonts w:asciiTheme="minorBidi" w:hAnsiTheme="minorBidi"/>
          <w:sz w:val="22"/>
        </w:rPr>
      </w:pPr>
    </w:p>
    <w:p w14:paraId="18999130" w14:textId="77777777" w:rsidR="00CD33A8" w:rsidRDefault="00CD33A8">
      <w:pPr>
        <w:rPr>
          <w:rFonts w:asciiTheme="minorBidi" w:eastAsiaTheme="majorEastAsia" w:hAnsiTheme="minorBidi"/>
          <w:b/>
          <w:sz w:val="28"/>
        </w:rPr>
      </w:pPr>
      <w:r>
        <w:br w:type="page"/>
      </w:r>
    </w:p>
    <w:p w14:paraId="33F8F0BD" w14:textId="597FD84B" w:rsidR="00B87E75" w:rsidRPr="00CD33A8" w:rsidRDefault="00B87E75" w:rsidP="00E620E7">
      <w:pPr>
        <w:pStyle w:val="Heading1"/>
      </w:pPr>
      <w:r w:rsidRPr="00CD33A8">
        <w:lastRenderedPageBreak/>
        <w:t>References</w:t>
      </w:r>
    </w:p>
    <w:p w14:paraId="471EE30A" w14:textId="77777777" w:rsidR="00301FF0" w:rsidRDefault="00301FF0" w:rsidP="00301FF0">
      <w:proofErr w:type="spellStart"/>
      <w:r>
        <w:t>Akhu</w:t>
      </w:r>
      <w:proofErr w:type="spellEnd"/>
      <w:r>
        <w:t>-Zaheya, L., Al-</w:t>
      </w:r>
      <w:proofErr w:type="spellStart"/>
      <w:r>
        <w:t>Maaitah</w:t>
      </w:r>
      <w:proofErr w:type="spellEnd"/>
      <w:r>
        <w:t>, R. and Bany Hani, S. (2018) ‘Quality of nursing documentation: Paper-based health records versus electronic-based health records’, Journal of Clinical Nursing, 27(3-4), pp. e578-e589.</w:t>
      </w:r>
    </w:p>
    <w:p w14:paraId="06F8CCCE" w14:textId="77777777" w:rsidR="00301FF0" w:rsidRDefault="00301FF0" w:rsidP="00301FF0">
      <w:r>
        <w:t>Care Act 2014. London: The Stationery Office.</w:t>
      </w:r>
    </w:p>
    <w:p w14:paraId="11D5A9F8" w14:textId="77777777" w:rsidR="00301FF0" w:rsidRDefault="00301FF0" w:rsidP="00301FF0">
      <w:r>
        <w:t>Carragher, M., Steel, G., O’Halloran, R., Munday, J., Rose, M. and Marshall, J. (2024) ‘Aphasia disrupts usual care: “I’m not mad, I’m not deaf”’, Disability and Rehabilitation, 46(14), pp. 3310-3320.</w:t>
      </w:r>
    </w:p>
    <w:p w14:paraId="4CE64C3C" w14:textId="77777777" w:rsidR="00301FF0" w:rsidRDefault="00301FF0" w:rsidP="00301FF0">
      <w:r>
        <w:t>Data Protection Act 2018. London: The Stationery Office.</w:t>
      </w:r>
    </w:p>
    <w:p w14:paraId="3A077C07" w14:textId="77777777" w:rsidR="00301FF0" w:rsidRDefault="00301FF0" w:rsidP="00301FF0">
      <w:proofErr w:type="spellStart"/>
      <w:r>
        <w:t>Doornebosch</w:t>
      </w:r>
      <w:proofErr w:type="spellEnd"/>
      <w:r>
        <w:t xml:space="preserve">, A.J., </w:t>
      </w:r>
      <w:proofErr w:type="spellStart"/>
      <w:r>
        <w:t>Smaling</w:t>
      </w:r>
      <w:proofErr w:type="spellEnd"/>
      <w:r>
        <w:t>, H.J.A. and Achterberg, W.P. (2022) ‘Interprofessional collaboration in long-term care and rehabilitation: A systematic review’, Journal of the American Medical Directors Association, 23(5), pp. 764-777.e2.</w:t>
      </w:r>
    </w:p>
    <w:p w14:paraId="4C2DF767" w14:textId="77777777" w:rsidR="00301FF0" w:rsidRDefault="00301FF0" w:rsidP="00301FF0">
      <w:r>
        <w:t>Doyle, C., Lennox, L. and Bell, D. (2013) ‘A systematic review of evidence on the links between patient experience and clinical safety and effectiveness’, BMJ Open, 3(1), e001570.</w:t>
      </w:r>
    </w:p>
    <w:p w14:paraId="1A79029C" w14:textId="77777777" w:rsidR="00301FF0" w:rsidRDefault="00301FF0" w:rsidP="00301FF0">
      <w:r>
        <w:t>Equality Act 2010. London: The Stationery Office.</w:t>
      </w:r>
    </w:p>
    <w:p w14:paraId="2F65EC7F" w14:textId="77777777" w:rsidR="00301FF0" w:rsidRDefault="00301FF0" w:rsidP="00301FF0">
      <w:r>
        <w:t>National Institute for Health and Care Excellence (2017) Managing medicines for adults receiving social care in the community (NG67). London: NICE.</w:t>
      </w:r>
    </w:p>
    <w:p w14:paraId="742E8519" w14:textId="77777777" w:rsidR="00301FF0" w:rsidRDefault="00301FF0" w:rsidP="00301FF0">
      <w:r>
        <w:t>National Institute for Health and Care Excellence (2023) Stroke rehabilitation in adults (NG236). London: NICE.</w:t>
      </w:r>
    </w:p>
    <w:p w14:paraId="37B4FC6E" w14:textId="77777777" w:rsidR="00301FF0" w:rsidRDefault="00301FF0" w:rsidP="00301FF0">
      <w:r>
        <w:t xml:space="preserve">Reeves, S., </w:t>
      </w:r>
      <w:proofErr w:type="spellStart"/>
      <w:r>
        <w:t>Pelone</w:t>
      </w:r>
      <w:proofErr w:type="spellEnd"/>
      <w:r>
        <w:t xml:space="preserve">, F., Harrison, R., Goldman, J. and </w:t>
      </w:r>
      <w:proofErr w:type="spellStart"/>
      <w:r>
        <w:t>Zwarenstein</w:t>
      </w:r>
      <w:proofErr w:type="spellEnd"/>
      <w:r>
        <w:t>, M. (2017) ‘Interprofessional collaboration to improve professional practice and healthcare outcomes’, Cochrane Database of Systematic Reviews, 6, CD000072.</w:t>
      </w:r>
    </w:p>
    <w:p w14:paraId="3544D49D" w14:textId="77777777" w:rsidR="00301FF0" w:rsidRDefault="00301FF0" w:rsidP="00301FF0">
      <w:r>
        <w:t xml:space="preserve">Silverman, J., Kurtz, S. and Draper, J. (2013) Skills for Communicating with Patients. 3rd </w:t>
      </w:r>
      <w:proofErr w:type="spellStart"/>
      <w:r>
        <w:t>edn</w:t>
      </w:r>
      <w:proofErr w:type="spellEnd"/>
      <w:r>
        <w:t>. Boca Raton: CRC Press.</w:t>
      </w:r>
    </w:p>
    <w:p w14:paraId="1425F4AC" w14:textId="2C9D5DE8" w:rsidR="001D7C03" w:rsidRPr="00CD33A8" w:rsidRDefault="00301FF0" w:rsidP="00301FF0">
      <w:pPr>
        <w:tabs>
          <w:tab w:val="left" w:pos="6540"/>
        </w:tabs>
        <w:spacing w:line="360" w:lineRule="auto"/>
        <w:rPr>
          <w:rFonts w:asciiTheme="minorBidi" w:hAnsiTheme="minorBidi"/>
          <w:sz w:val="22"/>
        </w:rPr>
      </w:pPr>
      <w:r>
        <w:t>Simmons-Mackie, N., Raymer, A., Armstrong, E., Holland, A. and Cherney, L.R. (2010) ‘Communication partner training in aphasia: A systematic review’, Archives of Physical Medicine and Rehabilitation, 91(12), pp. 1814-1837.</w:t>
      </w:r>
    </w:p>
    <w:sectPr w:rsidR="001D7C03" w:rsidRPr="00CD33A8" w:rsidSect="00E620E7">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E3EFE8" w14:textId="77777777" w:rsidR="004F25FD" w:rsidRDefault="004F25FD" w:rsidP="003E4ECF">
      <w:pPr>
        <w:spacing w:after="0" w:line="240" w:lineRule="auto"/>
      </w:pPr>
      <w:r>
        <w:separator/>
      </w:r>
    </w:p>
  </w:endnote>
  <w:endnote w:type="continuationSeparator" w:id="0">
    <w:p w14:paraId="3ECEE262" w14:textId="77777777" w:rsidR="004F25FD" w:rsidRDefault="004F25FD"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E1D91E" w14:textId="77777777" w:rsidR="004F25FD" w:rsidRDefault="004F25FD" w:rsidP="003E4ECF">
      <w:pPr>
        <w:spacing w:after="0" w:line="240" w:lineRule="auto"/>
      </w:pPr>
      <w:r>
        <w:separator/>
      </w:r>
    </w:p>
  </w:footnote>
  <w:footnote w:type="continuationSeparator" w:id="0">
    <w:p w14:paraId="500C4B80" w14:textId="77777777" w:rsidR="004F25FD" w:rsidRDefault="004F25FD" w:rsidP="003E4EC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572BF"/>
    <w:rsid w:val="00074402"/>
    <w:rsid w:val="000F5C2B"/>
    <w:rsid w:val="001D7C03"/>
    <w:rsid w:val="00216C85"/>
    <w:rsid w:val="0026393A"/>
    <w:rsid w:val="00273EDD"/>
    <w:rsid w:val="002C3965"/>
    <w:rsid w:val="00301FF0"/>
    <w:rsid w:val="00321C4C"/>
    <w:rsid w:val="00392BBC"/>
    <w:rsid w:val="003B61BC"/>
    <w:rsid w:val="003E4ECF"/>
    <w:rsid w:val="004A736E"/>
    <w:rsid w:val="004F25FD"/>
    <w:rsid w:val="006925AA"/>
    <w:rsid w:val="00705C03"/>
    <w:rsid w:val="00725177"/>
    <w:rsid w:val="007A1B8D"/>
    <w:rsid w:val="007D03BA"/>
    <w:rsid w:val="00814A9E"/>
    <w:rsid w:val="008E3943"/>
    <w:rsid w:val="0090040D"/>
    <w:rsid w:val="009D052C"/>
    <w:rsid w:val="009D1D1E"/>
    <w:rsid w:val="00A035FD"/>
    <w:rsid w:val="00AD23A0"/>
    <w:rsid w:val="00B87E75"/>
    <w:rsid w:val="00CD33A8"/>
    <w:rsid w:val="00E569FD"/>
    <w:rsid w:val="00E620E7"/>
    <w:rsid w:val="00F66E1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5" ma:contentTypeDescription="Create a new document." ma:contentTypeScope="" ma:versionID="8e8a263c1d1580ee52049f84454c1dde">
  <xsd:schema xmlns:xsd="http://www.w3.org/2001/XMLSchema" xmlns:xs="http://www.w3.org/2001/XMLSchema" xmlns:p="http://schemas.microsoft.com/office/2006/metadata/properties" xmlns:ns3="b4f9f7ee-5770-4a14-8925-17f3d16e50b7" targetNamespace="http://schemas.microsoft.com/office/2006/metadata/properties" ma:root="true" ma:fieldsID="0b7ce547fe48b93c3ba1652b121326a7"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4f9f7ee-5770-4a14-8925-17f3d16e50b7" xsi:nil="true"/>
  </documentManagement>
</p:properties>
</file>

<file path=customXml/itemProps1.xml><?xml version="1.0" encoding="utf-8"?>
<ds:datastoreItem xmlns:ds="http://schemas.openxmlformats.org/officeDocument/2006/customXml" ds:itemID="{7D76A7E5-EB85-436D-9E08-5696416A82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C4E99D8-DCE5-4F8F-9B41-79E9A1FB948A}">
  <ds:schemaRefs>
    <ds:schemaRef ds:uri="http://schemas.microsoft.com/sharepoint/v3/contenttype/forms"/>
  </ds:schemaRefs>
</ds:datastoreItem>
</file>

<file path=customXml/itemProps3.xml><?xml version="1.0" encoding="utf-8"?>
<ds:datastoreItem xmlns:ds="http://schemas.openxmlformats.org/officeDocument/2006/customXml" ds:itemID="{F9070051-1A9A-4695-AAA0-EA9E327025A7}">
  <ds:schemaRefs>
    <ds:schemaRef ds:uri="http://schemas.microsoft.com/office/2006/metadata/properties"/>
    <ds:schemaRef ds:uri="http://schemas.microsoft.com/office/infopath/2007/PartnerControls"/>
    <ds:schemaRef ds:uri="b4f9f7ee-5770-4a14-8925-17f3d16e50b7"/>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1754</Words>
  <Characters>10002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Monika Dabkowska (2508842)</cp:lastModifiedBy>
  <cp:revision>4</cp:revision>
  <dcterms:created xsi:type="dcterms:W3CDTF">2026-04-16T13:38:00Z</dcterms:created>
  <dcterms:modified xsi:type="dcterms:W3CDTF">2026-04-16T13:43:00Z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