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88DB8" w14:textId="77777777" w:rsidR="00AC083E" w:rsidRDefault="00AC083E">
      <w:pPr>
        <w:rPr>
          <w:rFonts w:ascii="Arial" w:hAnsi="Arial" w:cs="Arial"/>
        </w:rPr>
      </w:pPr>
    </w:p>
    <w:p w14:paraId="246B0DB9" w14:textId="77777777" w:rsidR="00AC083E" w:rsidRDefault="00AC083E">
      <w:pPr>
        <w:rPr>
          <w:rFonts w:ascii="Arial" w:hAnsi="Arial" w:cs="Arial"/>
        </w:rPr>
      </w:pPr>
    </w:p>
    <w:p w14:paraId="5055E747" w14:textId="77777777" w:rsidR="00AC083E" w:rsidRDefault="00AC083E">
      <w:pPr>
        <w:rPr>
          <w:rFonts w:ascii="Arial" w:hAnsi="Arial" w:cs="Arial"/>
        </w:rPr>
      </w:pPr>
    </w:p>
    <w:p w14:paraId="48893164" w14:textId="77777777" w:rsidR="00AC083E" w:rsidRDefault="00AC083E">
      <w:pPr>
        <w:rPr>
          <w:rFonts w:ascii="Arial" w:hAnsi="Arial" w:cs="Arial"/>
        </w:rPr>
      </w:pPr>
    </w:p>
    <w:p w14:paraId="64427E7C" w14:textId="77777777" w:rsidR="00AC083E" w:rsidRDefault="00AC083E">
      <w:pPr>
        <w:rPr>
          <w:rFonts w:ascii="Arial" w:hAnsi="Arial" w:cs="Arial"/>
        </w:rPr>
      </w:pPr>
    </w:p>
    <w:p w14:paraId="115DB15A" w14:textId="5238B347" w:rsidR="001F5F3E" w:rsidRDefault="00D260E3">
      <w:pPr>
        <w:rPr>
          <w:rFonts w:ascii="Arial" w:hAnsi="Arial" w:cs="Arial"/>
        </w:rPr>
      </w:pPr>
      <w:r>
        <w:rPr>
          <w:noProof/>
        </w:rPr>
        <w:drawing>
          <wp:inline distT="0" distB="0" distL="0" distR="0" wp14:anchorId="166F6B4C" wp14:editId="4B73FD21">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686EF222" w14:textId="77777777" w:rsidR="00D10913" w:rsidRDefault="00D10913">
      <w:pPr>
        <w:rPr>
          <w:rFonts w:ascii="Arial" w:hAnsi="Arial" w:cs="Arial"/>
        </w:rPr>
      </w:pPr>
    </w:p>
    <w:p w14:paraId="1289FB9C" w14:textId="77777777" w:rsidR="00D10913" w:rsidRDefault="00D10913">
      <w:pPr>
        <w:rPr>
          <w:rFonts w:ascii="Arial" w:hAnsi="Arial" w:cs="Arial"/>
        </w:rPr>
      </w:pPr>
    </w:p>
    <w:p w14:paraId="06B0901E" w14:textId="77777777" w:rsidR="00D10913" w:rsidRDefault="00D10913">
      <w:pPr>
        <w:rPr>
          <w:rFonts w:ascii="Arial" w:hAnsi="Arial" w:cs="Arial"/>
        </w:rPr>
      </w:pPr>
    </w:p>
    <w:p w14:paraId="08EE0C18" w14:textId="77777777" w:rsidR="00D10913" w:rsidRDefault="00D10913">
      <w:pPr>
        <w:rPr>
          <w:rFonts w:ascii="Arial" w:hAnsi="Arial" w:cs="Arial"/>
        </w:rPr>
      </w:pPr>
    </w:p>
    <w:p w14:paraId="10BDBB55" w14:textId="77777777" w:rsidR="00D10913" w:rsidRDefault="00D10913">
      <w:pPr>
        <w:rPr>
          <w:rFonts w:ascii="Arial" w:hAnsi="Arial" w:cs="Arial"/>
        </w:rPr>
      </w:pPr>
    </w:p>
    <w:p w14:paraId="20C5068F" w14:textId="77777777" w:rsidR="00D10913" w:rsidRDefault="00D10913" w:rsidP="00D21B5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419954D2" w14:textId="77777777" w:rsidR="00D10913" w:rsidRDefault="00D10913" w:rsidP="00D21B55">
      <w:pPr>
        <w:spacing w:line="360" w:lineRule="auto"/>
        <w:jc w:val="center"/>
        <w:rPr>
          <w:rStyle w:val="Strong"/>
          <w:rFonts w:ascii="Arial" w:hAnsi="Arial" w:cs="Arial"/>
          <w:color w:val="1D2125"/>
          <w:sz w:val="36"/>
          <w:szCs w:val="36"/>
        </w:rPr>
      </w:pPr>
    </w:p>
    <w:p w14:paraId="3257D0F6" w14:textId="77777777" w:rsidR="00D10913" w:rsidRDefault="00D10913" w:rsidP="00D21B55">
      <w:pPr>
        <w:spacing w:line="360" w:lineRule="auto"/>
        <w:jc w:val="center"/>
        <w:rPr>
          <w:rStyle w:val="Strong"/>
          <w:rFonts w:ascii="Arial" w:hAnsi="Arial" w:cs="Arial"/>
          <w:color w:val="1D2125"/>
          <w:sz w:val="36"/>
          <w:szCs w:val="36"/>
        </w:rPr>
      </w:pPr>
    </w:p>
    <w:p w14:paraId="6DF82A95" w14:textId="77777777" w:rsidR="00D10913" w:rsidRPr="00054A78" w:rsidRDefault="00D10913" w:rsidP="00D21B5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 xml:space="preserve">Component 1: </w:t>
      </w:r>
      <w:r w:rsidRPr="00054A78">
        <w:rPr>
          <w:rFonts w:ascii="Arial" w:hAnsi="Arial" w:cs="Arial"/>
          <w:color w:val="000000"/>
          <w:sz w:val="32"/>
          <w:szCs w:val="32"/>
        </w:rPr>
        <w:t>Written Report</w:t>
      </w:r>
    </w:p>
    <w:p w14:paraId="64867F54" w14:textId="77777777" w:rsidR="00D10913" w:rsidRDefault="00D10913" w:rsidP="00D21B5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Student name: </w:t>
      </w:r>
      <w:proofErr w:type="spellStart"/>
      <w:r w:rsidRPr="00054A78">
        <w:rPr>
          <w:rStyle w:val="Strong"/>
          <w:rFonts w:ascii="Arial" w:hAnsi="Arial" w:cs="Arial"/>
          <w:b w:val="0"/>
          <w:bCs w:val="0"/>
          <w:color w:val="1D2125"/>
          <w:sz w:val="32"/>
          <w:szCs w:val="32"/>
        </w:rPr>
        <w:t>Bernarda</w:t>
      </w:r>
      <w:proofErr w:type="spellEnd"/>
      <w:r w:rsidRPr="00054A78">
        <w:rPr>
          <w:rStyle w:val="Strong"/>
          <w:rFonts w:ascii="Arial" w:hAnsi="Arial" w:cs="Arial"/>
          <w:b w:val="0"/>
          <w:bCs w:val="0"/>
          <w:color w:val="1D2125"/>
          <w:sz w:val="32"/>
          <w:szCs w:val="32"/>
        </w:rPr>
        <w:t xml:space="preserve"> Luisa Antonio </w:t>
      </w:r>
      <w:proofErr w:type="spellStart"/>
      <w:r w:rsidRPr="00054A78">
        <w:rPr>
          <w:rStyle w:val="Strong"/>
          <w:rFonts w:ascii="Arial" w:hAnsi="Arial" w:cs="Arial"/>
          <w:b w:val="0"/>
          <w:bCs w:val="0"/>
          <w:color w:val="1D2125"/>
          <w:sz w:val="32"/>
          <w:szCs w:val="32"/>
        </w:rPr>
        <w:t>Candido</w:t>
      </w:r>
      <w:proofErr w:type="spellEnd"/>
    </w:p>
    <w:p w14:paraId="16CF9442" w14:textId="77777777" w:rsidR="00D10913" w:rsidRPr="00054A78" w:rsidRDefault="00D10913" w:rsidP="00D21B5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 xml:space="preserve">Student number: </w:t>
      </w:r>
      <w:r w:rsidRPr="00054A78">
        <w:rPr>
          <w:rStyle w:val="Strong"/>
          <w:rFonts w:ascii="Arial" w:hAnsi="Arial" w:cs="Arial"/>
          <w:b w:val="0"/>
          <w:bCs w:val="0"/>
          <w:color w:val="1D2125"/>
          <w:sz w:val="32"/>
          <w:szCs w:val="32"/>
        </w:rPr>
        <w:t>2335282</w:t>
      </w:r>
    </w:p>
    <w:p w14:paraId="34775A2E" w14:textId="77777777" w:rsidR="00D10913" w:rsidRPr="00054A78" w:rsidRDefault="00D10913" w:rsidP="00D21B5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 xml:space="preserve">Lecturer’s name: </w:t>
      </w:r>
      <w:r w:rsidRPr="00054A78">
        <w:rPr>
          <w:rStyle w:val="Strong"/>
          <w:rFonts w:ascii="Arial" w:hAnsi="Arial" w:cs="Arial"/>
          <w:b w:val="0"/>
          <w:bCs w:val="0"/>
          <w:color w:val="1D2125"/>
          <w:sz w:val="32"/>
          <w:szCs w:val="32"/>
        </w:rPr>
        <w:t>Ping Wu</w:t>
      </w:r>
    </w:p>
    <w:p w14:paraId="765B1F19" w14:textId="77777777" w:rsidR="00D10913" w:rsidRDefault="00D10913">
      <w:pPr>
        <w:rPr>
          <w:rFonts w:ascii="Arial" w:hAnsi="Arial" w:cs="Arial"/>
        </w:rPr>
      </w:pPr>
    </w:p>
    <w:p w14:paraId="23565399" w14:textId="77777777" w:rsidR="00D260E3" w:rsidRDefault="00D260E3">
      <w:pPr>
        <w:rPr>
          <w:rFonts w:ascii="Arial" w:hAnsi="Arial" w:cs="Arial"/>
        </w:rPr>
      </w:pPr>
    </w:p>
    <w:p w14:paraId="22A83BFC" w14:textId="77777777" w:rsidR="00551C24" w:rsidRDefault="00551C24" w:rsidP="00D21B55">
      <w:pPr>
        <w:spacing w:line="360" w:lineRule="auto"/>
        <w:rPr>
          <w:rFonts w:ascii="Arial" w:hAnsi="Arial" w:cs="Arial"/>
          <w:b/>
          <w:bCs/>
        </w:rPr>
      </w:pPr>
      <w:r w:rsidRPr="0065359A">
        <w:rPr>
          <w:rFonts w:ascii="Arial" w:hAnsi="Arial" w:cs="Arial"/>
          <w:b/>
          <w:bCs/>
        </w:rPr>
        <w:lastRenderedPageBreak/>
        <w:t>Critical Evaluation of Telemedicine and Virtual Consultations as a Digital Innovation in UK Health and Social Care</w:t>
      </w:r>
    </w:p>
    <w:p w14:paraId="2B11E739" w14:textId="77777777" w:rsidR="00551C24" w:rsidRDefault="00551C24" w:rsidP="00D21B55">
      <w:pPr>
        <w:spacing w:line="360" w:lineRule="auto"/>
        <w:rPr>
          <w:rFonts w:ascii="Arial" w:hAnsi="Arial" w:cs="Arial"/>
          <w:b/>
          <w:bCs/>
          <w:sz w:val="28"/>
          <w:szCs w:val="28"/>
        </w:rPr>
      </w:pPr>
    </w:p>
    <w:p w14:paraId="68E043C8" w14:textId="77777777" w:rsidR="00551C24" w:rsidRPr="0067614F" w:rsidRDefault="00551C24" w:rsidP="00D21B55">
      <w:pPr>
        <w:spacing w:line="360" w:lineRule="auto"/>
        <w:rPr>
          <w:rFonts w:ascii="Arial" w:hAnsi="Arial" w:cs="Arial"/>
          <w:b/>
          <w:bCs/>
        </w:rPr>
      </w:pPr>
      <w:r w:rsidRPr="0067614F">
        <w:rPr>
          <w:rFonts w:ascii="Arial" w:hAnsi="Arial" w:cs="Arial"/>
          <w:b/>
          <w:bCs/>
        </w:rPr>
        <w:t xml:space="preserve">Introduction </w:t>
      </w:r>
    </w:p>
    <w:p w14:paraId="7E9533D5" w14:textId="77777777" w:rsidR="00551C24" w:rsidRPr="00A1178C" w:rsidRDefault="00551C24" w:rsidP="00D21B55">
      <w:pPr>
        <w:spacing w:line="360" w:lineRule="auto"/>
        <w:rPr>
          <w:rFonts w:ascii="Arial" w:hAnsi="Arial" w:cs="Arial"/>
          <w:sz w:val="22"/>
          <w:szCs w:val="22"/>
        </w:rPr>
      </w:pPr>
      <w:r w:rsidRPr="00A1178C">
        <w:rPr>
          <w:rFonts w:ascii="Arial" w:hAnsi="Arial" w:cs="Arial"/>
          <w:sz w:val="22"/>
          <w:szCs w:val="22"/>
        </w:rPr>
        <w:t>Digital transformation has become a central focus of modern healthcare, enabling health and social care services to improve accessibility, efficiency, and patient outcomes through innovative technologies. One of the most significant digital innovations implemented within the United Kingdom (UK) over the last decade is telemedicine, particularly using virtual consultations. Telemedicine refers to the delivery of healthcare services remotely using digital communication technologies, including telephone and video consultations, allowing healthcare professionals to assess, diagnose, monitor and treat patients without requiring face-to-face appointments (World Health Organization (WHO), 2021).</w:t>
      </w:r>
    </w:p>
    <w:p w14:paraId="3CF26CF6" w14:textId="77777777" w:rsidR="00551C24" w:rsidRPr="00A1178C" w:rsidRDefault="00551C24" w:rsidP="00D21B55">
      <w:pPr>
        <w:spacing w:line="360" w:lineRule="auto"/>
        <w:rPr>
          <w:rFonts w:ascii="Arial" w:hAnsi="Arial" w:cs="Arial"/>
          <w:sz w:val="22"/>
          <w:szCs w:val="22"/>
        </w:rPr>
      </w:pPr>
      <w:r w:rsidRPr="00A1178C">
        <w:rPr>
          <w:rFonts w:ascii="Arial" w:hAnsi="Arial" w:cs="Arial"/>
          <w:sz w:val="22"/>
          <w:szCs w:val="22"/>
        </w:rPr>
        <w:t>Although remote healthcare has existed for several years, the COVID-19 pandemic accelerated its adoption across the National Health Service (NHS). During the pandemic, NHS organisations rapidly introduced virtual consultations to reduce the transmission of infection while ensuring continuity of care. Since then, telemedicine has become embedded within many healthcare services, including general practice, mental health services, outpatient clinics and community healthcare (NHS England, 2023). This transformation aligns with the NHS Long Term Plan, which promotes digital innovation as a means of improving patient access, reducing health inequalities and enhancing service efficiency (NHS England, 2019).</w:t>
      </w:r>
    </w:p>
    <w:p w14:paraId="3B4AF980" w14:textId="77777777" w:rsidR="00551C24" w:rsidRPr="00A1178C" w:rsidRDefault="00551C24" w:rsidP="00D21B55">
      <w:pPr>
        <w:spacing w:line="360" w:lineRule="auto"/>
        <w:rPr>
          <w:rFonts w:ascii="Arial" w:hAnsi="Arial" w:cs="Arial"/>
          <w:sz w:val="22"/>
          <w:szCs w:val="22"/>
        </w:rPr>
      </w:pPr>
      <w:r w:rsidRPr="00A1178C">
        <w:rPr>
          <w:rFonts w:ascii="Arial" w:hAnsi="Arial" w:cs="Arial"/>
          <w:sz w:val="22"/>
          <w:szCs w:val="22"/>
        </w:rPr>
        <w:t>Despite these benefits, the implementation of telemedicine has generated significant debate regarding its long-term effectiveness. While virtual consultations can improve access to healthcare and reduce waiting times, they may also create challenges related to digital exclusion, patient safety, data security and inequalities in healthcare access. Furthermore, healthcare professionals have experienced substantial changes to their roles and responsibilities as digital competencies become increasingly essential for effective practice.</w:t>
      </w:r>
    </w:p>
    <w:p w14:paraId="46527F10" w14:textId="77777777" w:rsidR="00551C24" w:rsidRDefault="00551C24" w:rsidP="00D21B55">
      <w:pPr>
        <w:spacing w:line="360" w:lineRule="auto"/>
        <w:rPr>
          <w:rFonts w:ascii="Arial" w:hAnsi="Arial" w:cs="Arial"/>
          <w:sz w:val="22"/>
          <w:szCs w:val="22"/>
        </w:rPr>
      </w:pPr>
      <w:r w:rsidRPr="00A1178C">
        <w:rPr>
          <w:rFonts w:ascii="Arial" w:hAnsi="Arial" w:cs="Arial"/>
          <w:sz w:val="22"/>
          <w:szCs w:val="22"/>
        </w:rPr>
        <w:t>This report critically evaluates the implementation of telemedicine and virtual consultations within UK health and social care. It examines the impact of this digital transformation on the healthcare workforce, service delivery, patients and service users, and the wider community. Both the positive outcomes and the limitations of telemedicine are explored using current evidence from academic literature and UK healthcare policy.</w:t>
      </w:r>
    </w:p>
    <w:p w14:paraId="38145B1F" w14:textId="77777777" w:rsidR="00516C5C" w:rsidRPr="00A1178C" w:rsidRDefault="00516C5C" w:rsidP="00D21B55">
      <w:pPr>
        <w:spacing w:line="360" w:lineRule="auto"/>
        <w:rPr>
          <w:rFonts w:ascii="Arial" w:hAnsi="Arial" w:cs="Arial"/>
          <w:sz w:val="22"/>
          <w:szCs w:val="22"/>
        </w:rPr>
      </w:pPr>
    </w:p>
    <w:p w14:paraId="65E1614D" w14:textId="77777777" w:rsidR="00551C24" w:rsidRPr="00A1178C" w:rsidRDefault="00551C24" w:rsidP="00D21B55">
      <w:pPr>
        <w:spacing w:line="360" w:lineRule="auto"/>
        <w:rPr>
          <w:rFonts w:ascii="Arial" w:hAnsi="Arial" w:cs="Arial"/>
          <w:sz w:val="22"/>
          <w:szCs w:val="22"/>
        </w:rPr>
      </w:pPr>
    </w:p>
    <w:p w14:paraId="125EB4AC" w14:textId="77777777" w:rsidR="00551C24" w:rsidRPr="00A1178C" w:rsidRDefault="00551C24" w:rsidP="00D21B55">
      <w:pPr>
        <w:spacing w:line="360" w:lineRule="auto"/>
        <w:rPr>
          <w:rFonts w:ascii="Arial" w:hAnsi="Arial" w:cs="Arial"/>
          <w:b/>
          <w:bCs/>
          <w:sz w:val="22"/>
          <w:szCs w:val="22"/>
        </w:rPr>
      </w:pPr>
      <w:r w:rsidRPr="00A1178C">
        <w:rPr>
          <w:rFonts w:ascii="Arial" w:hAnsi="Arial" w:cs="Arial"/>
          <w:b/>
          <w:bCs/>
          <w:sz w:val="22"/>
          <w:szCs w:val="22"/>
        </w:rPr>
        <w:t xml:space="preserve">Impact on work force </w:t>
      </w:r>
    </w:p>
    <w:p w14:paraId="5645DAF6" w14:textId="77777777" w:rsidR="00551C24" w:rsidRPr="00A1178C" w:rsidRDefault="00551C24" w:rsidP="00D21B55">
      <w:pPr>
        <w:spacing w:line="360" w:lineRule="auto"/>
        <w:rPr>
          <w:rFonts w:ascii="Arial" w:hAnsi="Arial" w:cs="Arial"/>
          <w:color w:val="000000" w:themeColor="text1"/>
          <w:sz w:val="22"/>
          <w:szCs w:val="22"/>
        </w:rPr>
      </w:pPr>
      <w:r w:rsidRPr="00A1178C">
        <w:rPr>
          <w:rFonts w:ascii="Arial" w:hAnsi="Arial" w:cs="Arial"/>
          <w:color w:val="000000" w:themeColor="text1"/>
          <w:sz w:val="22"/>
          <w:szCs w:val="22"/>
        </w:rPr>
        <w:t>The implementation of telemedicine and virtual consultations has significantly transformed the healthcare workforce within the UK. While these technologies have improved service efficiency and workforce flexibility, they have also required healthcare professionals to develop new competencies, adapt to changing job roles, and overcome challenges associated with digital healthcare delivery. Consequently, the impact of telemedicine on the workforce has been both beneficial and demanding.</w:t>
      </w:r>
    </w:p>
    <w:p w14:paraId="50EDFD36" w14:textId="77777777" w:rsidR="00551C24" w:rsidRPr="00A1178C" w:rsidRDefault="00551C24" w:rsidP="00D21B55">
      <w:pPr>
        <w:spacing w:line="360" w:lineRule="auto"/>
        <w:rPr>
          <w:rFonts w:ascii="Arial" w:hAnsi="Arial" w:cs="Arial"/>
          <w:color w:val="000000" w:themeColor="text1"/>
          <w:sz w:val="22"/>
          <w:szCs w:val="22"/>
        </w:rPr>
      </w:pPr>
      <w:r w:rsidRPr="00A1178C">
        <w:rPr>
          <w:rFonts w:ascii="Arial" w:hAnsi="Arial" w:cs="Arial"/>
          <w:color w:val="000000" w:themeColor="text1"/>
          <w:sz w:val="22"/>
          <w:szCs w:val="22"/>
        </w:rPr>
        <w:t>One of the most significant changes has been the expansion of healthcare professionals' roles. General practitioners (GPs), nurses, allied health professionals and mental health practitioners are now expected to deliver safe and effective care through telephone and video consultations, rather than relying solely on face-to-face interactions. This shift has altered traditional clinical practice, requiring clinicians to make diagnostic decisions without physical examinations in many cases. As a result, healthcare professionals must rely more heavily on patient history, communication skills and clinical judgement to identify symptoms that require further investigation or in-person assessment (Murphy et al., 2021).</w:t>
      </w:r>
    </w:p>
    <w:p w14:paraId="5517E565" w14:textId="77777777" w:rsidR="00551C24" w:rsidRPr="00A1178C" w:rsidRDefault="00551C24" w:rsidP="00D21B55">
      <w:pPr>
        <w:spacing w:line="360" w:lineRule="auto"/>
        <w:rPr>
          <w:rFonts w:ascii="Arial" w:hAnsi="Arial" w:cs="Arial"/>
          <w:color w:val="000000" w:themeColor="text1"/>
          <w:sz w:val="22"/>
          <w:szCs w:val="22"/>
        </w:rPr>
      </w:pPr>
      <w:r w:rsidRPr="00A1178C">
        <w:rPr>
          <w:rFonts w:ascii="Arial" w:hAnsi="Arial" w:cs="Arial"/>
          <w:color w:val="000000" w:themeColor="text1"/>
          <w:sz w:val="22"/>
          <w:szCs w:val="22"/>
        </w:rPr>
        <w:t xml:space="preserve">The introduction of telemedicine has also increased the demand for digital competencies across the workforce. </w:t>
      </w:r>
      <w:r w:rsidRPr="00A1178C">
        <w:rPr>
          <w:rFonts w:eastAsia="Times New Roman"/>
          <w:sz w:val="22"/>
          <w:szCs w:val="22"/>
        </w:rPr>
        <w:t xml:space="preserve">Research by </w:t>
      </w:r>
      <w:proofErr w:type="spellStart"/>
      <w:r w:rsidRPr="00A1178C">
        <w:rPr>
          <w:rFonts w:eastAsia="Times New Roman"/>
          <w:sz w:val="22"/>
          <w:szCs w:val="22"/>
        </w:rPr>
        <w:t>Bokolo</w:t>
      </w:r>
      <w:proofErr w:type="spellEnd"/>
      <w:r w:rsidRPr="00A1178C">
        <w:rPr>
          <w:rFonts w:eastAsia="Times New Roman"/>
          <w:sz w:val="22"/>
          <w:szCs w:val="22"/>
        </w:rPr>
        <w:t xml:space="preserve"> (2021) suggests that successful telemedicine implementation requires continuous professional development and organisational support to ensure healthcare professionals can adapt to evolving digital technologies.</w:t>
      </w:r>
      <w:r w:rsidRPr="00A1178C">
        <w:rPr>
          <w:rFonts w:ascii="Arial" w:hAnsi="Arial" w:cs="Arial"/>
          <w:color w:val="000000" w:themeColor="text1"/>
          <w:sz w:val="22"/>
          <w:szCs w:val="22"/>
        </w:rPr>
        <w:t xml:space="preserve"> In addition to their clinical expertise, healthcare professionals must now be proficient in using electronic patient records, video consultation platforms, digital prescribing systems and cybersecurity procedures. NHS England (2023) emphasises that digital literacy has become an essential professional competency, requiring ongoing education and training to ensure staff can use technology safely and effectively. This reflects the wider digital transformation agenda within the NHS, which aims to create a workforce capable of delivering high-quality, technology-enabled healthcare.</w:t>
      </w:r>
    </w:p>
    <w:p w14:paraId="10C8394C" w14:textId="77777777" w:rsidR="00551C24" w:rsidRPr="002279A9" w:rsidRDefault="00551C24" w:rsidP="00D21B55">
      <w:pPr>
        <w:spacing w:line="360" w:lineRule="auto"/>
        <w:rPr>
          <w:rFonts w:ascii="Arial" w:hAnsi="Arial" w:cs="Arial"/>
          <w:color w:val="000000" w:themeColor="text1"/>
          <w:sz w:val="22"/>
          <w:szCs w:val="22"/>
        </w:rPr>
      </w:pPr>
      <w:r w:rsidRPr="002279A9">
        <w:rPr>
          <w:rFonts w:ascii="Arial" w:hAnsi="Arial" w:cs="Arial"/>
          <w:color w:val="000000" w:themeColor="text1"/>
          <w:sz w:val="22"/>
          <w:szCs w:val="22"/>
        </w:rPr>
        <w:t>Furthermore, telemedicine has encouraged greater multidisciplinary collaboration. Digital platforms enable GPs, consultants, pharmacists, community nurses and other healthcare professionals to communicate more efficiently, share patient information securely and coordinate treatment plans across different healthcare settings. Improved information sharing can reduce duplication of work, support faster clinical decision-making and enhance continuity of care, particularly for patients with long-term conditions (NHS England, 2019).</w:t>
      </w:r>
    </w:p>
    <w:p w14:paraId="6C4AD7C6" w14:textId="77777777" w:rsidR="00551C24" w:rsidRPr="002279A9" w:rsidRDefault="00551C24" w:rsidP="00D21B55">
      <w:pPr>
        <w:spacing w:line="360" w:lineRule="auto"/>
        <w:rPr>
          <w:rFonts w:ascii="Arial" w:hAnsi="Arial" w:cs="Arial"/>
          <w:color w:val="000000" w:themeColor="text1"/>
          <w:sz w:val="22"/>
          <w:szCs w:val="22"/>
        </w:rPr>
      </w:pPr>
      <w:r w:rsidRPr="002279A9">
        <w:rPr>
          <w:rFonts w:ascii="Arial" w:hAnsi="Arial" w:cs="Arial"/>
          <w:color w:val="000000" w:themeColor="text1"/>
          <w:sz w:val="22"/>
          <w:szCs w:val="22"/>
        </w:rPr>
        <w:lastRenderedPageBreak/>
        <w:t>However, the implementation of telemedicine has also presented significant challenges for the workforce. One major concern is the increased cognitive workload associated with remote consultations. Unlike face-to-face appointments, clinicians may find it more difficult to interpret non-verbal communication, assess physical symptoms and establish rapport with patients through digital platforms. This can increase diagnostic uncertainty and may require additional follow-up appointments or face-to-face assessments, potentially reducing efficiency rather than improving it (</w:t>
      </w:r>
      <w:proofErr w:type="spellStart"/>
      <w:r w:rsidRPr="002279A9">
        <w:rPr>
          <w:rFonts w:ascii="Arial" w:hAnsi="Arial" w:cs="Arial"/>
          <w:color w:val="000000" w:themeColor="text1"/>
          <w:sz w:val="22"/>
          <w:szCs w:val="22"/>
        </w:rPr>
        <w:t>Greenhalgh</w:t>
      </w:r>
      <w:proofErr w:type="spellEnd"/>
      <w:r w:rsidRPr="002279A9">
        <w:rPr>
          <w:rFonts w:ascii="Arial" w:hAnsi="Arial" w:cs="Arial"/>
          <w:color w:val="000000" w:themeColor="text1"/>
          <w:sz w:val="22"/>
          <w:szCs w:val="22"/>
        </w:rPr>
        <w:t xml:space="preserve"> </w:t>
      </w:r>
      <w:r w:rsidRPr="002279A9">
        <w:rPr>
          <w:rFonts w:ascii="Arial" w:hAnsi="Arial" w:cs="Arial"/>
          <w:i/>
          <w:iCs/>
          <w:color w:val="000000" w:themeColor="text1"/>
          <w:sz w:val="22"/>
          <w:szCs w:val="22"/>
        </w:rPr>
        <w:t>et al</w:t>
      </w:r>
      <w:r w:rsidRPr="002279A9">
        <w:rPr>
          <w:rFonts w:ascii="Arial" w:hAnsi="Arial" w:cs="Arial"/>
          <w:color w:val="000000" w:themeColor="text1"/>
          <w:sz w:val="22"/>
          <w:szCs w:val="22"/>
        </w:rPr>
        <w:t>., 2020).</w:t>
      </w:r>
    </w:p>
    <w:p w14:paraId="0E44A57E" w14:textId="77777777" w:rsidR="00551C24" w:rsidRPr="002279A9" w:rsidRDefault="00551C24" w:rsidP="00D21B55">
      <w:pPr>
        <w:spacing w:line="360" w:lineRule="auto"/>
        <w:rPr>
          <w:rFonts w:ascii="Arial" w:hAnsi="Arial" w:cs="Arial"/>
          <w:color w:val="000000" w:themeColor="text1"/>
          <w:sz w:val="22"/>
          <w:szCs w:val="22"/>
        </w:rPr>
      </w:pPr>
      <w:r w:rsidRPr="002279A9">
        <w:rPr>
          <w:rFonts w:ascii="Arial" w:hAnsi="Arial" w:cs="Arial"/>
          <w:color w:val="000000" w:themeColor="text1"/>
          <w:sz w:val="22"/>
          <w:szCs w:val="22"/>
        </w:rPr>
        <w:t xml:space="preserve">The rapid implementation of telemedicine during the COVID-19 pandemic also highlighted gaps in workforce preparedness. Many healthcare professionals received limited training before transitioning to remote consultations, resulting in variations in confidence and competence when using digital technologies. Some clinicians reported increased stress due to technical difficulties, concerns about patient safety and adapting to new methods of communication (Murphy </w:t>
      </w:r>
      <w:r w:rsidRPr="002279A9">
        <w:rPr>
          <w:rFonts w:ascii="Arial" w:hAnsi="Arial" w:cs="Arial"/>
          <w:i/>
          <w:iCs/>
          <w:color w:val="000000" w:themeColor="text1"/>
          <w:sz w:val="22"/>
          <w:szCs w:val="22"/>
        </w:rPr>
        <w:t>et al</w:t>
      </w:r>
      <w:r w:rsidRPr="002279A9">
        <w:rPr>
          <w:rFonts w:ascii="Arial" w:hAnsi="Arial" w:cs="Arial"/>
          <w:color w:val="000000" w:themeColor="text1"/>
          <w:sz w:val="22"/>
          <w:szCs w:val="22"/>
        </w:rPr>
        <w:t>., 2021). These findings demonstrate that successful digital transformation depends not only on technological investment but also on comprehensive workforce development and organisational support.</w:t>
      </w:r>
    </w:p>
    <w:p w14:paraId="7A8D8F3D" w14:textId="77777777" w:rsidR="00551C24" w:rsidRDefault="00551C24" w:rsidP="00D21B55">
      <w:pPr>
        <w:spacing w:line="360" w:lineRule="auto"/>
        <w:rPr>
          <w:rFonts w:ascii="Arial" w:hAnsi="Arial" w:cs="Arial"/>
          <w:color w:val="000000" w:themeColor="text1"/>
          <w:sz w:val="22"/>
          <w:szCs w:val="22"/>
        </w:rPr>
      </w:pPr>
    </w:p>
    <w:p w14:paraId="7ED47101" w14:textId="77777777" w:rsidR="00551C24" w:rsidRPr="00002FA5" w:rsidRDefault="00551C24" w:rsidP="00D21B55">
      <w:pPr>
        <w:spacing w:line="360" w:lineRule="auto"/>
        <w:rPr>
          <w:rFonts w:ascii="Arial" w:hAnsi="Arial" w:cs="Arial"/>
          <w:b/>
          <w:bCs/>
        </w:rPr>
      </w:pPr>
      <w:r w:rsidRPr="00002FA5">
        <w:rPr>
          <w:rFonts w:ascii="Arial" w:hAnsi="Arial" w:cs="Arial"/>
          <w:b/>
          <w:bCs/>
        </w:rPr>
        <w:t xml:space="preserve">Impact on </w:t>
      </w:r>
      <w:r>
        <w:rPr>
          <w:rFonts w:ascii="Arial" w:hAnsi="Arial" w:cs="Arial"/>
          <w:b/>
          <w:bCs/>
        </w:rPr>
        <w:t>S</w:t>
      </w:r>
      <w:r w:rsidRPr="00002FA5">
        <w:rPr>
          <w:rFonts w:ascii="Arial" w:hAnsi="Arial" w:cs="Arial"/>
          <w:b/>
          <w:bCs/>
        </w:rPr>
        <w:t xml:space="preserve">ervice </w:t>
      </w:r>
      <w:r>
        <w:rPr>
          <w:rFonts w:ascii="Arial" w:hAnsi="Arial" w:cs="Arial"/>
          <w:b/>
          <w:bCs/>
        </w:rPr>
        <w:t>D</w:t>
      </w:r>
      <w:r w:rsidRPr="00002FA5">
        <w:rPr>
          <w:rFonts w:ascii="Arial" w:hAnsi="Arial" w:cs="Arial"/>
          <w:b/>
          <w:bCs/>
        </w:rPr>
        <w:t xml:space="preserve">elivery </w:t>
      </w:r>
    </w:p>
    <w:p w14:paraId="37003B82" w14:textId="77777777" w:rsidR="00551C24" w:rsidRPr="003C32C5" w:rsidRDefault="00551C24" w:rsidP="00D21B55">
      <w:pPr>
        <w:spacing w:line="360" w:lineRule="auto"/>
        <w:rPr>
          <w:rFonts w:ascii="Arial" w:hAnsi="Arial" w:cs="Arial"/>
          <w:color w:val="000000" w:themeColor="text1"/>
          <w:sz w:val="22"/>
          <w:szCs w:val="22"/>
        </w:rPr>
      </w:pPr>
      <w:r w:rsidRPr="003C32C5">
        <w:rPr>
          <w:rFonts w:ascii="Arial" w:hAnsi="Arial" w:cs="Arial"/>
          <w:color w:val="000000" w:themeColor="text1"/>
          <w:sz w:val="22"/>
          <w:szCs w:val="22"/>
        </w:rPr>
        <w:t>Telemedicine has significantly changed the day-to-day delivery of healthcare services by enabling patients to access consultations remotely through telephone or video calls. This has reduced the need for face-to-face appointments, allowing healthcare providers to manage more patients efficiently while decreasing travel time and waiting times (NHS England, 2023). Virtual consultations have also improved access to healthcare for people living in rural areas, those with mobility issues, and patients managing long-term conditions, making healthcare more convenient and flexible (WHO, 2021).</w:t>
      </w:r>
    </w:p>
    <w:p w14:paraId="1EF7C5B7" w14:textId="77777777" w:rsidR="00551C24" w:rsidRPr="00197EB5" w:rsidRDefault="00551C24" w:rsidP="00D21B55">
      <w:pPr>
        <w:spacing w:line="360" w:lineRule="auto"/>
        <w:rPr>
          <w:rFonts w:ascii="Arial" w:hAnsi="Arial" w:cs="Arial"/>
          <w:color w:val="000000" w:themeColor="text1"/>
          <w:sz w:val="22"/>
          <w:szCs w:val="22"/>
        </w:rPr>
      </w:pPr>
      <w:r w:rsidRPr="00197EB5">
        <w:rPr>
          <w:rFonts w:ascii="Arial" w:hAnsi="Arial" w:cs="Arial"/>
          <w:color w:val="000000" w:themeColor="text1"/>
          <w:sz w:val="22"/>
          <w:szCs w:val="22"/>
        </w:rPr>
        <w:t>From a service perspective, telemedicine has enhanced multidisciplinary collaboration, as healthcare professionals can share electronic patient records and communicate more effectively across different services. This has improved care coordination and continuity, particularly for patients with chronic illnesses (NHS England, 2019).</w:t>
      </w:r>
    </w:p>
    <w:p w14:paraId="2268CF01" w14:textId="77777777" w:rsidR="00551C24" w:rsidRPr="00197EB5" w:rsidRDefault="00551C24" w:rsidP="00D21B55">
      <w:pPr>
        <w:spacing w:line="360" w:lineRule="auto"/>
        <w:rPr>
          <w:rFonts w:ascii="Arial" w:hAnsi="Arial" w:cs="Arial"/>
          <w:color w:val="000000" w:themeColor="text1"/>
          <w:sz w:val="22"/>
          <w:szCs w:val="22"/>
        </w:rPr>
      </w:pPr>
      <w:r w:rsidRPr="00197EB5">
        <w:rPr>
          <w:rFonts w:ascii="Arial" w:hAnsi="Arial" w:cs="Arial"/>
          <w:color w:val="000000" w:themeColor="text1"/>
          <w:sz w:val="22"/>
          <w:szCs w:val="22"/>
        </w:rPr>
        <w:t>However, there are limitations. Not all medical conditions can be assessed remotely, as some require physical examination or diagnostic tests. Virtual consultations may also lead to missed clinical signs, communication difficulties, or the need for follow-up face-to-face appointments, potentially increasing workload rather than reducing it (</w:t>
      </w:r>
      <w:proofErr w:type="spellStart"/>
      <w:r w:rsidRPr="00197EB5">
        <w:rPr>
          <w:rFonts w:ascii="Arial" w:hAnsi="Arial" w:cs="Arial"/>
          <w:color w:val="000000" w:themeColor="text1"/>
          <w:sz w:val="22"/>
          <w:szCs w:val="22"/>
        </w:rPr>
        <w:t>Greenhalgh</w:t>
      </w:r>
      <w:proofErr w:type="spellEnd"/>
      <w:r w:rsidRPr="00197EB5">
        <w:rPr>
          <w:rFonts w:ascii="Arial" w:hAnsi="Arial" w:cs="Arial"/>
          <w:color w:val="000000" w:themeColor="text1"/>
          <w:sz w:val="22"/>
          <w:szCs w:val="22"/>
        </w:rPr>
        <w:t xml:space="preserve"> et al., 2020). In addition, technical problems, poor internet connectivity, and digital exclusion can reduce the quality and accessibility of care for some patients.</w:t>
      </w:r>
    </w:p>
    <w:p w14:paraId="29DA24D1" w14:textId="77777777" w:rsidR="00551C24" w:rsidRPr="008375B5" w:rsidRDefault="00551C24" w:rsidP="00D21B55">
      <w:pPr>
        <w:spacing w:line="360" w:lineRule="auto"/>
        <w:rPr>
          <w:rFonts w:ascii="Arial" w:hAnsi="Arial" w:cs="Arial"/>
          <w:i/>
          <w:iCs/>
          <w:color w:val="0070C0"/>
          <w:sz w:val="22"/>
          <w:szCs w:val="22"/>
        </w:rPr>
      </w:pPr>
      <w:r w:rsidRPr="00197EB5">
        <w:rPr>
          <w:rFonts w:ascii="Arial" w:hAnsi="Arial" w:cs="Arial"/>
          <w:color w:val="000000" w:themeColor="text1"/>
          <w:sz w:val="22"/>
          <w:szCs w:val="22"/>
        </w:rPr>
        <w:lastRenderedPageBreak/>
        <w:t>Overall, telemedicine has improved service efficiency and accessibility but should complement rather than replace traditional face-to-face healthcare to ensure safe, equitable, and high-quality service delivery.</w:t>
      </w:r>
      <w:r>
        <w:rPr>
          <w:rFonts w:ascii="Arial" w:hAnsi="Arial" w:cs="Arial"/>
          <w:color w:val="000000" w:themeColor="text1"/>
          <w:sz w:val="22"/>
          <w:szCs w:val="22"/>
        </w:rPr>
        <w:t xml:space="preserve"> </w:t>
      </w:r>
      <w:r>
        <w:rPr>
          <w:rFonts w:eastAsia="Times New Roman"/>
        </w:rPr>
        <w:t>Shaw et al. (2023) argue that the long-term sustainability of virtual consultations depends on integrating digital services into routine clinical practice rather than treating them as temporary solutions.</w:t>
      </w:r>
    </w:p>
    <w:p w14:paraId="30C33C65" w14:textId="77777777" w:rsidR="00551C24" w:rsidRPr="008375B5" w:rsidRDefault="00551C24" w:rsidP="00D21B55">
      <w:pPr>
        <w:spacing w:line="360" w:lineRule="auto"/>
        <w:rPr>
          <w:rFonts w:ascii="Arial" w:hAnsi="Arial" w:cs="Arial"/>
          <w:b/>
          <w:bCs/>
          <w:sz w:val="22"/>
          <w:szCs w:val="22"/>
        </w:rPr>
      </w:pPr>
    </w:p>
    <w:p w14:paraId="4CF0B9B2" w14:textId="77777777" w:rsidR="00551C24" w:rsidRPr="00D14BF8" w:rsidRDefault="00551C24" w:rsidP="00D21B55">
      <w:pPr>
        <w:spacing w:line="360" w:lineRule="auto"/>
        <w:rPr>
          <w:rFonts w:ascii="Arial" w:hAnsi="Arial" w:cs="Arial"/>
          <w:b/>
          <w:bCs/>
        </w:rPr>
      </w:pPr>
      <w:r w:rsidRPr="00D14BF8">
        <w:rPr>
          <w:rFonts w:ascii="Arial" w:hAnsi="Arial" w:cs="Arial"/>
          <w:b/>
          <w:bCs/>
        </w:rPr>
        <w:t>Impact on</w:t>
      </w:r>
      <w:r>
        <w:rPr>
          <w:rFonts w:ascii="Arial" w:hAnsi="Arial" w:cs="Arial"/>
          <w:b/>
          <w:bCs/>
        </w:rPr>
        <w:t xml:space="preserve"> P</w:t>
      </w:r>
      <w:r w:rsidRPr="00D14BF8">
        <w:rPr>
          <w:rFonts w:ascii="Arial" w:hAnsi="Arial" w:cs="Arial"/>
          <w:b/>
          <w:bCs/>
        </w:rPr>
        <w:t xml:space="preserve">atients </w:t>
      </w:r>
      <w:r>
        <w:rPr>
          <w:rFonts w:ascii="Arial" w:hAnsi="Arial" w:cs="Arial"/>
          <w:b/>
          <w:bCs/>
        </w:rPr>
        <w:t xml:space="preserve">and Service </w:t>
      </w:r>
    </w:p>
    <w:p w14:paraId="4A10B4AF" w14:textId="77777777" w:rsidR="00551C24" w:rsidRPr="00E422D0" w:rsidRDefault="00551C24" w:rsidP="00D21B55">
      <w:pPr>
        <w:spacing w:line="360" w:lineRule="auto"/>
        <w:rPr>
          <w:rFonts w:ascii="Arial" w:hAnsi="Arial" w:cs="Arial"/>
          <w:color w:val="000000" w:themeColor="text1"/>
          <w:sz w:val="22"/>
          <w:szCs w:val="22"/>
        </w:rPr>
      </w:pPr>
      <w:r w:rsidRPr="00E422D0">
        <w:rPr>
          <w:rFonts w:ascii="Arial" w:hAnsi="Arial" w:cs="Arial"/>
          <w:color w:val="000000" w:themeColor="text1"/>
          <w:sz w:val="22"/>
          <w:szCs w:val="22"/>
        </w:rPr>
        <w:t>Telemedicine has positively influenced patients' experiences by making healthcare more accessible, convenient, and flexible. Virtual consultations allow patients to receive medical advice from home, reducing travel time, costs, and the need to take time off work. This is particularly beneficial for older adults, individuals with long-term conditions, and those living in rural areas (NHS England, 2023). Many patients report high levels of satisfaction due to shorter waiting times and quicker access to healthcare professionals (Murphy et al., 2021).</w:t>
      </w:r>
    </w:p>
    <w:p w14:paraId="7DF0814D" w14:textId="77777777" w:rsidR="00551C24" w:rsidRPr="00E422D0" w:rsidRDefault="00551C24" w:rsidP="00D21B55">
      <w:pPr>
        <w:spacing w:line="360" w:lineRule="auto"/>
        <w:rPr>
          <w:rFonts w:ascii="Arial" w:hAnsi="Arial" w:cs="Arial"/>
          <w:color w:val="000000" w:themeColor="text1"/>
          <w:sz w:val="22"/>
          <w:szCs w:val="22"/>
        </w:rPr>
      </w:pPr>
      <w:r w:rsidRPr="00E422D0">
        <w:rPr>
          <w:rFonts w:ascii="Arial" w:hAnsi="Arial" w:cs="Arial"/>
          <w:color w:val="000000" w:themeColor="text1"/>
          <w:sz w:val="22"/>
          <w:szCs w:val="22"/>
        </w:rPr>
        <w:t>However, patient experiences are not always positive. Some individuals feel that virtual consultations are less personal and make it more difficult to build trust and communicate effectively with healthcare professionals. Patients may also worry that important symptoms could be missed because physical examinations cannot be carried out remotely (</w:t>
      </w:r>
      <w:proofErr w:type="spellStart"/>
      <w:r w:rsidRPr="00E422D0">
        <w:rPr>
          <w:rFonts w:ascii="Arial" w:hAnsi="Arial" w:cs="Arial"/>
          <w:color w:val="000000" w:themeColor="text1"/>
          <w:sz w:val="22"/>
          <w:szCs w:val="22"/>
        </w:rPr>
        <w:t>Greenhalgh</w:t>
      </w:r>
      <w:proofErr w:type="spellEnd"/>
      <w:r w:rsidRPr="00E422D0">
        <w:rPr>
          <w:rFonts w:ascii="Arial" w:hAnsi="Arial" w:cs="Arial"/>
          <w:color w:val="000000" w:themeColor="text1"/>
          <w:sz w:val="22"/>
          <w:szCs w:val="22"/>
        </w:rPr>
        <w:t xml:space="preserve"> et al., 2020). Additionally, people with limited digital skills, poor internet access, or disabilities may struggle to use telemedicine services, increasing the risk of digital exclusion and health inequalities (</w:t>
      </w:r>
      <w:proofErr w:type="spellStart"/>
      <w:r w:rsidRPr="00E422D0">
        <w:rPr>
          <w:rFonts w:ascii="Arial" w:hAnsi="Arial" w:cs="Arial"/>
          <w:color w:val="000000" w:themeColor="text1"/>
          <w:sz w:val="22"/>
          <w:szCs w:val="22"/>
        </w:rPr>
        <w:t>Healthwatch</w:t>
      </w:r>
      <w:proofErr w:type="spellEnd"/>
      <w:r w:rsidRPr="00E422D0">
        <w:rPr>
          <w:rFonts w:ascii="Arial" w:hAnsi="Arial" w:cs="Arial"/>
          <w:color w:val="000000" w:themeColor="text1"/>
          <w:sz w:val="22"/>
          <w:szCs w:val="22"/>
        </w:rPr>
        <w:t xml:space="preserve"> England, 2021).</w:t>
      </w:r>
    </w:p>
    <w:p w14:paraId="0E9D5E1D" w14:textId="77777777" w:rsidR="00551C24" w:rsidRDefault="00551C24" w:rsidP="00D21B55">
      <w:pPr>
        <w:spacing w:line="360" w:lineRule="auto"/>
        <w:rPr>
          <w:rFonts w:ascii="Arial" w:hAnsi="Arial" w:cs="Arial"/>
          <w:color w:val="000000" w:themeColor="text1"/>
          <w:sz w:val="22"/>
          <w:szCs w:val="22"/>
        </w:rPr>
      </w:pPr>
      <w:r w:rsidRPr="00E422D0">
        <w:rPr>
          <w:rFonts w:ascii="Arial" w:hAnsi="Arial" w:cs="Arial"/>
          <w:color w:val="000000" w:themeColor="text1"/>
          <w:sz w:val="22"/>
          <w:szCs w:val="22"/>
        </w:rPr>
        <w:t>Overall, telemedicine has improved patient convenience and access to care, but healthcare providers must ensure that digital services are inclusive and that face-to-face consultations remain available when clinically necessary.</w:t>
      </w:r>
    </w:p>
    <w:p w14:paraId="3C6110C3" w14:textId="184A7A58" w:rsidR="00D433F7" w:rsidRPr="006738B0" w:rsidRDefault="00D433F7" w:rsidP="00D21B55">
      <w:pPr>
        <w:spacing w:line="360" w:lineRule="auto"/>
        <w:rPr>
          <w:rFonts w:ascii="Arial" w:hAnsi="Arial" w:cs="Arial"/>
          <w:b/>
          <w:bCs/>
        </w:rPr>
      </w:pPr>
      <w:r w:rsidRPr="006738B0">
        <w:rPr>
          <w:rFonts w:ascii="Arial" w:hAnsi="Arial" w:cs="Arial"/>
          <w:b/>
          <w:bCs/>
        </w:rPr>
        <w:t xml:space="preserve">Impact on </w:t>
      </w:r>
      <w:r>
        <w:rPr>
          <w:rFonts w:ascii="Arial" w:hAnsi="Arial" w:cs="Arial"/>
          <w:b/>
          <w:bCs/>
        </w:rPr>
        <w:t>the</w:t>
      </w:r>
      <w:r w:rsidR="001226E7">
        <w:rPr>
          <w:rFonts w:ascii="Arial" w:hAnsi="Arial" w:cs="Arial"/>
          <w:b/>
          <w:bCs/>
        </w:rPr>
        <w:t xml:space="preserve"> </w:t>
      </w:r>
      <w:r>
        <w:rPr>
          <w:rFonts w:ascii="Arial" w:hAnsi="Arial" w:cs="Arial"/>
          <w:b/>
          <w:bCs/>
        </w:rPr>
        <w:t>C</w:t>
      </w:r>
      <w:r w:rsidRPr="006738B0">
        <w:rPr>
          <w:rFonts w:ascii="Arial" w:hAnsi="Arial" w:cs="Arial"/>
          <w:b/>
          <w:bCs/>
        </w:rPr>
        <w:t xml:space="preserve">ommunity </w:t>
      </w:r>
    </w:p>
    <w:p w14:paraId="72CCDDF5" w14:textId="77777777" w:rsidR="00D433F7" w:rsidRPr="00C877E5" w:rsidRDefault="00D433F7" w:rsidP="00D21B55">
      <w:pPr>
        <w:spacing w:line="360" w:lineRule="auto"/>
        <w:rPr>
          <w:rFonts w:ascii="Arial" w:hAnsi="Arial" w:cs="Arial"/>
          <w:color w:val="000000" w:themeColor="text1"/>
          <w:sz w:val="22"/>
          <w:szCs w:val="22"/>
        </w:rPr>
      </w:pPr>
      <w:r w:rsidRPr="00C877E5">
        <w:rPr>
          <w:rFonts w:ascii="Arial" w:hAnsi="Arial" w:cs="Arial"/>
          <w:color w:val="000000" w:themeColor="text1"/>
          <w:sz w:val="22"/>
          <w:szCs w:val="22"/>
        </w:rPr>
        <w:t>Telemedicine has had a significant impact on communities by improving access to healthcare services, particularly for people living in rural, remote and underserved areas. Patients can consult healthcare professionals without travelling long distances, reducing transport costs and improving access for those with mobility difficulties or chronic health conditions (NHS England, 2023). This has also reduced pressure on healthcare facilities by enabling appropriate care to be delivered within patients' homes.</w:t>
      </w:r>
    </w:p>
    <w:p w14:paraId="386BE708" w14:textId="77777777" w:rsidR="00D433F7" w:rsidRPr="00C877E5" w:rsidRDefault="00D433F7" w:rsidP="00D21B55">
      <w:pPr>
        <w:spacing w:line="360" w:lineRule="auto"/>
        <w:rPr>
          <w:rFonts w:ascii="Arial" w:hAnsi="Arial" w:cs="Arial"/>
          <w:color w:val="000000" w:themeColor="text1"/>
          <w:sz w:val="22"/>
          <w:szCs w:val="22"/>
        </w:rPr>
      </w:pPr>
      <w:r w:rsidRPr="00C877E5">
        <w:rPr>
          <w:rFonts w:ascii="Arial" w:hAnsi="Arial" w:cs="Arial"/>
          <w:color w:val="000000" w:themeColor="text1"/>
          <w:sz w:val="22"/>
          <w:szCs w:val="22"/>
        </w:rPr>
        <w:t xml:space="preserve">Telemedicine has affected family members by reducing the need to accompany relatives to appointments, saving time and lowering financial costs. Family carers can also participate in virtual consultations from different locations, improving communication with healthcare </w:t>
      </w:r>
      <w:r w:rsidRPr="00C877E5">
        <w:rPr>
          <w:rFonts w:ascii="Arial" w:hAnsi="Arial" w:cs="Arial"/>
          <w:color w:val="000000" w:themeColor="text1"/>
          <w:sz w:val="22"/>
          <w:szCs w:val="22"/>
        </w:rPr>
        <w:lastRenderedPageBreak/>
        <w:t>professionals and supporting shared decision-making. This strengthens co-production, where patients, families and healthcare providers work together to plan and manage care (NICE, 2021).</w:t>
      </w:r>
    </w:p>
    <w:p w14:paraId="1E8AEE75" w14:textId="77777777" w:rsidR="00D433F7" w:rsidRPr="00C877E5" w:rsidRDefault="00D433F7" w:rsidP="00D21B55">
      <w:pPr>
        <w:spacing w:line="360" w:lineRule="auto"/>
        <w:rPr>
          <w:rFonts w:ascii="Arial" w:hAnsi="Arial" w:cs="Arial"/>
          <w:color w:val="000000" w:themeColor="text1"/>
          <w:sz w:val="22"/>
          <w:szCs w:val="22"/>
        </w:rPr>
      </w:pPr>
      <w:r w:rsidRPr="00C877E5">
        <w:rPr>
          <w:rFonts w:ascii="Arial" w:hAnsi="Arial" w:cs="Arial"/>
          <w:color w:val="000000" w:themeColor="text1"/>
          <w:sz w:val="22"/>
          <w:szCs w:val="22"/>
        </w:rPr>
        <w:t>From a public health perspective, telemedicine contributed significantly during the COVID-19 pandemic by reducing unnecessary face-to-face contact, helping to minimise the spread of infection while maintaining access to essential healthcare services (WHO, 2021). It also supports ongoing management of long-term conditions and promotes early intervention, which can improve overall population health.</w:t>
      </w:r>
    </w:p>
    <w:p w14:paraId="52EABC18" w14:textId="77777777" w:rsidR="00D433F7" w:rsidRPr="00C877E5" w:rsidRDefault="00D433F7" w:rsidP="00D21B55">
      <w:pPr>
        <w:spacing w:line="360" w:lineRule="auto"/>
        <w:rPr>
          <w:rFonts w:ascii="Arial" w:hAnsi="Arial" w:cs="Arial"/>
          <w:color w:val="000000" w:themeColor="text1"/>
          <w:sz w:val="22"/>
          <w:szCs w:val="22"/>
        </w:rPr>
      </w:pPr>
      <w:r w:rsidRPr="00C877E5">
        <w:rPr>
          <w:rFonts w:ascii="Arial" w:hAnsi="Arial" w:cs="Arial"/>
          <w:color w:val="000000" w:themeColor="text1"/>
          <w:sz w:val="22"/>
          <w:szCs w:val="22"/>
        </w:rPr>
        <w:t>However, telemedicine may widen health inequalities because some communities experience poor internet connectivity, limited access to digital devices or low digital literacy. Older adults, people with disabilities and those from disadvantaged socioeconomic backgrounds may therefore experience digital exclusion, reducing their ability to access healthcare services (</w:t>
      </w:r>
      <w:proofErr w:type="spellStart"/>
      <w:r w:rsidRPr="00C877E5">
        <w:rPr>
          <w:rFonts w:ascii="Arial" w:hAnsi="Arial" w:cs="Arial"/>
          <w:color w:val="000000" w:themeColor="text1"/>
          <w:sz w:val="22"/>
          <w:szCs w:val="22"/>
        </w:rPr>
        <w:t>Healthwatch</w:t>
      </w:r>
      <w:proofErr w:type="spellEnd"/>
      <w:r w:rsidRPr="00C877E5">
        <w:rPr>
          <w:rFonts w:ascii="Arial" w:hAnsi="Arial" w:cs="Arial"/>
          <w:color w:val="000000" w:themeColor="text1"/>
          <w:sz w:val="22"/>
          <w:szCs w:val="22"/>
        </w:rPr>
        <w:t xml:space="preserve"> England, 2021).</w:t>
      </w:r>
    </w:p>
    <w:p w14:paraId="123ECA66" w14:textId="77777777" w:rsidR="00D433F7" w:rsidRPr="00C877E5" w:rsidRDefault="00D433F7" w:rsidP="00D21B55">
      <w:pPr>
        <w:spacing w:line="360" w:lineRule="auto"/>
        <w:rPr>
          <w:rFonts w:ascii="Arial" w:hAnsi="Arial" w:cs="Arial"/>
          <w:color w:val="000000" w:themeColor="text1"/>
          <w:sz w:val="22"/>
          <w:szCs w:val="22"/>
        </w:rPr>
      </w:pPr>
      <w:r w:rsidRPr="00C877E5">
        <w:rPr>
          <w:rFonts w:ascii="Arial" w:hAnsi="Arial" w:cs="Arial"/>
          <w:color w:val="000000" w:themeColor="text1"/>
          <w:sz w:val="22"/>
          <w:szCs w:val="22"/>
        </w:rPr>
        <w:t xml:space="preserve">Overall, telemedicine has strengthened community healthcare by improving </w:t>
      </w:r>
      <w:r w:rsidRPr="00C877E5">
        <w:rPr>
          <w:rFonts w:eastAsia="Times New Roman"/>
        </w:rPr>
        <w:t>accessibility, encouraging family involvement and supporting public health initiatives. However, continued investment in digital infrastructure and inclusive healthcare policies is essential to ensure that all communities benefit equally from digital health innovations.</w:t>
      </w:r>
    </w:p>
    <w:p w14:paraId="0DE77131" w14:textId="77777777" w:rsidR="00D433F7" w:rsidRPr="008375B5" w:rsidRDefault="00D433F7" w:rsidP="00D21B55">
      <w:pPr>
        <w:spacing w:line="360" w:lineRule="auto"/>
        <w:rPr>
          <w:rFonts w:ascii="Arial" w:hAnsi="Arial" w:cs="Arial"/>
          <w:i/>
          <w:iCs/>
          <w:color w:val="0070C0"/>
          <w:sz w:val="22"/>
          <w:szCs w:val="22"/>
        </w:rPr>
      </w:pPr>
    </w:p>
    <w:p w14:paraId="02EE18E1" w14:textId="77777777" w:rsidR="00D433F7" w:rsidRPr="008375B5" w:rsidRDefault="00D433F7" w:rsidP="00D21B55">
      <w:pPr>
        <w:spacing w:line="360" w:lineRule="auto"/>
        <w:rPr>
          <w:rFonts w:ascii="Arial" w:hAnsi="Arial" w:cs="Arial"/>
          <w:i/>
          <w:iCs/>
          <w:sz w:val="22"/>
          <w:szCs w:val="22"/>
        </w:rPr>
      </w:pPr>
    </w:p>
    <w:p w14:paraId="033D2C6F" w14:textId="77777777" w:rsidR="00D433F7" w:rsidRDefault="00D433F7" w:rsidP="00D21B55">
      <w:pPr>
        <w:spacing w:line="360" w:lineRule="auto"/>
        <w:rPr>
          <w:rFonts w:ascii="Arial" w:hAnsi="Arial" w:cs="Arial"/>
          <w:b/>
          <w:bCs/>
        </w:rPr>
      </w:pPr>
    </w:p>
    <w:p w14:paraId="5CDE56BF" w14:textId="77777777" w:rsidR="00D433F7" w:rsidRPr="007B04F9" w:rsidRDefault="00D433F7" w:rsidP="00D21B55">
      <w:pPr>
        <w:spacing w:line="360" w:lineRule="auto"/>
        <w:rPr>
          <w:rFonts w:ascii="Arial" w:hAnsi="Arial" w:cs="Arial"/>
          <w:b/>
          <w:bCs/>
        </w:rPr>
      </w:pPr>
      <w:r w:rsidRPr="007B04F9">
        <w:rPr>
          <w:rFonts w:ascii="Arial" w:hAnsi="Arial" w:cs="Arial"/>
          <w:b/>
          <w:bCs/>
        </w:rPr>
        <w:t xml:space="preserve">Conclusion </w:t>
      </w:r>
    </w:p>
    <w:p w14:paraId="58B2C59B" w14:textId="77777777" w:rsidR="00D433F7" w:rsidRPr="00C61EFC" w:rsidRDefault="00D433F7" w:rsidP="00D21B55">
      <w:pPr>
        <w:pStyle w:val="isselectedend"/>
        <w:spacing w:line="360" w:lineRule="auto"/>
        <w:rPr>
          <w:rFonts w:ascii="Arial" w:hAnsi="Arial" w:cs="Arial"/>
          <w:sz w:val="22"/>
          <w:szCs w:val="22"/>
        </w:rPr>
      </w:pPr>
      <w:r w:rsidRPr="00C61EFC">
        <w:rPr>
          <w:rFonts w:ascii="Arial" w:hAnsi="Arial" w:cs="Arial"/>
          <w:sz w:val="22"/>
          <w:szCs w:val="22"/>
        </w:rPr>
        <w:t>Telemedicine and virtual consultations have become one of the most significant digital innovations implemented within UK health and social care over the past decade. Their rapid adoption, particularly during the COVID-19 pandemic, has transformed the way healthcare services are delivered by improving accessibility, efficiency and flexibility for both healthcare professionals and patients. The technology has enabled many patients to receive timely care from their own homes, reduced unnecessary travel and supported the management of long-term conditions, while also helping the NHS respond to increasing service demand.</w:t>
      </w:r>
    </w:p>
    <w:p w14:paraId="5D53B6E7" w14:textId="77777777" w:rsidR="00D433F7" w:rsidRPr="00C61EFC" w:rsidRDefault="00D433F7" w:rsidP="00D21B55">
      <w:pPr>
        <w:pStyle w:val="isselectedend"/>
        <w:spacing w:line="360" w:lineRule="auto"/>
        <w:rPr>
          <w:rFonts w:ascii="Arial" w:hAnsi="Arial" w:cs="Arial"/>
          <w:sz w:val="22"/>
          <w:szCs w:val="22"/>
        </w:rPr>
      </w:pPr>
      <w:r w:rsidRPr="00C61EFC">
        <w:rPr>
          <w:rFonts w:ascii="Arial" w:hAnsi="Arial" w:cs="Arial"/>
          <w:sz w:val="22"/>
          <w:szCs w:val="22"/>
        </w:rPr>
        <w:t xml:space="preserve">The implementation of telemedicine has had a substantial impact on the healthcare workforce by changing traditional job roles and increasing the need for digital competencies. Although healthcare professionals have benefited from improved collaboration and flexible </w:t>
      </w:r>
      <w:r w:rsidRPr="00C61EFC">
        <w:rPr>
          <w:rFonts w:ascii="Arial" w:hAnsi="Arial" w:cs="Arial"/>
          <w:sz w:val="22"/>
          <w:szCs w:val="22"/>
        </w:rPr>
        <w:lastRenderedPageBreak/>
        <w:t>working, they have also faced challenges such as increased workload, digital fatigue and the need for ongoing training. Similarly, service delivery has become more efficient through remote consultations and enhanced communication, but virtual care cannot replace face-to-face assessments in situations where physical examination is clinically necessary.</w:t>
      </w:r>
    </w:p>
    <w:p w14:paraId="6F9CB5D3" w14:textId="77777777" w:rsidR="00D433F7" w:rsidRPr="00C1718A" w:rsidRDefault="00D433F7" w:rsidP="00D21B55">
      <w:pPr>
        <w:pStyle w:val="isselectedend"/>
        <w:spacing w:line="360" w:lineRule="auto"/>
        <w:rPr>
          <w:rFonts w:ascii="Arial" w:hAnsi="Arial" w:cs="Arial"/>
          <w:sz w:val="22"/>
          <w:szCs w:val="22"/>
        </w:rPr>
      </w:pPr>
      <w:r w:rsidRPr="00C61EFC">
        <w:rPr>
          <w:rFonts w:ascii="Arial" w:hAnsi="Arial" w:cs="Arial"/>
          <w:sz w:val="22"/>
          <w:szCs w:val="22"/>
        </w:rPr>
        <w:t xml:space="preserve">From the patient and community perspective, telemedicine has improved convenience, promoted family involvement and expanded healthcare access, particularly for rural and vulnerable populations. Nevertheless, issues such as digital exclusion, limited internet access and reduced personal interaction highlight the importance of maintaining equitable </w:t>
      </w:r>
      <w:r w:rsidRPr="00C1718A">
        <w:rPr>
          <w:rFonts w:ascii="Arial" w:hAnsi="Arial" w:cs="Arial"/>
          <w:sz w:val="22"/>
          <w:szCs w:val="22"/>
        </w:rPr>
        <w:t>healthcare services for all individuals.</w:t>
      </w:r>
    </w:p>
    <w:p w14:paraId="69F84DCB" w14:textId="77777777" w:rsidR="00D433F7" w:rsidRDefault="00D433F7" w:rsidP="00D21B55">
      <w:pPr>
        <w:pStyle w:val="NormalWeb"/>
        <w:spacing w:line="360" w:lineRule="auto"/>
        <w:rPr>
          <w:rFonts w:ascii="Arial" w:hAnsi="Arial" w:cs="Arial"/>
          <w:sz w:val="22"/>
          <w:szCs w:val="22"/>
        </w:rPr>
      </w:pPr>
      <w:r w:rsidRPr="00C1718A">
        <w:rPr>
          <w:rFonts w:ascii="Arial" w:hAnsi="Arial" w:cs="Arial"/>
          <w:sz w:val="22"/>
          <w:szCs w:val="22"/>
        </w:rPr>
        <w:t>Overall, telemedicine has demonstrated considerable potential to improve healthcare quality and accessibility across the UK. However, its long-term success depends on continued investment in digital infrastructure, workforce development, cybersecurity and strategies to reduce health inequalities. A blended model that combines virtual consultations with traditional face-to-face care is likely to provide the most effective, safe and patient-centred approach to future health and social care delivery. As digital technologies continue to evolve, healthcare organisations must regularly evaluate their effectiveness, patient outcomes and workforce experiences to ensure telemedicine remains responsive to changing healthcare needs. By balancing technological innovation with person-centred care, telemedicine can continue to support a more resilient, inclusive and sustainable health and social care system in the future.</w:t>
      </w:r>
    </w:p>
    <w:p w14:paraId="52A736C9" w14:textId="77777777" w:rsidR="00C32FEB" w:rsidRDefault="00C32FEB" w:rsidP="00D21B55">
      <w:pPr>
        <w:pStyle w:val="NormalWeb"/>
        <w:spacing w:line="360" w:lineRule="auto"/>
        <w:rPr>
          <w:rFonts w:ascii="Arial" w:hAnsi="Arial" w:cs="Arial"/>
          <w:sz w:val="22"/>
          <w:szCs w:val="22"/>
        </w:rPr>
      </w:pPr>
    </w:p>
    <w:p w14:paraId="5F420D47" w14:textId="77777777" w:rsidR="004312FD" w:rsidRDefault="004312FD" w:rsidP="00D21B55">
      <w:pPr>
        <w:spacing w:line="360" w:lineRule="auto"/>
        <w:rPr>
          <w:rFonts w:ascii="Arial" w:hAnsi="Arial" w:cs="Arial"/>
          <w:b/>
          <w:bCs/>
        </w:rPr>
      </w:pPr>
      <w:r w:rsidRPr="00C42164">
        <w:rPr>
          <w:rFonts w:ascii="Arial" w:hAnsi="Arial" w:cs="Arial"/>
          <w:b/>
          <w:bCs/>
        </w:rPr>
        <w:t>References</w:t>
      </w:r>
    </w:p>
    <w:p w14:paraId="04044253" w14:textId="77777777" w:rsidR="004312FD" w:rsidRPr="00CE048C" w:rsidRDefault="004312FD" w:rsidP="00D21B55">
      <w:pPr>
        <w:spacing w:line="360" w:lineRule="auto"/>
        <w:rPr>
          <w:rFonts w:ascii="Arial" w:hAnsi="Arial" w:cs="Arial"/>
          <w:b/>
          <w:bCs/>
          <w:sz w:val="22"/>
          <w:szCs w:val="22"/>
        </w:rPr>
      </w:pPr>
      <w:proofErr w:type="spellStart"/>
      <w:r w:rsidRPr="00CE048C">
        <w:rPr>
          <w:rFonts w:ascii="Arial" w:eastAsia="Times New Roman" w:hAnsi="Arial" w:cs="Arial"/>
          <w:sz w:val="22"/>
          <w:szCs w:val="22"/>
        </w:rPr>
        <w:t>Bokolo</w:t>
      </w:r>
      <w:proofErr w:type="spellEnd"/>
      <w:r w:rsidRPr="00CE048C">
        <w:rPr>
          <w:rFonts w:ascii="Arial" w:eastAsia="Times New Roman" w:hAnsi="Arial" w:cs="Arial"/>
          <w:sz w:val="22"/>
          <w:szCs w:val="22"/>
        </w:rPr>
        <w:t xml:space="preserve">, A.J. (2021) ‘Exploring the adoption of telemedicine and virtual software for care of outpatients during and after COVID-19 pandemic’, </w:t>
      </w:r>
      <w:r w:rsidRPr="00CE048C">
        <w:rPr>
          <w:rStyle w:val="Emphasis"/>
          <w:rFonts w:ascii="Arial" w:hAnsi="Arial" w:cs="Arial"/>
          <w:sz w:val="22"/>
          <w:szCs w:val="22"/>
        </w:rPr>
        <w:t>Irish Journal of Medical Science</w:t>
      </w:r>
      <w:r w:rsidRPr="00CE048C">
        <w:rPr>
          <w:rFonts w:ascii="Arial" w:eastAsia="Times New Roman" w:hAnsi="Arial" w:cs="Arial"/>
          <w:sz w:val="22"/>
          <w:szCs w:val="22"/>
        </w:rPr>
        <w:t xml:space="preserve">, 190(1), pp. 1–10. Available at: </w:t>
      </w:r>
      <w:hyperlink r:id="rId8" w:history="1">
        <w:r w:rsidRPr="00CE048C">
          <w:rPr>
            <w:rStyle w:val="Hyperlink"/>
            <w:rFonts w:ascii="Arial" w:hAnsi="Arial" w:cs="Arial"/>
            <w:sz w:val="22"/>
            <w:szCs w:val="22"/>
          </w:rPr>
          <w:t>https://doi.org/10.1007/s11845-020-02299-z</w:t>
        </w:r>
      </w:hyperlink>
      <w:r w:rsidRPr="00CE048C">
        <w:rPr>
          <w:rFonts w:ascii="Arial" w:eastAsia="Times New Roman" w:hAnsi="Arial" w:cs="Arial"/>
          <w:sz w:val="22"/>
          <w:szCs w:val="22"/>
        </w:rPr>
        <w:t xml:space="preserve"> (Accessed: 02 July 2026).</w:t>
      </w:r>
    </w:p>
    <w:p w14:paraId="3271225A" w14:textId="77777777" w:rsidR="004312FD" w:rsidRPr="00CE048C" w:rsidRDefault="004312FD" w:rsidP="00D21B55">
      <w:pPr>
        <w:pStyle w:val="isselectedend"/>
        <w:rPr>
          <w:rFonts w:ascii="Arial" w:hAnsi="Arial" w:cs="Arial"/>
          <w:sz w:val="22"/>
          <w:szCs w:val="22"/>
        </w:rPr>
      </w:pPr>
      <w:proofErr w:type="spellStart"/>
      <w:r w:rsidRPr="00CE048C">
        <w:rPr>
          <w:rFonts w:ascii="Arial" w:hAnsi="Arial" w:cs="Arial"/>
          <w:sz w:val="22"/>
          <w:szCs w:val="22"/>
        </w:rPr>
        <w:t>Greenhalgh</w:t>
      </w:r>
      <w:proofErr w:type="spellEnd"/>
      <w:r w:rsidRPr="00CE048C">
        <w:rPr>
          <w:rFonts w:ascii="Arial" w:hAnsi="Arial" w:cs="Arial"/>
          <w:sz w:val="22"/>
          <w:szCs w:val="22"/>
        </w:rPr>
        <w:t xml:space="preserve">, T., </w:t>
      </w:r>
      <w:proofErr w:type="spellStart"/>
      <w:r w:rsidRPr="00CE048C">
        <w:rPr>
          <w:rFonts w:ascii="Arial" w:hAnsi="Arial" w:cs="Arial"/>
          <w:sz w:val="22"/>
          <w:szCs w:val="22"/>
        </w:rPr>
        <w:t>Koh</w:t>
      </w:r>
      <w:proofErr w:type="spellEnd"/>
      <w:r w:rsidRPr="00CE048C">
        <w:rPr>
          <w:rFonts w:ascii="Arial" w:hAnsi="Arial" w:cs="Arial"/>
          <w:sz w:val="22"/>
          <w:szCs w:val="22"/>
        </w:rPr>
        <w:t xml:space="preserve">, G.C.H. and Car, J. (2020) ‘Covid-19: A remote assessment in primary care’, </w:t>
      </w:r>
      <w:r w:rsidRPr="00CE048C">
        <w:rPr>
          <w:rStyle w:val="Emphasis"/>
          <w:rFonts w:ascii="Arial" w:hAnsi="Arial" w:cs="Arial"/>
          <w:sz w:val="22"/>
          <w:szCs w:val="22"/>
        </w:rPr>
        <w:t>BMJ</w:t>
      </w:r>
      <w:r w:rsidRPr="00CE048C">
        <w:rPr>
          <w:rFonts w:ascii="Arial" w:hAnsi="Arial" w:cs="Arial"/>
          <w:sz w:val="22"/>
          <w:szCs w:val="22"/>
        </w:rPr>
        <w:t xml:space="preserve">, 368, m1182. Available at: </w:t>
      </w:r>
      <w:hyperlink r:id="rId9" w:history="1">
        <w:r w:rsidRPr="00CE048C">
          <w:rPr>
            <w:rStyle w:val="Hyperlink"/>
            <w:rFonts w:ascii="Arial" w:hAnsi="Arial" w:cs="Arial"/>
            <w:sz w:val="22"/>
            <w:szCs w:val="22"/>
          </w:rPr>
          <w:t>https://www.bmj.com/content/368/bmj.m1182</w:t>
        </w:r>
      </w:hyperlink>
      <w:r w:rsidRPr="00CE048C">
        <w:rPr>
          <w:rFonts w:ascii="Arial" w:hAnsi="Arial" w:cs="Arial"/>
          <w:sz w:val="22"/>
          <w:szCs w:val="22"/>
        </w:rPr>
        <w:t xml:space="preserve"> (Accessed: 02 July 2026).</w:t>
      </w:r>
    </w:p>
    <w:p w14:paraId="393F9303" w14:textId="77777777" w:rsidR="004312FD" w:rsidRPr="00CE048C" w:rsidRDefault="004312FD" w:rsidP="00D21B55">
      <w:pPr>
        <w:pStyle w:val="isselectedend"/>
        <w:rPr>
          <w:rFonts w:ascii="Arial" w:hAnsi="Arial" w:cs="Arial"/>
          <w:sz w:val="22"/>
          <w:szCs w:val="22"/>
        </w:rPr>
      </w:pPr>
      <w:proofErr w:type="spellStart"/>
      <w:r w:rsidRPr="00CE048C">
        <w:rPr>
          <w:rFonts w:ascii="Arial" w:hAnsi="Arial" w:cs="Arial"/>
          <w:sz w:val="22"/>
          <w:szCs w:val="22"/>
        </w:rPr>
        <w:t>Healthwatch</w:t>
      </w:r>
      <w:proofErr w:type="spellEnd"/>
      <w:r w:rsidRPr="00CE048C">
        <w:rPr>
          <w:rFonts w:ascii="Arial" w:hAnsi="Arial" w:cs="Arial"/>
          <w:sz w:val="22"/>
          <w:szCs w:val="22"/>
        </w:rPr>
        <w:t xml:space="preserve"> England (2021) </w:t>
      </w:r>
      <w:r w:rsidRPr="00CE048C">
        <w:rPr>
          <w:rStyle w:val="Emphasis"/>
          <w:rFonts w:ascii="Arial" w:hAnsi="Arial" w:cs="Arial"/>
          <w:sz w:val="22"/>
          <w:szCs w:val="22"/>
        </w:rPr>
        <w:t>What people told us about remote GP appointments and what we did</w:t>
      </w:r>
      <w:r w:rsidRPr="00CE048C">
        <w:rPr>
          <w:rFonts w:ascii="Arial" w:hAnsi="Arial" w:cs="Arial"/>
          <w:sz w:val="22"/>
          <w:szCs w:val="22"/>
        </w:rPr>
        <w:t xml:space="preserve">. Available at: </w:t>
      </w:r>
      <w:hyperlink r:id="rId10" w:history="1">
        <w:r w:rsidRPr="00CE048C">
          <w:rPr>
            <w:rStyle w:val="Hyperlink"/>
            <w:rFonts w:ascii="Arial" w:hAnsi="Arial" w:cs="Arial"/>
            <w:sz w:val="22"/>
            <w:szCs w:val="22"/>
          </w:rPr>
          <w:t>https://www.healthwatch.co.uk/report/2021-03-29/what-people-told-us-about-remote-gp-appointments-and-what-we-did</w:t>
        </w:r>
      </w:hyperlink>
      <w:r w:rsidRPr="00CE048C">
        <w:rPr>
          <w:rFonts w:ascii="Arial" w:hAnsi="Arial" w:cs="Arial"/>
          <w:sz w:val="22"/>
          <w:szCs w:val="22"/>
        </w:rPr>
        <w:t xml:space="preserve"> (Accessed: 10 July 2026).</w:t>
      </w:r>
    </w:p>
    <w:p w14:paraId="56F7BC65" w14:textId="77777777" w:rsidR="004312FD" w:rsidRPr="00CE048C" w:rsidRDefault="004312FD" w:rsidP="00D21B55">
      <w:pPr>
        <w:pStyle w:val="isselectedend"/>
        <w:rPr>
          <w:rFonts w:ascii="Arial" w:hAnsi="Arial" w:cs="Arial"/>
          <w:sz w:val="22"/>
          <w:szCs w:val="22"/>
        </w:rPr>
      </w:pPr>
      <w:r w:rsidRPr="00CE048C">
        <w:rPr>
          <w:rFonts w:ascii="Arial" w:hAnsi="Arial" w:cs="Arial"/>
          <w:sz w:val="22"/>
          <w:szCs w:val="22"/>
        </w:rPr>
        <w:lastRenderedPageBreak/>
        <w:t xml:space="preserve">Murphy, M., Scott, L.J., Salisbury, C., Turner, A., Scott, A., Denholm, R., Lewis, R., </w:t>
      </w:r>
      <w:proofErr w:type="spellStart"/>
      <w:r w:rsidRPr="00CE048C">
        <w:rPr>
          <w:rFonts w:ascii="Arial" w:hAnsi="Arial" w:cs="Arial"/>
          <w:sz w:val="22"/>
          <w:szCs w:val="22"/>
        </w:rPr>
        <w:t>Iyer</w:t>
      </w:r>
      <w:proofErr w:type="spellEnd"/>
      <w:r w:rsidRPr="00CE048C">
        <w:rPr>
          <w:rFonts w:ascii="Arial" w:hAnsi="Arial" w:cs="Arial"/>
          <w:sz w:val="22"/>
          <w:szCs w:val="22"/>
        </w:rPr>
        <w:t xml:space="preserve">, G., Macleod, J. and </w:t>
      </w:r>
      <w:proofErr w:type="spellStart"/>
      <w:r w:rsidRPr="00CE048C">
        <w:rPr>
          <w:rFonts w:ascii="Arial" w:hAnsi="Arial" w:cs="Arial"/>
          <w:sz w:val="22"/>
          <w:szCs w:val="22"/>
        </w:rPr>
        <w:t>Horwood</w:t>
      </w:r>
      <w:proofErr w:type="spellEnd"/>
      <w:r w:rsidRPr="00CE048C">
        <w:rPr>
          <w:rFonts w:ascii="Arial" w:hAnsi="Arial" w:cs="Arial"/>
          <w:sz w:val="22"/>
          <w:szCs w:val="22"/>
        </w:rPr>
        <w:t xml:space="preserve">, J. (2021) ‘Implementation of remote consulting in UK primary care following the COVID-19 pandemic: a mixed-methods longitudinal study’, </w:t>
      </w:r>
      <w:r w:rsidRPr="00CE048C">
        <w:rPr>
          <w:rStyle w:val="Emphasis"/>
          <w:rFonts w:ascii="Arial" w:hAnsi="Arial" w:cs="Arial"/>
          <w:sz w:val="22"/>
          <w:szCs w:val="22"/>
        </w:rPr>
        <w:t>British Journal of General Practice</w:t>
      </w:r>
      <w:r w:rsidRPr="00CE048C">
        <w:rPr>
          <w:rFonts w:ascii="Arial" w:hAnsi="Arial" w:cs="Arial"/>
          <w:sz w:val="22"/>
          <w:szCs w:val="22"/>
        </w:rPr>
        <w:t xml:space="preserve">, 71(704), pp. e166–e177. Available at: </w:t>
      </w:r>
      <w:hyperlink r:id="rId11" w:history="1">
        <w:r w:rsidRPr="00CE048C">
          <w:rPr>
            <w:rStyle w:val="Hyperlink"/>
            <w:rFonts w:ascii="Arial" w:hAnsi="Arial" w:cs="Arial"/>
            <w:sz w:val="22"/>
            <w:szCs w:val="22"/>
          </w:rPr>
          <w:t>https://bjgp.org/content/71/704/e166</w:t>
        </w:r>
      </w:hyperlink>
      <w:r w:rsidRPr="00CE048C">
        <w:rPr>
          <w:rFonts w:ascii="Arial" w:hAnsi="Arial" w:cs="Arial"/>
          <w:sz w:val="22"/>
          <w:szCs w:val="22"/>
        </w:rPr>
        <w:t xml:space="preserve"> (Accessed: 10 July 2026).</w:t>
      </w:r>
    </w:p>
    <w:p w14:paraId="79035484" w14:textId="77777777" w:rsidR="004312FD" w:rsidRPr="00CE048C" w:rsidRDefault="004312FD" w:rsidP="00D21B55">
      <w:pPr>
        <w:pStyle w:val="isselectedend"/>
        <w:rPr>
          <w:rFonts w:ascii="Arial" w:hAnsi="Arial" w:cs="Arial"/>
          <w:sz w:val="22"/>
          <w:szCs w:val="22"/>
        </w:rPr>
      </w:pPr>
      <w:r w:rsidRPr="00CE048C">
        <w:rPr>
          <w:rFonts w:ascii="Arial" w:hAnsi="Arial" w:cs="Arial"/>
          <w:sz w:val="22"/>
          <w:szCs w:val="22"/>
        </w:rPr>
        <w:t xml:space="preserve">National Institute for Health and Care Excellence (NICE) (2021) </w:t>
      </w:r>
      <w:r w:rsidRPr="00CE048C">
        <w:rPr>
          <w:rStyle w:val="Emphasis"/>
          <w:rFonts w:ascii="Arial" w:hAnsi="Arial" w:cs="Arial"/>
          <w:sz w:val="22"/>
          <w:szCs w:val="22"/>
        </w:rPr>
        <w:t>Shared decision making (NG197).</w:t>
      </w:r>
      <w:r w:rsidRPr="00CE048C">
        <w:rPr>
          <w:rFonts w:ascii="Arial" w:hAnsi="Arial" w:cs="Arial"/>
          <w:sz w:val="22"/>
          <w:szCs w:val="22"/>
        </w:rPr>
        <w:t xml:space="preserve"> Available at: </w:t>
      </w:r>
      <w:hyperlink r:id="rId12" w:history="1">
        <w:r w:rsidRPr="00CE048C">
          <w:rPr>
            <w:rStyle w:val="Hyperlink"/>
            <w:rFonts w:ascii="Arial" w:hAnsi="Arial" w:cs="Arial"/>
            <w:sz w:val="22"/>
            <w:szCs w:val="22"/>
          </w:rPr>
          <w:t>https://www.nice.org.uk/guidance/ng197</w:t>
        </w:r>
      </w:hyperlink>
      <w:r w:rsidRPr="00CE048C">
        <w:rPr>
          <w:rFonts w:ascii="Arial" w:hAnsi="Arial" w:cs="Arial"/>
          <w:sz w:val="22"/>
          <w:szCs w:val="22"/>
        </w:rPr>
        <w:t xml:space="preserve"> (Accessed: 18 July 2026).</w:t>
      </w:r>
    </w:p>
    <w:p w14:paraId="0FCE4664" w14:textId="77777777" w:rsidR="004312FD" w:rsidRPr="00CE048C" w:rsidRDefault="004312FD" w:rsidP="00D21B55">
      <w:pPr>
        <w:pStyle w:val="NormalWeb"/>
        <w:rPr>
          <w:rFonts w:ascii="Arial" w:hAnsi="Arial" w:cs="Arial"/>
          <w:sz w:val="22"/>
          <w:szCs w:val="22"/>
        </w:rPr>
      </w:pPr>
      <w:r w:rsidRPr="00CE048C">
        <w:rPr>
          <w:rFonts w:ascii="Arial" w:hAnsi="Arial" w:cs="Arial"/>
          <w:sz w:val="22"/>
          <w:szCs w:val="22"/>
        </w:rPr>
        <w:t xml:space="preserve">NHS England (2019) </w:t>
      </w:r>
      <w:r w:rsidRPr="00CE048C">
        <w:rPr>
          <w:rStyle w:val="Emphasis"/>
          <w:rFonts w:ascii="Arial" w:hAnsi="Arial" w:cs="Arial"/>
          <w:sz w:val="22"/>
          <w:szCs w:val="22"/>
        </w:rPr>
        <w:t>The NHS Long Term Plan</w:t>
      </w:r>
      <w:r w:rsidRPr="00CE048C">
        <w:rPr>
          <w:rFonts w:ascii="Arial" w:hAnsi="Arial" w:cs="Arial"/>
          <w:sz w:val="22"/>
          <w:szCs w:val="22"/>
        </w:rPr>
        <w:t xml:space="preserve">. Available at: </w:t>
      </w:r>
      <w:hyperlink r:id="rId13" w:history="1">
        <w:r w:rsidRPr="00CE048C">
          <w:rPr>
            <w:rStyle w:val="Hyperlink"/>
            <w:rFonts w:ascii="Arial" w:hAnsi="Arial" w:cs="Arial"/>
            <w:sz w:val="22"/>
            <w:szCs w:val="22"/>
          </w:rPr>
          <w:t>https://www.longtermplan.nhs.uk/</w:t>
        </w:r>
      </w:hyperlink>
      <w:r w:rsidRPr="00CE048C">
        <w:rPr>
          <w:rFonts w:ascii="Arial" w:hAnsi="Arial" w:cs="Arial"/>
          <w:sz w:val="22"/>
          <w:szCs w:val="22"/>
        </w:rPr>
        <w:t xml:space="preserve"> (Accessed: 12 July 2026).</w:t>
      </w:r>
    </w:p>
    <w:p w14:paraId="776F164F" w14:textId="77777777" w:rsidR="004312FD" w:rsidRPr="00CE048C" w:rsidRDefault="004312FD" w:rsidP="00D21B55">
      <w:pPr>
        <w:pStyle w:val="isselectedend"/>
        <w:rPr>
          <w:rFonts w:ascii="Arial" w:hAnsi="Arial" w:cs="Arial"/>
          <w:sz w:val="22"/>
          <w:szCs w:val="22"/>
        </w:rPr>
      </w:pPr>
      <w:r w:rsidRPr="00CE048C">
        <w:rPr>
          <w:rFonts w:ascii="Arial" w:hAnsi="Arial" w:cs="Arial"/>
          <w:sz w:val="22"/>
          <w:szCs w:val="22"/>
        </w:rPr>
        <w:t xml:space="preserve">NHS England (2023) </w:t>
      </w:r>
      <w:r w:rsidRPr="00CE048C">
        <w:rPr>
          <w:rStyle w:val="Emphasis"/>
          <w:rFonts w:ascii="Arial" w:hAnsi="Arial" w:cs="Arial"/>
          <w:sz w:val="22"/>
          <w:szCs w:val="22"/>
        </w:rPr>
        <w:t>Transforming outpatient services through digital technology</w:t>
      </w:r>
      <w:r w:rsidRPr="00CE048C">
        <w:rPr>
          <w:rFonts w:ascii="Arial" w:hAnsi="Arial" w:cs="Arial"/>
          <w:sz w:val="22"/>
          <w:szCs w:val="22"/>
        </w:rPr>
        <w:t xml:space="preserve">. Available at: </w:t>
      </w:r>
      <w:hyperlink r:id="rId14" w:history="1">
        <w:r w:rsidRPr="00CE048C">
          <w:rPr>
            <w:rStyle w:val="Hyperlink"/>
            <w:rFonts w:ascii="Arial" w:hAnsi="Arial" w:cs="Arial"/>
            <w:sz w:val="22"/>
            <w:szCs w:val="22"/>
          </w:rPr>
          <w:t>https://www.england.nhs.uk/long-read/transforming-outpatient-services/</w:t>
        </w:r>
      </w:hyperlink>
      <w:r w:rsidRPr="00CE048C">
        <w:rPr>
          <w:rFonts w:ascii="Arial" w:hAnsi="Arial" w:cs="Arial"/>
          <w:sz w:val="22"/>
          <w:szCs w:val="22"/>
        </w:rPr>
        <w:t xml:space="preserve"> (Accessed: 12 July 2026).</w:t>
      </w:r>
    </w:p>
    <w:p w14:paraId="7BB7C670" w14:textId="77777777" w:rsidR="004312FD" w:rsidRPr="00CE048C" w:rsidRDefault="004312FD" w:rsidP="00D21B55">
      <w:pPr>
        <w:pStyle w:val="isselectedend"/>
        <w:rPr>
          <w:rFonts w:ascii="Arial" w:hAnsi="Arial" w:cs="Arial"/>
          <w:sz w:val="22"/>
          <w:szCs w:val="22"/>
        </w:rPr>
      </w:pPr>
      <w:r w:rsidRPr="00CE048C">
        <w:rPr>
          <w:rFonts w:ascii="Arial" w:hAnsi="Arial" w:cs="Arial"/>
          <w:sz w:val="22"/>
          <w:szCs w:val="22"/>
        </w:rPr>
        <w:t xml:space="preserve">Royal College of General Practitioners (2023) </w:t>
      </w:r>
      <w:r w:rsidRPr="00CE048C">
        <w:rPr>
          <w:rStyle w:val="Emphasis"/>
          <w:rFonts w:ascii="Arial" w:hAnsi="Arial" w:cs="Arial"/>
          <w:sz w:val="22"/>
          <w:szCs w:val="22"/>
        </w:rPr>
        <w:t>The future of remote consultations in general practice</w:t>
      </w:r>
      <w:r w:rsidRPr="00CE048C">
        <w:rPr>
          <w:rFonts w:ascii="Arial" w:hAnsi="Arial" w:cs="Arial"/>
          <w:sz w:val="22"/>
          <w:szCs w:val="22"/>
        </w:rPr>
        <w:t xml:space="preserve">. Available at: </w:t>
      </w:r>
      <w:hyperlink r:id="rId15" w:history="1">
        <w:r w:rsidRPr="00CE048C">
          <w:rPr>
            <w:rStyle w:val="Hyperlink"/>
            <w:rFonts w:ascii="Arial" w:hAnsi="Arial" w:cs="Arial"/>
            <w:sz w:val="22"/>
            <w:szCs w:val="22"/>
          </w:rPr>
          <w:t>https://www.rcgp.org.uk/</w:t>
        </w:r>
      </w:hyperlink>
      <w:r w:rsidRPr="00CE048C">
        <w:rPr>
          <w:rFonts w:ascii="Arial" w:hAnsi="Arial" w:cs="Arial"/>
          <w:sz w:val="22"/>
          <w:szCs w:val="22"/>
        </w:rPr>
        <w:t xml:space="preserve"> (Accessed: 12 July 2026).</w:t>
      </w:r>
    </w:p>
    <w:p w14:paraId="5444ACB3" w14:textId="77777777" w:rsidR="004312FD" w:rsidRPr="00CE048C" w:rsidRDefault="004312FD" w:rsidP="00D21B55">
      <w:pPr>
        <w:pStyle w:val="isselectedend"/>
        <w:rPr>
          <w:rFonts w:ascii="Arial" w:hAnsi="Arial" w:cs="Arial"/>
          <w:sz w:val="22"/>
          <w:szCs w:val="22"/>
        </w:rPr>
      </w:pPr>
      <w:r w:rsidRPr="00CE048C">
        <w:rPr>
          <w:rFonts w:ascii="Arial" w:hAnsi="Arial" w:cs="Arial"/>
          <w:sz w:val="22"/>
          <w:szCs w:val="22"/>
        </w:rPr>
        <w:t xml:space="preserve">Shaw, S., Hughes, G., </w:t>
      </w:r>
      <w:proofErr w:type="spellStart"/>
      <w:r w:rsidRPr="00CE048C">
        <w:rPr>
          <w:rFonts w:ascii="Arial" w:hAnsi="Arial" w:cs="Arial"/>
          <w:sz w:val="22"/>
          <w:szCs w:val="22"/>
        </w:rPr>
        <w:t>Wherton</w:t>
      </w:r>
      <w:proofErr w:type="spellEnd"/>
      <w:r w:rsidRPr="00CE048C">
        <w:rPr>
          <w:rFonts w:ascii="Arial" w:hAnsi="Arial" w:cs="Arial"/>
          <w:sz w:val="22"/>
          <w:szCs w:val="22"/>
        </w:rPr>
        <w:t xml:space="preserve">, J., Moore, L., Rosen, R. and </w:t>
      </w:r>
      <w:proofErr w:type="spellStart"/>
      <w:r w:rsidRPr="00CE048C">
        <w:rPr>
          <w:rFonts w:ascii="Arial" w:hAnsi="Arial" w:cs="Arial"/>
          <w:sz w:val="22"/>
          <w:szCs w:val="22"/>
        </w:rPr>
        <w:t>Greenhalgh</w:t>
      </w:r>
      <w:proofErr w:type="spellEnd"/>
      <w:r w:rsidRPr="00CE048C">
        <w:rPr>
          <w:rFonts w:ascii="Arial" w:hAnsi="Arial" w:cs="Arial"/>
          <w:sz w:val="22"/>
          <w:szCs w:val="22"/>
        </w:rPr>
        <w:t xml:space="preserve">, T. (2023) ‘Achieving spread, scale and sustainability of video consulting services in health care: A mixed-methods study’, </w:t>
      </w:r>
      <w:r w:rsidRPr="00CE048C">
        <w:rPr>
          <w:rStyle w:val="Emphasis"/>
          <w:rFonts w:ascii="Arial" w:hAnsi="Arial" w:cs="Arial"/>
          <w:sz w:val="22"/>
          <w:szCs w:val="22"/>
        </w:rPr>
        <w:t>Journal of Medical Internet Research</w:t>
      </w:r>
      <w:r w:rsidRPr="00CE048C">
        <w:rPr>
          <w:rFonts w:ascii="Arial" w:hAnsi="Arial" w:cs="Arial"/>
          <w:sz w:val="22"/>
          <w:szCs w:val="22"/>
        </w:rPr>
        <w:t xml:space="preserve">, 25, e42421. Available at: </w:t>
      </w:r>
      <w:hyperlink r:id="rId16" w:history="1">
        <w:r w:rsidRPr="00CE048C">
          <w:rPr>
            <w:rStyle w:val="Hyperlink"/>
            <w:rFonts w:ascii="Arial" w:hAnsi="Arial" w:cs="Arial"/>
            <w:sz w:val="22"/>
            <w:szCs w:val="22"/>
          </w:rPr>
          <w:t>https://doi.org/10.2196/42421</w:t>
        </w:r>
      </w:hyperlink>
      <w:r w:rsidRPr="00CE048C">
        <w:rPr>
          <w:rFonts w:ascii="Arial" w:hAnsi="Arial" w:cs="Arial"/>
          <w:sz w:val="22"/>
          <w:szCs w:val="22"/>
        </w:rPr>
        <w:t xml:space="preserve"> (Accessed: 18 July 2026).</w:t>
      </w:r>
    </w:p>
    <w:p w14:paraId="69A22C29" w14:textId="77777777" w:rsidR="004312FD" w:rsidRPr="00CE048C" w:rsidRDefault="004312FD" w:rsidP="00D21B55">
      <w:pPr>
        <w:pStyle w:val="isselectedend"/>
        <w:rPr>
          <w:rFonts w:ascii="Arial" w:hAnsi="Arial" w:cs="Arial"/>
          <w:sz w:val="22"/>
          <w:szCs w:val="22"/>
        </w:rPr>
      </w:pPr>
      <w:r w:rsidRPr="00CE048C">
        <w:rPr>
          <w:rFonts w:ascii="Arial" w:hAnsi="Arial" w:cs="Arial"/>
          <w:sz w:val="22"/>
          <w:szCs w:val="22"/>
        </w:rPr>
        <w:t xml:space="preserve">World Health Organization (2021) </w:t>
      </w:r>
      <w:r w:rsidRPr="00CE048C">
        <w:rPr>
          <w:rStyle w:val="Emphasis"/>
          <w:rFonts w:ascii="Arial" w:hAnsi="Arial" w:cs="Arial"/>
          <w:sz w:val="22"/>
          <w:szCs w:val="22"/>
        </w:rPr>
        <w:t>Global strategy on digital health 2020–2025</w:t>
      </w:r>
      <w:r w:rsidRPr="00CE048C">
        <w:rPr>
          <w:rFonts w:ascii="Arial" w:hAnsi="Arial" w:cs="Arial"/>
          <w:sz w:val="22"/>
          <w:szCs w:val="22"/>
        </w:rPr>
        <w:t xml:space="preserve">. Geneva: World Health Organization. Available at: </w:t>
      </w:r>
      <w:hyperlink r:id="rId17" w:history="1">
        <w:r w:rsidRPr="00CE048C">
          <w:rPr>
            <w:rStyle w:val="Hyperlink"/>
            <w:rFonts w:ascii="Arial" w:hAnsi="Arial" w:cs="Arial"/>
            <w:sz w:val="22"/>
            <w:szCs w:val="22"/>
          </w:rPr>
          <w:t>https://www.who.int/publications/i/item/9789240020924</w:t>
        </w:r>
      </w:hyperlink>
      <w:r w:rsidRPr="00CE048C">
        <w:rPr>
          <w:rFonts w:ascii="Arial" w:hAnsi="Arial" w:cs="Arial"/>
          <w:sz w:val="22"/>
          <w:szCs w:val="22"/>
        </w:rPr>
        <w:t xml:space="preserve"> (Accessed: 18 July 2026).</w:t>
      </w:r>
    </w:p>
    <w:p w14:paraId="0D8518A2" w14:textId="77777777" w:rsidR="004312FD" w:rsidRPr="00CE048C" w:rsidRDefault="004312FD" w:rsidP="00D21B55">
      <w:pPr>
        <w:pStyle w:val="NormalWeb"/>
        <w:rPr>
          <w:rFonts w:ascii="Arial" w:hAnsi="Arial" w:cs="Arial"/>
          <w:sz w:val="22"/>
          <w:szCs w:val="22"/>
        </w:rPr>
      </w:pPr>
      <w:r w:rsidRPr="00CE048C">
        <w:rPr>
          <w:rFonts w:ascii="Arial" w:hAnsi="Arial" w:cs="Arial"/>
          <w:sz w:val="22"/>
          <w:szCs w:val="22"/>
        </w:rPr>
        <w:t xml:space="preserve">Zhou, X., </w:t>
      </w:r>
      <w:proofErr w:type="spellStart"/>
      <w:r w:rsidRPr="00CE048C">
        <w:rPr>
          <w:rFonts w:ascii="Arial" w:hAnsi="Arial" w:cs="Arial"/>
          <w:sz w:val="22"/>
          <w:szCs w:val="22"/>
        </w:rPr>
        <w:t>Snoswell</w:t>
      </w:r>
      <w:proofErr w:type="spellEnd"/>
      <w:r w:rsidRPr="00CE048C">
        <w:rPr>
          <w:rFonts w:ascii="Arial" w:hAnsi="Arial" w:cs="Arial"/>
          <w:sz w:val="22"/>
          <w:szCs w:val="22"/>
        </w:rPr>
        <w:t xml:space="preserve">, C.L., Harding, L.E., </w:t>
      </w:r>
      <w:proofErr w:type="spellStart"/>
      <w:r w:rsidRPr="00CE048C">
        <w:rPr>
          <w:rFonts w:ascii="Arial" w:hAnsi="Arial" w:cs="Arial"/>
          <w:sz w:val="22"/>
          <w:szCs w:val="22"/>
        </w:rPr>
        <w:t>Bambling</w:t>
      </w:r>
      <w:proofErr w:type="spellEnd"/>
      <w:r w:rsidRPr="00CE048C">
        <w:rPr>
          <w:rFonts w:ascii="Arial" w:hAnsi="Arial" w:cs="Arial"/>
          <w:sz w:val="22"/>
          <w:szCs w:val="22"/>
        </w:rPr>
        <w:t xml:space="preserve">, M., </w:t>
      </w:r>
      <w:proofErr w:type="spellStart"/>
      <w:r w:rsidRPr="00CE048C">
        <w:rPr>
          <w:rFonts w:ascii="Arial" w:hAnsi="Arial" w:cs="Arial"/>
          <w:sz w:val="22"/>
          <w:szCs w:val="22"/>
        </w:rPr>
        <w:t>Edirippulige</w:t>
      </w:r>
      <w:proofErr w:type="spellEnd"/>
      <w:r w:rsidRPr="00CE048C">
        <w:rPr>
          <w:rFonts w:ascii="Arial" w:hAnsi="Arial" w:cs="Arial"/>
          <w:sz w:val="22"/>
          <w:szCs w:val="22"/>
        </w:rPr>
        <w:t xml:space="preserve">, S., Bai, X. and Smith, A.C. (2022) ‘The role of telehealth in reducing the mental health burden from COVID-19’, </w:t>
      </w:r>
      <w:r w:rsidRPr="00CE048C">
        <w:rPr>
          <w:rStyle w:val="Emphasis"/>
          <w:rFonts w:ascii="Arial" w:hAnsi="Arial" w:cs="Arial"/>
          <w:sz w:val="22"/>
          <w:szCs w:val="22"/>
        </w:rPr>
        <w:t>Telemedicine and e-Health</w:t>
      </w:r>
      <w:r w:rsidRPr="00CE048C">
        <w:rPr>
          <w:rFonts w:ascii="Arial" w:hAnsi="Arial" w:cs="Arial"/>
          <w:sz w:val="22"/>
          <w:szCs w:val="22"/>
        </w:rPr>
        <w:t xml:space="preserve">, 28(3), pp. 377–384. Available at: </w:t>
      </w:r>
      <w:hyperlink r:id="rId18" w:history="1">
        <w:r w:rsidRPr="00CE048C">
          <w:rPr>
            <w:rStyle w:val="Hyperlink"/>
            <w:rFonts w:ascii="Arial" w:hAnsi="Arial" w:cs="Arial"/>
            <w:sz w:val="22"/>
            <w:szCs w:val="22"/>
          </w:rPr>
          <w:t>https://doi.org/10.1089/tmj.2021.0004</w:t>
        </w:r>
      </w:hyperlink>
      <w:r w:rsidRPr="00CE048C">
        <w:rPr>
          <w:rFonts w:ascii="Arial" w:hAnsi="Arial" w:cs="Arial"/>
          <w:sz w:val="22"/>
          <w:szCs w:val="22"/>
        </w:rPr>
        <w:t xml:space="preserve"> (Accessed: 18 July 2026).</w:t>
      </w:r>
    </w:p>
    <w:p w14:paraId="460EBC5E" w14:textId="77777777" w:rsidR="004312FD" w:rsidRPr="00CE048C" w:rsidRDefault="004312FD" w:rsidP="00D21B55">
      <w:pPr>
        <w:pStyle w:val="NormalWeb"/>
        <w:rPr>
          <w:rFonts w:ascii="Arial" w:hAnsi="Arial" w:cs="Arial"/>
          <w:sz w:val="22"/>
          <w:szCs w:val="22"/>
        </w:rPr>
      </w:pPr>
    </w:p>
    <w:p w14:paraId="3E5D40DC" w14:textId="77777777" w:rsidR="004312FD" w:rsidRPr="00CE048C" w:rsidRDefault="004312FD" w:rsidP="00D21B55">
      <w:pPr>
        <w:pStyle w:val="NormalWeb"/>
        <w:rPr>
          <w:rFonts w:ascii="Arial" w:hAnsi="Arial" w:cs="Arial"/>
          <w:sz w:val="22"/>
          <w:szCs w:val="22"/>
        </w:rPr>
      </w:pPr>
    </w:p>
    <w:p w14:paraId="1A8E022E" w14:textId="77777777" w:rsidR="004312FD" w:rsidRPr="00CE048C" w:rsidRDefault="004312FD" w:rsidP="00D21B55">
      <w:pPr>
        <w:pStyle w:val="NormalWeb"/>
        <w:rPr>
          <w:rFonts w:ascii="Arial" w:hAnsi="Arial" w:cs="Arial"/>
          <w:sz w:val="22"/>
          <w:szCs w:val="22"/>
        </w:rPr>
      </w:pPr>
    </w:p>
    <w:p w14:paraId="6056E168" w14:textId="77777777" w:rsidR="007F050F" w:rsidRDefault="007F050F" w:rsidP="00D21B55">
      <w:pPr>
        <w:pStyle w:val="NormalWeb"/>
        <w:spacing w:line="360" w:lineRule="auto"/>
        <w:rPr>
          <w:rFonts w:ascii="Arial" w:hAnsi="Arial" w:cs="Arial"/>
          <w:sz w:val="22"/>
          <w:szCs w:val="22"/>
        </w:rPr>
      </w:pPr>
    </w:p>
    <w:p w14:paraId="546EDF9F" w14:textId="77777777" w:rsidR="007F050F" w:rsidRPr="00C1718A" w:rsidRDefault="007F050F" w:rsidP="00D21B55">
      <w:pPr>
        <w:pStyle w:val="NormalWeb"/>
        <w:spacing w:line="360" w:lineRule="auto"/>
        <w:rPr>
          <w:rFonts w:ascii="Arial" w:hAnsi="Arial" w:cs="Arial"/>
          <w:sz w:val="22"/>
          <w:szCs w:val="22"/>
        </w:rPr>
      </w:pPr>
    </w:p>
    <w:p w14:paraId="2132BE8B" w14:textId="77777777" w:rsidR="00A96DAB" w:rsidRDefault="00A96DAB" w:rsidP="00D21B55">
      <w:pPr>
        <w:spacing w:line="360" w:lineRule="auto"/>
        <w:rPr>
          <w:rFonts w:ascii="Arial" w:hAnsi="Arial" w:cs="Arial"/>
          <w:color w:val="000000" w:themeColor="text1"/>
          <w:sz w:val="22"/>
          <w:szCs w:val="22"/>
        </w:rPr>
      </w:pPr>
    </w:p>
    <w:p w14:paraId="1DCABF7E" w14:textId="77777777" w:rsidR="000E0677" w:rsidRDefault="000E0677" w:rsidP="00D21B55">
      <w:pPr>
        <w:spacing w:line="360" w:lineRule="auto"/>
        <w:rPr>
          <w:rFonts w:ascii="Arial" w:hAnsi="Arial" w:cs="Arial"/>
          <w:color w:val="000000" w:themeColor="text1"/>
          <w:sz w:val="22"/>
          <w:szCs w:val="22"/>
        </w:rPr>
      </w:pPr>
    </w:p>
    <w:p w14:paraId="0F560D80" w14:textId="77777777" w:rsidR="003315ED" w:rsidRDefault="003315ED" w:rsidP="00D21B55">
      <w:pPr>
        <w:spacing w:line="360" w:lineRule="auto"/>
        <w:rPr>
          <w:rFonts w:ascii="Arial" w:hAnsi="Arial" w:cs="Arial"/>
          <w:color w:val="000000" w:themeColor="text1"/>
          <w:sz w:val="22"/>
          <w:szCs w:val="22"/>
        </w:rPr>
      </w:pPr>
    </w:p>
    <w:p w14:paraId="140DF652" w14:textId="77777777" w:rsidR="009D6579" w:rsidRDefault="009D6579" w:rsidP="00D21B55">
      <w:pPr>
        <w:spacing w:line="360" w:lineRule="auto"/>
        <w:rPr>
          <w:rFonts w:ascii="Arial" w:hAnsi="Arial" w:cs="Arial"/>
          <w:color w:val="000000" w:themeColor="text1"/>
          <w:sz w:val="22"/>
          <w:szCs w:val="22"/>
        </w:rPr>
      </w:pPr>
    </w:p>
    <w:p w14:paraId="3DA1FAD8" w14:textId="77777777" w:rsidR="00722436" w:rsidRPr="00E422D0" w:rsidRDefault="00722436" w:rsidP="00D21B55">
      <w:pPr>
        <w:spacing w:line="360" w:lineRule="auto"/>
        <w:rPr>
          <w:rFonts w:ascii="Arial" w:hAnsi="Arial" w:cs="Arial"/>
          <w:color w:val="000000" w:themeColor="text1"/>
          <w:sz w:val="22"/>
          <w:szCs w:val="22"/>
        </w:rPr>
      </w:pPr>
    </w:p>
    <w:p w14:paraId="46302AD1" w14:textId="77777777" w:rsidR="00551C24" w:rsidRPr="008375B5" w:rsidRDefault="00551C24" w:rsidP="00D21B55">
      <w:pPr>
        <w:spacing w:line="360" w:lineRule="auto"/>
        <w:rPr>
          <w:rFonts w:ascii="Arial" w:hAnsi="Arial" w:cs="Arial"/>
          <w:i/>
          <w:iCs/>
          <w:color w:val="0070C0"/>
          <w:sz w:val="22"/>
          <w:szCs w:val="22"/>
        </w:rPr>
      </w:pPr>
    </w:p>
    <w:p w14:paraId="27C6BB31" w14:textId="77777777" w:rsidR="00D260E3" w:rsidRDefault="00D260E3">
      <w:pPr>
        <w:rPr>
          <w:rFonts w:ascii="Arial" w:hAnsi="Arial" w:cs="Arial"/>
        </w:rPr>
      </w:pPr>
    </w:p>
    <w:p w14:paraId="6729D8A6" w14:textId="77777777" w:rsidR="00D260E3" w:rsidRDefault="00D260E3">
      <w:pPr>
        <w:rPr>
          <w:rFonts w:ascii="Arial" w:hAnsi="Arial" w:cs="Arial"/>
        </w:rPr>
      </w:pPr>
    </w:p>
    <w:p w14:paraId="1E4B0064" w14:textId="77777777" w:rsidR="00D260E3" w:rsidRPr="001F5F3E" w:rsidRDefault="00D260E3">
      <w:pPr>
        <w:rPr>
          <w:rFonts w:ascii="Arial" w:hAnsi="Arial" w:cs="Arial"/>
        </w:rPr>
      </w:pPr>
    </w:p>
    <w:sectPr w:rsidR="00D260E3" w:rsidRPr="001F5F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D448C" w14:textId="77777777" w:rsidR="00495B23" w:rsidRDefault="00495B23" w:rsidP="00952F10">
      <w:pPr>
        <w:spacing w:after="0" w:line="240" w:lineRule="auto"/>
      </w:pPr>
      <w:r>
        <w:separator/>
      </w:r>
    </w:p>
  </w:endnote>
  <w:endnote w:type="continuationSeparator" w:id="0">
    <w:p w14:paraId="486CDE16" w14:textId="77777777" w:rsidR="00495B23" w:rsidRDefault="00495B23" w:rsidP="00952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2A5CB" w14:textId="77777777" w:rsidR="00495B23" w:rsidRDefault="00495B23" w:rsidP="00952F10">
      <w:pPr>
        <w:spacing w:after="0" w:line="240" w:lineRule="auto"/>
      </w:pPr>
      <w:r>
        <w:separator/>
      </w:r>
    </w:p>
  </w:footnote>
  <w:footnote w:type="continuationSeparator" w:id="0">
    <w:p w14:paraId="49717813" w14:textId="77777777" w:rsidR="00495B23" w:rsidRDefault="00495B23" w:rsidP="00952F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F3E"/>
    <w:rsid w:val="000E0677"/>
    <w:rsid w:val="001226E7"/>
    <w:rsid w:val="001F5F3E"/>
    <w:rsid w:val="003315ED"/>
    <w:rsid w:val="004312FD"/>
    <w:rsid w:val="00463EB9"/>
    <w:rsid w:val="00495B23"/>
    <w:rsid w:val="004C7619"/>
    <w:rsid w:val="00516C5C"/>
    <w:rsid w:val="00551C24"/>
    <w:rsid w:val="005A039F"/>
    <w:rsid w:val="00636DF8"/>
    <w:rsid w:val="00722436"/>
    <w:rsid w:val="007F050F"/>
    <w:rsid w:val="00863C9F"/>
    <w:rsid w:val="00952F10"/>
    <w:rsid w:val="009D6579"/>
    <w:rsid w:val="00A96DAB"/>
    <w:rsid w:val="00AC083E"/>
    <w:rsid w:val="00B93608"/>
    <w:rsid w:val="00C32FEB"/>
    <w:rsid w:val="00D10913"/>
    <w:rsid w:val="00D260E3"/>
    <w:rsid w:val="00D433F7"/>
    <w:rsid w:val="00F350FF"/>
    <w:rsid w:val="00F407B0"/>
    <w:rsid w:val="00FA1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C071E2"/>
  <w15:chartTrackingRefBased/>
  <w15:docId w15:val="{6A22A0B9-F838-D646-BE4D-4A48F2D06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F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F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F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F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F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F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F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F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F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F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F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F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F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F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F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F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F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F3E"/>
    <w:rPr>
      <w:rFonts w:eastAsiaTheme="majorEastAsia" w:cstheme="majorBidi"/>
      <w:color w:val="272727" w:themeColor="text1" w:themeTint="D8"/>
    </w:rPr>
  </w:style>
  <w:style w:type="paragraph" w:styleId="Title">
    <w:name w:val="Title"/>
    <w:basedOn w:val="Normal"/>
    <w:next w:val="Normal"/>
    <w:link w:val="TitleChar"/>
    <w:uiPriority w:val="10"/>
    <w:qFormat/>
    <w:rsid w:val="001F5F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F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F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F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F3E"/>
    <w:pPr>
      <w:spacing w:before="160"/>
      <w:jc w:val="center"/>
    </w:pPr>
    <w:rPr>
      <w:i/>
      <w:iCs/>
      <w:color w:val="404040" w:themeColor="text1" w:themeTint="BF"/>
    </w:rPr>
  </w:style>
  <w:style w:type="character" w:customStyle="1" w:styleId="QuoteChar">
    <w:name w:val="Quote Char"/>
    <w:basedOn w:val="DefaultParagraphFont"/>
    <w:link w:val="Quote"/>
    <w:uiPriority w:val="29"/>
    <w:rsid w:val="001F5F3E"/>
    <w:rPr>
      <w:i/>
      <w:iCs/>
      <w:color w:val="404040" w:themeColor="text1" w:themeTint="BF"/>
    </w:rPr>
  </w:style>
  <w:style w:type="paragraph" w:styleId="ListParagraph">
    <w:name w:val="List Paragraph"/>
    <w:basedOn w:val="Normal"/>
    <w:uiPriority w:val="34"/>
    <w:qFormat/>
    <w:rsid w:val="001F5F3E"/>
    <w:pPr>
      <w:ind w:left="720"/>
      <w:contextualSpacing/>
    </w:pPr>
  </w:style>
  <w:style w:type="character" w:styleId="IntenseEmphasis">
    <w:name w:val="Intense Emphasis"/>
    <w:basedOn w:val="DefaultParagraphFont"/>
    <w:uiPriority w:val="21"/>
    <w:qFormat/>
    <w:rsid w:val="001F5F3E"/>
    <w:rPr>
      <w:i/>
      <w:iCs/>
      <w:color w:val="0F4761" w:themeColor="accent1" w:themeShade="BF"/>
    </w:rPr>
  </w:style>
  <w:style w:type="paragraph" w:styleId="IntenseQuote">
    <w:name w:val="Intense Quote"/>
    <w:basedOn w:val="Normal"/>
    <w:next w:val="Normal"/>
    <w:link w:val="IntenseQuoteChar"/>
    <w:uiPriority w:val="30"/>
    <w:qFormat/>
    <w:rsid w:val="001F5F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F3E"/>
    <w:rPr>
      <w:i/>
      <w:iCs/>
      <w:color w:val="0F4761" w:themeColor="accent1" w:themeShade="BF"/>
    </w:rPr>
  </w:style>
  <w:style w:type="character" w:styleId="IntenseReference">
    <w:name w:val="Intense Reference"/>
    <w:basedOn w:val="DefaultParagraphFont"/>
    <w:uiPriority w:val="32"/>
    <w:qFormat/>
    <w:rsid w:val="001F5F3E"/>
    <w:rPr>
      <w:b/>
      <w:bCs/>
      <w:smallCaps/>
      <w:color w:val="0F4761" w:themeColor="accent1" w:themeShade="BF"/>
      <w:spacing w:val="5"/>
    </w:rPr>
  </w:style>
  <w:style w:type="character" w:styleId="PlaceholderText">
    <w:name w:val="Placeholder Text"/>
    <w:basedOn w:val="DefaultParagraphFont"/>
    <w:uiPriority w:val="99"/>
    <w:semiHidden/>
    <w:rsid w:val="00952F10"/>
    <w:rPr>
      <w:color w:val="666666"/>
    </w:rPr>
  </w:style>
  <w:style w:type="paragraph" w:styleId="FootnoteText">
    <w:name w:val="footnote text"/>
    <w:basedOn w:val="Normal"/>
    <w:link w:val="FootnoteTextChar"/>
    <w:uiPriority w:val="99"/>
    <w:semiHidden/>
    <w:unhideWhenUsed/>
    <w:rsid w:val="00952F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2F10"/>
    <w:rPr>
      <w:sz w:val="20"/>
      <w:szCs w:val="20"/>
    </w:rPr>
  </w:style>
  <w:style w:type="character" w:styleId="FootnoteReference">
    <w:name w:val="footnote reference"/>
    <w:basedOn w:val="DefaultParagraphFont"/>
    <w:uiPriority w:val="99"/>
    <w:semiHidden/>
    <w:unhideWhenUsed/>
    <w:rsid w:val="00952F10"/>
    <w:rPr>
      <w:vertAlign w:val="superscript"/>
    </w:rPr>
  </w:style>
  <w:style w:type="character" w:styleId="Strong">
    <w:name w:val="Strong"/>
    <w:uiPriority w:val="22"/>
    <w:qFormat/>
    <w:rsid w:val="00D10913"/>
    <w:rPr>
      <w:b/>
      <w:bCs/>
    </w:rPr>
  </w:style>
  <w:style w:type="paragraph" w:styleId="NormalWeb">
    <w:name w:val="Normal (Web)"/>
    <w:basedOn w:val="Normal"/>
    <w:uiPriority w:val="99"/>
    <w:unhideWhenUsed/>
    <w:rsid w:val="00D433F7"/>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isselectedend">
    <w:name w:val="isselectedend"/>
    <w:basedOn w:val="Normal"/>
    <w:rsid w:val="00D433F7"/>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4312FD"/>
    <w:rPr>
      <w:i/>
      <w:iCs/>
    </w:rPr>
  </w:style>
  <w:style w:type="character" w:styleId="Hyperlink">
    <w:name w:val="Hyperlink"/>
    <w:basedOn w:val="DefaultParagraphFont"/>
    <w:uiPriority w:val="99"/>
    <w:semiHidden/>
    <w:unhideWhenUsed/>
    <w:rsid w:val="004312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845-020-02299-z" TargetMode="External" /><Relationship Id="rId13" Type="http://schemas.openxmlformats.org/officeDocument/2006/relationships/hyperlink" Target="https://www.longtermplan.nhs.uk/" TargetMode="External" /><Relationship Id="rId18" Type="http://schemas.openxmlformats.org/officeDocument/2006/relationships/hyperlink" Target="https://doi.org/10.1089/tmj.2021.0004" TargetMode="External" /><Relationship Id="rId3" Type="http://schemas.openxmlformats.org/officeDocument/2006/relationships/webSettings" Target="webSettings.xml" /><Relationship Id="rId7" Type="http://schemas.openxmlformats.org/officeDocument/2006/relationships/image" Target="file:///C:\Users\biancasanfilippo\Library\Group%20Containers\UBF8T346G9.ms\WebArchiveCopyPasteTempFiles\com.microsoft.Word\UWTSD-Logo.jpg" TargetMode="External" /><Relationship Id="rId12" Type="http://schemas.openxmlformats.org/officeDocument/2006/relationships/hyperlink" Target="https://www.nice.org.uk/guidance/ng197" TargetMode="External" /><Relationship Id="rId17" Type="http://schemas.openxmlformats.org/officeDocument/2006/relationships/hyperlink" Target="https://www.who.int/publications/i/item/9789240020924" TargetMode="External" /><Relationship Id="rId2" Type="http://schemas.openxmlformats.org/officeDocument/2006/relationships/settings" Target="settings.xml" /><Relationship Id="rId16" Type="http://schemas.openxmlformats.org/officeDocument/2006/relationships/hyperlink" Target="https://doi.org/10.2196/42421" TargetMode="External" /><Relationship Id="rId20"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hyperlink" Target="https://bjgp.org/content/71/704/e166" TargetMode="External" /><Relationship Id="rId5" Type="http://schemas.openxmlformats.org/officeDocument/2006/relationships/endnotes" Target="endnotes.xml" /><Relationship Id="rId15" Type="http://schemas.openxmlformats.org/officeDocument/2006/relationships/hyperlink" Target="https://www.rcgp.org.uk/" TargetMode="External" /><Relationship Id="rId10" Type="http://schemas.openxmlformats.org/officeDocument/2006/relationships/hyperlink" Target="https://www.healthwatch.co.uk/report/2021-03-29/what-people-told-us-about-remote-gp-appointments-and-what-we-did" TargetMode="External" /><Relationship Id="rId19"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yperlink" Target="https://www.bmj.com/content/368/bmj.m1182" TargetMode="External" /><Relationship Id="rId14" Type="http://schemas.openxmlformats.org/officeDocument/2006/relationships/hyperlink" Target="https://www.england.nhs.uk/long-read/transforming-outpatient-servic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2685</Words>
  <Characters>15306</Characters>
  <Application>Microsoft Office Word</Application>
  <DocSecurity>0</DocSecurity>
  <Lines>127</Lines>
  <Paragraphs>35</Paragraphs>
  <ScaleCrop>false</ScaleCrop>
  <Company/>
  <LinksUpToDate>false</LinksUpToDate>
  <CharactersWithSpaces>17956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SweetSantana Candido</dc:creator>
  <cp:keywords/>
  <dc:description/>
  <cp:lastModifiedBy>SweetSantana Candido</cp:lastModifiedBy>
  <cp:revision>21</cp:revision>
  <dcterms:created xsi:type="dcterms:W3CDTF">2026-07-19T17:35:00Z</dcterms:created>
  <dcterms:modified xsi:type="dcterms:W3CDTF">2026-07-19T18:17:00Z</dcterms:modified>
</cp:coreProperties>
</file>