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86A9A2" w14:textId="77777777" w:rsidR="003767FA" w:rsidRPr="009E05DE" w:rsidRDefault="00000000">
      <w:pPr>
        <w:pStyle w:val="Heading"/>
        <w:rPr>
          <w:sz w:val="22"/>
          <w:szCs w:val="22"/>
        </w:rPr>
      </w:pPr>
      <w:r w:rsidRPr="009E05DE">
        <w:rPr>
          <w:sz w:val="22"/>
          <w:szCs w:val="22"/>
        </w:rPr>
        <w:t>Factors Influencing Employee Adoption of Generative Artificial Intelligence in a UK Small Professional-Services Business: A Mixed-Methods Research Proposal</w:t>
      </w:r>
    </w:p>
    <w:p w14:paraId="1026B234" w14:textId="1A773736" w:rsidR="003767FA" w:rsidRDefault="009E05DE">
      <w:pPr>
        <w:jc w:val="center"/>
        <w:rPr>
          <w:b/>
          <w:sz w:val="28"/>
          <w:szCs w:val="28"/>
        </w:rPr>
      </w:pPr>
      <w:bookmarkStart w:id="0" w:name="_Toc197024980"/>
      <w:r w:rsidRPr="00E70D6E">
        <w:rPr>
          <w:rFonts w:cs="Arial"/>
          <w:noProof/>
          <w:u w:val="single"/>
        </w:rPr>
        <w:drawing>
          <wp:anchor distT="0" distB="0" distL="114300" distR="114300" simplePos="0" relativeHeight="251658240" behindDoc="0" locked="0" layoutInCell="1" allowOverlap="1" wp14:anchorId="756EA7C2" wp14:editId="38F329AD">
            <wp:simplePos x="0" y="0"/>
            <wp:positionH relativeFrom="column">
              <wp:posOffset>1743739</wp:posOffset>
            </wp:positionH>
            <wp:positionV relativeFrom="paragraph">
              <wp:posOffset>361965</wp:posOffset>
            </wp:positionV>
            <wp:extent cx="2445385" cy="2445385"/>
            <wp:effectExtent l="0" t="0" r="0" b="0"/>
            <wp:wrapSquare wrapText="bothSides"/>
            <wp:docPr id="4552419" name="Picture 1"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2419" name="Picture 4552419" descr="The University of Wales Trinity Saint David (UWTSD) - Logistics Education"/>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445385" cy="2445385"/>
                    </a:xfrm>
                    <a:prstGeom prst="rect">
                      <a:avLst/>
                    </a:prstGeom>
                  </pic:spPr>
                </pic:pic>
              </a:graphicData>
            </a:graphic>
            <wp14:sizeRelH relativeFrom="page">
              <wp14:pctWidth>0</wp14:pctWidth>
            </wp14:sizeRelH>
            <wp14:sizeRelV relativeFrom="page">
              <wp14:pctHeight>0</wp14:pctHeight>
            </wp14:sizeRelV>
          </wp:anchor>
        </w:drawing>
      </w:r>
      <w:bookmarkEnd w:id="0"/>
    </w:p>
    <w:p w14:paraId="6D7F4602" w14:textId="77631420" w:rsidR="009E05DE" w:rsidRDefault="009E05DE">
      <w:pPr>
        <w:jc w:val="center"/>
      </w:pPr>
    </w:p>
    <w:p w14:paraId="102B822E" w14:textId="50163F8E" w:rsidR="009E05DE" w:rsidRDefault="009E05DE">
      <w:pPr>
        <w:jc w:val="center"/>
      </w:pPr>
    </w:p>
    <w:p w14:paraId="2C9142D2" w14:textId="2560B773" w:rsidR="009E05DE" w:rsidRDefault="009E05DE">
      <w:pPr>
        <w:jc w:val="center"/>
      </w:pPr>
    </w:p>
    <w:p w14:paraId="075528B7" w14:textId="336DE858" w:rsidR="009E05DE" w:rsidRDefault="009E05DE">
      <w:pPr>
        <w:jc w:val="center"/>
      </w:pPr>
    </w:p>
    <w:p w14:paraId="68AE920D" w14:textId="77777777" w:rsidR="009E05DE" w:rsidRDefault="009E05DE">
      <w:pPr>
        <w:jc w:val="center"/>
      </w:pPr>
    </w:p>
    <w:p w14:paraId="22FB601B" w14:textId="77777777" w:rsidR="009E05DE" w:rsidRDefault="009E05DE">
      <w:pPr>
        <w:jc w:val="center"/>
      </w:pPr>
    </w:p>
    <w:p w14:paraId="63B8E0E9" w14:textId="77777777" w:rsidR="009E05DE" w:rsidRDefault="009E05DE">
      <w:pPr>
        <w:jc w:val="center"/>
      </w:pPr>
    </w:p>
    <w:p w14:paraId="00A2C67A" w14:textId="77777777" w:rsidR="009E05DE" w:rsidRDefault="009E05DE">
      <w:pPr>
        <w:jc w:val="center"/>
      </w:pPr>
    </w:p>
    <w:p w14:paraId="724E63F0" w14:textId="77777777" w:rsidR="009E05DE" w:rsidRDefault="009E05DE">
      <w:pPr>
        <w:jc w:val="center"/>
      </w:pPr>
    </w:p>
    <w:p w14:paraId="3B520E2A" w14:textId="77777777" w:rsidR="009E05DE" w:rsidRDefault="009E05DE">
      <w:pPr>
        <w:jc w:val="center"/>
      </w:pPr>
    </w:p>
    <w:p w14:paraId="378F1C3B" w14:textId="445CE88C" w:rsidR="003767FA" w:rsidRDefault="00000000">
      <w:pPr>
        <w:jc w:val="center"/>
      </w:pPr>
      <w:r>
        <w:t>Mustafa Alsaady (Student ID: 2326285)</w:t>
      </w:r>
    </w:p>
    <w:p w14:paraId="519BA264" w14:textId="77777777" w:rsidR="003767FA" w:rsidRDefault="00000000">
      <w:pPr>
        <w:jc w:val="center"/>
        <w:rPr>
          <w:shd w:val="clear" w:color="auto" w:fill="FFFFFF"/>
        </w:rPr>
      </w:pPr>
      <w:r>
        <w:rPr>
          <w:shd w:val="clear" w:color="auto" w:fill="FFFFFF"/>
        </w:rPr>
        <w:t>University of Wales Trinity Saint David</w:t>
      </w:r>
    </w:p>
    <w:p w14:paraId="5AB1B496" w14:textId="77777777" w:rsidR="003767FA" w:rsidRDefault="00000000">
      <w:pPr>
        <w:jc w:val="center"/>
        <w:rPr>
          <w:shd w:val="clear" w:color="auto" w:fill="FFFFFF"/>
        </w:rPr>
      </w:pPr>
      <w:r>
        <w:rPr>
          <w:shd w:val="clear" w:color="auto" w:fill="FFFFFF"/>
        </w:rPr>
        <w:t xml:space="preserve">BA (Hons) Leadership and Management Skills for the Workplace – LCLM6004 Research Methods for Business </w:t>
      </w:r>
    </w:p>
    <w:p w14:paraId="6E69CBA9" w14:textId="77777777" w:rsidR="003767FA" w:rsidRDefault="00000000">
      <w:pPr>
        <w:jc w:val="center"/>
        <w:rPr>
          <w:shd w:val="clear" w:color="auto" w:fill="FFFFFF"/>
        </w:rPr>
      </w:pPr>
      <w:r>
        <w:rPr>
          <w:shd w:val="clear" w:color="auto" w:fill="FFFFFF"/>
        </w:rPr>
        <w:t>Dr Rameses Manalang</w:t>
      </w:r>
    </w:p>
    <w:p w14:paraId="6BB7052F" w14:textId="02ABC660" w:rsidR="003767FA" w:rsidRDefault="003767FA">
      <w:pPr>
        <w:jc w:val="center"/>
      </w:pPr>
    </w:p>
    <w:p w14:paraId="674EC067" w14:textId="77777777" w:rsidR="003767FA" w:rsidRDefault="003767FA"/>
    <w:sdt>
      <w:sdtPr>
        <w:rPr>
          <w:rFonts w:ascii="Arial" w:eastAsiaTheme="minorHAnsi" w:hAnsi="Arial" w:cstheme="minorBidi"/>
          <w:color w:val="auto"/>
          <w:kern w:val="2"/>
          <w:sz w:val="22"/>
          <w:szCs w:val="22"/>
        </w:rPr>
        <w:id w:val="-2084061751"/>
        <w:docPartObj>
          <w:docPartGallery w:val="Table of Contents"/>
          <w:docPartUnique/>
        </w:docPartObj>
      </w:sdtPr>
      <w:sdtContent>
        <w:p w14:paraId="533811A6" w14:textId="77777777" w:rsidR="003767FA" w:rsidRDefault="00000000">
          <w:pPr>
            <w:pStyle w:val="TOCHeading"/>
            <w:spacing w:before="0"/>
          </w:pPr>
          <w:r>
            <w:br w:type="page"/>
          </w:r>
          <w:r>
            <w:lastRenderedPageBreak/>
            <w:t>Contents</w:t>
          </w:r>
        </w:p>
        <w:p w14:paraId="7808A4E3" w14:textId="5CFA5C60" w:rsidR="009E05DE" w:rsidRDefault="00000000">
          <w:pPr>
            <w:pStyle w:val="TOC1"/>
            <w:tabs>
              <w:tab w:val="right" w:leader="dot" w:pos="9016"/>
            </w:tabs>
            <w:rPr>
              <w:rFonts w:asciiTheme="minorHAnsi" w:eastAsiaTheme="minorEastAsia" w:hAnsiTheme="minorHAnsi"/>
              <w:noProof/>
              <w:sz w:val="24"/>
              <w:szCs w:val="24"/>
              <w:lang w:val="en-GB" w:eastAsia="en-GB"/>
            </w:rPr>
          </w:pPr>
          <w:r>
            <w:fldChar w:fldCharType="begin"/>
          </w:r>
          <w:r>
            <w:rPr>
              <w:rStyle w:val="IndexLink"/>
              <w:rFonts w:cs="Arial"/>
              <w:webHidden/>
            </w:rPr>
            <w:instrText xml:space="preserve"> TOC \z \o "1-3" \u \h</w:instrText>
          </w:r>
          <w:r>
            <w:rPr>
              <w:rStyle w:val="IndexLink"/>
              <w:rFonts w:cs="Arial"/>
            </w:rPr>
            <w:fldChar w:fldCharType="separate"/>
          </w:r>
          <w:hyperlink w:anchor="_Toc241401865" w:history="1">
            <w:r w:rsidR="009E05DE" w:rsidRPr="00831728">
              <w:rPr>
                <w:rStyle w:val="Hyperlink"/>
                <w:rFonts w:cs="Arial"/>
                <w:noProof/>
              </w:rPr>
              <w:t>Introduction and Organisational Context</w:t>
            </w:r>
            <w:r w:rsidR="009E05DE">
              <w:rPr>
                <w:noProof/>
                <w:webHidden/>
              </w:rPr>
              <w:tab/>
            </w:r>
            <w:r w:rsidR="009E05DE">
              <w:rPr>
                <w:noProof/>
                <w:webHidden/>
              </w:rPr>
              <w:fldChar w:fldCharType="begin"/>
            </w:r>
            <w:r w:rsidR="009E05DE">
              <w:rPr>
                <w:noProof/>
                <w:webHidden/>
              </w:rPr>
              <w:instrText xml:space="preserve"> PAGEREF _Toc241401865 \h </w:instrText>
            </w:r>
            <w:r w:rsidR="009E05DE">
              <w:rPr>
                <w:noProof/>
                <w:webHidden/>
              </w:rPr>
            </w:r>
            <w:r w:rsidR="009E05DE">
              <w:rPr>
                <w:noProof/>
                <w:webHidden/>
              </w:rPr>
              <w:fldChar w:fldCharType="separate"/>
            </w:r>
            <w:r w:rsidR="009E05DE">
              <w:rPr>
                <w:noProof/>
                <w:webHidden/>
              </w:rPr>
              <w:t>2</w:t>
            </w:r>
            <w:r w:rsidR="009E05DE">
              <w:rPr>
                <w:noProof/>
                <w:webHidden/>
              </w:rPr>
              <w:fldChar w:fldCharType="end"/>
            </w:r>
          </w:hyperlink>
        </w:p>
        <w:p w14:paraId="7EAA9212" w14:textId="79A423F3"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66" w:history="1">
            <w:r w:rsidRPr="00831728">
              <w:rPr>
                <w:rStyle w:val="Hyperlink"/>
                <w:noProof/>
              </w:rPr>
              <w:t>Business Problem and Rationale</w:t>
            </w:r>
            <w:r>
              <w:rPr>
                <w:noProof/>
                <w:webHidden/>
              </w:rPr>
              <w:tab/>
            </w:r>
            <w:r>
              <w:rPr>
                <w:noProof/>
                <w:webHidden/>
              </w:rPr>
              <w:fldChar w:fldCharType="begin"/>
            </w:r>
            <w:r>
              <w:rPr>
                <w:noProof/>
                <w:webHidden/>
              </w:rPr>
              <w:instrText xml:space="preserve"> PAGEREF _Toc241401866 \h </w:instrText>
            </w:r>
            <w:r>
              <w:rPr>
                <w:noProof/>
                <w:webHidden/>
              </w:rPr>
            </w:r>
            <w:r>
              <w:rPr>
                <w:noProof/>
                <w:webHidden/>
              </w:rPr>
              <w:fldChar w:fldCharType="separate"/>
            </w:r>
            <w:r>
              <w:rPr>
                <w:noProof/>
                <w:webHidden/>
              </w:rPr>
              <w:t>3</w:t>
            </w:r>
            <w:r>
              <w:rPr>
                <w:noProof/>
                <w:webHidden/>
              </w:rPr>
              <w:fldChar w:fldCharType="end"/>
            </w:r>
          </w:hyperlink>
        </w:p>
        <w:p w14:paraId="70B2B53F" w14:textId="1F73D2A0"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67" w:history="1">
            <w:r w:rsidRPr="00831728">
              <w:rPr>
                <w:rStyle w:val="Hyperlink"/>
                <w:noProof/>
              </w:rPr>
              <w:t>Research Aim</w:t>
            </w:r>
            <w:r>
              <w:rPr>
                <w:noProof/>
                <w:webHidden/>
              </w:rPr>
              <w:tab/>
            </w:r>
            <w:r>
              <w:rPr>
                <w:noProof/>
                <w:webHidden/>
              </w:rPr>
              <w:fldChar w:fldCharType="begin"/>
            </w:r>
            <w:r>
              <w:rPr>
                <w:noProof/>
                <w:webHidden/>
              </w:rPr>
              <w:instrText xml:space="preserve"> PAGEREF _Toc241401867 \h </w:instrText>
            </w:r>
            <w:r>
              <w:rPr>
                <w:noProof/>
                <w:webHidden/>
              </w:rPr>
            </w:r>
            <w:r>
              <w:rPr>
                <w:noProof/>
                <w:webHidden/>
              </w:rPr>
              <w:fldChar w:fldCharType="separate"/>
            </w:r>
            <w:r>
              <w:rPr>
                <w:noProof/>
                <w:webHidden/>
              </w:rPr>
              <w:t>3</w:t>
            </w:r>
            <w:r>
              <w:rPr>
                <w:noProof/>
                <w:webHidden/>
              </w:rPr>
              <w:fldChar w:fldCharType="end"/>
            </w:r>
          </w:hyperlink>
        </w:p>
        <w:p w14:paraId="12E023B5" w14:textId="4B88FBD5"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68" w:history="1">
            <w:r w:rsidRPr="00831728">
              <w:rPr>
                <w:rStyle w:val="Hyperlink"/>
                <w:noProof/>
              </w:rPr>
              <w:t>Research Objectives and Questions</w:t>
            </w:r>
            <w:r>
              <w:rPr>
                <w:noProof/>
                <w:webHidden/>
              </w:rPr>
              <w:tab/>
            </w:r>
            <w:r>
              <w:rPr>
                <w:noProof/>
                <w:webHidden/>
              </w:rPr>
              <w:fldChar w:fldCharType="begin"/>
            </w:r>
            <w:r>
              <w:rPr>
                <w:noProof/>
                <w:webHidden/>
              </w:rPr>
              <w:instrText xml:space="preserve"> PAGEREF _Toc241401868 \h </w:instrText>
            </w:r>
            <w:r>
              <w:rPr>
                <w:noProof/>
                <w:webHidden/>
              </w:rPr>
            </w:r>
            <w:r>
              <w:rPr>
                <w:noProof/>
                <w:webHidden/>
              </w:rPr>
              <w:fldChar w:fldCharType="separate"/>
            </w:r>
            <w:r>
              <w:rPr>
                <w:noProof/>
                <w:webHidden/>
              </w:rPr>
              <w:t>3</w:t>
            </w:r>
            <w:r>
              <w:rPr>
                <w:noProof/>
                <w:webHidden/>
              </w:rPr>
              <w:fldChar w:fldCharType="end"/>
            </w:r>
          </w:hyperlink>
        </w:p>
        <w:p w14:paraId="3BC686EF" w14:textId="5486F91C"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69" w:history="1">
            <w:r w:rsidRPr="00831728">
              <w:rPr>
                <w:rStyle w:val="Hyperlink"/>
                <w:noProof/>
              </w:rPr>
              <w:t>Critical Literature Review</w:t>
            </w:r>
            <w:r>
              <w:rPr>
                <w:noProof/>
                <w:webHidden/>
              </w:rPr>
              <w:tab/>
            </w:r>
            <w:r>
              <w:rPr>
                <w:noProof/>
                <w:webHidden/>
              </w:rPr>
              <w:fldChar w:fldCharType="begin"/>
            </w:r>
            <w:r>
              <w:rPr>
                <w:noProof/>
                <w:webHidden/>
              </w:rPr>
              <w:instrText xml:space="preserve"> PAGEREF _Toc241401869 \h </w:instrText>
            </w:r>
            <w:r>
              <w:rPr>
                <w:noProof/>
                <w:webHidden/>
              </w:rPr>
            </w:r>
            <w:r>
              <w:rPr>
                <w:noProof/>
                <w:webHidden/>
              </w:rPr>
              <w:fldChar w:fldCharType="separate"/>
            </w:r>
            <w:r>
              <w:rPr>
                <w:noProof/>
                <w:webHidden/>
              </w:rPr>
              <w:t>4</w:t>
            </w:r>
            <w:r>
              <w:rPr>
                <w:noProof/>
                <w:webHidden/>
              </w:rPr>
              <w:fldChar w:fldCharType="end"/>
            </w:r>
          </w:hyperlink>
        </w:p>
        <w:p w14:paraId="4A3350CC" w14:textId="4430F21D"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0" w:history="1">
            <w:r w:rsidRPr="00831728">
              <w:rPr>
                <w:rStyle w:val="Hyperlink"/>
                <w:noProof/>
              </w:rPr>
              <w:t>Conceptual Framework</w:t>
            </w:r>
            <w:r>
              <w:rPr>
                <w:noProof/>
                <w:webHidden/>
              </w:rPr>
              <w:tab/>
            </w:r>
            <w:r>
              <w:rPr>
                <w:noProof/>
                <w:webHidden/>
              </w:rPr>
              <w:fldChar w:fldCharType="begin"/>
            </w:r>
            <w:r>
              <w:rPr>
                <w:noProof/>
                <w:webHidden/>
              </w:rPr>
              <w:instrText xml:space="preserve"> PAGEREF _Toc241401870 \h </w:instrText>
            </w:r>
            <w:r>
              <w:rPr>
                <w:noProof/>
                <w:webHidden/>
              </w:rPr>
            </w:r>
            <w:r>
              <w:rPr>
                <w:noProof/>
                <w:webHidden/>
              </w:rPr>
              <w:fldChar w:fldCharType="separate"/>
            </w:r>
            <w:r>
              <w:rPr>
                <w:noProof/>
                <w:webHidden/>
              </w:rPr>
              <w:t>5</w:t>
            </w:r>
            <w:r>
              <w:rPr>
                <w:noProof/>
                <w:webHidden/>
              </w:rPr>
              <w:fldChar w:fldCharType="end"/>
            </w:r>
          </w:hyperlink>
        </w:p>
        <w:p w14:paraId="2DAF7103" w14:textId="38D00132"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1" w:history="1">
            <w:r w:rsidRPr="00831728">
              <w:rPr>
                <w:rStyle w:val="Hyperlink"/>
                <w:noProof/>
              </w:rPr>
              <w:t>Research Methodology and Design</w:t>
            </w:r>
            <w:r>
              <w:rPr>
                <w:noProof/>
                <w:webHidden/>
              </w:rPr>
              <w:tab/>
            </w:r>
            <w:r>
              <w:rPr>
                <w:noProof/>
                <w:webHidden/>
              </w:rPr>
              <w:fldChar w:fldCharType="begin"/>
            </w:r>
            <w:r>
              <w:rPr>
                <w:noProof/>
                <w:webHidden/>
              </w:rPr>
              <w:instrText xml:space="preserve"> PAGEREF _Toc241401871 \h </w:instrText>
            </w:r>
            <w:r>
              <w:rPr>
                <w:noProof/>
                <w:webHidden/>
              </w:rPr>
            </w:r>
            <w:r>
              <w:rPr>
                <w:noProof/>
                <w:webHidden/>
              </w:rPr>
              <w:fldChar w:fldCharType="separate"/>
            </w:r>
            <w:r>
              <w:rPr>
                <w:noProof/>
                <w:webHidden/>
              </w:rPr>
              <w:t>6</w:t>
            </w:r>
            <w:r>
              <w:rPr>
                <w:noProof/>
                <w:webHidden/>
              </w:rPr>
              <w:fldChar w:fldCharType="end"/>
            </w:r>
          </w:hyperlink>
        </w:p>
        <w:p w14:paraId="3E8F3DD5" w14:textId="5ED43876"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2" w:history="1">
            <w:r w:rsidRPr="00831728">
              <w:rPr>
                <w:rStyle w:val="Hyperlink"/>
                <w:noProof/>
              </w:rPr>
              <w:t>Data Collection and Analysis</w:t>
            </w:r>
            <w:r>
              <w:rPr>
                <w:noProof/>
                <w:webHidden/>
              </w:rPr>
              <w:tab/>
            </w:r>
            <w:r>
              <w:rPr>
                <w:noProof/>
                <w:webHidden/>
              </w:rPr>
              <w:fldChar w:fldCharType="begin"/>
            </w:r>
            <w:r>
              <w:rPr>
                <w:noProof/>
                <w:webHidden/>
              </w:rPr>
              <w:instrText xml:space="preserve"> PAGEREF _Toc241401872 \h </w:instrText>
            </w:r>
            <w:r>
              <w:rPr>
                <w:noProof/>
                <w:webHidden/>
              </w:rPr>
            </w:r>
            <w:r>
              <w:rPr>
                <w:noProof/>
                <w:webHidden/>
              </w:rPr>
              <w:fldChar w:fldCharType="separate"/>
            </w:r>
            <w:r>
              <w:rPr>
                <w:noProof/>
                <w:webHidden/>
              </w:rPr>
              <w:t>6</w:t>
            </w:r>
            <w:r>
              <w:rPr>
                <w:noProof/>
                <w:webHidden/>
              </w:rPr>
              <w:fldChar w:fldCharType="end"/>
            </w:r>
          </w:hyperlink>
        </w:p>
        <w:p w14:paraId="1843E1A2" w14:textId="67EE6B58"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3" w:history="1">
            <w:r w:rsidRPr="00831728">
              <w:rPr>
                <w:rStyle w:val="Hyperlink"/>
                <w:noProof/>
              </w:rPr>
              <w:t>Reliability, Validity and Research Ethics</w:t>
            </w:r>
            <w:r>
              <w:rPr>
                <w:noProof/>
                <w:webHidden/>
              </w:rPr>
              <w:tab/>
            </w:r>
            <w:r>
              <w:rPr>
                <w:noProof/>
                <w:webHidden/>
              </w:rPr>
              <w:fldChar w:fldCharType="begin"/>
            </w:r>
            <w:r>
              <w:rPr>
                <w:noProof/>
                <w:webHidden/>
              </w:rPr>
              <w:instrText xml:space="preserve"> PAGEREF _Toc241401873 \h </w:instrText>
            </w:r>
            <w:r>
              <w:rPr>
                <w:noProof/>
                <w:webHidden/>
              </w:rPr>
            </w:r>
            <w:r>
              <w:rPr>
                <w:noProof/>
                <w:webHidden/>
              </w:rPr>
              <w:fldChar w:fldCharType="separate"/>
            </w:r>
            <w:r>
              <w:rPr>
                <w:noProof/>
                <w:webHidden/>
              </w:rPr>
              <w:t>7</w:t>
            </w:r>
            <w:r>
              <w:rPr>
                <w:noProof/>
                <w:webHidden/>
              </w:rPr>
              <w:fldChar w:fldCharType="end"/>
            </w:r>
          </w:hyperlink>
        </w:p>
        <w:p w14:paraId="7F33C1BD" w14:textId="4A8EC0AA"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4" w:history="1">
            <w:r w:rsidRPr="00831728">
              <w:rPr>
                <w:rStyle w:val="Hyperlink"/>
                <w:noProof/>
              </w:rPr>
              <w:t>Business Relevance, Limitations and Anticipated Outcomes</w:t>
            </w:r>
            <w:r>
              <w:rPr>
                <w:noProof/>
                <w:webHidden/>
              </w:rPr>
              <w:tab/>
            </w:r>
            <w:r>
              <w:rPr>
                <w:noProof/>
                <w:webHidden/>
              </w:rPr>
              <w:fldChar w:fldCharType="begin"/>
            </w:r>
            <w:r>
              <w:rPr>
                <w:noProof/>
                <w:webHidden/>
              </w:rPr>
              <w:instrText xml:space="preserve"> PAGEREF _Toc241401874 \h </w:instrText>
            </w:r>
            <w:r>
              <w:rPr>
                <w:noProof/>
                <w:webHidden/>
              </w:rPr>
            </w:r>
            <w:r>
              <w:rPr>
                <w:noProof/>
                <w:webHidden/>
              </w:rPr>
              <w:fldChar w:fldCharType="separate"/>
            </w:r>
            <w:r>
              <w:rPr>
                <w:noProof/>
                <w:webHidden/>
              </w:rPr>
              <w:t>7</w:t>
            </w:r>
            <w:r>
              <w:rPr>
                <w:noProof/>
                <w:webHidden/>
              </w:rPr>
              <w:fldChar w:fldCharType="end"/>
            </w:r>
          </w:hyperlink>
        </w:p>
        <w:p w14:paraId="7F9C7135" w14:textId="580B312C"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5" w:history="1">
            <w:r w:rsidRPr="00831728">
              <w:rPr>
                <w:rStyle w:val="Hyperlink"/>
                <w:noProof/>
              </w:rPr>
              <w:t>Research Timeframe</w:t>
            </w:r>
            <w:r>
              <w:rPr>
                <w:noProof/>
                <w:webHidden/>
              </w:rPr>
              <w:tab/>
            </w:r>
            <w:r>
              <w:rPr>
                <w:noProof/>
                <w:webHidden/>
              </w:rPr>
              <w:fldChar w:fldCharType="begin"/>
            </w:r>
            <w:r>
              <w:rPr>
                <w:noProof/>
                <w:webHidden/>
              </w:rPr>
              <w:instrText xml:space="preserve"> PAGEREF _Toc241401875 \h </w:instrText>
            </w:r>
            <w:r>
              <w:rPr>
                <w:noProof/>
                <w:webHidden/>
              </w:rPr>
            </w:r>
            <w:r>
              <w:rPr>
                <w:noProof/>
                <w:webHidden/>
              </w:rPr>
              <w:fldChar w:fldCharType="separate"/>
            </w:r>
            <w:r>
              <w:rPr>
                <w:noProof/>
                <w:webHidden/>
              </w:rPr>
              <w:t>8</w:t>
            </w:r>
            <w:r>
              <w:rPr>
                <w:noProof/>
                <w:webHidden/>
              </w:rPr>
              <w:fldChar w:fldCharType="end"/>
            </w:r>
          </w:hyperlink>
        </w:p>
        <w:p w14:paraId="2FB000B5" w14:textId="49B936A4"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6" w:history="1">
            <w:r w:rsidRPr="00831728">
              <w:rPr>
                <w:rStyle w:val="Hyperlink"/>
                <w:noProof/>
              </w:rPr>
              <w:t>Conclusion</w:t>
            </w:r>
            <w:r>
              <w:rPr>
                <w:noProof/>
                <w:webHidden/>
              </w:rPr>
              <w:tab/>
            </w:r>
            <w:r>
              <w:rPr>
                <w:noProof/>
                <w:webHidden/>
              </w:rPr>
              <w:fldChar w:fldCharType="begin"/>
            </w:r>
            <w:r>
              <w:rPr>
                <w:noProof/>
                <w:webHidden/>
              </w:rPr>
              <w:instrText xml:space="preserve"> PAGEREF _Toc241401876 \h </w:instrText>
            </w:r>
            <w:r>
              <w:rPr>
                <w:noProof/>
                <w:webHidden/>
              </w:rPr>
            </w:r>
            <w:r>
              <w:rPr>
                <w:noProof/>
                <w:webHidden/>
              </w:rPr>
              <w:fldChar w:fldCharType="separate"/>
            </w:r>
            <w:r>
              <w:rPr>
                <w:noProof/>
                <w:webHidden/>
              </w:rPr>
              <w:t>8</w:t>
            </w:r>
            <w:r>
              <w:rPr>
                <w:noProof/>
                <w:webHidden/>
              </w:rPr>
              <w:fldChar w:fldCharType="end"/>
            </w:r>
          </w:hyperlink>
        </w:p>
        <w:p w14:paraId="0E17DC60" w14:textId="6D470F66" w:rsidR="009E05DE" w:rsidRDefault="009E05DE">
          <w:pPr>
            <w:pStyle w:val="TOC1"/>
            <w:tabs>
              <w:tab w:val="right" w:leader="dot" w:pos="9016"/>
            </w:tabs>
            <w:rPr>
              <w:rFonts w:asciiTheme="minorHAnsi" w:eastAsiaTheme="minorEastAsia" w:hAnsiTheme="minorHAnsi"/>
              <w:noProof/>
              <w:sz w:val="24"/>
              <w:szCs w:val="24"/>
              <w:lang w:val="en-GB" w:eastAsia="en-GB"/>
            </w:rPr>
          </w:pPr>
          <w:hyperlink w:anchor="_Toc241401877" w:history="1">
            <w:r w:rsidRPr="00831728">
              <w:rPr>
                <w:rStyle w:val="Hyperlink"/>
                <w:noProof/>
              </w:rPr>
              <w:t>References</w:t>
            </w:r>
            <w:r>
              <w:rPr>
                <w:noProof/>
                <w:webHidden/>
              </w:rPr>
              <w:tab/>
            </w:r>
            <w:r>
              <w:rPr>
                <w:noProof/>
                <w:webHidden/>
              </w:rPr>
              <w:fldChar w:fldCharType="begin"/>
            </w:r>
            <w:r>
              <w:rPr>
                <w:noProof/>
                <w:webHidden/>
              </w:rPr>
              <w:instrText xml:space="preserve"> PAGEREF _Toc241401877 \h </w:instrText>
            </w:r>
            <w:r>
              <w:rPr>
                <w:noProof/>
                <w:webHidden/>
              </w:rPr>
            </w:r>
            <w:r>
              <w:rPr>
                <w:noProof/>
                <w:webHidden/>
              </w:rPr>
              <w:fldChar w:fldCharType="separate"/>
            </w:r>
            <w:r>
              <w:rPr>
                <w:noProof/>
                <w:webHidden/>
              </w:rPr>
              <w:t>9</w:t>
            </w:r>
            <w:r>
              <w:rPr>
                <w:noProof/>
                <w:webHidden/>
              </w:rPr>
              <w:fldChar w:fldCharType="end"/>
            </w:r>
          </w:hyperlink>
        </w:p>
        <w:p w14:paraId="1A436F3D" w14:textId="446E0054" w:rsidR="003767FA" w:rsidRDefault="00000000">
          <w:r>
            <w:fldChar w:fldCharType="end"/>
          </w:r>
        </w:p>
      </w:sdtContent>
    </w:sdt>
    <w:p w14:paraId="280F3DD2" w14:textId="77777777" w:rsidR="003767FA" w:rsidRDefault="003767FA">
      <w:pPr>
        <w:rPr>
          <w:rFonts w:eastAsiaTheme="majorEastAsia"/>
          <w:color w:val="000000" w:themeColor="text1"/>
          <w:szCs w:val="32"/>
        </w:rPr>
      </w:pPr>
    </w:p>
    <w:p w14:paraId="6BC35FC7" w14:textId="77777777" w:rsidR="003767FA" w:rsidRDefault="003767FA">
      <w:pPr>
        <w:rPr>
          <w:rFonts w:eastAsiaTheme="majorEastAsia"/>
          <w:color w:val="000000" w:themeColor="text1"/>
          <w:szCs w:val="32"/>
        </w:rPr>
      </w:pPr>
    </w:p>
    <w:p w14:paraId="413E41DD" w14:textId="77777777" w:rsidR="003767FA" w:rsidRDefault="00000000">
      <w:pPr>
        <w:pStyle w:val="Heading1"/>
        <w:rPr>
          <w:rFonts w:cs="Arial"/>
        </w:rPr>
      </w:pPr>
      <w:bookmarkStart w:id="1" w:name="_Toc241401865"/>
      <w:r>
        <w:rPr>
          <w:rFonts w:cs="Arial"/>
        </w:rPr>
        <w:t>Introduction and Organisational Context</w:t>
      </w:r>
      <w:bookmarkEnd w:id="1"/>
    </w:p>
    <w:p w14:paraId="0C719CC5" w14:textId="77777777" w:rsidR="003767FA" w:rsidRDefault="00000000" w:rsidP="009E05DE">
      <w:pPr>
        <w:pStyle w:val="BodyText"/>
        <w:spacing w:before="180" w:after="180"/>
        <w:ind w:firstLine="0"/>
        <w:rPr>
          <w:rFonts w:cs="Arial"/>
        </w:rPr>
      </w:pPr>
      <w:bookmarkStart w:id="2" w:name="introduction-and-organisational-context"/>
      <w:bookmarkEnd w:id="2"/>
      <w:r>
        <w:rPr>
          <w:rFonts w:cs="Arial"/>
        </w:rPr>
        <w:t>Generative artificial intelligence (GenAI) can produce text, images, code, summaries and recommendations, offering small businesses affordable opportunities to improve productivity and customer communication (Bellon et al., 2026). This proposal examines a UK professional-services firm with approximately 35 employees, where GenAI use is inconsistent and sometimes unguided. Such uneven adoption creates strategic and operational risks, including missed efficiency gains, inaccurate outputs, confidentiality breaches and reduced customer trust. Evidence shows that GenAI can improve writing quality and productivity, although benefits vary by task and employee experience (Noy and Zhang, 2023; Brynjolfsson, Li and Raymond, 2025). The study will investigate adoption barriers and identify responsible implementation practices.</w:t>
      </w:r>
    </w:p>
    <w:p w14:paraId="7D97F11A" w14:textId="77777777" w:rsidR="003767FA" w:rsidRDefault="00000000">
      <w:pPr>
        <w:pStyle w:val="Heading1"/>
      </w:pPr>
      <w:bookmarkStart w:id="3" w:name="_Toc241401866"/>
      <w:r>
        <w:lastRenderedPageBreak/>
        <w:t>Business Problem and Rationale</w:t>
      </w:r>
      <w:bookmarkEnd w:id="3"/>
    </w:p>
    <w:p w14:paraId="490973D9" w14:textId="77777777" w:rsidR="003767FA" w:rsidRDefault="00000000">
      <w:pPr>
        <w:pStyle w:val="BodyText"/>
        <w:spacing w:before="180" w:after="180"/>
        <w:rPr>
          <w:rFonts w:cs="Arial"/>
        </w:rPr>
      </w:pPr>
      <w:r>
        <w:rPr>
          <w:rFonts w:cs="Arial"/>
        </w:rPr>
        <w:t>The business problem is the lack of evidence to guide employee GenAI use. Limited use is likely driven by several factors, but management is unsure whether it stems from low confidence, doubts about value, lack of training, fear of job loss, privacy concerns or a poor fit between the tool and specific tasks. Without this information, managers may base investment decisions on enthusiasm for a particular technology or anxiety about job loss rather than evidence. The problem is multidimensional because adoption involves employee attitudes, technological capability, organizational culture, ethics and regulation.</w:t>
      </w:r>
    </w:p>
    <w:p w14:paraId="0AAE19FC" w14:textId="77777777" w:rsidR="003767FA" w:rsidRDefault="00000000" w:rsidP="009E05DE">
      <w:pPr>
        <w:pStyle w:val="BodyText"/>
        <w:spacing w:before="180" w:after="180"/>
        <w:ind w:firstLine="0"/>
        <w:rPr>
          <w:rFonts w:cs="Arial"/>
        </w:rPr>
      </w:pPr>
      <w:r>
        <w:rPr>
          <w:rFonts w:cs="Arial"/>
        </w:rPr>
        <w:t xml:space="preserve">The problem is significant from both performance and strategy perspectives. Used correctly, GenAI can save employees time on drafting, searching and routine client communication. Misused, it can produce false or misleading information, biased judgements, intellectual property and privacy breaches, and disclosure of confidential personal or business information. Dwivedi et al. (2023) state that while GenAI brings opportunities to </w:t>
      </w:r>
      <w:proofErr w:type="spellStart"/>
      <w:r>
        <w:rPr>
          <w:rFonts w:cs="Arial"/>
        </w:rPr>
        <w:t>organisations</w:t>
      </w:r>
      <w:proofErr w:type="spellEnd"/>
      <w:r>
        <w:rPr>
          <w:rFonts w:cs="Arial"/>
        </w:rPr>
        <w:t xml:space="preserve">, it also poses governance, transparency and accountability challenges. Similarly, </w:t>
      </w:r>
      <w:proofErr w:type="spellStart"/>
      <w:r>
        <w:rPr>
          <w:rFonts w:cs="Arial"/>
        </w:rPr>
        <w:t>Feuerriegel</w:t>
      </w:r>
      <w:proofErr w:type="spellEnd"/>
      <w:r>
        <w:rPr>
          <w:rFonts w:cs="Arial"/>
        </w:rPr>
        <w:t xml:space="preserve"> et al. (2024) point out the need to align the capabilities of GenAI with suitable tasks and maintain human oversight. For a resource-constrained small business, the margin for error is small: both failing to adopt and adopting unsafely carry risks. Research is therefore needed before the </w:t>
      </w:r>
      <w:proofErr w:type="spellStart"/>
      <w:r>
        <w:rPr>
          <w:rFonts w:cs="Arial"/>
        </w:rPr>
        <w:t>organisation</w:t>
      </w:r>
      <w:proofErr w:type="spellEnd"/>
      <w:r>
        <w:rPr>
          <w:rFonts w:cs="Arial"/>
        </w:rPr>
        <w:t xml:space="preserve"> expands software </w:t>
      </w:r>
      <w:proofErr w:type="spellStart"/>
      <w:r>
        <w:rPr>
          <w:rFonts w:cs="Arial"/>
        </w:rPr>
        <w:t>licences</w:t>
      </w:r>
      <w:proofErr w:type="spellEnd"/>
      <w:r>
        <w:rPr>
          <w:rFonts w:cs="Arial"/>
        </w:rPr>
        <w:t>, redesigns jobs or mandates GenAI use.</w:t>
      </w:r>
    </w:p>
    <w:p w14:paraId="54279D55" w14:textId="77777777" w:rsidR="003767FA" w:rsidRDefault="00000000">
      <w:pPr>
        <w:pStyle w:val="Heading1"/>
      </w:pPr>
      <w:bookmarkStart w:id="4" w:name="_Toc241401867"/>
      <w:r>
        <w:t>Research Aim</w:t>
      </w:r>
      <w:bookmarkEnd w:id="4"/>
    </w:p>
    <w:p w14:paraId="0ECB95FB" w14:textId="77777777" w:rsidR="003767FA" w:rsidRDefault="00000000" w:rsidP="009E05DE">
      <w:pPr>
        <w:pStyle w:val="BodyText"/>
        <w:spacing w:before="180" w:after="180"/>
        <w:ind w:firstLine="0"/>
        <w:rPr>
          <w:rFonts w:cs="Arial"/>
        </w:rPr>
      </w:pPr>
      <w:r>
        <w:rPr>
          <w:rFonts w:cs="Arial"/>
        </w:rPr>
        <w:t>This study aims to assess the individual, technological and organisational factors that influence employees’ responsible adoption of GenAI in a small UK professional-services firm, in order to recommend an implementation approach.</w:t>
      </w:r>
    </w:p>
    <w:p w14:paraId="33457854" w14:textId="77777777" w:rsidR="003767FA" w:rsidRDefault="00000000">
      <w:pPr>
        <w:pStyle w:val="Heading1"/>
      </w:pPr>
      <w:bookmarkStart w:id="5" w:name="_Toc241401868"/>
      <w:r>
        <w:t>Research Objectives and Questions</w:t>
      </w:r>
      <w:bookmarkEnd w:id="5"/>
    </w:p>
    <w:p w14:paraId="0B26068F" w14:textId="77777777" w:rsidR="003767FA" w:rsidRDefault="00000000" w:rsidP="009E05DE">
      <w:pPr>
        <w:pStyle w:val="BodyText"/>
        <w:spacing w:before="180" w:after="180"/>
        <w:ind w:firstLine="0"/>
        <w:rPr>
          <w:rFonts w:cs="Arial"/>
        </w:rPr>
      </w:pPr>
      <w:r>
        <w:rPr>
          <w:rFonts w:cs="Arial"/>
        </w:rPr>
        <w:t xml:space="preserve">The study has four objectives: first, to measure employees’ current awareness, use and non-use of GenAI; second, to examine how perceived usefulness, ease of use, trust, skills and job concerns affect adoption; third, to assess whether training, leadership support, governance and task fit enable or hinder responsible use; and fourth, to propose a feasible adoption framework for the case </w:t>
      </w:r>
      <w:proofErr w:type="spellStart"/>
      <w:r>
        <w:rPr>
          <w:rFonts w:cs="Arial"/>
        </w:rPr>
        <w:t>organisation</w:t>
      </w:r>
      <w:proofErr w:type="spellEnd"/>
      <w:r>
        <w:rPr>
          <w:rFonts w:cs="Arial"/>
        </w:rPr>
        <w:t>.</w:t>
      </w:r>
    </w:p>
    <w:p w14:paraId="4CD65FD5" w14:textId="77777777" w:rsidR="003767FA" w:rsidRDefault="00000000">
      <w:pPr>
        <w:pStyle w:val="BodyText"/>
        <w:spacing w:before="180" w:after="180"/>
        <w:rPr>
          <w:rFonts w:cs="Arial"/>
        </w:rPr>
      </w:pPr>
      <w:r>
        <w:rPr>
          <w:rFonts w:cs="Arial"/>
        </w:rPr>
        <w:t>The research questions are:</w:t>
      </w:r>
    </w:p>
    <w:p w14:paraId="57275DF2" w14:textId="77777777" w:rsidR="003767FA" w:rsidRDefault="00000000">
      <w:pPr>
        <w:pStyle w:val="BodyText"/>
        <w:numPr>
          <w:ilvl w:val="0"/>
          <w:numId w:val="3"/>
        </w:numPr>
        <w:spacing w:before="180" w:after="180"/>
        <w:rPr>
          <w:rFonts w:cs="Arial"/>
        </w:rPr>
      </w:pPr>
      <w:r>
        <w:rPr>
          <w:rFonts w:cs="Arial"/>
        </w:rPr>
        <w:t xml:space="preserve">How and for which work tasks are employees currently using GenAI? </w:t>
      </w:r>
    </w:p>
    <w:p w14:paraId="1C4BF883" w14:textId="77777777" w:rsidR="003767FA" w:rsidRDefault="00000000">
      <w:pPr>
        <w:pStyle w:val="BodyText"/>
        <w:numPr>
          <w:ilvl w:val="0"/>
          <w:numId w:val="1"/>
        </w:numPr>
        <w:spacing w:before="180" w:after="180"/>
        <w:rPr>
          <w:rFonts w:cs="Arial"/>
        </w:rPr>
      </w:pPr>
      <w:r>
        <w:rPr>
          <w:rFonts w:cs="Arial"/>
        </w:rPr>
        <w:t xml:space="preserve">Which employee perceptions and capabilities influence their intention to use GenAI? </w:t>
      </w:r>
    </w:p>
    <w:p w14:paraId="29898D23" w14:textId="77777777" w:rsidR="003767FA" w:rsidRDefault="00000000">
      <w:pPr>
        <w:pStyle w:val="BodyText"/>
        <w:numPr>
          <w:ilvl w:val="0"/>
          <w:numId w:val="1"/>
        </w:numPr>
        <w:spacing w:before="180" w:after="180"/>
        <w:rPr>
          <w:rFonts w:cs="Arial"/>
        </w:rPr>
      </w:pPr>
      <w:r>
        <w:rPr>
          <w:rFonts w:cs="Arial"/>
        </w:rPr>
        <w:lastRenderedPageBreak/>
        <w:t xml:space="preserve">What organisational conditions foster or hinder responsible adoption? </w:t>
      </w:r>
    </w:p>
    <w:p w14:paraId="1CF83F80" w14:textId="77777777" w:rsidR="003767FA" w:rsidRDefault="00000000">
      <w:pPr>
        <w:pStyle w:val="BodyText"/>
        <w:numPr>
          <w:ilvl w:val="0"/>
          <w:numId w:val="1"/>
        </w:numPr>
        <w:spacing w:before="180" w:after="180"/>
        <w:rPr>
          <w:rFonts w:cs="Arial"/>
        </w:rPr>
      </w:pPr>
      <w:r>
        <w:rPr>
          <w:rFonts w:cs="Arial"/>
        </w:rPr>
        <w:t xml:space="preserve">What actions should management </w:t>
      </w:r>
      <w:proofErr w:type="spellStart"/>
      <w:r>
        <w:rPr>
          <w:rFonts w:cs="Arial"/>
        </w:rPr>
        <w:t>prioritise</w:t>
      </w:r>
      <w:proofErr w:type="spellEnd"/>
      <w:r>
        <w:rPr>
          <w:rFonts w:cs="Arial"/>
        </w:rPr>
        <w:t xml:space="preserve"> to improve useful, safe and inclusive GenAI use? </w:t>
      </w:r>
    </w:p>
    <w:p w14:paraId="7AA8C56C" w14:textId="77777777" w:rsidR="003767FA" w:rsidRDefault="00000000">
      <w:pPr>
        <w:pStyle w:val="BodyText"/>
        <w:spacing w:before="180" w:after="180"/>
        <w:ind w:firstLine="0"/>
        <w:rPr>
          <w:rFonts w:cs="Arial"/>
        </w:rPr>
      </w:pPr>
      <w:r>
        <w:rPr>
          <w:rFonts w:cs="Arial"/>
        </w:rPr>
        <w:t>These questions align with the proposed mixed methods, which integrate the measurable patterns of adoption with employee explanations and experiences in the workplace.</w:t>
      </w:r>
    </w:p>
    <w:p w14:paraId="37AABBB8" w14:textId="77777777" w:rsidR="003767FA" w:rsidRDefault="00000000">
      <w:pPr>
        <w:pStyle w:val="Heading1"/>
      </w:pPr>
      <w:bookmarkStart w:id="6" w:name="_Toc241401869"/>
      <w:r>
        <w:t>Critical Literature Review</w:t>
      </w:r>
      <w:bookmarkEnd w:id="6"/>
    </w:p>
    <w:p w14:paraId="2BF04282" w14:textId="77777777" w:rsidR="003767FA" w:rsidRDefault="00000000" w:rsidP="009E05DE">
      <w:pPr>
        <w:pStyle w:val="BodyText"/>
        <w:spacing w:before="180" w:after="180"/>
        <w:ind w:firstLine="0"/>
        <w:rPr>
          <w:rFonts w:cs="Arial"/>
        </w:rPr>
      </w:pPr>
      <w:r>
        <w:rPr>
          <w:rFonts w:cs="Arial"/>
        </w:rPr>
        <w:t xml:space="preserve">Current evidence indicates that GenAI can enhance knowledge work, but productivity findings should not be </w:t>
      </w:r>
      <w:proofErr w:type="spellStart"/>
      <w:r>
        <w:rPr>
          <w:rFonts w:cs="Arial"/>
        </w:rPr>
        <w:t>generalised</w:t>
      </w:r>
      <w:proofErr w:type="spellEnd"/>
      <w:r>
        <w:rPr>
          <w:rFonts w:cs="Arial"/>
        </w:rPr>
        <w:t xml:space="preserve"> uncritically. In a controlled experiment, Noy and Zhang (2023) found that ChatGPT cut task completion time by 40 per cent and improved output quality by 18 per cent. However, the study examined short writing tasks rather than organisational adoption. In contrast, Brynjolfsson, Li and Raymond (2025) provide workplace evidence from a field study of real customer-support tasks. However, benefits observed in a large, technology-rich global operation may not transfer to a small UK firm with diverse roles, less-structured processes and limited technical support. These studies show promise, but they do not explain how a small firm can secure long-term employee acceptance across varied tasks.</w:t>
      </w:r>
    </w:p>
    <w:p w14:paraId="3B3445B3" w14:textId="77777777" w:rsidR="003767FA" w:rsidRDefault="00000000" w:rsidP="009E05DE">
      <w:pPr>
        <w:pStyle w:val="BodyText"/>
        <w:spacing w:before="180" w:after="180"/>
        <w:ind w:firstLine="0"/>
        <w:rPr>
          <w:rFonts w:cs="Arial"/>
        </w:rPr>
      </w:pPr>
      <w:r>
        <w:rPr>
          <w:rFonts w:cs="Arial"/>
        </w:rPr>
        <w:t xml:space="preserve">Adoption is also influenced by perceived benefit and effort. Although GenAI is familiar to many, prompting, verifying outputs and exercising ethical judgement require new skills. When outputs are unreliable or learning costs outweigh benefits, employees may resist the technology; conversely, convenience can lead to uncritical overuse. According to </w:t>
      </w:r>
      <w:proofErr w:type="spellStart"/>
      <w:r>
        <w:rPr>
          <w:rFonts w:cs="Arial"/>
        </w:rPr>
        <w:t>Feuerriegel</w:t>
      </w:r>
      <w:proofErr w:type="spellEnd"/>
      <w:r>
        <w:rPr>
          <w:rFonts w:cs="Arial"/>
        </w:rPr>
        <w:t xml:space="preserve"> et al. (2024), GenAI differs from traditional information systems because its outputs are probabilistic and can appear plausible while being incorrect. The recurring implementation challenges identified by Patel et al. (2025) are accuracy, privacy, intellectual property, transparency and ethical governance. This suggests that the rate of adoption should not be the only concern: responsible adoption also requires output checking, awareness of appropriate task boundaries and data protection.</w:t>
      </w:r>
    </w:p>
    <w:p w14:paraId="5F62C103" w14:textId="77777777" w:rsidR="003767FA" w:rsidRDefault="00000000" w:rsidP="009E05DE">
      <w:pPr>
        <w:pStyle w:val="BodyText"/>
        <w:ind w:firstLine="0"/>
        <w:rPr>
          <w:rFonts w:cs="Arial"/>
        </w:rPr>
      </w:pPr>
      <w:r>
        <w:rPr>
          <w:rFonts w:cs="Arial"/>
        </w:rPr>
        <w:t xml:space="preserve">Organisational conditions are also significant. Small firms may have limited formal training, </w:t>
      </w:r>
      <w:proofErr w:type="gramStart"/>
      <w:r>
        <w:rPr>
          <w:rFonts w:cs="Arial"/>
        </w:rPr>
        <w:t>policy-making</w:t>
      </w:r>
      <w:proofErr w:type="gramEnd"/>
      <w:r>
        <w:rPr>
          <w:rFonts w:cs="Arial"/>
        </w:rPr>
        <w:t xml:space="preserve"> and technology governance because of resource constraints and reliance on owner-managers, who may make decisions quickly and informally. Access to a GenAI tool does not necessarily lead to effective uptake. Leadership cues, peer expectations, time to learn, the applications available and clear policies may determine whether employees experiment openly or turn to “shadow AI” used outside organisational controls. However, while international evidence shows that businesses are rapidly adopting these technologies, </w:t>
      </w:r>
      <w:r>
        <w:rPr>
          <w:rFonts w:cs="Arial"/>
        </w:rPr>
        <w:lastRenderedPageBreak/>
        <w:t>aggregate adoption patterns reveal little about the experiences of people working in small businesses (</w:t>
      </w:r>
      <w:proofErr w:type="spellStart"/>
      <w:r>
        <w:rPr>
          <w:rFonts w:cs="Arial"/>
        </w:rPr>
        <w:t>Maslej</w:t>
      </w:r>
      <w:proofErr w:type="spellEnd"/>
      <w:r>
        <w:rPr>
          <w:rFonts w:cs="Arial"/>
        </w:rPr>
        <w:t xml:space="preserve"> et al., 2025).</w:t>
      </w:r>
    </w:p>
    <w:p w14:paraId="6A9379E3" w14:textId="77777777" w:rsidR="003767FA" w:rsidRDefault="00000000" w:rsidP="009E05DE">
      <w:pPr>
        <w:pStyle w:val="FirstParagraph"/>
        <w:spacing w:line="360" w:lineRule="auto"/>
        <w:ind w:firstLine="0"/>
        <w:rPr>
          <w:rFonts w:cs="Arial"/>
        </w:rPr>
      </w:pPr>
      <w:r>
        <w:rPr>
          <w:rFonts w:cs="Arial"/>
        </w:rPr>
        <w:t xml:space="preserve">The literature also raises concerns about employee wellbeing. Wu et al. (2025) found that human–GenAI collaboration can enhance task performance but lower intrinsic motivation, as efficiency gains may come at the expense of autonomy or competence. In a small </w:t>
      </w:r>
      <w:proofErr w:type="spellStart"/>
      <w:r>
        <w:rPr>
          <w:rFonts w:cs="Arial"/>
        </w:rPr>
        <w:t>organisation</w:t>
      </w:r>
      <w:proofErr w:type="spellEnd"/>
      <w:r>
        <w:rPr>
          <w:rFonts w:cs="Arial"/>
        </w:rPr>
        <w:t xml:space="preserve"> where roles and relationships are highly visible, fears of replacement, monitoring or loss of professional value could strongly affect trust. The lack of context-specific evidence combining employee uptake, organisational readiness and responsible-use risks is therefore the central research gap, which the proposed mixed-methods case study will address.</w:t>
      </w:r>
    </w:p>
    <w:p w14:paraId="36B7E596" w14:textId="77777777" w:rsidR="003767FA" w:rsidRDefault="00000000">
      <w:pPr>
        <w:pStyle w:val="Heading1"/>
      </w:pPr>
      <w:bookmarkStart w:id="7" w:name="_Toc241401870"/>
      <w:r>
        <w:t>Conceptual Framework</w:t>
      </w:r>
      <w:bookmarkEnd w:id="7"/>
    </w:p>
    <w:p w14:paraId="47EF8974" w14:textId="77777777" w:rsidR="003767FA" w:rsidRDefault="00000000" w:rsidP="009E05DE">
      <w:pPr>
        <w:pStyle w:val="FirstParagraph"/>
        <w:spacing w:line="360" w:lineRule="auto"/>
        <w:ind w:firstLine="0"/>
        <w:rPr>
          <w:rFonts w:cs="Arial"/>
        </w:rPr>
      </w:pPr>
      <w:r>
        <w:rPr>
          <w:rFonts w:cs="Arial"/>
        </w:rPr>
        <w:t>This framework draws on two established theories. At the individual level, it uses the Unified Theory of Acceptance and Use of Technology (UTAUT), which explains adoption through performance expectancy, effort expectancy, social influence and facilitating conditions (Venkatesh et al., 2003). UTAUT suits a small firm, where colleagues and managers strongly influence one another. At the organisational level, the Technology–</w:t>
      </w:r>
      <w:proofErr w:type="spellStart"/>
      <w:r>
        <w:rPr>
          <w:rFonts w:cs="Arial"/>
        </w:rPr>
        <w:t>Organisation</w:t>
      </w:r>
      <w:proofErr w:type="spellEnd"/>
      <w:r>
        <w:rPr>
          <w:rFonts w:cs="Arial"/>
        </w:rPr>
        <w:t>–Environment (TOE) framework (</w:t>
      </w:r>
      <w:proofErr w:type="spellStart"/>
      <w:r>
        <w:rPr>
          <w:rFonts w:cs="Arial"/>
        </w:rPr>
        <w:t>Tornatzky</w:t>
      </w:r>
      <w:proofErr w:type="spellEnd"/>
      <w:r>
        <w:rPr>
          <w:rFonts w:cs="Arial"/>
        </w:rPr>
        <w:t xml:space="preserve"> and Fleischer, 1990) captures what UTAUT misses: an employee may want to use GenAI while the firm lacks suitable policies, training or tools, and external pressure from competitors and clients may also shape adoption. However, UTAUT was developed before GenAI and measures intention rather than responsible use; trust in AI outputs, job-security concerns and output checking are therefore added as further constructs.</w:t>
      </w:r>
    </w:p>
    <w:p w14:paraId="4B78F870" w14:textId="77777777" w:rsidR="003767FA" w:rsidRDefault="00000000" w:rsidP="009E05DE">
      <w:pPr>
        <w:pStyle w:val="FirstParagraph"/>
        <w:spacing w:line="360" w:lineRule="auto"/>
        <w:ind w:firstLine="0"/>
        <w:rPr>
          <w:rFonts w:cs="Arial"/>
        </w:rPr>
      </w:pPr>
      <w:r>
        <w:rPr>
          <w:rFonts w:cs="Arial"/>
        </w:rPr>
        <w:t xml:space="preserve">The study combines employee-acceptance and organisational-readiness perspectives. At the individual level, it will explore perceived performance benefits, perceived ease of use, social influence, trust, confidence and intention to use. At the organisational level, it will </w:t>
      </w:r>
      <w:proofErr w:type="spellStart"/>
      <w:r>
        <w:rPr>
          <w:rFonts w:cs="Arial"/>
        </w:rPr>
        <w:t>analyse</w:t>
      </w:r>
      <w:proofErr w:type="spellEnd"/>
      <w:r>
        <w:rPr>
          <w:rFonts w:cs="Arial"/>
        </w:rPr>
        <w:t xml:space="preserve"> technological fit, training, leadership support, governance, available resources and external pressures. This integration is appropriate because employees may want to adopt GenAI but be constrained by policy, data or task limitations; likewise, organisational readiness cannot create value if staff do not trust the technology. The framework will direct the development of the survey items, interview questions and thematic analysis while remaining open to factors not previously identified in the literature.</w:t>
      </w:r>
    </w:p>
    <w:p w14:paraId="7ADFBD98" w14:textId="77777777" w:rsidR="003767FA" w:rsidRDefault="00000000">
      <w:pPr>
        <w:pStyle w:val="Heading1"/>
      </w:pPr>
      <w:bookmarkStart w:id="8" w:name="_Toc241401871"/>
      <w:r>
        <w:lastRenderedPageBreak/>
        <w:t>Research Methodology and Design</w:t>
      </w:r>
      <w:bookmarkEnd w:id="8"/>
    </w:p>
    <w:p w14:paraId="74797969" w14:textId="77777777" w:rsidR="003767FA" w:rsidRDefault="00000000" w:rsidP="009E05DE">
      <w:pPr>
        <w:pStyle w:val="FirstParagraph"/>
        <w:spacing w:line="360" w:lineRule="auto"/>
        <w:ind w:firstLine="0"/>
        <w:rPr>
          <w:rFonts w:cs="Arial"/>
        </w:rPr>
      </w:pPr>
      <w:r>
        <w:rPr>
          <w:rFonts w:cs="Arial"/>
        </w:rPr>
        <w:t>A pragmatic research philosophy and mixed-method case-study design will be adopted (Saunders, Lewis and Thornhill, 2019). Pragmatism is appropriate because the study seeks an actionable organisational solution and allows both quantitative and qualitative evidence to be used as the problem requires. A sequential explanatory design (Creswell and Plano Clark, 2018) will begin with an employee survey, followed by semi-structured interviews to explain the patterns identified. The survey will measure the prevalence of GenAI use, the types of tasks being used, perceived usefulness, confidence, trust in the technology, support for adoption and intention to use. The interviews will explore the reasons behind these perceptions, managerial expectations, technology exposure and job-related concerns.</w:t>
      </w:r>
    </w:p>
    <w:p w14:paraId="7333A176" w14:textId="77777777" w:rsidR="003767FA" w:rsidRDefault="00000000" w:rsidP="009E05DE">
      <w:pPr>
        <w:pStyle w:val="FirstParagraph"/>
        <w:spacing w:line="360" w:lineRule="auto"/>
        <w:ind w:firstLine="0"/>
        <w:rPr>
          <w:rFonts w:cs="Arial"/>
        </w:rPr>
      </w:pPr>
      <w:r>
        <w:rPr>
          <w:rFonts w:cs="Arial"/>
        </w:rPr>
        <w:t xml:space="preserve">The research population comprises all 35 or so employees of the case </w:t>
      </w:r>
      <w:proofErr w:type="spellStart"/>
      <w:r>
        <w:rPr>
          <w:rFonts w:cs="Arial"/>
        </w:rPr>
        <w:t>organisation</w:t>
      </w:r>
      <w:proofErr w:type="spellEnd"/>
      <w:r>
        <w:rPr>
          <w:rFonts w:cs="Arial"/>
        </w:rPr>
        <w:t xml:space="preserve">. Due to the small size of the workforce, a census invitation will be used for the survey. A target of 25 or more responses would provide useful organisational evidence and support cautious </w:t>
      </w:r>
      <w:proofErr w:type="spellStart"/>
      <w:r>
        <w:rPr>
          <w:rFonts w:cs="Arial"/>
        </w:rPr>
        <w:t>generalisation</w:t>
      </w:r>
      <w:proofErr w:type="spellEnd"/>
      <w:r>
        <w:rPr>
          <w:rFonts w:cs="Arial"/>
        </w:rPr>
        <w:t xml:space="preserve"> within the firm; however, the findings will not be </w:t>
      </w:r>
      <w:proofErr w:type="spellStart"/>
      <w:r>
        <w:rPr>
          <w:rFonts w:cs="Arial"/>
        </w:rPr>
        <w:t>generalisable</w:t>
      </w:r>
      <w:proofErr w:type="spellEnd"/>
      <w:r>
        <w:rPr>
          <w:rFonts w:cs="Arial"/>
        </w:rPr>
        <w:t xml:space="preserve"> beyond the </w:t>
      </w:r>
      <w:proofErr w:type="spellStart"/>
      <w:r>
        <w:rPr>
          <w:rFonts w:cs="Arial"/>
        </w:rPr>
        <w:t>organisation</w:t>
      </w:r>
      <w:proofErr w:type="spellEnd"/>
      <w:r>
        <w:rPr>
          <w:rFonts w:cs="Arial"/>
        </w:rPr>
        <w:t>. Six to eight interviewees will then be purposively selected across departments and seniority levels to represent frequent, occasional and non-users. This ‘high variance’ approach should reveal contrasting experiences rather than privileging employees who are already enthusiastic about GenAI.</w:t>
      </w:r>
    </w:p>
    <w:p w14:paraId="1EC61080" w14:textId="77777777" w:rsidR="003767FA" w:rsidRDefault="00000000">
      <w:pPr>
        <w:pStyle w:val="Heading1"/>
      </w:pPr>
      <w:bookmarkStart w:id="9" w:name="_Toc241401872"/>
      <w:r>
        <w:t>Data Collection and Analysis</w:t>
      </w:r>
      <w:bookmarkEnd w:id="9"/>
    </w:p>
    <w:p w14:paraId="2F73AFE1" w14:textId="77777777" w:rsidR="003767FA" w:rsidRDefault="00000000" w:rsidP="009E05DE">
      <w:pPr>
        <w:pStyle w:val="FirstParagraph"/>
        <w:spacing w:line="360" w:lineRule="auto"/>
        <w:ind w:firstLine="0"/>
        <w:rPr>
          <w:rFonts w:cs="Arial"/>
        </w:rPr>
      </w:pPr>
      <w:r>
        <w:rPr>
          <w:rFonts w:cs="Arial"/>
        </w:rPr>
        <w:t xml:space="preserve">The online questionnaire will mainly use five-point Likert-scale items, alongside questions on frequency of use, work tasks, approved/unapproved tools and previous training. Items will be adapted from existing technology-adoption frameworks and piloted with two people outside the sample to test clarity and completion time. Survey data will be </w:t>
      </w:r>
      <w:proofErr w:type="spellStart"/>
      <w:r>
        <w:rPr>
          <w:rFonts w:cs="Arial"/>
        </w:rPr>
        <w:t>analysed</w:t>
      </w:r>
      <w:proofErr w:type="spellEnd"/>
      <w:r>
        <w:rPr>
          <w:rFonts w:cs="Arial"/>
        </w:rPr>
        <w:t xml:space="preserve"> using descriptive statistics, cross-tabulation and Spearman correlation. Because it is a small sample, interpretations will focus on patterns and relationships and will avoid making claims to population-level causality.</w:t>
      </w:r>
    </w:p>
    <w:p w14:paraId="042F191E" w14:textId="77777777" w:rsidR="003767FA" w:rsidRDefault="00000000" w:rsidP="009E05DE">
      <w:pPr>
        <w:pStyle w:val="FirstParagraph"/>
        <w:spacing w:line="360" w:lineRule="auto"/>
        <w:ind w:firstLine="0"/>
        <w:rPr>
          <w:rFonts w:cs="Arial"/>
        </w:rPr>
      </w:pPr>
      <w:r>
        <w:rPr>
          <w:rFonts w:cs="Arial"/>
        </w:rPr>
        <w:t xml:space="preserve">Interviews will last around 30–40 minutes and, with participants’ consent, will be recorded, transcribed and </w:t>
      </w:r>
      <w:proofErr w:type="spellStart"/>
      <w:r>
        <w:rPr>
          <w:rFonts w:cs="Arial"/>
        </w:rPr>
        <w:t>analysed</w:t>
      </w:r>
      <w:proofErr w:type="spellEnd"/>
      <w:r>
        <w:rPr>
          <w:rFonts w:cs="Arial"/>
        </w:rPr>
        <w:t xml:space="preserve"> using reflexive thematic analysis (Braun and Clarke, 2022). Initial codes will cover perceptions, barriers, enablers, risks and organisational actions suggested by employees. These will be grouped into broader themes and compared with the survey results. Integration will use a narrative comparison in which qualitative evidence supports, challenges or clarifies quantitative patterns. This triangulation should provide a more complete understanding of adoption than either method alone.</w:t>
      </w:r>
    </w:p>
    <w:p w14:paraId="1DE3473A" w14:textId="77777777" w:rsidR="003767FA" w:rsidRDefault="00000000">
      <w:pPr>
        <w:pStyle w:val="Heading1"/>
      </w:pPr>
      <w:bookmarkStart w:id="10" w:name="_Toc241401873"/>
      <w:r>
        <w:lastRenderedPageBreak/>
        <w:t>Reliability, Validity and Research Ethics</w:t>
      </w:r>
      <w:bookmarkEnd w:id="10"/>
    </w:p>
    <w:p w14:paraId="33303FCE" w14:textId="77777777" w:rsidR="003767FA" w:rsidRDefault="00000000" w:rsidP="009E05DE">
      <w:pPr>
        <w:pStyle w:val="FirstParagraph"/>
        <w:spacing w:line="360" w:lineRule="auto"/>
        <w:ind w:firstLine="0"/>
        <w:rPr>
          <w:rFonts w:cs="Arial"/>
        </w:rPr>
      </w:pPr>
      <w:r>
        <w:rPr>
          <w:rFonts w:cs="Arial"/>
        </w:rPr>
        <w:t>Survey reliability will be supported by clear question wording, piloting and consistent administration. Internal consistency can be checked for multi-item constructs, although the small sample limits the interpretation of statistical reliability measures. Credibility will be enhanced through methodological triangulation, contrasting participants, a transparent coding record and participant checking of short interview summaries. Negative cases will be reported, as will the study’s limitations and the researcher’s assumptions.</w:t>
      </w:r>
    </w:p>
    <w:p w14:paraId="5D0CA377" w14:textId="77777777" w:rsidR="003767FA" w:rsidRDefault="00000000" w:rsidP="009E05DE">
      <w:pPr>
        <w:pStyle w:val="FirstParagraph"/>
        <w:spacing w:line="360" w:lineRule="auto"/>
        <w:ind w:firstLine="0"/>
        <w:rPr>
          <w:rFonts w:cs="Arial"/>
        </w:rPr>
      </w:pPr>
      <w:r>
        <w:rPr>
          <w:rFonts w:cs="Arial"/>
        </w:rPr>
        <w:t xml:space="preserve">Data collection will begin only after ethical approval has been obtained. Participation will be voluntary and based on informed consent, and participants may withdraw before </w:t>
      </w:r>
      <w:proofErr w:type="spellStart"/>
      <w:r>
        <w:rPr>
          <w:rFonts w:cs="Arial"/>
        </w:rPr>
        <w:t>anonymised</w:t>
      </w:r>
      <w:proofErr w:type="spellEnd"/>
      <w:r>
        <w:rPr>
          <w:rFonts w:cs="Arial"/>
        </w:rPr>
        <w:t xml:space="preserve"> analysis begins. Managers will not be told who took part, and because the workforce is small, names, job titles and other identifying details will be removed from quotations. No client information or confidential GenAI prompts will be collected. Research files will be encrypted, access restricted to the researcher and retention periods clearly communicated, in line with UK GDPR and the Data Protection Act 2018.</w:t>
      </w:r>
    </w:p>
    <w:p w14:paraId="48E80012" w14:textId="77777777" w:rsidR="003767FA" w:rsidRDefault="00000000" w:rsidP="009E05DE">
      <w:pPr>
        <w:pStyle w:val="FirstParagraph"/>
        <w:spacing w:line="360" w:lineRule="auto"/>
        <w:ind w:firstLine="0"/>
        <w:rPr>
          <w:rFonts w:cs="Arial"/>
        </w:rPr>
      </w:pPr>
      <w:r>
        <w:rPr>
          <w:rFonts w:cs="Arial"/>
        </w:rPr>
        <w:t xml:space="preserve">Questions about </w:t>
      </w:r>
      <w:proofErr w:type="spellStart"/>
      <w:r>
        <w:rPr>
          <w:rFonts w:cs="Arial"/>
        </w:rPr>
        <w:t>unauthorised</w:t>
      </w:r>
      <w:proofErr w:type="spellEnd"/>
      <w:r>
        <w:rPr>
          <w:rFonts w:cs="Arial"/>
        </w:rPr>
        <w:t xml:space="preserve"> tool use and job security will be asked sensitively, as employees may fear repercussions for their jobs. Findings will be reported in aggregate to </w:t>
      </w:r>
      <w:proofErr w:type="spellStart"/>
      <w:r>
        <w:rPr>
          <w:rFonts w:cs="Arial"/>
        </w:rPr>
        <w:t>minimise</w:t>
      </w:r>
      <w:proofErr w:type="spellEnd"/>
      <w:r>
        <w:rPr>
          <w:rFonts w:cs="Arial"/>
        </w:rPr>
        <w:t xml:space="preserve"> the risk of identification. Inclusive participation will be supported through accessible questionnaire language, flexible interview arrangements and the opportunity to ask questions before consenting.</w:t>
      </w:r>
    </w:p>
    <w:p w14:paraId="07578557" w14:textId="77777777" w:rsidR="003767FA" w:rsidRDefault="00000000">
      <w:pPr>
        <w:pStyle w:val="Heading1"/>
      </w:pPr>
      <w:bookmarkStart w:id="11" w:name="_Toc241401874"/>
      <w:r>
        <w:t>Business Relevance, Limitations and Anticipated Outcomes</w:t>
      </w:r>
      <w:bookmarkEnd w:id="11"/>
    </w:p>
    <w:p w14:paraId="43A30311" w14:textId="77777777" w:rsidR="003767FA" w:rsidRDefault="00000000" w:rsidP="009E05DE">
      <w:pPr>
        <w:pStyle w:val="FirstParagraph"/>
        <w:spacing w:line="360" w:lineRule="auto"/>
        <w:ind w:firstLine="0"/>
        <w:rPr>
          <w:rFonts w:cs="Arial"/>
        </w:rPr>
      </w:pPr>
      <w:r>
        <w:rPr>
          <w:rFonts w:cs="Arial"/>
        </w:rPr>
        <w:t xml:space="preserve">The study will deliver a management plan for adoption rather than a generic technology strategy. Potential recommendations include role-specific training, an approved-tool list, data-classification rules, human-review rules, peer-support champions and task-specific pilots. Baseline data would help management </w:t>
      </w:r>
      <w:proofErr w:type="spellStart"/>
      <w:r>
        <w:rPr>
          <w:rFonts w:cs="Arial"/>
        </w:rPr>
        <w:t>prioritise</w:t>
      </w:r>
      <w:proofErr w:type="spellEnd"/>
      <w:r>
        <w:rPr>
          <w:rFonts w:cs="Arial"/>
        </w:rPr>
        <w:t xml:space="preserve"> investment and later assess the extent and quality of adoption, time savings and employee confidence. These recommendations remain tentative until the data have been collected and </w:t>
      </w:r>
      <w:proofErr w:type="spellStart"/>
      <w:r>
        <w:rPr>
          <w:rFonts w:cs="Arial"/>
        </w:rPr>
        <w:t>analysed</w:t>
      </w:r>
      <w:proofErr w:type="spellEnd"/>
      <w:r>
        <w:rPr>
          <w:rFonts w:cs="Arial"/>
        </w:rPr>
        <w:t>.</w:t>
      </w:r>
    </w:p>
    <w:p w14:paraId="5FB9804F" w14:textId="77777777" w:rsidR="003767FA" w:rsidRDefault="00000000" w:rsidP="009E05DE">
      <w:pPr>
        <w:pStyle w:val="FirstParagraph"/>
        <w:spacing w:line="360" w:lineRule="auto"/>
        <w:ind w:firstLine="0"/>
        <w:rPr>
          <w:rFonts w:cs="Arial"/>
        </w:rPr>
      </w:pPr>
      <w:r>
        <w:rPr>
          <w:rFonts w:cs="Arial"/>
        </w:rPr>
        <w:t xml:space="preserve">The main limitations are the single-case design, small sample, reliance on self-reported </w:t>
      </w:r>
      <w:proofErr w:type="spellStart"/>
      <w:r>
        <w:rPr>
          <w:rFonts w:cs="Arial"/>
        </w:rPr>
        <w:t>behaviour</w:t>
      </w:r>
      <w:proofErr w:type="spellEnd"/>
      <w:r>
        <w:rPr>
          <w:rFonts w:cs="Arial"/>
        </w:rPr>
        <w:t xml:space="preserve"> and the rapidly changing nature of GenAI technology. Employees may under-report GenAI use, and their perceptions could shift following the introduction of new tools or policies. </w:t>
      </w:r>
    </w:p>
    <w:p w14:paraId="6A7C4E6F" w14:textId="77777777" w:rsidR="003767FA" w:rsidRDefault="00000000" w:rsidP="009E05DE">
      <w:pPr>
        <w:pStyle w:val="FirstParagraph"/>
        <w:spacing w:line="360" w:lineRule="auto"/>
        <w:ind w:firstLine="0"/>
        <w:rPr>
          <w:rFonts w:cs="Arial"/>
        </w:rPr>
      </w:pPr>
      <w:r>
        <w:rPr>
          <w:rFonts w:cs="Arial"/>
        </w:rPr>
        <w:t xml:space="preserve">Reflecting on this proposal has developed my understanding of applied business research. Designing a mixed-methods study showed me that combining a survey with interviews gives a fuller picture than either method alone, as the survey reveals patterns while the interviews </w:t>
      </w:r>
      <w:r>
        <w:rPr>
          <w:rFonts w:cs="Arial"/>
        </w:rPr>
        <w:lastRenderedPageBreak/>
        <w:t>explain them (Saunders, Lewis and Thornhill, 2019). Planning the ethics also showed that confidentiality needs particular care in a small firm, where participants can easily be identified from their role or comments. In future, before making decisions at work, I will collect evidence from the staff affected rather than relying on assumptions.</w:t>
      </w:r>
    </w:p>
    <w:p w14:paraId="3DD9DC34" w14:textId="77777777" w:rsidR="003767FA" w:rsidRDefault="00000000">
      <w:pPr>
        <w:pStyle w:val="Heading1"/>
      </w:pPr>
      <w:bookmarkStart w:id="12" w:name="_Toc241401875"/>
      <w:r>
        <w:t>Research Timeframe</w:t>
      </w:r>
      <w:bookmarkEnd w:id="12"/>
    </w:p>
    <w:p w14:paraId="69E19599" w14:textId="77777777" w:rsidR="003767FA" w:rsidRDefault="00000000" w:rsidP="009E05DE">
      <w:pPr>
        <w:pStyle w:val="FirstParagraph"/>
        <w:spacing w:line="360" w:lineRule="auto"/>
        <w:ind w:firstLine="0"/>
        <w:rPr>
          <w:rFonts w:cs="Arial"/>
        </w:rPr>
      </w:pPr>
      <w:r>
        <w:rPr>
          <w:rFonts w:cs="Arial"/>
        </w:rPr>
        <w:t>The study is planned over 12 weeks (Figure 1). Because the design is sequential, interviews begin only once initial survey findings are available. Extra time is allowed for interviews, to accommodate participants’ work commitments, and for writing up, which begins while analysis is still under way.</w:t>
      </w:r>
    </w:p>
    <w:tbl>
      <w:tblPr>
        <w:tblW w:w="9026" w:type="dxa"/>
        <w:tblLayout w:type="fixed"/>
        <w:tblCellMar>
          <w:left w:w="50" w:type="dxa"/>
          <w:right w:w="50" w:type="dxa"/>
        </w:tblCellMar>
        <w:tblLook w:val="04A0" w:firstRow="1" w:lastRow="0" w:firstColumn="1" w:lastColumn="0" w:noHBand="0" w:noVBand="1"/>
      </w:tblPr>
      <w:tblGrid>
        <w:gridCol w:w="3266"/>
        <w:gridCol w:w="480"/>
        <w:gridCol w:w="480"/>
        <w:gridCol w:w="480"/>
        <w:gridCol w:w="480"/>
        <w:gridCol w:w="480"/>
        <w:gridCol w:w="480"/>
        <w:gridCol w:w="480"/>
        <w:gridCol w:w="480"/>
        <w:gridCol w:w="480"/>
        <w:gridCol w:w="480"/>
        <w:gridCol w:w="480"/>
        <w:gridCol w:w="480"/>
      </w:tblGrid>
      <w:tr w:rsidR="003767FA" w14:paraId="21017BAF" w14:textId="77777777">
        <w:trPr>
          <w:tblHeader/>
        </w:trPr>
        <w:tc>
          <w:tcPr>
            <w:tcW w:w="3266"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0E34FF34" w14:textId="77777777" w:rsidR="003767FA" w:rsidRDefault="00000000">
            <w:pPr>
              <w:spacing w:before="40" w:after="40" w:line="240" w:lineRule="auto"/>
              <w:ind w:firstLine="0"/>
              <w:rPr>
                <w:rFonts w:cs="Arial"/>
                <w:b/>
                <w:sz w:val="18"/>
              </w:rPr>
            </w:pPr>
            <w:r>
              <w:rPr>
                <w:rFonts w:cs="Arial"/>
                <w:b/>
                <w:sz w:val="18"/>
              </w:rPr>
              <w:t>Task / Week</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222F2198" w14:textId="77777777" w:rsidR="003767FA" w:rsidRDefault="00000000">
            <w:pPr>
              <w:spacing w:before="40" w:after="40" w:line="240" w:lineRule="auto"/>
              <w:ind w:firstLine="0"/>
              <w:jc w:val="center"/>
              <w:rPr>
                <w:rFonts w:cs="Arial"/>
                <w:b/>
                <w:sz w:val="18"/>
              </w:rPr>
            </w:pPr>
            <w:r>
              <w:rPr>
                <w:rFonts w:cs="Arial"/>
                <w:b/>
                <w:sz w:val="18"/>
              </w:rPr>
              <w:t>1</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05288470" w14:textId="77777777" w:rsidR="003767FA" w:rsidRDefault="00000000">
            <w:pPr>
              <w:spacing w:before="40" w:after="40" w:line="240" w:lineRule="auto"/>
              <w:ind w:firstLine="0"/>
              <w:jc w:val="center"/>
              <w:rPr>
                <w:rFonts w:cs="Arial"/>
                <w:b/>
                <w:sz w:val="18"/>
              </w:rPr>
            </w:pPr>
            <w:r>
              <w:rPr>
                <w:rFonts w:cs="Arial"/>
                <w:b/>
                <w:sz w:val="18"/>
              </w:rPr>
              <w:t>2</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7E6D6359" w14:textId="77777777" w:rsidR="003767FA" w:rsidRDefault="00000000">
            <w:pPr>
              <w:spacing w:before="40" w:after="40" w:line="240" w:lineRule="auto"/>
              <w:ind w:firstLine="0"/>
              <w:jc w:val="center"/>
              <w:rPr>
                <w:rFonts w:cs="Arial"/>
                <w:b/>
                <w:sz w:val="18"/>
              </w:rPr>
            </w:pPr>
            <w:r>
              <w:rPr>
                <w:rFonts w:cs="Arial"/>
                <w:b/>
                <w:sz w:val="18"/>
              </w:rPr>
              <w:t>3</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4589430B" w14:textId="77777777" w:rsidR="003767FA" w:rsidRDefault="00000000">
            <w:pPr>
              <w:spacing w:before="40" w:after="40" w:line="240" w:lineRule="auto"/>
              <w:ind w:firstLine="0"/>
              <w:jc w:val="center"/>
              <w:rPr>
                <w:rFonts w:cs="Arial"/>
                <w:b/>
                <w:sz w:val="18"/>
              </w:rPr>
            </w:pPr>
            <w:r>
              <w:rPr>
                <w:rFonts w:cs="Arial"/>
                <w:b/>
                <w:sz w:val="18"/>
              </w:rPr>
              <w:t>4</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3DDDE49F" w14:textId="77777777" w:rsidR="003767FA" w:rsidRDefault="00000000">
            <w:pPr>
              <w:spacing w:before="40" w:after="40" w:line="240" w:lineRule="auto"/>
              <w:ind w:firstLine="0"/>
              <w:jc w:val="center"/>
              <w:rPr>
                <w:rFonts w:cs="Arial"/>
                <w:b/>
                <w:sz w:val="18"/>
              </w:rPr>
            </w:pPr>
            <w:r>
              <w:rPr>
                <w:rFonts w:cs="Arial"/>
                <w:b/>
                <w:sz w:val="18"/>
              </w:rPr>
              <w:t>5</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0498899F" w14:textId="77777777" w:rsidR="003767FA" w:rsidRDefault="00000000">
            <w:pPr>
              <w:spacing w:before="40" w:after="40" w:line="240" w:lineRule="auto"/>
              <w:ind w:firstLine="0"/>
              <w:jc w:val="center"/>
              <w:rPr>
                <w:rFonts w:cs="Arial"/>
                <w:b/>
                <w:sz w:val="18"/>
              </w:rPr>
            </w:pPr>
            <w:r>
              <w:rPr>
                <w:rFonts w:cs="Arial"/>
                <w:b/>
                <w:sz w:val="18"/>
              </w:rPr>
              <w:t>6</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6AE454C7" w14:textId="77777777" w:rsidR="003767FA" w:rsidRDefault="00000000">
            <w:pPr>
              <w:spacing w:before="40" w:after="40" w:line="240" w:lineRule="auto"/>
              <w:ind w:firstLine="0"/>
              <w:jc w:val="center"/>
              <w:rPr>
                <w:rFonts w:cs="Arial"/>
                <w:b/>
                <w:sz w:val="18"/>
              </w:rPr>
            </w:pPr>
            <w:r>
              <w:rPr>
                <w:rFonts w:cs="Arial"/>
                <w:b/>
                <w:sz w:val="18"/>
              </w:rPr>
              <w:t>7</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54954317" w14:textId="77777777" w:rsidR="003767FA" w:rsidRDefault="00000000">
            <w:pPr>
              <w:spacing w:before="40" w:after="40" w:line="240" w:lineRule="auto"/>
              <w:ind w:firstLine="0"/>
              <w:jc w:val="center"/>
              <w:rPr>
                <w:rFonts w:cs="Arial"/>
                <w:b/>
                <w:sz w:val="18"/>
              </w:rPr>
            </w:pPr>
            <w:r>
              <w:rPr>
                <w:rFonts w:cs="Arial"/>
                <w:b/>
                <w:sz w:val="18"/>
              </w:rPr>
              <w:t>8</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7D3B994D" w14:textId="77777777" w:rsidR="003767FA" w:rsidRDefault="00000000">
            <w:pPr>
              <w:spacing w:before="40" w:after="40" w:line="240" w:lineRule="auto"/>
              <w:ind w:firstLine="0"/>
              <w:jc w:val="center"/>
              <w:rPr>
                <w:rFonts w:cs="Arial"/>
                <w:b/>
                <w:sz w:val="18"/>
              </w:rPr>
            </w:pPr>
            <w:r>
              <w:rPr>
                <w:rFonts w:cs="Arial"/>
                <w:b/>
                <w:sz w:val="18"/>
              </w:rPr>
              <w:t>9</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727517E7" w14:textId="77777777" w:rsidR="003767FA" w:rsidRDefault="00000000">
            <w:pPr>
              <w:spacing w:before="40" w:after="40" w:line="240" w:lineRule="auto"/>
              <w:ind w:firstLine="0"/>
              <w:jc w:val="center"/>
              <w:rPr>
                <w:rFonts w:cs="Arial"/>
                <w:b/>
                <w:sz w:val="18"/>
              </w:rPr>
            </w:pPr>
            <w:r>
              <w:rPr>
                <w:rFonts w:cs="Arial"/>
                <w:b/>
                <w:sz w:val="18"/>
              </w:rPr>
              <w:t>10</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1122FF91" w14:textId="77777777" w:rsidR="003767FA" w:rsidRDefault="00000000">
            <w:pPr>
              <w:spacing w:before="40" w:after="40" w:line="240" w:lineRule="auto"/>
              <w:ind w:firstLine="0"/>
              <w:jc w:val="center"/>
              <w:rPr>
                <w:rFonts w:cs="Arial"/>
                <w:b/>
                <w:sz w:val="18"/>
              </w:rPr>
            </w:pPr>
            <w:r>
              <w:rPr>
                <w:rFonts w:cs="Arial"/>
                <w:b/>
                <w:sz w:val="18"/>
              </w:rPr>
              <w:t>11</w:t>
            </w:r>
          </w:p>
        </w:tc>
        <w:tc>
          <w:tcPr>
            <w:tcW w:w="480" w:type="dxa"/>
            <w:tcBorders>
              <w:top w:val="single" w:sz="4" w:space="0" w:color="808080"/>
              <w:left w:val="single" w:sz="4" w:space="0" w:color="808080"/>
              <w:bottom w:val="single" w:sz="4" w:space="0" w:color="808080"/>
              <w:right w:val="single" w:sz="4" w:space="0" w:color="808080"/>
            </w:tcBorders>
            <w:shd w:val="clear" w:color="auto" w:fill="D9D9D9"/>
            <w:vAlign w:val="center"/>
          </w:tcPr>
          <w:p w14:paraId="06B320E4" w14:textId="77777777" w:rsidR="003767FA" w:rsidRDefault="00000000">
            <w:pPr>
              <w:spacing w:before="40" w:after="40" w:line="240" w:lineRule="auto"/>
              <w:ind w:firstLine="0"/>
              <w:jc w:val="center"/>
              <w:rPr>
                <w:rFonts w:cs="Arial"/>
                <w:b/>
                <w:sz w:val="18"/>
              </w:rPr>
            </w:pPr>
            <w:r>
              <w:rPr>
                <w:rFonts w:cs="Arial"/>
                <w:b/>
                <w:sz w:val="18"/>
              </w:rPr>
              <w:t>12</w:t>
            </w:r>
          </w:p>
        </w:tc>
      </w:tr>
      <w:tr w:rsidR="003767FA" w14:paraId="1A49EADD"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50F2AC89" w14:textId="77777777" w:rsidR="003767FA" w:rsidRDefault="00000000">
            <w:pPr>
              <w:spacing w:before="40" w:after="40" w:line="240" w:lineRule="auto"/>
              <w:ind w:firstLine="0"/>
              <w:rPr>
                <w:rFonts w:cs="Arial"/>
                <w:sz w:val="18"/>
              </w:rPr>
            </w:pPr>
            <w:r>
              <w:rPr>
                <w:rFonts w:cs="Arial"/>
                <w:sz w:val="18"/>
              </w:rPr>
              <w:t>Literature review update and ethics approval</w:t>
            </w: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08D1D3F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74BCAC0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5205C7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588057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E47787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6E4F77E"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8F7988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DA45C1F"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56EF7B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D210063"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618D3E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186C540" w14:textId="77777777" w:rsidR="003767FA" w:rsidRDefault="003767FA">
            <w:pPr>
              <w:spacing w:before="40" w:after="40" w:line="240" w:lineRule="auto"/>
              <w:ind w:firstLine="0"/>
              <w:rPr>
                <w:rFonts w:cs="Arial"/>
                <w:sz w:val="18"/>
              </w:rPr>
            </w:pPr>
          </w:p>
        </w:tc>
      </w:tr>
      <w:tr w:rsidR="003767FA" w14:paraId="1E23703B"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20C3E61F" w14:textId="77777777" w:rsidR="003767FA" w:rsidRDefault="00000000">
            <w:pPr>
              <w:spacing w:before="40" w:after="40" w:line="240" w:lineRule="auto"/>
              <w:ind w:firstLine="0"/>
              <w:rPr>
                <w:rFonts w:cs="Arial"/>
                <w:sz w:val="18"/>
              </w:rPr>
            </w:pPr>
            <w:r>
              <w:rPr>
                <w:rFonts w:cs="Arial"/>
                <w:sz w:val="18"/>
              </w:rPr>
              <w:t>Survey design and pilot (2 people)</w:t>
            </w:r>
          </w:p>
        </w:tc>
        <w:tc>
          <w:tcPr>
            <w:tcW w:w="480" w:type="dxa"/>
            <w:tcBorders>
              <w:top w:val="single" w:sz="4" w:space="0" w:color="808080"/>
              <w:left w:val="single" w:sz="4" w:space="0" w:color="808080"/>
              <w:bottom w:val="single" w:sz="4" w:space="0" w:color="808080"/>
              <w:right w:val="single" w:sz="4" w:space="0" w:color="808080"/>
            </w:tcBorders>
            <w:vAlign w:val="center"/>
          </w:tcPr>
          <w:p w14:paraId="165FF1D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79CD1F30"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4D32781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435C36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D951C7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C72760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E2687C3"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7333DE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3DA7659"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EFB0D59"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03BE115"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4369C9F" w14:textId="77777777" w:rsidR="003767FA" w:rsidRDefault="003767FA">
            <w:pPr>
              <w:spacing w:before="40" w:after="40" w:line="240" w:lineRule="auto"/>
              <w:ind w:firstLine="0"/>
              <w:rPr>
                <w:rFonts w:cs="Arial"/>
                <w:sz w:val="18"/>
              </w:rPr>
            </w:pPr>
          </w:p>
        </w:tc>
      </w:tr>
      <w:tr w:rsidR="003767FA" w14:paraId="42094106"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5095538F" w14:textId="77777777" w:rsidR="003767FA" w:rsidRDefault="00000000">
            <w:pPr>
              <w:spacing w:before="40" w:after="40" w:line="240" w:lineRule="auto"/>
              <w:ind w:firstLine="0"/>
              <w:rPr>
                <w:rFonts w:cs="Arial"/>
                <w:sz w:val="18"/>
              </w:rPr>
            </w:pPr>
            <w:r>
              <w:rPr>
                <w:rFonts w:cs="Arial"/>
                <w:sz w:val="18"/>
              </w:rPr>
              <w:t>Survey data collection (all employees)</w:t>
            </w:r>
          </w:p>
        </w:tc>
        <w:tc>
          <w:tcPr>
            <w:tcW w:w="480" w:type="dxa"/>
            <w:tcBorders>
              <w:top w:val="single" w:sz="4" w:space="0" w:color="808080"/>
              <w:left w:val="single" w:sz="4" w:space="0" w:color="808080"/>
              <w:bottom w:val="single" w:sz="4" w:space="0" w:color="808080"/>
              <w:right w:val="single" w:sz="4" w:space="0" w:color="808080"/>
            </w:tcBorders>
            <w:vAlign w:val="center"/>
          </w:tcPr>
          <w:p w14:paraId="0BB383C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0D2E8D9"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63B7CD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2331EE53"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4D90A265"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0B2D80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8166E7E"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F99AB7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553F050"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036FF1C"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8E5AB0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DDF7E9E" w14:textId="77777777" w:rsidR="003767FA" w:rsidRDefault="003767FA">
            <w:pPr>
              <w:spacing w:before="40" w:after="40" w:line="240" w:lineRule="auto"/>
              <w:ind w:firstLine="0"/>
              <w:rPr>
                <w:rFonts w:cs="Arial"/>
                <w:sz w:val="18"/>
              </w:rPr>
            </w:pPr>
          </w:p>
        </w:tc>
      </w:tr>
      <w:tr w:rsidR="003767FA" w14:paraId="66483A35"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781063E9" w14:textId="77777777" w:rsidR="003767FA" w:rsidRDefault="00000000">
            <w:pPr>
              <w:spacing w:before="40" w:after="40" w:line="240" w:lineRule="auto"/>
              <w:ind w:firstLine="0"/>
              <w:rPr>
                <w:rFonts w:cs="Arial"/>
                <w:sz w:val="18"/>
              </w:rPr>
            </w:pPr>
            <w:r>
              <w:rPr>
                <w:rFonts w:cs="Arial"/>
                <w:sz w:val="18"/>
              </w:rPr>
              <w:t>Survey analysis</w:t>
            </w:r>
          </w:p>
        </w:tc>
        <w:tc>
          <w:tcPr>
            <w:tcW w:w="480" w:type="dxa"/>
            <w:tcBorders>
              <w:top w:val="single" w:sz="4" w:space="0" w:color="808080"/>
              <w:left w:val="single" w:sz="4" w:space="0" w:color="808080"/>
              <w:bottom w:val="single" w:sz="4" w:space="0" w:color="808080"/>
              <w:right w:val="single" w:sz="4" w:space="0" w:color="808080"/>
            </w:tcBorders>
            <w:vAlign w:val="center"/>
          </w:tcPr>
          <w:p w14:paraId="27D5CE98"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06354B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DB6C75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80AA8BA"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BF7CA08"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3C0E3BF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91E7EBF"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1F111F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84B33D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8112D75"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6098D4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77D202E" w14:textId="77777777" w:rsidR="003767FA" w:rsidRDefault="003767FA">
            <w:pPr>
              <w:spacing w:before="40" w:after="40" w:line="240" w:lineRule="auto"/>
              <w:ind w:firstLine="0"/>
              <w:rPr>
                <w:rFonts w:cs="Arial"/>
                <w:sz w:val="18"/>
              </w:rPr>
            </w:pPr>
          </w:p>
        </w:tc>
      </w:tr>
      <w:tr w:rsidR="003767FA" w14:paraId="603FE64C"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7BEDF79D" w14:textId="77777777" w:rsidR="003767FA" w:rsidRDefault="00000000">
            <w:pPr>
              <w:spacing w:before="40" w:after="40" w:line="240" w:lineRule="auto"/>
              <w:ind w:firstLine="0"/>
              <w:rPr>
                <w:rFonts w:cs="Arial"/>
                <w:sz w:val="18"/>
              </w:rPr>
            </w:pPr>
            <w:r>
              <w:rPr>
                <w:rFonts w:cs="Arial"/>
                <w:sz w:val="18"/>
              </w:rPr>
              <w:t>Interviews (6–8 participants)</w:t>
            </w:r>
          </w:p>
        </w:tc>
        <w:tc>
          <w:tcPr>
            <w:tcW w:w="480" w:type="dxa"/>
            <w:tcBorders>
              <w:top w:val="single" w:sz="4" w:space="0" w:color="808080"/>
              <w:left w:val="single" w:sz="4" w:space="0" w:color="808080"/>
              <w:bottom w:val="single" w:sz="4" w:space="0" w:color="808080"/>
              <w:right w:val="single" w:sz="4" w:space="0" w:color="808080"/>
            </w:tcBorders>
            <w:vAlign w:val="center"/>
          </w:tcPr>
          <w:p w14:paraId="7341459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A184A0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0DC34E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AE727CA"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0EE32FF"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3D2731F9"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23B4EAAC"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6E9B961C"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61DA90E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8F5DAF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ADD0E0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D708233" w14:textId="77777777" w:rsidR="003767FA" w:rsidRDefault="003767FA">
            <w:pPr>
              <w:spacing w:before="40" w:after="40" w:line="240" w:lineRule="auto"/>
              <w:ind w:firstLine="0"/>
              <w:rPr>
                <w:rFonts w:cs="Arial"/>
                <w:sz w:val="18"/>
              </w:rPr>
            </w:pPr>
          </w:p>
        </w:tc>
      </w:tr>
      <w:tr w:rsidR="003767FA" w14:paraId="67465574"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0E72D08C" w14:textId="77777777" w:rsidR="003767FA" w:rsidRDefault="00000000">
            <w:pPr>
              <w:spacing w:before="40" w:after="40" w:line="240" w:lineRule="auto"/>
              <w:ind w:firstLine="0"/>
              <w:rPr>
                <w:rFonts w:cs="Arial"/>
                <w:sz w:val="18"/>
              </w:rPr>
            </w:pPr>
            <w:r>
              <w:rPr>
                <w:rFonts w:cs="Arial"/>
                <w:sz w:val="18"/>
              </w:rPr>
              <w:t>Transcription and thematic analysis</w:t>
            </w:r>
          </w:p>
        </w:tc>
        <w:tc>
          <w:tcPr>
            <w:tcW w:w="480" w:type="dxa"/>
            <w:tcBorders>
              <w:top w:val="single" w:sz="4" w:space="0" w:color="808080"/>
              <w:left w:val="single" w:sz="4" w:space="0" w:color="808080"/>
              <w:bottom w:val="single" w:sz="4" w:space="0" w:color="808080"/>
              <w:right w:val="single" w:sz="4" w:space="0" w:color="808080"/>
            </w:tcBorders>
            <w:vAlign w:val="center"/>
          </w:tcPr>
          <w:p w14:paraId="65B743A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2AB51B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16B5AA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E80E1A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15E881C"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29860FA"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ACD499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008DCA0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5A8B4428"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2BC28A6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145390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7A8F185" w14:textId="77777777" w:rsidR="003767FA" w:rsidRDefault="003767FA">
            <w:pPr>
              <w:spacing w:before="40" w:after="40" w:line="240" w:lineRule="auto"/>
              <w:ind w:firstLine="0"/>
              <w:rPr>
                <w:rFonts w:cs="Arial"/>
                <w:sz w:val="18"/>
              </w:rPr>
            </w:pPr>
          </w:p>
        </w:tc>
      </w:tr>
      <w:tr w:rsidR="003767FA" w14:paraId="2AC359F0"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104930B0" w14:textId="77777777" w:rsidR="003767FA" w:rsidRDefault="00000000">
            <w:pPr>
              <w:spacing w:before="40" w:after="40" w:line="240" w:lineRule="auto"/>
              <w:ind w:firstLine="0"/>
              <w:rPr>
                <w:rFonts w:cs="Arial"/>
                <w:sz w:val="18"/>
              </w:rPr>
            </w:pPr>
            <w:r>
              <w:rPr>
                <w:rFonts w:cs="Arial"/>
                <w:sz w:val="18"/>
              </w:rPr>
              <w:t>Integration of survey and interview findings</w:t>
            </w:r>
          </w:p>
        </w:tc>
        <w:tc>
          <w:tcPr>
            <w:tcW w:w="480" w:type="dxa"/>
            <w:tcBorders>
              <w:top w:val="single" w:sz="4" w:space="0" w:color="808080"/>
              <w:left w:val="single" w:sz="4" w:space="0" w:color="808080"/>
              <w:bottom w:val="single" w:sz="4" w:space="0" w:color="808080"/>
              <w:right w:val="single" w:sz="4" w:space="0" w:color="808080"/>
            </w:tcBorders>
            <w:vAlign w:val="center"/>
          </w:tcPr>
          <w:p w14:paraId="62DD98D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A3D663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08649D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ACB36A9"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0FCD9C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F3B356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D7BA9C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C2CDB1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FDE9445"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58EADF66"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45893F1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D456869" w14:textId="77777777" w:rsidR="003767FA" w:rsidRDefault="003767FA">
            <w:pPr>
              <w:spacing w:before="40" w:after="40" w:line="240" w:lineRule="auto"/>
              <w:ind w:firstLine="0"/>
              <w:rPr>
                <w:rFonts w:cs="Arial"/>
                <w:sz w:val="18"/>
              </w:rPr>
            </w:pPr>
          </w:p>
        </w:tc>
      </w:tr>
      <w:tr w:rsidR="003767FA" w14:paraId="696161F9"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235E2534" w14:textId="77777777" w:rsidR="003767FA" w:rsidRDefault="00000000">
            <w:pPr>
              <w:spacing w:before="40" w:after="40" w:line="240" w:lineRule="auto"/>
              <w:ind w:firstLine="0"/>
              <w:rPr>
                <w:rFonts w:cs="Arial"/>
                <w:sz w:val="18"/>
              </w:rPr>
            </w:pPr>
            <w:r>
              <w:rPr>
                <w:rFonts w:cs="Arial"/>
                <w:sz w:val="18"/>
              </w:rPr>
              <w:t>Report writing and recommendations</w:t>
            </w:r>
          </w:p>
        </w:tc>
        <w:tc>
          <w:tcPr>
            <w:tcW w:w="480" w:type="dxa"/>
            <w:tcBorders>
              <w:top w:val="single" w:sz="4" w:space="0" w:color="808080"/>
              <w:left w:val="single" w:sz="4" w:space="0" w:color="808080"/>
              <w:bottom w:val="single" w:sz="4" w:space="0" w:color="808080"/>
              <w:right w:val="single" w:sz="4" w:space="0" w:color="808080"/>
            </w:tcBorders>
            <w:vAlign w:val="center"/>
          </w:tcPr>
          <w:p w14:paraId="6DC60DA3"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206069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1C36FF82"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4F4EA5C"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2CF6D8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AA92D3B"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73906D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21C7B70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05C644DE"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224CB5A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73E128DF"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1FE9DA1E" w14:textId="77777777" w:rsidR="003767FA" w:rsidRDefault="003767FA">
            <w:pPr>
              <w:spacing w:before="40" w:after="40" w:line="240" w:lineRule="auto"/>
              <w:ind w:firstLine="0"/>
              <w:rPr>
                <w:rFonts w:cs="Arial"/>
                <w:sz w:val="18"/>
              </w:rPr>
            </w:pPr>
          </w:p>
        </w:tc>
      </w:tr>
      <w:tr w:rsidR="003767FA" w14:paraId="60C11628" w14:textId="77777777">
        <w:trPr>
          <w:cantSplit/>
        </w:trPr>
        <w:tc>
          <w:tcPr>
            <w:tcW w:w="3266" w:type="dxa"/>
            <w:tcBorders>
              <w:top w:val="single" w:sz="4" w:space="0" w:color="808080"/>
              <w:left w:val="single" w:sz="4" w:space="0" w:color="808080"/>
              <w:bottom w:val="single" w:sz="4" w:space="0" w:color="808080"/>
              <w:right w:val="single" w:sz="4" w:space="0" w:color="808080"/>
            </w:tcBorders>
            <w:vAlign w:val="center"/>
          </w:tcPr>
          <w:p w14:paraId="57F88CAF" w14:textId="77777777" w:rsidR="003767FA" w:rsidRDefault="00000000">
            <w:pPr>
              <w:spacing w:before="40" w:after="40" w:line="240" w:lineRule="auto"/>
              <w:ind w:firstLine="0"/>
              <w:rPr>
                <w:rFonts w:cs="Arial"/>
                <w:sz w:val="18"/>
              </w:rPr>
            </w:pPr>
            <w:r>
              <w:rPr>
                <w:rFonts w:cs="Arial"/>
                <w:sz w:val="18"/>
              </w:rPr>
              <w:t>Presentation to management</w:t>
            </w:r>
          </w:p>
        </w:tc>
        <w:tc>
          <w:tcPr>
            <w:tcW w:w="480" w:type="dxa"/>
            <w:tcBorders>
              <w:top w:val="single" w:sz="4" w:space="0" w:color="808080"/>
              <w:left w:val="single" w:sz="4" w:space="0" w:color="808080"/>
              <w:bottom w:val="single" w:sz="4" w:space="0" w:color="808080"/>
              <w:right w:val="single" w:sz="4" w:space="0" w:color="808080"/>
            </w:tcBorders>
            <w:vAlign w:val="center"/>
          </w:tcPr>
          <w:p w14:paraId="7539FFBF"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D152AFC"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401EF544"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7EB404DF"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B2BD0AD"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3AF16BD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AC20B23"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6132323A"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DBDC637"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546A2271"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vAlign w:val="center"/>
          </w:tcPr>
          <w:p w14:paraId="06B82990" w14:textId="77777777" w:rsidR="003767FA" w:rsidRDefault="003767FA">
            <w:pPr>
              <w:spacing w:before="40" w:after="40" w:line="240" w:lineRule="auto"/>
              <w:ind w:firstLine="0"/>
              <w:rPr>
                <w:rFonts w:cs="Arial"/>
                <w:sz w:val="18"/>
              </w:rPr>
            </w:pPr>
          </w:p>
        </w:tc>
        <w:tc>
          <w:tcPr>
            <w:tcW w:w="480" w:type="dxa"/>
            <w:tcBorders>
              <w:top w:val="single" w:sz="4" w:space="0" w:color="808080"/>
              <w:left w:val="single" w:sz="4" w:space="0" w:color="808080"/>
              <w:bottom w:val="single" w:sz="4" w:space="0" w:color="808080"/>
              <w:right w:val="single" w:sz="4" w:space="0" w:color="808080"/>
            </w:tcBorders>
            <w:shd w:val="clear" w:color="auto" w:fill="2E5C8A"/>
            <w:vAlign w:val="center"/>
          </w:tcPr>
          <w:p w14:paraId="621F2AFD" w14:textId="77777777" w:rsidR="003767FA" w:rsidRDefault="003767FA">
            <w:pPr>
              <w:spacing w:before="40" w:after="40" w:line="240" w:lineRule="auto"/>
              <w:ind w:firstLine="0"/>
              <w:rPr>
                <w:rFonts w:cs="Arial"/>
                <w:sz w:val="18"/>
              </w:rPr>
            </w:pPr>
          </w:p>
        </w:tc>
      </w:tr>
    </w:tbl>
    <w:p w14:paraId="6A7BEC19" w14:textId="77777777" w:rsidR="003767FA" w:rsidRDefault="00000000">
      <w:pPr>
        <w:spacing w:before="120" w:after="240"/>
        <w:jc w:val="center"/>
      </w:pPr>
      <w:r>
        <w:rPr>
          <w:i/>
          <w:sz w:val="20"/>
        </w:rPr>
        <w:t>Figure 1. Proposed 12-week research timeline (Gantt chart)</w:t>
      </w:r>
    </w:p>
    <w:p w14:paraId="2F1D66AE" w14:textId="77777777" w:rsidR="003767FA" w:rsidRDefault="00000000">
      <w:pPr>
        <w:pStyle w:val="Heading1"/>
      </w:pPr>
      <w:bookmarkStart w:id="13" w:name="_Toc241401876"/>
      <w:r>
        <w:t>Conclusion</w:t>
      </w:r>
      <w:bookmarkEnd w:id="13"/>
    </w:p>
    <w:p w14:paraId="15F8F4C2" w14:textId="77777777" w:rsidR="003767FA" w:rsidRDefault="00000000" w:rsidP="009E05DE">
      <w:pPr>
        <w:pStyle w:val="FirstParagraph"/>
        <w:spacing w:line="360" w:lineRule="auto"/>
        <w:ind w:firstLine="0"/>
        <w:rPr>
          <w:rFonts w:cs="Arial"/>
        </w:rPr>
      </w:pPr>
      <w:r>
        <w:rPr>
          <w:rFonts w:cs="Arial"/>
        </w:rPr>
        <w:t>This proposal addresses the complex issue of uneven and potentially unsafe employee GenAI adoption in a small business in the UK. Previous studies report possible productivity gains but also challenges relating to trust, skills, employee motivation, governance and transferability across organisational contexts. A pragmatic mixed-methods case study will link employee experiences to organisational conditions and generate practical recommendations. By aligning the business problem, literature gap, research questions and methodology, the study can guide responsible investment decisions and provide context-specific evidence on GenAI adoption in small businesses.</w:t>
      </w:r>
    </w:p>
    <w:p w14:paraId="0AD27E43" w14:textId="77777777" w:rsidR="003767FA" w:rsidRDefault="003767FA">
      <w:pPr>
        <w:pStyle w:val="BodyText"/>
      </w:pPr>
    </w:p>
    <w:p w14:paraId="48428444" w14:textId="77777777" w:rsidR="003767FA" w:rsidRDefault="003767FA">
      <w:pPr>
        <w:pStyle w:val="BodyText"/>
      </w:pPr>
    </w:p>
    <w:p w14:paraId="3AD8F9D3" w14:textId="77777777" w:rsidR="003767FA" w:rsidRDefault="003767FA">
      <w:pPr>
        <w:pStyle w:val="BodyText"/>
      </w:pPr>
    </w:p>
    <w:p w14:paraId="30F4D451" w14:textId="77777777" w:rsidR="003767FA" w:rsidRDefault="003767FA">
      <w:pPr>
        <w:pStyle w:val="BodyText"/>
      </w:pPr>
    </w:p>
    <w:p w14:paraId="3B81F7E6" w14:textId="77777777" w:rsidR="003767FA" w:rsidRDefault="003767FA">
      <w:pPr>
        <w:pStyle w:val="BodyText"/>
      </w:pPr>
    </w:p>
    <w:p w14:paraId="04100F8B" w14:textId="77777777" w:rsidR="003767FA" w:rsidRDefault="003767FA">
      <w:pPr>
        <w:pStyle w:val="BodyText"/>
      </w:pPr>
    </w:p>
    <w:p w14:paraId="77310AEE" w14:textId="77777777" w:rsidR="003767FA" w:rsidRDefault="003767FA">
      <w:pPr>
        <w:pStyle w:val="BodyText"/>
      </w:pPr>
    </w:p>
    <w:p w14:paraId="2F7D3895" w14:textId="77777777" w:rsidR="003767FA" w:rsidRDefault="003767FA">
      <w:pPr>
        <w:pStyle w:val="BodyText"/>
      </w:pPr>
    </w:p>
    <w:p w14:paraId="71F08A29" w14:textId="77777777" w:rsidR="003767FA" w:rsidRDefault="003767FA">
      <w:pPr>
        <w:pStyle w:val="BodyText"/>
      </w:pPr>
    </w:p>
    <w:p w14:paraId="33F14586" w14:textId="77777777" w:rsidR="003767FA" w:rsidRDefault="003767FA">
      <w:pPr>
        <w:pStyle w:val="BodyText"/>
      </w:pPr>
    </w:p>
    <w:p w14:paraId="4A04FE78" w14:textId="77777777" w:rsidR="003767FA" w:rsidRDefault="003767FA">
      <w:pPr>
        <w:pStyle w:val="BodyText"/>
        <w:ind w:firstLine="0"/>
      </w:pPr>
    </w:p>
    <w:p w14:paraId="3CA324CD" w14:textId="77777777" w:rsidR="003767FA" w:rsidRDefault="00000000">
      <w:pPr>
        <w:pStyle w:val="Heading1"/>
      </w:pPr>
      <w:bookmarkStart w:id="14" w:name="conclusion"/>
      <w:bookmarkStart w:id="15" w:name="Xce232fd597c354cb70aa6f86e91741e67d2f7a9"/>
      <w:bookmarkStart w:id="16" w:name="references"/>
      <w:bookmarkStart w:id="17" w:name="_Toc241401877"/>
      <w:bookmarkEnd w:id="14"/>
      <w:r>
        <w:t>References</w:t>
      </w:r>
      <w:bookmarkEnd w:id="15"/>
      <w:bookmarkEnd w:id="16"/>
      <w:bookmarkEnd w:id="17"/>
    </w:p>
    <w:p w14:paraId="59C792D4" w14:textId="77777777" w:rsidR="003767FA" w:rsidRDefault="00000000">
      <w:pPr>
        <w:pStyle w:val="isselectedend"/>
        <w:spacing w:before="280" w:after="280" w:line="360" w:lineRule="auto"/>
        <w:ind w:firstLine="0"/>
      </w:pPr>
      <w:r>
        <w:t xml:space="preserve">Bellon, M., Deb, P., Gandhi, M. and Rockall, E. (2026) </w:t>
      </w:r>
      <w:r>
        <w:rPr>
          <w:rStyle w:val="Emphasis"/>
        </w:rPr>
        <w:t>Unlocking AI-led productivity growth in the United Kingdom</w:t>
      </w:r>
      <w:r>
        <w:t xml:space="preserve">. IMF Selected Issues Papers, 2026(72). Available at: </w:t>
      </w:r>
      <w:hyperlink r:id="rId9">
        <w:r>
          <w:rPr>
            <w:rStyle w:val="Hyperlink"/>
            <w:rFonts w:eastAsiaTheme="majorEastAsia"/>
          </w:rPr>
          <w:t>https://www.elibrary.imf.org/downloadpdf/view/journals/018/2026/072/018.2026.issue-072-en.pdf</w:t>
        </w:r>
      </w:hyperlink>
      <w:r>
        <w:t xml:space="preserve"> (Accessed: 4 August 2026).</w:t>
      </w:r>
    </w:p>
    <w:p w14:paraId="5858BE5C" w14:textId="77777777" w:rsidR="003767FA" w:rsidRDefault="00000000">
      <w:pPr>
        <w:pStyle w:val="NormalWeb"/>
        <w:spacing w:before="280" w:after="280" w:line="360" w:lineRule="auto"/>
        <w:ind w:firstLine="0"/>
      </w:pPr>
      <w:r>
        <w:t xml:space="preserve">Braun, V. and Clarke, V. (2022) </w:t>
      </w:r>
      <w:r>
        <w:rPr>
          <w:rStyle w:val="Emphasis"/>
        </w:rPr>
        <w:t>Thematic Analysis: A Practical Guide</w:t>
      </w:r>
      <w:r>
        <w:t>. London: SAGE.</w:t>
      </w:r>
    </w:p>
    <w:p w14:paraId="5F8BA61D" w14:textId="77777777" w:rsidR="003767FA" w:rsidRDefault="00000000">
      <w:pPr>
        <w:pStyle w:val="isselectedend"/>
        <w:spacing w:before="280" w:after="280" w:line="360" w:lineRule="auto"/>
        <w:ind w:firstLine="0"/>
      </w:pPr>
      <w:r>
        <w:t xml:space="preserve">Brynjolfsson, E., Li, D. and Raymond, L.R. (2025) ‘Generative AI at work’, </w:t>
      </w:r>
      <w:r>
        <w:rPr>
          <w:rStyle w:val="Emphasis"/>
        </w:rPr>
        <w:t>The Quarterly Journal of Economics</w:t>
      </w:r>
      <w:r>
        <w:t xml:space="preserve">, 140(2), pp. 889–942. Available at: </w:t>
      </w:r>
      <w:hyperlink r:id="rId10">
        <w:r>
          <w:rPr>
            <w:rStyle w:val="Hyperlink"/>
            <w:rFonts w:eastAsiaTheme="majorEastAsia"/>
          </w:rPr>
          <w:t>https://doi.org/10.1093/qje/qjae044</w:t>
        </w:r>
      </w:hyperlink>
      <w:r>
        <w:t xml:space="preserve"> (Accessed: 4 August 2026).</w:t>
      </w:r>
    </w:p>
    <w:p w14:paraId="0B708672" w14:textId="77777777" w:rsidR="003767FA" w:rsidRDefault="00000000">
      <w:pPr>
        <w:pStyle w:val="NormalWeb"/>
        <w:spacing w:before="280" w:after="280" w:line="360" w:lineRule="auto"/>
        <w:ind w:firstLine="0"/>
      </w:pPr>
      <w:r>
        <w:t xml:space="preserve">Creswell, J.W. and Plano Clark, V.L. (2018) </w:t>
      </w:r>
      <w:r>
        <w:rPr>
          <w:rStyle w:val="Emphasis"/>
        </w:rPr>
        <w:t>Designing and Conducting Mixed Methods Research</w:t>
      </w:r>
      <w:r>
        <w:t xml:space="preserve">. 3rd </w:t>
      </w:r>
      <w:proofErr w:type="spellStart"/>
      <w:r>
        <w:t>edn</w:t>
      </w:r>
      <w:proofErr w:type="spellEnd"/>
      <w:r>
        <w:t>. Thousand Oaks, CA: SAGE.</w:t>
      </w:r>
    </w:p>
    <w:p w14:paraId="76E28A12" w14:textId="77777777" w:rsidR="003767FA" w:rsidRDefault="00000000">
      <w:pPr>
        <w:pStyle w:val="isselectedend"/>
        <w:spacing w:before="280" w:after="280" w:line="360" w:lineRule="auto"/>
        <w:ind w:firstLine="0"/>
      </w:pPr>
      <w:r>
        <w:t>Dwivedi, Y.K. et al. (2023) ‘“</w:t>
      </w:r>
      <w:proofErr w:type="gramStart"/>
      <w:r>
        <w:t>So</w:t>
      </w:r>
      <w:proofErr w:type="gramEnd"/>
      <w:r>
        <w:t xml:space="preserve"> what if ChatGPT wrote it?” Multidisciplinary perspectives on opportunities, challenges and implications of generative conversational AI for research, practice and policy’, </w:t>
      </w:r>
      <w:r>
        <w:rPr>
          <w:rStyle w:val="Emphasis"/>
        </w:rPr>
        <w:t>International Journal of Information Management</w:t>
      </w:r>
      <w:r>
        <w:t xml:space="preserve">, 71, article 102642. Available at: </w:t>
      </w:r>
      <w:hyperlink r:id="rId11">
        <w:r>
          <w:rPr>
            <w:rStyle w:val="Hyperlink"/>
            <w:rFonts w:eastAsiaTheme="majorEastAsia"/>
          </w:rPr>
          <w:t>https://doi.org/10.1016/j.ijinfomgt.2023.102642</w:t>
        </w:r>
      </w:hyperlink>
      <w:r>
        <w:t xml:space="preserve"> (Accessed: 4 August 2026).</w:t>
      </w:r>
    </w:p>
    <w:p w14:paraId="6BD7B964" w14:textId="77777777" w:rsidR="003767FA" w:rsidRDefault="00000000">
      <w:pPr>
        <w:pStyle w:val="isselectedend"/>
        <w:spacing w:before="280" w:after="280" w:line="360" w:lineRule="auto"/>
        <w:ind w:firstLine="0"/>
      </w:pPr>
      <w:proofErr w:type="spellStart"/>
      <w:r>
        <w:t>Feuerriegel</w:t>
      </w:r>
      <w:proofErr w:type="spellEnd"/>
      <w:r>
        <w:t xml:space="preserve">, S., Hartmann, J., </w:t>
      </w:r>
      <w:proofErr w:type="spellStart"/>
      <w:r>
        <w:t>Janiesch</w:t>
      </w:r>
      <w:proofErr w:type="spellEnd"/>
      <w:r>
        <w:t xml:space="preserve">, C. and </w:t>
      </w:r>
      <w:proofErr w:type="spellStart"/>
      <w:r>
        <w:t>Zschech</w:t>
      </w:r>
      <w:proofErr w:type="spellEnd"/>
      <w:r>
        <w:t xml:space="preserve">, P. (2024) ‘Generative AI’, </w:t>
      </w:r>
      <w:r>
        <w:rPr>
          <w:rStyle w:val="Emphasis"/>
        </w:rPr>
        <w:t>Business &amp; Information Systems Engineering</w:t>
      </w:r>
      <w:r>
        <w:t xml:space="preserve">, 66, pp. 111–126. Available at: </w:t>
      </w:r>
      <w:hyperlink r:id="rId12">
        <w:r>
          <w:rPr>
            <w:rStyle w:val="Hyperlink"/>
            <w:rFonts w:eastAsiaTheme="majorEastAsia"/>
          </w:rPr>
          <w:t>https://doi.org/10.1007/s12599-023-00834-7</w:t>
        </w:r>
      </w:hyperlink>
      <w:r>
        <w:t xml:space="preserve"> (Accessed: 4 August 2026).</w:t>
      </w:r>
    </w:p>
    <w:p w14:paraId="4DF01DE6" w14:textId="77777777" w:rsidR="003767FA" w:rsidRDefault="00000000">
      <w:pPr>
        <w:pStyle w:val="isselectedend"/>
        <w:spacing w:before="280" w:after="280" w:line="360" w:lineRule="auto"/>
        <w:ind w:firstLine="0"/>
      </w:pPr>
      <w:proofErr w:type="spellStart"/>
      <w:r>
        <w:t>Maslej</w:t>
      </w:r>
      <w:proofErr w:type="spellEnd"/>
      <w:r>
        <w:t xml:space="preserve">, N. et al. (2025) </w:t>
      </w:r>
      <w:r>
        <w:rPr>
          <w:rStyle w:val="Emphasis"/>
        </w:rPr>
        <w:t>The AI Index 2025 annual report</w:t>
      </w:r>
      <w:r>
        <w:t xml:space="preserve">. Stanford, CA: Stanford Institute for Human-Centered Artificial Intelligence. Available at: </w:t>
      </w:r>
      <w:hyperlink r:id="rId13">
        <w:r>
          <w:rPr>
            <w:rStyle w:val="Hyperlink"/>
            <w:rFonts w:eastAsiaTheme="majorEastAsia"/>
          </w:rPr>
          <w:t>https://arxiv.org/abs/2504.07139</w:t>
        </w:r>
      </w:hyperlink>
      <w:r>
        <w:t xml:space="preserve"> (Accessed: 4 August 2026).</w:t>
      </w:r>
    </w:p>
    <w:p w14:paraId="0FB7E20A" w14:textId="77777777" w:rsidR="003767FA" w:rsidRDefault="00000000">
      <w:pPr>
        <w:pStyle w:val="isselectedend"/>
        <w:spacing w:before="280" w:after="280" w:line="360" w:lineRule="auto"/>
        <w:ind w:firstLine="0"/>
      </w:pPr>
      <w:r>
        <w:lastRenderedPageBreak/>
        <w:t xml:space="preserve">Noy, S. and Zhang, W. (2023) ‘Experimental evidence on the productivity effects of generative artificial intelligence’, </w:t>
      </w:r>
      <w:r>
        <w:rPr>
          <w:rStyle w:val="Emphasis"/>
        </w:rPr>
        <w:t>Science</w:t>
      </w:r>
      <w:r>
        <w:t xml:space="preserve">, 381(6654), pp. 187–192. Available at: </w:t>
      </w:r>
      <w:hyperlink r:id="rId14">
        <w:r>
          <w:rPr>
            <w:rStyle w:val="Hyperlink"/>
            <w:rFonts w:eastAsiaTheme="majorEastAsia"/>
          </w:rPr>
          <w:t>https://doi.org/10.1126/science.adh2586</w:t>
        </w:r>
      </w:hyperlink>
      <w:r>
        <w:t xml:space="preserve"> (Accessed: 4 August 2026).</w:t>
      </w:r>
    </w:p>
    <w:p w14:paraId="1C67592D" w14:textId="77777777" w:rsidR="003767FA" w:rsidRDefault="00000000">
      <w:pPr>
        <w:pStyle w:val="isselectedend"/>
        <w:spacing w:before="280" w:after="280" w:line="360" w:lineRule="auto"/>
        <w:ind w:firstLine="0"/>
      </w:pPr>
      <w:r>
        <w:t xml:space="preserve">Patel, K., Shah, M., Qureshi, K.M. and Qureshi, M.R.N. (2025) ‘A systematic review of generative AI: importance of industry and startup-centered perspectives, agentic AI, ethical considerations and challenges, and future directions’, </w:t>
      </w:r>
      <w:r>
        <w:rPr>
          <w:rStyle w:val="Emphasis"/>
        </w:rPr>
        <w:t>Artificial Intelligence Review</w:t>
      </w:r>
      <w:r>
        <w:t xml:space="preserve">. Available at: </w:t>
      </w:r>
      <w:hyperlink r:id="rId15">
        <w:r>
          <w:rPr>
            <w:rStyle w:val="Hyperlink"/>
            <w:rFonts w:eastAsiaTheme="majorEastAsia"/>
          </w:rPr>
          <w:t>https://doi.org/10.1007/s10462-025-11435-z</w:t>
        </w:r>
      </w:hyperlink>
      <w:r>
        <w:t xml:space="preserve"> (Accessed: 4 August 2026).</w:t>
      </w:r>
    </w:p>
    <w:p w14:paraId="43D4C806" w14:textId="77777777" w:rsidR="003767FA" w:rsidRDefault="00000000">
      <w:pPr>
        <w:pStyle w:val="NormalWeb"/>
        <w:spacing w:before="280" w:after="280" w:line="360" w:lineRule="auto"/>
        <w:ind w:firstLine="0"/>
      </w:pPr>
      <w:r>
        <w:t xml:space="preserve">Saunders, M.N.K., Lewis, P. and Thornhill, A. (2019) </w:t>
      </w:r>
      <w:r>
        <w:rPr>
          <w:rStyle w:val="Emphasis"/>
        </w:rPr>
        <w:t>Research Methods for Business Students</w:t>
      </w:r>
      <w:r>
        <w:t xml:space="preserve">. 8th </w:t>
      </w:r>
      <w:proofErr w:type="spellStart"/>
      <w:r>
        <w:t>edn</w:t>
      </w:r>
      <w:proofErr w:type="spellEnd"/>
      <w:r>
        <w:t>. Harlow: Pearson.</w:t>
      </w:r>
    </w:p>
    <w:p w14:paraId="550A5C41" w14:textId="77777777" w:rsidR="003767FA" w:rsidRDefault="00000000">
      <w:pPr>
        <w:pStyle w:val="NormalWeb"/>
        <w:spacing w:before="280" w:after="280" w:line="360" w:lineRule="auto"/>
        <w:ind w:firstLine="0"/>
      </w:pPr>
      <w:r>
        <w:t xml:space="preserve">Tornatzky, L.G. and Fleischer, M. (1990) </w:t>
      </w:r>
      <w:r>
        <w:rPr>
          <w:rStyle w:val="Emphasis"/>
        </w:rPr>
        <w:t>The Processes of Technological Innovation</w:t>
      </w:r>
      <w:r>
        <w:t>. Lexington, MA: Lexington Books.</w:t>
      </w:r>
    </w:p>
    <w:p w14:paraId="09820DCC" w14:textId="77777777" w:rsidR="003767FA" w:rsidRDefault="00000000">
      <w:pPr>
        <w:pStyle w:val="NormalWeb"/>
        <w:spacing w:before="280" w:after="280" w:line="360" w:lineRule="auto"/>
        <w:ind w:firstLine="0"/>
      </w:pPr>
      <w:r>
        <w:t xml:space="preserve">Venkatesh, V., Morris, M.G., Davis, G.B. and Davis, F.D. (2003) ‘User acceptance of information technology: toward a unified view’, </w:t>
      </w:r>
      <w:r>
        <w:rPr>
          <w:rStyle w:val="Emphasis"/>
        </w:rPr>
        <w:t>MIS Quarterly</w:t>
      </w:r>
      <w:r>
        <w:t>, 27(3), pp. 425–478. Available at: https://doi.org/10.2307/30036540.</w:t>
      </w:r>
    </w:p>
    <w:p w14:paraId="5D57F8F7" w14:textId="77777777" w:rsidR="003767FA" w:rsidRDefault="00000000">
      <w:pPr>
        <w:pStyle w:val="NormalWeb"/>
        <w:spacing w:before="280" w:after="280" w:line="360" w:lineRule="auto"/>
        <w:ind w:firstLine="0"/>
      </w:pPr>
      <w:r>
        <w:t xml:space="preserve">Wu, S., Liu, Y., Ruan, M., Chen, S. and Xie, X.Y. (2025) ‘Human–generative AI collaboration enhances task performance but undermines human intrinsic motivation’, </w:t>
      </w:r>
      <w:r>
        <w:rPr>
          <w:rStyle w:val="Emphasis"/>
        </w:rPr>
        <w:t>Scientific Reports</w:t>
      </w:r>
      <w:r>
        <w:t xml:space="preserve">, 15. Available at: </w:t>
      </w:r>
      <w:hyperlink r:id="rId16">
        <w:r>
          <w:rPr>
            <w:rStyle w:val="Hyperlink"/>
            <w:rFonts w:eastAsiaTheme="majorEastAsia"/>
          </w:rPr>
          <w:t>https://doi.org/10.1038/s41598-025-98385-2</w:t>
        </w:r>
      </w:hyperlink>
      <w:r>
        <w:t xml:space="preserve"> (Accessed: 4 August 2026).</w:t>
      </w:r>
    </w:p>
    <w:p w14:paraId="12F6FBDE" w14:textId="77777777" w:rsidR="003767FA" w:rsidRDefault="003767FA">
      <w:pPr>
        <w:pStyle w:val="FirstParagraph"/>
        <w:spacing w:line="360" w:lineRule="auto"/>
        <w:rPr>
          <w:rFonts w:cs="Arial"/>
        </w:rPr>
      </w:pPr>
    </w:p>
    <w:p w14:paraId="282928D9" w14:textId="77777777" w:rsidR="003767FA" w:rsidRDefault="003767FA"/>
    <w:sectPr w:rsidR="003767FA">
      <w:footerReference w:type="default" r:id="rId17"/>
      <w:pgSz w:w="11906" w:h="16838"/>
      <w:pgMar w:top="1440" w:right="1440" w:bottom="1440" w:left="1440" w:header="0" w:footer="72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8A99BC" w14:textId="77777777" w:rsidR="00DA2571" w:rsidRDefault="00DA2571">
      <w:pPr>
        <w:spacing w:after="0" w:line="240" w:lineRule="auto"/>
      </w:pPr>
      <w:r>
        <w:separator/>
      </w:r>
    </w:p>
  </w:endnote>
  <w:endnote w:type="continuationSeparator" w:id="0">
    <w:p w14:paraId="48FCA1D4" w14:textId="77777777" w:rsidR="00DA2571" w:rsidRDefault="00DA2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A5C677" w14:textId="77777777" w:rsidR="003767FA" w:rsidRDefault="00000000">
    <w:pP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8B7C63" w14:textId="77777777" w:rsidR="00DA2571" w:rsidRDefault="00DA2571">
      <w:pPr>
        <w:spacing w:after="0" w:line="240" w:lineRule="auto"/>
      </w:pPr>
      <w:r>
        <w:separator/>
      </w:r>
    </w:p>
  </w:footnote>
  <w:footnote w:type="continuationSeparator" w:id="0">
    <w:p w14:paraId="183D04F5" w14:textId="77777777" w:rsidR="00DA2571" w:rsidRDefault="00DA25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3D729B"/>
    <w:multiLevelType w:val="multilevel"/>
    <w:tmpl w:val="C7302F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0C362A"/>
    <w:multiLevelType w:val="multilevel"/>
    <w:tmpl w:val="316082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54667308">
    <w:abstractNumId w:val="1"/>
  </w:num>
  <w:num w:numId="2" w16cid:durableId="761947974">
    <w:abstractNumId w:val="0"/>
  </w:num>
  <w:num w:numId="3" w16cid:durableId="954141251">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7FA"/>
    <w:rsid w:val="003767FA"/>
    <w:rsid w:val="003C0766"/>
    <w:rsid w:val="009E05DE"/>
    <w:rsid w:val="00DA257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475FE3FC"/>
  <w15:docId w15:val="{9FBEA041-CBC4-004B-A17E-32579CF48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theme="minorBidi"/>
        <w:kern w:val="2"/>
        <w:sz w:val="22"/>
        <w:szCs w:val="22"/>
        <w:lang w:val="en-US"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5B9"/>
    <w:pPr>
      <w:spacing w:after="160" w:line="360" w:lineRule="auto"/>
      <w:ind w:firstLine="720"/>
    </w:pPr>
  </w:style>
  <w:style w:type="paragraph" w:styleId="Heading1">
    <w:name w:val="heading 1"/>
    <w:basedOn w:val="Normal"/>
    <w:next w:val="Normal"/>
    <w:link w:val="Heading1Char"/>
    <w:uiPriority w:val="9"/>
    <w:qFormat/>
    <w:rsid w:val="006D6B90"/>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12670"/>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951C8"/>
    <w:pPr>
      <w:keepNext/>
      <w:keepLines/>
      <w:spacing w:before="40"/>
      <w:jc w:val="both"/>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6D6B90"/>
    <w:rPr>
      <w:rFonts w:ascii="Arial" w:eastAsiaTheme="majorEastAsia" w:hAnsi="Arial" w:cstheme="majorBidi"/>
      <w:b/>
      <w:color w:val="000000" w:themeColor="text1"/>
      <w:sz w:val="22"/>
      <w:szCs w:val="32"/>
    </w:rPr>
  </w:style>
  <w:style w:type="character" w:customStyle="1" w:styleId="Heading2Char">
    <w:name w:val="Heading 2 Char"/>
    <w:basedOn w:val="DefaultParagraphFont"/>
    <w:link w:val="Heading2"/>
    <w:uiPriority w:val="9"/>
    <w:qFormat/>
    <w:rsid w:val="00812670"/>
    <w:rPr>
      <w:rFonts w:ascii="Arial" w:eastAsiaTheme="majorEastAsia" w:hAnsi="Arial" w:cstheme="majorBidi"/>
      <w:b/>
      <w:sz w:val="26"/>
      <w:szCs w:val="26"/>
    </w:rPr>
  </w:style>
  <w:style w:type="character" w:customStyle="1" w:styleId="Heading3Char">
    <w:name w:val="Heading 3 Char"/>
    <w:basedOn w:val="DefaultParagraphFont"/>
    <w:link w:val="Heading3"/>
    <w:uiPriority w:val="9"/>
    <w:qFormat/>
    <w:rsid w:val="00A951C8"/>
    <w:rPr>
      <w:rFonts w:ascii="Arial" w:eastAsiaTheme="majorEastAsia" w:hAnsi="Arial" w:cstheme="majorBidi"/>
      <w:b/>
      <w:i/>
      <w:sz w:val="22"/>
      <w:szCs w:val="22"/>
      <w:lang w:val="en-GB"/>
    </w:rPr>
  </w:style>
  <w:style w:type="character" w:customStyle="1" w:styleId="TitleChar">
    <w:name w:val="Title Char"/>
    <w:basedOn w:val="DefaultParagraphFont"/>
    <w:link w:val="Title"/>
    <w:uiPriority w:val="10"/>
    <w:qFormat/>
    <w:rsid w:val="004746DC"/>
    <w:rPr>
      <w:rFonts w:ascii="Arial" w:eastAsiaTheme="majorEastAsia" w:hAnsi="Arial" w:cstheme="majorBidi"/>
      <w:b/>
      <w:spacing w:val="-10"/>
      <w:kern w:val="2"/>
      <w:sz w:val="44"/>
      <w:szCs w:val="56"/>
    </w:rPr>
  </w:style>
  <w:style w:type="character" w:customStyle="1" w:styleId="BodyTextChar">
    <w:name w:val="Body Text Char"/>
    <w:basedOn w:val="DefaultParagraphFont"/>
    <w:link w:val="BodyText"/>
    <w:uiPriority w:val="99"/>
    <w:semiHidden/>
    <w:qFormat/>
    <w:rsid w:val="00126348"/>
    <w:rPr>
      <w:rFonts w:ascii="Arial" w:hAnsi="Arial" w:cs="Arial"/>
      <w:sz w:val="22"/>
      <w:lang w:val="en-GB"/>
    </w:rPr>
  </w:style>
  <w:style w:type="character" w:styleId="Hyperlink">
    <w:name w:val="Hyperlink"/>
    <w:basedOn w:val="DefaultParagraphFont"/>
    <w:uiPriority w:val="99"/>
    <w:unhideWhenUsed/>
    <w:rsid w:val="000565B9"/>
    <w:rPr>
      <w:color w:val="0000FF"/>
      <w:u w:val="single"/>
    </w:rPr>
  </w:style>
  <w:style w:type="character" w:styleId="Emphasis">
    <w:name w:val="Emphasis"/>
    <w:basedOn w:val="DefaultParagraphFont"/>
    <w:uiPriority w:val="20"/>
    <w:qFormat/>
    <w:rsid w:val="000565B9"/>
    <w:rPr>
      <w:i/>
      <w:iCs/>
    </w:rPr>
  </w:style>
  <w:style w:type="character" w:customStyle="1" w:styleId="IndexLink">
    <w:name w:val="Index Link"/>
    <w:qFormat/>
  </w:style>
  <w:style w:type="character" w:styleId="LineNumber">
    <w:name w:val="line number"/>
  </w:style>
  <w:style w:type="paragraph" w:customStyle="1" w:styleId="Heading">
    <w:name w:val="Heading"/>
    <w:basedOn w:val="Normal"/>
    <w:next w:val="BodyText"/>
    <w:qFormat/>
    <w:rsid w:val="00661B96"/>
    <w:pPr>
      <w:keepNext/>
      <w:spacing w:before="240" w:after="120"/>
      <w:jc w:val="center"/>
    </w:pPr>
    <w:rPr>
      <w:rFonts w:eastAsia="Microsoft YaHei"/>
      <w:b/>
      <w:caps/>
      <w:sz w:val="28"/>
      <w:szCs w:val="28"/>
      <w:lang w:val="en-JM"/>
    </w:rPr>
  </w:style>
  <w:style w:type="paragraph" w:styleId="BodyText">
    <w:name w:val="Body Text"/>
    <w:basedOn w:val="Normal"/>
    <w:link w:val="BodyTextChar"/>
    <w:uiPriority w:val="99"/>
    <w:semiHidden/>
    <w:unhideWhenUsed/>
    <w:qFormat/>
    <w:rsid w:val="00126348"/>
    <w:pPr>
      <w:spacing w:after="12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styleId="NoSpacing">
    <w:name w:val="No Spacing"/>
    <w:uiPriority w:val="1"/>
    <w:qFormat/>
    <w:rsid w:val="003F1930"/>
    <w:rPr>
      <w:sz w:val="20"/>
    </w:rPr>
  </w:style>
  <w:style w:type="paragraph" w:styleId="Title">
    <w:name w:val="Title"/>
    <w:basedOn w:val="Normal"/>
    <w:next w:val="Normal"/>
    <w:link w:val="TitleChar"/>
    <w:uiPriority w:val="10"/>
    <w:qFormat/>
    <w:rsid w:val="004746DC"/>
    <w:pPr>
      <w:contextualSpacing/>
      <w:jc w:val="center"/>
    </w:pPr>
    <w:rPr>
      <w:rFonts w:eastAsiaTheme="majorEastAsia" w:cstheme="majorBidi"/>
      <w:b/>
      <w:spacing w:val="-10"/>
      <w:sz w:val="44"/>
      <w:szCs w:val="56"/>
    </w:rPr>
  </w:style>
  <w:style w:type="paragraph" w:styleId="NormalWeb">
    <w:name w:val="Normal (Web)"/>
    <w:basedOn w:val="Normal"/>
    <w:uiPriority w:val="99"/>
    <w:semiHidden/>
    <w:unhideWhenUsed/>
    <w:qFormat/>
    <w:rsid w:val="000565B9"/>
    <w:pPr>
      <w:spacing w:beforeAutospacing="1" w:afterAutospacing="1" w:line="240" w:lineRule="auto"/>
    </w:pPr>
    <w:rPr>
      <w:rFonts w:eastAsia="Arial" w:cs="Arial"/>
      <w:kern w:val="0"/>
    </w:rPr>
  </w:style>
  <w:style w:type="paragraph" w:styleId="TOC1">
    <w:name w:val="toc 1"/>
    <w:basedOn w:val="Normal"/>
    <w:next w:val="Normal"/>
    <w:autoRedefine/>
    <w:uiPriority w:val="39"/>
    <w:unhideWhenUsed/>
    <w:rsid w:val="000565B9"/>
    <w:pPr>
      <w:spacing w:after="100"/>
    </w:pPr>
  </w:style>
  <w:style w:type="paragraph" w:styleId="IndexHeading">
    <w:name w:val="index heading"/>
    <w:basedOn w:val="Heading"/>
  </w:style>
  <w:style w:type="paragraph" w:styleId="TOCHeading">
    <w:name w:val="TOC Heading"/>
    <w:basedOn w:val="Heading1"/>
    <w:next w:val="Normal"/>
    <w:uiPriority w:val="39"/>
    <w:semiHidden/>
    <w:unhideWhenUsed/>
    <w:qFormat/>
    <w:rsid w:val="000565B9"/>
    <w:pPr>
      <w:spacing w:after="0" w:line="254" w:lineRule="auto"/>
      <w:jc w:val="left"/>
      <w:outlineLvl w:val="9"/>
    </w:pPr>
    <w:rPr>
      <w:rFonts w:ascii="Calibri Light" w:hAnsi="Calibri Light"/>
      <w:b w:val="0"/>
      <w:color w:val="2F5496" w:themeColor="accent1" w:themeShade="BF"/>
      <w:kern w:val="0"/>
      <w:sz w:val="32"/>
    </w:rPr>
  </w:style>
  <w:style w:type="paragraph" w:customStyle="1" w:styleId="FirstParagraph">
    <w:name w:val="First Paragraph"/>
    <w:basedOn w:val="BodyText"/>
    <w:next w:val="BodyText"/>
    <w:uiPriority w:val="99"/>
    <w:semiHidden/>
    <w:qFormat/>
    <w:rsid w:val="000565B9"/>
    <w:pPr>
      <w:spacing w:before="180" w:after="180" w:line="240" w:lineRule="auto"/>
    </w:pPr>
    <w:rPr>
      <w:kern w:val="0"/>
    </w:rPr>
  </w:style>
  <w:style w:type="paragraph" w:customStyle="1" w:styleId="isselectedend">
    <w:name w:val="isselectedend"/>
    <w:basedOn w:val="Normal"/>
    <w:uiPriority w:val="99"/>
    <w:semiHidden/>
    <w:qFormat/>
    <w:rsid w:val="000565B9"/>
    <w:pPr>
      <w:spacing w:beforeAutospacing="1" w:afterAutospacing="1" w:line="240" w:lineRule="auto"/>
    </w:pPr>
    <w:rPr>
      <w:rFonts w:eastAsia="Arial" w:cs="Arial"/>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dumaritime.net/uk/wales/university-of-wales-trinity-saint-david" TargetMode="External"/><Relationship Id="rId13" Type="http://schemas.openxmlformats.org/officeDocument/2006/relationships/hyperlink" Target="https://arxiv.org/abs/2504.0713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07/s12599-023-00834-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38/s41598-025-9838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ijinfomgt.2023.102642" TargetMode="External"/><Relationship Id="rId5" Type="http://schemas.openxmlformats.org/officeDocument/2006/relationships/footnotes" Target="footnotes.xml"/><Relationship Id="rId15" Type="http://schemas.openxmlformats.org/officeDocument/2006/relationships/hyperlink" Target="https://doi.org/10.1007/s10462-025-11435-z" TargetMode="External"/><Relationship Id="rId10" Type="http://schemas.openxmlformats.org/officeDocument/2006/relationships/hyperlink" Target="https://doi.org/10.1093/qje/qjae04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library.imf.org/downloadpdf/view/journals/018/2026/072/018.2026.issue-072-en.pdf" TargetMode="External"/><Relationship Id="rId14" Type="http://schemas.openxmlformats.org/officeDocument/2006/relationships/hyperlink" Target="https://doi.org/10.1126/science.adh2586"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3080</Words>
  <Characters>17562</Characters>
  <Application>Microsoft Office Word</Application>
  <DocSecurity>0</DocSecurity>
  <Lines>146</Lines>
  <Paragraphs>41</Paragraphs>
  <ScaleCrop>false</ScaleCrop>
  <Company/>
  <LinksUpToDate>false</LinksUpToDate>
  <CharactersWithSpaces>20601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alsaady</dc:creator>
  <dc:description/>
  <cp:lastModifiedBy>mustafa alsaady</cp:lastModifiedBy>
  <cp:revision>2</cp:revision>
  <dcterms:created xsi:type="dcterms:W3CDTF">2026-09-27T10:45:00Z</dcterms:created>
  <dcterms:modified xsi:type="dcterms:W3CDTF">2026-09-27T10:45:00Z</dcterms:modified>
  <dc:language>en-US</dc:language>
</cp:coreProperties>
</file>