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1FF67" w14:textId="66F8240B" w:rsidR="00B61EFC" w:rsidRPr="00997699" w:rsidRDefault="00B61EFC" w:rsidP="00B61EFC">
      <w:pPr>
        <w:spacing w:line="360" w:lineRule="auto"/>
        <w:jc w:val="center"/>
        <w:rPr>
          <w:rFonts w:asciiTheme="minorBidi" w:hAnsiTheme="minorBidi"/>
          <w:color w:val="156082" w:themeColor="accent1"/>
          <w:sz w:val="32"/>
          <w:szCs w:val="32"/>
        </w:rPr>
      </w:pPr>
      <w:r w:rsidRPr="00997699">
        <w:rPr>
          <w:rFonts w:asciiTheme="minorBidi" w:hAnsiTheme="minorBidi"/>
          <w:color w:val="156082" w:themeColor="accent1"/>
          <w:sz w:val="32"/>
          <w:szCs w:val="32"/>
        </w:rPr>
        <w:t xml:space="preserve">Assignment 1: </w:t>
      </w:r>
      <w:r w:rsidR="00D96EA9">
        <w:rPr>
          <w:rFonts w:asciiTheme="minorBidi" w:hAnsiTheme="minorBidi"/>
          <w:color w:val="156082" w:themeColor="accent1"/>
          <w:sz w:val="32"/>
          <w:szCs w:val="32"/>
        </w:rPr>
        <w:t>In</w:t>
      </w:r>
      <w:r w:rsidR="00BF2A4D">
        <w:rPr>
          <w:rFonts w:asciiTheme="minorBidi" w:hAnsiTheme="minorBidi"/>
          <w:color w:val="156082" w:themeColor="accent1"/>
          <w:sz w:val="32"/>
          <w:szCs w:val="32"/>
        </w:rPr>
        <w:t xml:space="preserve">correct </w:t>
      </w:r>
      <w:r w:rsidRPr="00997699">
        <w:rPr>
          <w:rFonts w:asciiTheme="minorBidi" w:hAnsiTheme="minorBidi"/>
          <w:color w:val="156082" w:themeColor="accent1"/>
          <w:sz w:val="32"/>
          <w:szCs w:val="32"/>
        </w:rPr>
        <w:t xml:space="preserve">Report Extract </w:t>
      </w:r>
    </w:p>
    <w:p w14:paraId="26215AE4" w14:textId="5E52FC88" w:rsidR="00B61EFC" w:rsidRPr="00D96EA9" w:rsidRDefault="00B61EFC" w:rsidP="00D96EA9">
      <w:p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Recent research suggests  that small and medium</w:t>
      </w:r>
      <w:r w:rsidRPr="00D96EA9">
        <w:rPr>
          <w:rFonts w:asciiTheme="minorBidi" w:hAnsiTheme="minorBidi"/>
          <w:color w:val="156082" w:themeColor="accent1"/>
          <w:sz w:val="28"/>
          <w:szCs w:val="28"/>
        </w:rPr>
        <w:noBreakHyphen/>
        <w:t>sized enterprises (SMEs) are increasingly adopting and utilising digital tools to improve their operational efficiency and customer engagement (Mohammed et al 2024). (</w:t>
      </w:r>
      <w:proofErr w:type="spellStart"/>
      <w:r w:rsidRPr="00D96EA9">
        <w:rPr>
          <w:rFonts w:asciiTheme="minorBidi" w:hAnsiTheme="minorBidi"/>
          <w:color w:val="156082" w:themeColor="accent1"/>
          <w:sz w:val="28"/>
          <w:szCs w:val="28"/>
        </w:rPr>
        <w:t>Kallmuenzer</w:t>
      </w:r>
      <w:proofErr w:type="spellEnd"/>
      <w:r w:rsidRPr="00D96EA9">
        <w:rPr>
          <w:rFonts w:asciiTheme="minorBidi" w:hAnsiTheme="minorBidi"/>
          <w:color w:val="156082" w:themeColor="accent1"/>
          <w:sz w:val="28"/>
          <w:szCs w:val="28"/>
        </w:rPr>
        <w:t xml:space="preserve"> et al., 2025). According to recent data sets, SME</w:t>
      </w:r>
      <w:r w:rsidR="00EB6445">
        <w:rPr>
          <w:rFonts w:asciiTheme="minorBidi" w:hAnsiTheme="minorBidi"/>
          <w:color w:val="156082" w:themeColor="accent1"/>
          <w:sz w:val="28"/>
          <w:szCs w:val="28"/>
        </w:rPr>
        <w:t xml:space="preserve">s </w:t>
      </w:r>
      <w:r w:rsidRPr="00D96EA9">
        <w:rPr>
          <w:rFonts w:asciiTheme="minorBidi" w:hAnsiTheme="minorBidi"/>
          <w:color w:val="156082" w:themeColor="accent1"/>
          <w:sz w:val="28"/>
          <w:szCs w:val="28"/>
        </w:rPr>
        <w:t>have increased their investment in digital technologies in the past two years; for example, Ruby 2026 reports that 71% of SME</w:t>
      </w:r>
      <w:r w:rsidR="0018194F">
        <w:rPr>
          <w:rFonts w:asciiTheme="minorBidi" w:hAnsiTheme="minorBidi"/>
          <w:color w:val="156082" w:themeColor="accent1"/>
          <w:sz w:val="28"/>
          <w:szCs w:val="28"/>
        </w:rPr>
        <w:t>s</w:t>
      </w:r>
      <w:r w:rsidRPr="00D96EA9">
        <w:rPr>
          <w:rFonts w:asciiTheme="minorBidi" w:hAnsiTheme="minorBidi"/>
          <w:color w:val="156082" w:themeColor="accent1"/>
          <w:sz w:val="28"/>
          <w:szCs w:val="28"/>
        </w:rPr>
        <w:t xml:space="preserve"> have adopted CRM system. This transition reflects a broader trend in the UK economy, where digital capability is becoming a key determinant of business resilience, competitiveness and success. </w:t>
      </w:r>
    </w:p>
    <w:p w14:paraId="68A89373" w14:textId="77777777" w:rsidR="00B61EFC" w:rsidRPr="00D96EA9" w:rsidRDefault="00B61EFC" w:rsidP="00D96EA9">
      <w:p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 xml:space="preserve">Beyond industry specific data, further research from academic spheres supports this trend; for example, Bahaaeddin &amp; Allam, 2023) emphasises that within the Fourth Industrial Revolution, the adoption of digital technology is now a core driver of competition and present opportunities for small businesses to adapt, particularly due the customer expectations changing rapidly. In addition, Bahaaeddin, Allam (2023) further illustrates that the use of AI is changing the way business operate, and highlights that AI can impact productivity, customer retention, and decision-making. In a similar vein, findings from (Rodriguez-Ardura et al, 2025) note that customers are increasingly prioritising convenience and valuing fast and personalised service delivery. Based upon the findings these findings, businesses who fail to adapt to these expectations run the risk of </w:t>
      </w:r>
      <w:proofErr w:type="spellStart"/>
      <w:r w:rsidRPr="00D96EA9">
        <w:rPr>
          <w:rFonts w:asciiTheme="minorBidi" w:hAnsiTheme="minorBidi"/>
          <w:color w:val="156082" w:themeColor="accent1"/>
          <w:sz w:val="28"/>
          <w:szCs w:val="28"/>
        </w:rPr>
        <w:t>loosing</w:t>
      </w:r>
      <w:proofErr w:type="spellEnd"/>
      <w:r w:rsidRPr="00D96EA9">
        <w:rPr>
          <w:rFonts w:asciiTheme="minorBidi" w:hAnsiTheme="minorBidi"/>
          <w:color w:val="156082" w:themeColor="accent1"/>
          <w:sz w:val="28"/>
          <w:szCs w:val="28"/>
        </w:rPr>
        <w:t xml:space="preserve"> revenue compared to competitors who are digitally more mature. </w:t>
      </w:r>
    </w:p>
    <w:p w14:paraId="262D8C94" w14:textId="77777777" w:rsidR="00B61EFC" w:rsidRPr="00D96EA9" w:rsidRDefault="00B61EFC" w:rsidP="00D96EA9">
      <w:p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 xml:space="preserve">Although consumer-driven pressures are considerably important to address, there are  external factors which are influencing small businesses to adopt digital infrastructure. The </w:t>
      </w:r>
      <w:proofErr w:type="spellStart"/>
      <w:r w:rsidRPr="00D96EA9">
        <w:rPr>
          <w:rFonts w:asciiTheme="minorBidi" w:hAnsiTheme="minorBidi"/>
          <w:color w:val="156082" w:themeColor="accent1"/>
          <w:sz w:val="28"/>
          <w:szCs w:val="28"/>
        </w:rPr>
        <w:t>uk</w:t>
      </w:r>
      <w:proofErr w:type="spellEnd"/>
      <w:r w:rsidRPr="00D96EA9">
        <w:rPr>
          <w:rFonts w:asciiTheme="minorBidi" w:hAnsiTheme="minorBidi"/>
          <w:color w:val="156082" w:themeColor="accent1"/>
          <w:sz w:val="28"/>
          <w:szCs w:val="28"/>
        </w:rPr>
        <w:t xml:space="preserve"> government (2023) emphasises that digital skills shortages remain a major barrier to growth, </w:t>
      </w:r>
      <w:r w:rsidRPr="00D96EA9">
        <w:rPr>
          <w:rFonts w:asciiTheme="minorBidi" w:hAnsiTheme="minorBidi"/>
          <w:color w:val="156082" w:themeColor="accent1"/>
          <w:sz w:val="28"/>
          <w:szCs w:val="28"/>
        </w:rPr>
        <w:lastRenderedPageBreak/>
        <w:t>particularly for micro</w:t>
      </w:r>
      <w:r w:rsidRPr="00D96EA9">
        <w:rPr>
          <w:rFonts w:asciiTheme="minorBidi" w:hAnsiTheme="minorBidi"/>
          <w:color w:val="156082" w:themeColor="accent1"/>
          <w:sz w:val="28"/>
          <w:szCs w:val="28"/>
        </w:rPr>
        <w:noBreakHyphen/>
        <w:t>businesses. The report highlights that many SMEs identify digital and technology</w:t>
      </w:r>
      <w:r w:rsidRPr="00D96EA9">
        <w:rPr>
          <w:rFonts w:asciiTheme="minorBidi" w:hAnsiTheme="minorBidi"/>
          <w:color w:val="156082" w:themeColor="accent1"/>
          <w:sz w:val="28"/>
          <w:szCs w:val="28"/>
        </w:rPr>
        <w:noBreakHyphen/>
        <w:t xml:space="preserve">related skills as among the key areas where recruitment and upskilling challenges persist, reflecting ongoing skills gaps affecting business productivity and growth plans. Despite these challenges, government initiatives such as the Skills for Life helps to support SMEs in addressing the skill shortages. </w:t>
      </w:r>
    </w:p>
    <w:p w14:paraId="3C76CF86" w14:textId="77777777" w:rsidR="00B61EFC" w:rsidRPr="00D96EA9" w:rsidRDefault="00B61EFC" w:rsidP="00D96EA9">
      <w:p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Another important factor shaping SME behaviour is the post</w:t>
      </w:r>
      <w:r w:rsidRPr="00D96EA9">
        <w:rPr>
          <w:rFonts w:asciiTheme="minorBidi" w:hAnsiTheme="minorBidi"/>
          <w:color w:val="156082" w:themeColor="accent1"/>
          <w:sz w:val="28"/>
          <w:szCs w:val="28"/>
        </w:rPr>
        <w:noBreakHyphen/>
        <w:t>pandemic shift towards hybrid working. (CIPD 2025) indicates that flexible working arrangements have required businesses the change the way they operate, with 71% of UK organisations having hybrid working conditions in place, therefore placing increased demand for collaboration platforms and secure remote</w:t>
      </w:r>
      <w:r w:rsidRPr="00D96EA9">
        <w:rPr>
          <w:rFonts w:asciiTheme="minorBidi" w:hAnsiTheme="minorBidi"/>
          <w:color w:val="156082" w:themeColor="accent1"/>
          <w:sz w:val="28"/>
          <w:szCs w:val="28"/>
        </w:rPr>
        <w:noBreakHyphen/>
        <w:t xml:space="preserve">access systems. SMEs that have embraced hybrid models report improvements in employee satisfaction and retention, although concerns remain regarding cybersecurity and data protection. </w:t>
      </w:r>
    </w:p>
    <w:p w14:paraId="350425A4" w14:textId="77777777" w:rsidR="00B61EFC" w:rsidRPr="00D96EA9" w:rsidRDefault="00B61EFC" w:rsidP="00D96EA9">
      <w:p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Overall, the evidence suggests that digital capability is becoming essential for long</w:t>
      </w:r>
      <w:r w:rsidRPr="00D96EA9">
        <w:rPr>
          <w:rFonts w:asciiTheme="minorBidi" w:hAnsiTheme="minorBidi"/>
          <w:color w:val="156082" w:themeColor="accent1"/>
          <w:sz w:val="28"/>
          <w:szCs w:val="28"/>
        </w:rPr>
        <w:noBreakHyphen/>
        <w:t>term sustainability in the SME sector. Businesses that invest strategically in digital tools, workforce skills, and customer</w:t>
      </w:r>
      <w:r w:rsidRPr="00D96EA9">
        <w:rPr>
          <w:rFonts w:asciiTheme="minorBidi" w:hAnsiTheme="minorBidi"/>
          <w:color w:val="156082" w:themeColor="accent1"/>
          <w:sz w:val="28"/>
          <w:szCs w:val="28"/>
        </w:rPr>
        <w:noBreakHyphen/>
        <w:t>focused technologies are better positioned to navigate market uncertainty and capitalise on emerging opportunities.</w:t>
      </w:r>
    </w:p>
    <w:p w14:paraId="70D3FB0D" w14:textId="77777777" w:rsidR="003E5581" w:rsidRDefault="003E5581" w:rsidP="00D96EA9">
      <w:pPr>
        <w:spacing w:line="360" w:lineRule="auto"/>
        <w:rPr>
          <w:rFonts w:asciiTheme="minorBidi" w:hAnsiTheme="minorBidi"/>
          <w:color w:val="156082" w:themeColor="accent1"/>
          <w:sz w:val="28"/>
          <w:szCs w:val="28"/>
        </w:rPr>
      </w:pPr>
    </w:p>
    <w:p w14:paraId="01244B7A" w14:textId="77777777" w:rsidR="003E5581" w:rsidRDefault="003E5581" w:rsidP="00D96EA9">
      <w:pPr>
        <w:spacing w:line="360" w:lineRule="auto"/>
        <w:rPr>
          <w:rFonts w:asciiTheme="minorBidi" w:hAnsiTheme="minorBidi"/>
          <w:color w:val="156082" w:themeColor="accent1"/>
          <w:sz w:val="28"/>
          <w:szCs w:val="28"/>
        </w:rPr>
      </w:pPr>
    </w:p>
    <w:p w14:paraId="31B53681" w14:textId="77777777" w:rsidR="003E5581" w:rsidRDefault="003E5581" w:rsidP="00D96EA9">
      <w:pPr>
        <w:spacing w:line="360" w:lineRule="auto"/>
        <w:rPr>
          <w:rFonts w:asciiTheme="minorBidi" w:hAnsiTheme="minorBidi"/>
          <w:color w:val="156082" w:themeColor="accent1"/>
          <w:sz w:val="28"/>
          <w:szCs w:val="28"/>
        </w:rPr>
      </w:pPr>
    </w:p>
    <w:p w14:paraId="53BE4A7F" w14:textId="77777777" w:rsidR="003E5581" w:rsidRDefault="003E5581" w:rsidP="00D96EA9">
      <w:pPr>
        <w:spacing w:line="360" w:lineRule="auto"/>
        <w:rPr>
          <w:rFonts w:asciiTheme="minorBidi" w:hAnsiTheme="minorBidi"/>
          <w:color w:val="156082" w:themeColor="accent1"/>
          <w:sz w:val="28"/>
          <w:szCs w:val="28"/>
        </w:rPr>
      </w:pPr>
    </w:p>
    <w:p w14:paraId="26A4038F" w14:textId="77777777" w:rsidR="003E5581" w:rsidRDefault="003E5581" w:rsidP="00D96EA9">
      <w:pPr>
        <w:spacing w:line="360" w:lineRule="auto"/>
        <w:rPr>
          <w:rFonts w:asciiTheme="minorBidi" w:hAnsiTheme="minorBidi"/>
          <w:color w:val="156082" w:themeColor="accent1"/>
          <w:sz w:val="28"/>
          <w:szCs w:val="28"/>
        </w:rPr>
      </w:pPr>
    </w:p>
    <w:p w14:paraId="35EA0B48" w14:textId="77777777" w:rsidR="003E5581" w:rsidRDefault="003E5581" w:rsidP="00D96EA9">
      <w:pPr>
        <w:spacing w:line="360" w:lineRule="auto"/>
        <w:rPr>
          <w:rFonts w:asciiTheme="minorBidi" w:hAnsiTheme="minorBidi"/>
          <w:color w:val="156082" w:themeColor="accent1"/>
          <w:sz w:val="28"/>
          <w:szCs w:val="28"/>
        </w:rPr>
      </w:pPr>
    </w:p>
    <w:p w14:paraId="47BD6F3E" w14:textId="77777777" w:rsidR="003E5581" w:rsidRDefault="003E5581" w:rsidP="00D96EA9">
      <w:pPr>
        <w:spacing w:line="360" w:lineRule="auto"/>
        <w:rPr>
          <w:rFonts w:asciiTheme="minorBidi" w:hAnsiTheme="minorBidi"/>
          <w:color w:val="156082" w:themeColor="accent1"/>
          <w:sz w:val="28"/>
          <w:szCs w:val="28"/>
        </w:rPr>
      </w:pPr>
    </w:p>
    <w:p w14:paraId="2B76065A" w14:textId="6EBF9B80" w:rsidR="00B61EFC" w:rsidRPr="00D96EA9" w:rsidRDefault="00B61EFC" w:rsidP="00D96EA9">
      <w:p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lastRenderedPageBreak/>
        <w:t>Reference List</w:t>
      </w:r>
    </w:p>
    <w:p w14:paraId="0C04A6BC" w14:textId="77777777" w:rsidR="00B61EFC" w:rsidRPr="00D96EA9" w:rsidRDefault="00B61EFC" w:rsidP="00D96EA9">
      <w:pPr>
        <w:pStyle w:val="ListParagraph"/>
        <w:numPr>
          <w:ilvl w:val="0"/>
          <w:numId w:val="1"/>
        </w:num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CIPD 2025 Flexible and hybrid working practices in 2025</w:t>
      </w:r>
      <w:r w:rsidRPr="00D96EA9">
        <w:rPr>
          <w:rFonts w:asciiTheme="minorBidi" w:hAnsiTheme="minorBidi"/>
          <w:i/>
          <w:iCs/>
          <w:color w:val="156082" w:themeColor="accent1"/>
          <w:sz w:val="28"/>
          <w:szCs w:val="28"/>
        </w:rPr>
        <w:t xml:space="preserve">. [Online] Available at: </w:t>
      </w:r>
      <w:hyperlink r:id="rId7" w:history="1">
        <w:r w:rsidRPr="00D96EA9">
          <w:rPr>
            <w:rStyle w:val="Hyperlink"/>
            <w:rFonts w:asciiTheme="minorBidi" w:hAnsiTheme="minorBidi"/>
            <w:color w:val="156082" w:themeColor="accent1"/>
            <w:sz w:val="28"/>
            <w:szCs w:val="28"/>
          </w:rPr>
          <w:t>Flexible and hybrid working practices in 2025 | CIPD</w:t>
        </w:r>
      </w:hyperlink>
      <w:r w:rsidRPr="00D96EA9">
        <w:rPr>
          <w:rFonts w:asciiTheme="minorBidi" w:hAnsiTheme="minorBidi"/>
          <w:color w:val="156082" w:themeColor="accent1"/>
          <w:sz w:val="28"/>
          <w:szCs w:val="28"/>
        </w:rPr>
        <w:t>. Accessed 31</w:t>
      </w:r>
      <w:r w:rsidRPr="00D96EA9">
        <w:rPr>
          <w:rFonts w:asciiTheme="minorBidi" w:hAnsiTheme="minorBidi"/>
          <w:color w:val="156082" w:themeColor="accent1"/>
          <w:sz w:val="28"/>
          <w:szCs w:val="28"/>
          <w:vertAlign w:val="superscript"/>
        </w:rPr>
        <w:t>st</w:t>
      </w:r>
      <w:r w:rsidRPr="00D96EA9">
        <w:rPr>
          <w:rFonts w:asciiTheme="minorBidi" w:hAnsiTheme="minorBidi"/>
          <w:color w:val="156082" w:themeColor="accent1"/>
          <w:sz w:val="28"/>
          <w:szCs w:val="28"/>
        </w:rPr>
        <w:t xml:space="preserve"> March 2026. </w:t>
      </w:r>
    </w:p>
    <w:p w14:paraId="297D1F17" w14:textId="77777777" w:rsidR="00B61EFC" w:rsidRPr="00D96EA9" w:rsidRDefault="00B61EFC" w:rsidP="00D96EA9">
      <w:pPr>
        <w:pStyle w:val="ListParagraph"/>
        <w:numPr>
          <w:ilvl w:val="0"/>
          <w:numId w:val="1"/>
        </w:num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RODRÍGUEZ-ARDURA, I., MESEGUER-ARTOLA, A., HERZALLAH, D. and FU, Q., 2025. Pumping up customer value with convenience and personalisation strategies in e-retailing: an analysis of the engagement connection: An International Journal. </w:t>
      </w:r>
      <w:r w:rsidRPr="00D96EA9">
        <w:rPr>
          <w:rFonts w:asciiTheme="minorBidi" w:hAnsiTheme="minorBidi"/>
          <w:i/>
          <w:iCs/>
          <w:color w:val="156082" w:themeColor="accent1"/>
          <w:sz w:val="28"/>
          <w:szCs w:val="28"/>
        </w:rPr>
        <w:t>Journal of Research in Interactive Marketing, </w:t>
      </w:r>
      <w:r w:rsidRPr="00D96EA9">
        <w:rPr>
          <w:rFonts w:asciiTheme="minorBidi" w:hAnsiTheme="minorBidi"/>
          <w:color w:val="156082" w:themeColor="accent1"/>
          <w:sz w:val="28"/>
          <w:szCs w:val="28"/>
        </w:rPr>
        <w:t xml:space="preserve">19(1), pp. 35-58. DOI: 10.1108/JRIM-03-2023-0083 </w:t>
      </w:r>
    </w:p>
    <w:p w14:paraId="401E6FF3" w14:textId="77777777" w:rsidR="00B61EFC" w:rsidRPr="00D96EA9" w:rsidRDefault="00B61EFC" w:rsidP="00D96EA9">
      <w:pPr>
        <w:pStyle w:val="ListParagraph"/>
        <w:numPr>
          <w:ilvl w:val="0"/>
          <w:numId w:val="1"/>
        </w:numPr>
        <w:spacing w:line="360" w:lineRule="auto"/>
        <w:rPr>
          <w:rFonts w:asciiTheme="minorBidi" w:hAnsiTheme="minorBidi"/>
          <w:color w:val="156082" w:themeColor="accent1"/>
          <w:sz w:val="28"/>
          <w:szCs w:val="28"/>
        </w:rPr>
      </w:pPr>
      <w:r w:rsidRPr="00D96EA9">
        <w:rPr>
          <w:rFonts w:asciiTheme="minorBidi" w:hAnsiTheme="minorBidi"/>
          <w:i/>
          <w:iCs/>
          <w:color w:val="156082" w:themeColor="accent1"/>
          <w:sz w:val="28"/>
          <w:szCs w:val="28"/>
        </w:rPr>
        <w:t>(HM Government</w:t>
      </w:r>
      <w:r w:rsidRPr="00D96EA9">
        <w:rPr>
          <w:rFonts w:asciiTheme="minorBidi" w:hAnsiTheme="minorBidi"/>
          <w:color w:val="156082" w:themeColor="accent1"/>
          <w:sz w:val="28"/>
          <w:szCs w:val="28"/>
        </w:rPr>
        <w:t xml:space="preserve"> , 2025) SME Skills Horizon: 2025. A 2025 Skills and Recruitment Barometer of SME Across England.  </w:t>
      </w:r>
      <w:hyperlink r:id="rId8" w:history="1">
        <w:r w:rsidRPr="00D96EA9">
          <w:rPr>
            <w:rStyle w:val="Hyperlink"/>
            <w:rFonts w:asciiTheme="minorBidi" w:hAnsiTheme="minorBidi"/>
            <w:color w:val="156082" w:themeColor="accent1"/>
            <w:sz w:val="28"/>
            <w:szCs w:val="28"/>
          </w:rPr>
          <w:t>SME Skills Horizon 2025</w:t>
        </w:r>
      </w:hyperlink>
      <w:r w:rsidRPr="00D96EA9">
        <w:rPr>
          <w:rFonts w:asciiTheme="minorBidi" w:hAnsiTheme="minorBidi"/>
          <w:color w:val="156082" w:themeColor="accent1"/>
          <w:sz w:val="28"/>
          <w:szCs w:val="28"/>
        </w:rPr>
        <w:t>. 31</w:t>
      </w:r>
      <w:r w:rsidRPr="00D96EA9">
        <w:rPr>
          <w:rFonts w:asciiTheme="minorBidi" w:hAnsiTheme="minorBidi"/>
          <w:color w:val="156082" w:themeColor="accent1"/>
          <w:sz w:val="28"/>
          <w:szCs w:val="28"/>
          <w:vertAlign w:val="superscript"/>
        </w:rPr>
        <w:t>st</w:t>
      </w:r>
      <w:r w:rsidRPr="00D96EA9">
        <w:rPr>
          <w:rFonts w:asciiTheme="minorBidi" w:hAnsiTheme="minorBidi"/>
          <w:color w:val="156082" w:themeColor="accent1"/>
          <w:sz w:val="28"/>
          <w:szCs w:val="28"/>
        </w:rPr>
        <w:t xml:space="preserve"> March 2026. </w:t>
      </w:r>
    </w:p>
    <w:p w14:paraId="6AB998C3" w14:textId="77777777" w:rsidR="00B61EFC" w:rsidRPr="00D96EA9" w:rsidRDefault="00B61EFC" w:rsidP="00D96EA9">
      <w:pPr>
        <w:pStyle w:val="ListParagraph"/>
        <w:numPr>
          <w:ilvl w:val="0"/>
          <w:numId w:val="1"/>
        </w:num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 xml:space="preserve">Mohammad Rakibul Islam Bhuiyan, M. R. I., Faraji. M. R., Rashid, M., Bhuyan, K., Hossain, R. and Ghose, P. 2024 ‘ Digital Transformation in SMEs Emerging Technological Tools and Technologies for Enhancing the SME's Strategies and Outcomes’, Journal of Ecohumanism. 3 4: pp. 211-224.DOI: </w:t>
      </w:r>
      <w:hyperlink r:id="rId9" w:history="1">
        <w:r w:rsidRPr="00D96EA9">
          <w:rPr>
            <w:rStyle w:val="Hyperlink"/>
            <w:rFonts w:asciiTheme="minorBidi" w:hAnsiTheme="minorBidi"/>
            <w:color w:val="156082" w:themeColor="accent1"/>
            <w:sz w:val="28"/>
            <w:szCs w:val="28"/>
          </w:rPr>
          <w:t>https://doi.org/10.62754/joe.v3i4.3594</w:t>
        </w:r>
      </w:hyperlink>
      <w:r w:rsidRPr="00D96EA9">
        <w:rPr>
          <w:rFonts w:asciiTheme="minorBidi" w:hAnsiTheme="minorBidi"/>
          <w:color w:val="156082" w:themeColor="accent1"/>
          <w:sz w:val="28"/>
          <w:szCs w:val="28"/>
        </w:rPr>
        <w:t xml:space="preserve"> </w:t>
      </w:r>
    </w:p>
    <w:p w14:paraId="6D2668B9" w14:textId="77777777" w:rsidR="00B61EFC" w:rsidRPr="00D96EA9" w:rsidRDefault="00B61EFC" w:rsidP="00D96EA9">
      <w:pPr>
        <w:pStyle w:val="ListParagraph"/>
        <w:numPr>
          <w:ilvl w:val="0"/>
          <w:numId w:val="1"/>
        </w:numPr>
        <w:spacing w:line="360" w:lineRule="auto"/>
        <w:rPr>
          <w:rFonts w:asciiTheme="minorBidi" w:hAnsiTheme="minorBidi"/>
          <w:color w:val="156082" w:themeColor="accent1"/>
          <w:sz w:val="28"/>
          <w:szCs w:val="28"/>
        </w:rPr>
      </w:pPr>
      <w:proofErr w:type="spellStart"/>
      <w:r w:rsidRPr="00D96EA9">
        <w:rPr>
          <w:rFonts w:asciiTheme="minorBidi" w:hAnsiTheme="minorBidi"/>
          <w:color w:val="156082" w:themeColor="accent1"/>
          <w:sz w:val="28"/>
          <w:szCs w:val="28"/>
        </w:rPr>
        <w:t>Kallmuenzer</w:t>
      </w:r>
      <w:proofErr w:type="spellEnd"/>
      <w:r w:rsidRPr="00D96EA9">
        <w:rPr>
          <w:rFonts w:asciiTheme="minorBidi" w:hAnsiTheme="minorBidi"/>
          <w:color w:val="156082" w:themeColor="accent1"/>
          <w:sz w:val="28"/>
          <w:szCs w:val="28"/>
        </w:rPr>
        <w:t xml:space="preserve">, A., Mikhaylov, A., Chelaru, M. and Czakon, W. (2025) </w:t>
      </w:r>
      <w:r w:rsidRPr="00D96EA9">
        <w:rPr>
          <w:rFonts w:asciiTheme="minorBidi" w:hAnsiTheme="minorBidi"/>
          <w:i/>
          <w:iCs/>
          <w:color w:val="156082" w:themeColor="accent1"/>
          <w:sz w:val="28"/>
          <w:szCs w:val="28"/>
        </w:rPr>
        <w:t>Adoption and performance outcome of digitalization in small and medium-sized enterprises</w:t>
      </w:r>
      <w:r w:rsidRPr="00D96EA9">
        <w:rPr>
          <w:rFonts w:asciiTheme="minorBidi" w:hAnsiTheme="minorBidi"/>
          <w:color w:val="156082" w:themeColor="accent1"/>
          <w:sz w:val="28"/>
          <w:szCs w:val="28"/>
        </w:rPr>
        <w:t xml:space="preserve">. Review of Managerial Science. </w:t>
      </w:r>
      <w:r w:rsidRPr="00D96EA9">
        <w:rPr>
          <w:rFonts w:asciiTheme="minorBidi" w:hAnsiTheme="minorBidi"/>
          <w:i/>
          <w:iCs/>
          <w:color w:val="156082" w:themeColor="accent1"/>
          <w:sz w:val="28"/>
          <w:szCs w:val="28"/>
        </w:rPr>
        <w:t xml:space="preserve">19: p. 2011 2038. DOI: </w:t>
      </w:r>
      <w:hyperlink r:id="rId10" w:history="1">
        <w:r w:rsidRPr="00D96EA9">
          <w:rPr>
            <w:rStyle w:val="Hyperlink"/>
            <w:rFonts w:asciiTheme="minorBidi" w:hAnsiTheme="minorBidi"/>
            <w:color w:val="156082" w:themeColor="accent1"/>
            <w:sz w:val="28"/>
            <w:szCs w:val="28"/>
          </w:rPr>
          <w:t>https://doi.org/10.1007/s11846-024-00744-2</w:t>
        </w:r>
      </w:hyperlink>
      <w:r w:rsidRPr="00D96EA9">
        <w:rPr>
          <w:rFonts w:asciiTheme="minorBidi" w:hAnsiTheme="minorBidi"/>
          <w:color w:val="156082" w:themeColor="accent1"/>
          <w:sz w:val="28"/>
          <w:szCs w:val="28"/>
        </w:rPr>
        <w:t xml:space="preserve"> </w:t>
      </w:r>
    </w:p>
    <w:p w14:paraId="758C7305" w14:textId="77777777" w:rsidR="00B61EFC" w:rsidRPr="00D96EA9" w:rsidRDefault="00B61EFC" w:rsidP="00D96EA9">
      <w:pPr>
        <w:pStyle w:val="ListParagraph"/>
        <w:numPr>
          <w:ilvl w:val="0"/>
          <w:numId w:val="1"/>
        </w:num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Ruby, D. (2026) 42 Latest CRM Statistics 2026: Market Share Data</w:t>
      </w:r>
      <w:r w:rsidRPr="00D96EA9">
        <w:rPr>
          <w:rFonts w:asciiTheme="minorBidi" w:hAnsiTheme="minorBidi"/>
          <w:i/>
          <w:iCs/>
          <w:color w:val="156082" w:themeColor="accent1"/>
          <w:sz w:val="28"/>
          <w:szCs w:val="28"/>
        </w:rPr>
        <w:t>.</w:t>
      </w:r>
      <w:r w:rsidRPr="00D96EA9">
        <w:rPr>
          <w:rFonts w:asciiTheme="minorBidi" w:hAnsiTheme="minorBidi"/>
          <w:color w:val="156082" w:themeColor="accent1"/>
          <w:sz w:val="28"/>
          <w:szCs w:val="28"/>
        </w:rPr>
        <w:t xml:space="preserve"> [Online] Available at: </w:t>
      </w:r>
      <w:hyperlink r:id="rId11" w:history="1">
        <w:r w:rsidRPr="00D96EA9">
          <w:rPr>
            <w:rStyle w:val="Hyperlink"/>
            <w:rFonts w:asciiTheme="minorBidi" w:hAnsiTheme="minorBidi"/>
            <w:color w:val="156082" w:themeColor="accent1"/>
            <w:sz w:val="28"/>
            <w:szCs w:val="28"/>
          </w:rPr>
          <w:t>42 Latest CRM Statistics 2026 — Market Share Data</w:t>
        </w:r>
      </w:hyperlink>
      <w:r w:rsidRPr="00D96EA9">
        <w:rPr>
          <w:rFonts w:asciiTheme="minorBidi" w:hAnsiTheme="minorBidi"/>
          <w:color w:val="156082" w:themeColor="accent1"/>
          <w:sz w:val="28"/>
          <w:szCs w:val="28"/>
        </w:rPr>
        <w:t>. Accessed at: 31</w:t>
      </w:r>
      <w:r w:rsidRPr="00D96EA9">
        <w:rPr>
          <w:rFonts w:asciiTheme="minorBidi" w:hAnsiTheme="minorBidi"/>
          <w:color w:val="156082" w:themeColor="accent1"/>
          <w:sz w:val="28"/>
          <w:szCs w:val="28"/>
          <w:vertAlign w:val="superscript"/>
        </w:rPr>
        <w:t>st</w:t>
      </w:r>
      <w:r w:rsidRPr="00D96EA9">
        <w:rPr>
          <w:rFonts w:asciiTheme="minorBidi" w:hAnsiTheme="minorBidi"/>
          <w:color w:val="156082" w:themeColor="accent1"/>
          <w:sz w:val="28"/>
          <w:szCs w:val="28"/>
        </w:rPr>
        <w:t xml:space="preserve"> March 2026. </w:t>
      </w:r>
    </w:p>
    <w:p w14:paraId="57F0399B" w14:textId="68EAA32D" w:rsidR="00726A92" w:rsidRPr="003E5581" w:rsidRDefault="00B61EFC" w:rsidP="003E5581">
      <w:pPr>
        <w:pStyle w:val="ListParagraph"/>
        <w:numPr>
          <w:ilvl w:val="0"/>
          <w:numId w:val="1"/>
        </w:numPr>
        <w:spacing w:line="360" w:lineRule="auto"/>
        <w:rPr>
          <w:rFonts w:asciiTheme="minorBidi" w:hAnsiTheme="minorBidi"/>
          <w:color w:val="156082" w:themeColor="accent1"/>
          <w:sz w:val="28"/>
          <w:szCs w:val="28"/>
        </w:rPr>
      </w:pPr>
      <w:r w:rsidRPr="00D96EA9">
        <w:rPr>
          <w:rFonts w:asciiTheme="minorBidi" w:hAnsiTheme="minorBidi"/>
          <w:color w:val="156082" w:themeColor="accent1"/>
          <w:sz w:val="28"/>
          <w:szCs w:val="28"/>
        </w:rPr>
        <w:t xml:space="preserve">Bahaaeddin, A. &amp; Allam, H. (2023) Impact of Artificial Intelligence , and the Fourth Industrial Evolution on Business Success. </w:t>
      </w:r>
      <w:r w:rsidRPr="00D96EA9">
        <w:rPr>
          <w:rFonts w:asciiTheme="minorBidi" w:hAnsiTheme="minorBidi"/>
          <w:i/>
          <w:iCs/>
          <w:color w:val="156082" w:themeColor="accent1"/>
          <w:sz w:val="28"/>
          <w:szCs w:val="28"/>
        </w:rPr>
        <w:t>Springer.</w:t>
      </w:r>
      <w:r w:rsidRPr="00D96EA9">
        <w:rPr>
          <w:rFonts w:asciiTheme="minorBidi" w:hAnsiTheme="minorBidi"/>
          <w:color w:val="156082" w:themeColor="accent1"/>
          <w:sz w:val="28"/>
          <w:szCs w:val="28"/>
        </w:rPr>
        <w:t xml:space="preserve"> </w:t>
      </w:r>
    </w:p>
    <w:sectPr w:rsidR="00726A92" w:rsidRPr="003E55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BA4A4" w14:textId="77777777" w:rsidR="00D160CF" w:rsidRDefault="00D160CF" w:rsidP="00997699">
      <w:pPr>
        <w:spacing w:after="0" w:line="240" w:lineRule="auto"/>
      </w:pPr>
      <w:r>
        <w:separator/>
      </w:r>
    </w:p>
  </w:endnote>
  <w:endnote w:type="continuationSeparator" w:id="0">
    <w:p w14:paraId="1319357A" w14:textId="77777777" w:rsidR="00D160CF" w:rsidRDefault="00D160CF" w:rsidP="0099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DF40B" w14:textId="77777777" w:rsidR="00D160CF" w:rsidRDefault="00D160CF" w:rsidP="00997699">
      <w:pPr>
        <w:spacing w:after="0" w:line="240" w:lineRule="auto"/>
      </w:pPr>
      <w:r>
        <w:separator/>
      </w:r>
    </w:p>
  </w:footnote>
  <w:footnote w:type="continuationSeparator" w:id="0">
    <w:p w14:paraId="252A699F" w14:textId="77777777" w:rsidR="00D160CF" w:rsidRDefault="00D160CF" w:rsidP="009976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D62B05"/>
    <w:multiLevelType w:val="hybridMultilevel"/>
    <w:tmpl w:val="42366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236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FC"/>
    <w:rsid w:val="0003583A"/>
    <w:rsid w:val="000D5AC4"/>
    <w:rsid w:val="0018194F"/>
    <w:rsid w:val="003E5581"/>
    <w:rsid w:val="00563E64"/>
    <w:rsid w:val="00586D04"/>
    <w:rsid w:val="00591828"/>
    <w:rsid w:val="00717419"/>
    <w:rsid w:val="00726A92"/>
    <w:rsid w:val="007C49FC"/>
    <w:rsid w:val="008D3A62"/>
    <w:rsid w:val="00995682"/>
    <w:rsid w:val="00997699"/>
    <w:rsid w:val="00B15354"/>
    <w:rsid w:val="00B61EFC"/>
    <w:rsid w:val="00BC259F"/>
    <w:rsid w:val="00BF2A4D"/>
    <w:rsid w:val="00CD4307"/>
    <w:rsid w:val="00D160CF"/>
    <w:rsid w:val="00D96EA9"/>
    <w:rsid w:val="00EB6445"/>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C7CFE"/>
  <w15:chartTrackingRefBased/>
  <w15:docId w15:val="{F9D26897-0178-40ED-A409-E288DCC7A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EFC"/>
  </w:style>
  <w:style w:type="paragraph" w:styleId="Heading1">
    <w:name w:val="heading 1"/>
    <w:basedOn w:val="Normal"/>
    <w:next w:val="Normal"/>
    <w:link w:val="Heading1Char"/>
    <w:uiPriority w:val="9"/>
    <w:qFormat/>
    <w:rsid w:val="00B61E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E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E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E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E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E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E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E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EFC"/>
    <w:rPr>
      <w:rFonts w:eastAsiaTheme="majorEastAsia" w:cstheme="majorBidi"/>
      <w:color w:val="272727" w:themeColor="text1" w:themeTint="D8"/>
    </w:rPr>
  </w:style>
  <w:style w:type="paragraph" w:styleId="Title">
    <w:name w:val="Title"/>
    <w:basedOn w:val="Normal"/>
    <w:next w:val="Normal"/>
    <w:link w:val="TitleChar"/>
    <w:uiPriority w:val="10"/>
    <w:qFormat/>
    <w:rsid w:val="00B61E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E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EFC"/>
    <w:pPr>
      <w:spacing w:before="160"/>
      <w:jc w:val="center"/>
    </w:pPr>
    <w:rPr>
      <w:i/>
      <w:iCs/>
      <w:color w:val="404040" w:themeColor="text1" w:themeTint="BF"/>
    </w:rPr>
  </w:style>
  <w:style w:type="character" w:customStyle="1" w:styleId="QuoteChar">
    <w:name w:val="Quote Char"/>
    <w:basedOn w:val="DefaultParagraphFont"/>
    <w:link w:val="Quote"/>
    <w:uiPriority w:val="29"/>
    <w:rsid w:val="00B61EFC"/>
    <w:rPr>
      <w:i/>
      <w:iCs/>
      <w:color w:val="404040" w:themeColor="text1" w:themeTint="BF"/>
    </w:rPr>
  </w:style>
  <w:style w:type="paragraph" w:styleId="ListParagraph">
    <w:name w:val="List Paragraph"/>
    <w:basedOn w:val="Normal"/>
    <w:uiPriority w:val="34"/>
    <w:qFormat/>
    <w:rsid w:val="00B61EFC"/>
    <w:pPr>
      <w:ind w:left="720"/>
      <w:contextualSpacing/>
    </w:pPr>
  </w:style>
  <w:style w:type="character" w:styleId="IntenseEmphasis">
    <w:name w:val="Intense Emphasis"/>
    <w:basedOn w:val="DefaultParagraphFont"/>
    <w:uiPriority w:val="21"/>
    <w:qFormat/>
    <w:rsid w:val="00B61EFC"/>
    <w:rPr>
      <w:i/>
      <w:iCs/>
      <w:color w:val="0F4761" w:themeColor="accent1" w:themeShade="BF"/>
    </w:rPr>
  </w:style>
  <w:style w:type="paragraph" w:styleId="IntenseQuote">
    <w:name w:val="Intense Quote"/>
    <w:basedOn w:val="Normal"/>
    <w:next w:val="Normal"/>
    <w:link w:val="IntenseQuoteChar"/>
    <w:uiPriority w:val="30"/>
    <w:qFormat/>
    <w:rsid w:val="00B61E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FC"/>
    <w:rPr>
      <w:i/>
      <w:iCs/>
      <w:color w:val="0F4761" w:themeColor="accent1" w:themeShade="BF"/>
    </w:rPr>
  </w:style>
  <w:style w:type="character" w:styleId="IntenseReference">
    <w:name w:val="Intense Reference"/>
    <w:basedOn w:val="DefaultParagraphFont"/>
    <w:uiPriority w:val="32"/>
    <w:qFormat/>
    <w:rsid w:val="00B61EFC"/>
    <w:rPr>
      <w:b/>
      <w:bCs/>
      <w:smallCaps/>
      <w:color w:val="0F4761" w:themeColor="accent1" w:themeShade="BF"/>
      <w:spacing w:val="5"/>
    </w:rPr>
  </w:style>
  <w:style w:type="character" w:styleId="Hyperlink">
    <w:name w:val="Hyperlink"/>
    <w:basedOn w:val="DefaultParagraphFont"/>
    <w:uiPriority w:val="99"/>
    <w:unhideWhenUsed/>
    <w:rsid w:val="00B61EFC"/>
    <w:rPr>
      <w:color w:val="467886" w:themeColor="hyperlink"/>
      <w:u w:val="single"/>
    </w:rPr>
  </w:style>
  <w:style w:type="paragraph" w:styleId="Header">
    <w:name w:val="header"/>
    <w:basedOn w:val="Normal"/>
    <w:link w:val="HeaderChar"/>
    <w:uiPriority w:val="99"/>
    <w:unhideWhenUsed/>
    <w:rsid w:val="00997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699"/>
  </w:style>
  <w:style w:type="paragraph" w:styleId="Footer">
    <w:name w:val="footer"/>
    <w:basedOn w:val="Normal"/>
    <w:link w:val="FooterChar"/>
    <w:uiPriority w:val="99"/>
    <w:unhideWhenUsed/>
    <w:rsid w:val="00997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79201a1b1e4f5cbd3a34e37/SME_Skills_Horizon_202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org/uk/knowledge/reports/flexible-hybrid-work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mandsage.com/crm-statistics/" TargetMode="External"/><Relationship Id="rId5" Type="http://schemas.openxmlformats.org/officeDocument/2006/relationships/footnotes" Target="footnotes.xml"/><Relationship Id="rId10" Type="http://schemas.openxmlformats.org/officeDocument/2006/relationships/hyperlink" Target="https://doi.org/10.1007/s11846-024-00744-2" TargetMode="External"/><Relationship Id="rId4" Type="http://schemas.openxmlformats.org/officeDocument/2006/relationships/webSettings" Target="webSettings.xml"/><Relationship Id="rId9" Type="http://schemas.openxmlformats.org/officeDocument/2006/relationships/hyperlink" Target="https://doi.org/10.62754/joe.v3i4.35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755</Words>
  <Characters>4307</Characters>
  <Application>Microsoft Office Word</Application>
  <DocSecurity>0</DocSecurity>
  <Lines>35</Lines>
  <Paragraphs>10</Paragraphs>
  <ScaleCrop>false</ScaleCrop>
  <Company>University of Wales Trinity Saint David</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9</cp:revision>
  <dcterms:created xsi:type="dcterms:W3CDTF">2026-04-24T09:18:00Z</dcterms:created>
  <dcterms:modified xsi:type="dcterms:W3CDTF">2026-05-15T08:25:00Z</dcterms:modified>
</cp:coreProperties>
</file>