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B34E13" w14:textId="183C7789" w:rsidR="00CB27DE" w:rsidRDefault="00482E22">
      <w:r>
        <w:t>In this essay I shall be discussing the significance of marriage and divorce laws in Judaism</w:t>
      </w:r>
      <w:r w:rsidR="005A1A5E">
        <w:t xml:space="preserve"> in general and </w:t>
      </w:r>
      <w:r w:rsidR="00E150FD">
        <w:t xml:space="preserve">then </w:t>
      </w:r>
      <w:r w:rsidR="005A1A5E">
        <w:t xml:space="preserve">also more specifically into the different branches of Judaism, such as Orthodox and Reform Judaism. </w:t>
      </w:r>
      <w:r w:rsidR="00006140">
        <w:t xml:space="preserve">Traditionally speaking, in Jewish marriages the idealised age for marriage was from puberty, around twelve to thirteen, to around the age of twenty. </w:t>
      </w:r>
      <w:r w:rsidR="008D76BA">
        <w:rPr>
          <w:rStyle w:val="FootnoteReference"/>
        </w:rPr>
        <w:footnoteReference w:id="1"/>
      </w:r>
      <w:r w:rsidR="00A93ED8">
        <w:t xml:space="preserve"> </w:t>
      </w:r>
      <w:r w:rsidR="00186BF2">
        <w:t>The book of Genesis (1:28) shows us that this was a divine command</w:t>
      </w:r>
      <w:r w:rsidR="006D095A">
        <w:t xml:space="preserve"> given to the Jewish people. </w:t>
      </w:r>
      <w:r w:rsidR="001C3CE8">
        <w:t xml:space="preserve">It was also said that any Israelite over the age of twenty who was not married was cursed by God himself. </w:t>
      </w:r>
    </w:p>
    <w:p w14:paraId="5630F397" w14:textId="77777777" w:rsidR="00801F71" w:rsidRDefault="0099698C">
      <w:r>
        <w:t xml:space="preserve">A significant part of a traditional Jewish wedding is the kiddushin, also known as the betrothal, which is a legal process that establishes the bond of marriage between man and woman. </w:t>
      </w:r>
      <w:r w:rsidR="00C21D08">
        <w:rPr>
          <w:rStyle w:val="FootnoteReference"/>
        </w:rPr>
        <w:footnoteReference w:id="2"/>
      </w:r>
      <w:r w:rsidR="00F43FE5">
        <w:t xml:space="preserve"> A part of this process includes the mohar, which is a bride pace paid to the father of the bride in exchange for her hand in marriage. </w:t>
      </w:r>
      <w:r w:rsidR="002F7AD5">
        <w:t>This was an essential part of the marriage transaction in ancient times</w:t>
      </w:r>
      <w:r w:rsidR="009D1D46">
        <w:t xml:space="preserve"> as the father would be losing a valuable household asset by his daughter leaving to marriage, so the mohar was a sort of compensation so to speak. </w:t>
      </w:r>
      <w:r w:rsidR="00A45BA4">
        <w:rPr>
          <w:rStyle w:val="FootnoteReference"/>
        </w:rPr>
        <w:footnoteReference w:id="3"/>
      </w:r>
      <w:r w:rsidR="00213407">
        <w:t xml:space="preserve"> </w:t>
      </w:r>
    </w:p>
    <w:p w14:paraId="43EA3F7A" w14:textId="14B3BDE1" w:rsidR="00CB6D65" w:rsidRDefault="00213407">
      <w:r>
        <w:t xml:space="preserve">In ancient times the next part of a Jewish marriage, the nissuin, would be around a year after the kiddushin. However, since the medieval period they have been joined together. </w:t>
      </w:r>
      <w:r w:rsidR="00B40E61">
        <w:t>The nissuin begins now in contemporary times after the ketubah, the marriage contract</w:t>
      </w:r>
      <w:r w:rsidR="00D36F85">
        <w:t>,</w:t>
      </w:r>
      <w:r w:rsidR="00B40E61">
        <w:t xml:space="preserve"> has been read. </w:t>
      </w:r>
      <w:r w:rsidR="004B7266">
        <w:t xml:space="preserve">This contract lays out the requirements that the groom will meet within the marriage and is there to protect the bride. </w:t>
      </w:r>
      <w:r w:rsidR="0015640F">
        <w:t xml:space="preserve">Many liberal Jews today however will alter the text to make it more gender-inclusive as it can be regarded to be sexist, though traditional Jews will keep it as is. </w:t>
      </w:r>
      <w:r w:rsidR="00801F71">
        <w:t xml:space="preserve">The nissuin is the actual wedding ceremony itself </w:t>
      </w:r>
      <w:r w:rsidR="00FA6E18">
        <w:t xml:space="preserve">and </w:t>
      </w:r>
      <w:r w:rsidR="00D669F7">
        <w:t>includes many traditions such as the bride and groom standing under a chuppah, a canopy</w:t>
      </w:r>
      <w:r w:rsidR="003D2037">
        <w:t xml:space="preserve">, and also both parents walking the bride and groom down the aisle, not just the father. </w:t>
      </w:r>
    </w:p>
    <w:p w14:paraId="23B20B3E" w14:textId="6E0DCC2E" w:rsidR="00B71502" w:rsidRDefault="00B70C01">
      <w:r>
        <w:t xml:space="preserve">Traditionally, the bride and her parents will circle the groom seven times in alliance with the seven blessings they later recite, but also as a symbol that the groom is the centre of her world. </w:t>
      </w:r>
      <w:r w:rsidR="00E26D76">
        <w:rPr>
          <w:rStyle w:val="FootnoteReference"/>
        </w:rPr>
        <w:footnoteReference w:id="4"/>
      </w:r>
      <w:r w:rsidR="0030211E">
        <w:t xml:space="preserve"> </w:t>
      </w:r>
      <w:r w:rsidR="004F4F1C">
        <w:t xml:space="preserve">However, many Jews who are more liberal either do not engage with this particular tradition, or the groom also circles around the bride seven times as a sign of equality. </w:t>
      </w:r>
      <w:r w:rsidR="0087298C">
        <w:t>The bride and groom will also share red wine over blessings during the ceremon</w:t>
      </w:r>
      <w:r w:rsidR="00CB6D65">
        <w:t xml:space="preserve">y and </w:t>
      </w:r>
      <w:r w:rsidR="00B71502">
        <w:t>the groom will step on a glass and smash it, which has been a tradition since around the 4</w:t>
      </w:r>
      <w:r w:rsidR="00B71502" w:rsidRPr="00B71502">
        <w:rPr>
          <w:vertAlign w:val="superscript"/>
        </w:rPr>
        <w:t>th</w:t>
      </w:r>
      <w:r w:rsidR="00B71502">
        <w:t xml:space="preserve"> century CE</w:t>
      </w:r>
      <w:r w:rsidR="006B2694">
        <w:t xml:space="preserve"> to then represent the destruction of the first Temp</w:t>
      </w:r>
      <w:r w:rsidR="00FF5945">
        <w:t>l</w:t>
      </w:r>
      <w:r w:rsidR="006B2694">
        <w:t xml:space="preserve">e, but now for both as the second was destroyed in 70CE. </w:t>
      </w:r>
    </w:p>
    <w:p w14:paraId="769C151C" w14:textId="12EDADAE" w:rsidR="000F4806" w:rsidRDefault="00834511">
      <w:r>
        <w:t>Furthermore, for more traditional, Orthodox Jews, the bride and groom will not see each other a week before the wedding</w:t>
      </w:r>
      <w:r w:rsidR="00DA7E46">
        <w:t xml:space="preserve"> and </w:t>
      </w:r>
      <w:r>
        <w:t>they will both fast the day before the wedding</w:t>
      </w:r>
      <w:r w:rsidR="000B2964">
        <w:t xml:space="preserve">. Also, </w:t>
      </w:r>
      <w:r>
        <w:t xml:space="preserve">before the wedding ceremony there is a veiling ceremony whereby in front of all the guests the </w:t>
      </w:r>
      <w:r w:rsidR="00A76453">
        <w:t>groom places a veil over the brides face</w:t>
      </w:r>
      <w:r w:rsidR="00436BA7">
        <w:t xml:space="preserve"> in remembrance of how Rebecca veiled her face when she was brought to Isaac to be his wi</w:t>
      </w:r>
      <w:r w:rsidR="000F4806">
        <w:t xml:space="preserve">fe. </w:t>
      </w:r>
    </w:p>
    <w:p w14:paraId="432CA7DB" w14:textId="638B1BED" w:rsidR="000F4806" w:rsidRDefault="001A1B33">
      <w:r>
        <w:t xml:space="preserve">Within Jewish marriage laws there are also certain requirements both husband and wife must meet during their marriage. </w:t>
      </w:r>
      <w:r w:rsidR="007B5B88">
        <w:t xml:space="preserve">For example, it is stated in the Talmud that a man must love his wife as much as he loves himself and he should honour her more than he honours himself. </w:t>
      </w:r>
      <w:r w:rsidR="00094F91">
        <w:t xml:space="preserve">This is because classical rabbis said that a man who does this will be rewarded with great wealth. </w:t>
      </w:r>
      <w:r w:rsidR="00367C92">
        <w:t xml:space="preserve">A husband </w:t>
      </w:r>
      <w:r w:rsidR="002E4AF4">
        <w:t xml:space="preserve">is also forbidden </w:t>
      </w:r>
      <w:r w:rsidR="002E4AF4">
        <w:lastRenderedPageBreak/>
        <w:t xml:space="preserve">to be overbearing in his household and forbidden to be physically </w:t>
      </w:r>
      <w:r w:rsidR="000B7FE4">
        <w:t>violent</w:t>
      </w:r>
      <w:r w:rsidR="002E4AF4">
        <w:t xml:space="preserve"> towards his wife</w:t>
      </w:r>
      <w:r w:rsidR="00EC5060">
        <w:t>, or she can have grounds to divorce him</w:t>
      </w:r>
      <w:r w:rsidR="002E4AF4">
        <w:t xml:space="preserve">. </w:t>
      </w:r>
      <w:r w:rsidR="000E59DC">
        <w:t>Wives are expected to fulfil the wishes of their husbands</w:t>
      </w:r>
      <w:r w:rsidR="009E1992">
        <w:t xml:space="preserve"> and are expected to not leave their homes too often (traditionally speaking this could be grounds for a divorce)</w:t>
      </w:r>
      <w:r w:rsidR="004042DE">
        <w:t xml:space="preserve">. </w:t>
      </w:r>
      <w:r w:rsidR="00BE61B1">
        <w:t xml:space="preserve">A wife in a Jewish marriage is also expected to always be modest, even in her household and in the company of her husband as the presence of the Lord resides within a pure and loving home. </w:t>
      </w:r>
    </w:p>
    <w:p w14:paraId="60CBBEF5" w14:textId="77777777" w:rsidR="00027969" w:rsidRDefault="00491BCF">
      <w:r>
        <w:t xml:space="preserve">Divorce in Judaism is licensed by a get, which is a bill of divorce given to the wife so she can be released from the marriage. </w:t>
      </w:r>
      <w:r w:rsidR="008545A5">
        <w:t xml:space="preserve">Civil divorce can still occur, without a get, and be enough for reform Jews, though for orthodox Jews you must be divorced not only civilly but through Jewish law too. </w:t>
      </w:r>
      <w:r w:rsidR="0052016F">
        <w:t xml:space="preserve">Grounds for acquiring a get </w:t>
      </w:r>
      <w:r w:rsidR="00706AD4">
        <w:t xml:space="preserve">include </w:t>
      </w:r>
      <w:r w:rsidR="00E358B9">
        <w:t xml:space="preserve">the husband being physically or psychological abusive, infidelity on either side or a denial of </w:t>
      </w:r>
      <w:r w:rsidR="00647056">
        <w:t>one’s</w:t>
      </w:r>
      <w:r w:rsidR="00E358B9">
        <w:t xml:space="preserve"> martial </w:t>
      </w:r>
      <w:r w:rsidR="00ED6F67">
        <w:t>responsibilities</w:t>
      </w:r>
      <w:r w:rsidR="00E358B9">
        <w:t>, to name a few examples.</w:t>
      </w:r>
    </w:p>
    <w:p w14:paraId="509B3D7F" w14:textId="5DD02743" w:rsidR="00491BCF" w:rsidRDefault="00027969">
      <w:r>
        <w:t>In Jewish law, if a woman has not received a get but her and her husband are no longer together, or he is not around for some reason, the woman becomes an agu</w:t>
      </w:r>
      <w:bookmarkStart w:id="0" w:name="_GoBack"/>
      <w:bookmarkEnd w:id="0"/>
      <w:r>
        <w:t xml:space="preserve">nah, or a chained woman. </w:t>
      </w:r>
      <w:r w:rsidR="00B91499">
        <w:t>This is</w:t>
      </w:r>
      <w:r w:rsidR="00363E23">
        <w:t xml:space="preserve"> not a good state for a woman to be in as it means she cannot remarry as she is technically still </w:t>
      </w:r>
      <w:r w:rsidR="00F062CC">
        <w:t>married though she</w:t>
      </w:r>
      <w:r w:rsidR="00363E23">
        <w:t xml:space="preserve"> has no husband. </w:t>
      </w:r>
      <w:r w:rsidR="00F062CC">
        <w:t xml:space="preserve">This was more </w:t>
      </w:r>
      <w:r w:rsidR="001709DD">
        <w:t xml:space="preserve">of a cause for concern in previous times, however in todays contemporary society it can still be an issue for those more traditional Jews and those who are Orthodox. </w:t>
      </w:r>
      <w:r w:rsidR="00E07851">
        <w:t xml:space="preserve">A woman can also become an agunah if she does receive a get from her husband but refuses to accept it. </w:t>
      </w:r>
    </w:p>
    <w:p w14:paraId="157F231D" w14:textId="6F75308D" w:rsidR="00FD56E7" w:rsidRDefault="00A06DF0">
      <w:r>
        <w:t xml:space="preserve">The get is significant because it shows that </w:t>
      </w:r>
      <w:r w:rsidR="00C73B64">
        <w:t>the marriage is not only ending legally, through civil law, but also ending spiritually and religiously, through Jewish law</w:t>
      </w:r>
      <w:r w:rsidR="003B3484">
        <w:t xml:space="preserve">. </w:t>
      </w:r>
      <w:r w:rsidR="007D14D4">
        <w:t xml:space="preserve">Although in contemporary times a get is no longer used by most Jewish people, such as those who are Reform or Liberal, for those that do use it, it shows that the Lord is still involved, as he </w:t>
      </w:r>
      <w:r w:rsidR="00367C92">
        <w:t>sanctified the marriage</w:t>
      </w:r>
      <w:r w:rsidR="007D14D4">
        <w:t xml:space="preserve">, and therefore must also be included in the process of divorce. </w:t>
      </w:r>
    </w:p>
    <w:p w14:paraId="27FE9FD4" w14:textId="0F545B6A" w:rsidR="00FD56E7" w:rsidRDefault="00D06BAD">
      <w:r>
        <w:t xml:space="preserve">To summarise, Jewish marriage laws are significant as they help to govern how the marriage will be and there are aspects to protect the wife, such as the ketubah, if something bad were likely to occur. </w:t>
      </w:r>
      <w:r w:rsidR="0012630B">
        <w:t>Certain traditions and rituals are also significant as they represent their religion and connection to the past and to the Lord, such as breaking the glass at the wedding ceremon</w:t>
      </w:r>
      <w:r w:rsidR="004836B7">
        <w:t xml:space="preserve">y, </w:t>
      </w:r>
      <w:r w:rsidR="00855B25">
        <w:t xml:space="preserve">and other rituals such as circling the groom seven times and reciting the seven blessings. </w:t>
      </w:r>
      <w:r w:rsidR="00FD56E7">
        <w:br w:type="page"/>
      </w:r>
    </w:p>
    <w:p w14:paraId="4080A959" w14:textId="77777777" w:rsidR="00FD56E7" w:rsidRPr="00FD56E7" w:rsidRDefault="00FD56E7" w:rsidP="00FD56E7">
      <w:pPr>
        <w:rPr>
          <w:u w:val="single"/>
        </w:rPr>
      </w:pPr>
      <w:r w:rsidRPr="00FD56E7">
        <w:rPr>
          <w:u w:val="single"/>
        </w:rPr>
        <w:lastRenderedPageBreak/>
        <w:t>Bibliography:</w:t>
      </w:r>
    </w:p>
    <w:p w14:paraId="22EDA0C9" w14:textId="77777777" w:rsidR="00FD56E7" w:rsidRPr="00FD56E7" w:rsidRDefault="00FD56E7" w:rsidP="00FD56E7">
      <w:r w:rsidRPr="00FD56E7">
        <w:t xml:space="preserve">Goodman, M. The Oxford Handbook of Jewish Studies. Oxford: Oxford University Press; 2002. Pp. 157, 644, 663, 773, 786. </w:t>
      </w:r>
    </w:p>
    <w:p w14:paraId="113E169D" w14:textId="77777777" w:rsidR="00FD56E7" w:rsidRPr="00FD56E7" w:rsidRDefault="00FD56E7" w:rsidP="00FD56E7">
      <w:r w:rsidRPr="00FD56E7">
        <w:t xml:space="preserve">Lamm, M. </w:t>
      </w:r>
      <w:r w:rsidRPr="00FD56E7">
        <w:rPr>
          <w:i/>
          <w:iCs/>
        </w:rPr>
        <w:t xml:space="preserve">Jewish Insights into Marriage </w:t>
      </w:r>
      <w:r w:rsidRPr="00FD56E7">
        <w:t xml:space="preserve">Available at: </w:t>
      </w:r>
      <w:hyperlink r:id="rId6" w:history="1">
        <w:r w:rsidRPr="00FD56E7">
          <w:rPr>
            <w:color w:val="0563C1" w:themeColor="hyperlink"/>
            <w:u w:val="single"/>
          </w:rPr>
          <w:t>https://www.chabad.org/library/article_cdo/aid/465160/jewish/Jewish-Insights-into-Marriage.htm</w:t>
        </w:r>
      </w:hyperlink>
      <w:r w:rsidRPr="00FD56E7">
        <w:t xml:space="preserve"> (Accessed on: 15/11/19). </w:t>
      </w:r>
    </w:p>
    <w:p w14:paraId="15F6457A" w14:textId="77777777" w:rsidR="00FD56E7" w:rsidRPr="00FD56E7" w:rsidRDefault="00FD56E7" w:rsidP="00FD56E7">
      <w:r w:rsidRPr="00FD56E7">
        <w:t xml:space="preserve">My Jewish Learning. </w:t>
      </w:r>
      <w:r w:rsidRPr="00FD56E7">
        <w:rPr>
          <w:i/>
          <w:iCs/>
        </w:rPr>
        <w:t xml:space="preserve">Liturgy, Ritual and Custom of Divorce </w:t>
      </w:r>
      <w:r w:rsidRPr="00FD56E7">
        <w:t xml:space="preserve">Available at: </w:t>
      </w:r>
      <w:hyperlink r:id="rId7" w:history="1">
        <w:r w:rsidRPr="00FD56E7">
          <w:rPr>
            <w:color w:val="0563C1" w:themeColor="hyperlink"/>
            <w:u w:val="single"/>
          </w:rPr>
          <w:t>https://www.myjewishlearning.com/article/liturgy-ritual-custom-of-divorce/</w:t>
        </w:r>
      </w:hyperlink>
      <w:r w:rsidRPr="00FD56E7">
        <w:t xml:space="preserve"> (Accessed on: 15/11/19).</w:t>
      </w:r>
    </w:p>
    <w:p w14:paraId="23D414E4" w14:textId="77777777" w:rsidR="00FD56E7" w:rsidRPr="00FD56E7" w:rsidRDefault="00FD56E7" w:rsidP="00FD56E7">
      <w:r w:rsidRPr="00FD56E7">
        <w:t xml:space="preserve">My Jewish Learning. </w:t>
      </w:r>
      <w:r w:rsidRPr="00FD56E7">
        <w:rPr>
          <w:i/>
          <w:iCs/>
        </w:rPr>
        <w:t>The Jewish Marriage Ceremony</w:t>
      </w:r>
      <w:r w:rsidRPr="00FD56E7">
        <w:t xml:space="preserve"> Available at: </w:t>
      </w:r>
      <w:hyperlink r:id="rId8" w:history="1">
        <w:r w:rsidRPr="00FD56E7">
          <w:rPr>
            <w:color w:val="0563C1" w:themeColor="hyperlink"/>
            <w:u w:val="single"/>
          </w:rPr>
          <w:t>https://www.chabad.org/library/article_cdo/aid/465162/jewish/The-Jewish-Marriage-Ceremony.htm</w:t>
        </w:r>
      </w:hyperlink>
      <w:r w:rsidRPr="00FD56E7">
        <w:t xml:space="preserve"> (Accessed on: 14/11/19). </w:t>
      </w:r>
    </w:p>
    <w:p w14:paraId="1A3231D1" w14:textId="77777777" w:rsidR="00FD56E7" w:rsidRPr="00FD56E7" w:rsidRDefault="00FD56E7" w:rsidP="00FD56E7">
      <w:r w:rsidRPr="00FD56E7">
        <w:t>Neufeld, E. Ancient Hebrew Marriage Laws. London: Williams, Lea &amp; Co., Ltd; 1994. Pp. 94-104</w:t>
      </w:r>
    </w:p>
    <w:p w14:paraId="12ADE13E" w14:textId="77777777" w:rsidR="00FD56E7" w:rsidRPr="00FD56E7" w:rsidRDefault="00FD56E7" w:rsidP="00FD56E7">
      <w:r w:rsidRPr="00FD56E7">
        <w:t xml:space="preserve">Satlow, M. Jewish Marriage in Antiquity. Oxfordshire: Princeton University Press; 2001. Pp. 40, 104-111, 132. </w:t>
      </w:r>
    </w:p>
    <w:p w14:paraId="33A6B17C" w14:textId="77777777" w:rsidR="00FD56E7" w:rsidRPr="00FD56E7" w:rsidRDefault="00FD56E7" w:rsidP="00FD56E7">
      <w:r w:rsidRPr="00FD56E7">
        <w:t xml:space="preserve">Shurpin, Y. </w:t>
      </w:r>
      <w:r w:rsidRPr="00FD56E7">
        <w:rPr>
          <w:i/>
          <w:iCs/>
        </w:rPr>
        <w:t>Why Does the Bride Circle the Groom Seven Times?</w:t>
      </w:r>
      <w:r w:rsidRPr="00FD56E7">
        <w:t xml:space="preserve"> Available at: </w:t>
      </w:r>
      <w:hyperlink r:id="rId9" w:history="1">
        <w:r w:rsidRPr="00FD56E7">
          <w:rPr>
            <w:color w:val="0563C1" w:themeColor="hyperlink"/>
            <w:u w:val="single"/>
          </w:rPr>
          <w:t>https://www.chabad.org/library/article_cdo/aid/4191420/jewish/Why-Does-the-Bride-Circle-the-Groom-Seven-Times.htm</w:t>
        </w:r>
      </w:hyperlink>
      <w:r w:rsidRPr="00FD56E7">
        <w:t xml:space="preserve"> (Accessed on: 14/11/19). </w:t>
      </w:r>
    </w:p>
    <w:p w14:paraId="5D78F1AA" w14:textId="76E521D5" w:rsidR="00A06DF0" w:rsidRDefault="00A06DF0"/>
    <w:sectPr w:rsidR="00A06DF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662211" w14:textId="77777777" w:rsidR="00C21D08" w:rsidRDefault="00C21D08" w:rsidP="00C21D08">
      <w:pPr>
        <w:spacing w:after="0" w:line="240" w:lineRule="auto"/>
      </w:pPr>
      <w:r>
        <w:separator/>
      </w:r>
    </w:p>
  </w:endnote>
  <w:endnote w:type="continuationSeparator" w:id="0">
    <w:p w14:paraId="6728E055" w14:textId="77777777" w:rsidR="00C21D08" w:rsidRDefault="00C21D08" w:rsidP="00C21D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FCF4C3" w14:textId="77777777" w:rsidR="00C21D08" w:rsidRDefault="00C21D08" w:rsidP="00C21D08">
      <w:pPr>
        <w:spacing w:after="0" w:line="240" w:lineRule="auto"/>
      </w:pPr>
      <w:r>
        <w:separator/>
      </w:r>
    </w:p>
  </w:footnote>
  <w:footnote w:type="continuationSeparator" w:id="0">
    <w:p w14:paraId="25F35142" w14:textId="77777777" w:rsidR="00C21D08" w:rsidRDefault="00C21D08" w:rsidP="00C21D08">
      <w:pPr>
        <w:spacing w:after="0" w:line="240" w:lineRule="auto"/>
      </w:pPr>
      <w:r>
        <w:continuationSeparator/>
      </w:r>
    </w:p>
  </w:footnote>
  <w:footnote w:id="1">
    <w:p w14:paraId="5777D45B" w14:textId="7397AC82" w:rsidR="008D76BA" w:rsidRPr="008D76BA" w:rsidRDefault="008D76BA">
      <w:pPr>
        <w:pStyle w:val="FootnoteText"/>
      </w:pPr>
      <w:r>
        <w:rPr>
          <w:rStyle w:val="FootnoteReference"/>
        </w:rPr>
        <w:footnoteRef/>
      </w:r>
      <w:r>
        <w:t xml:space="preserve"> Satlow, M. </w:t>
      </w:r>
      <w:r>
        <w:rPr>
          <w:i/>
          <w:iCs/>
        </w:rPr>
        <w:t xml:space="preserve">Jewish Marriage in Antiquity </w:t>
      </w:r>
      <w:r>
        <w:t xml:space="preserve">Oxfordshire: Princeton University Press; 2001. P. 104. </w:t>
      </w:r>
    </w:p>
  </w:footnote>
  <w:footnote w:id="2">
    <w:p w14:paraId="02B5D83B" w14:textId="103EA649" w:rsidR="00C21D08" w:rsidRPr="00C21D08" w:rsidRDefault="00C21D08">
      <w:pPr>
        <w:pStyle w:val="FootnoteText"/>
      </w:pPr>
      <w:r>
        <w:rPr>
          <w:rStyle w:val="FootnoteReference"/>
        </w:rPr>
        <w:footnoteRef/>
      </w:r>
      <w:r>
        <w:t xml:space="preserve"> My Jewish Learning. </w:t>
      </w:r>
      <w:r>
        <w:rPr>
          <w:i/>
          <w:iCs/>
        </w:rPr>
        <w:t xml:space="preserve">The Jewish Marriage Ceremony </w:t>
      </w:r>
      <w:r>
        <w:t xml:space="preserve">Available at: </w:t>
      </w:r>
      <w:hyperlink r:id="rId1" w:history="1">
        <w:r w:rsidRPr="000960EF">
          <w:rPr>
            <w:rStyle w:val="Hyperlink"/>
          </w:rPr>
          <w:t>https://www.chabad.org/library/article_cdo/aid/465162/jewish/The-Jewish-Marriage-Ceremony.htm</w:t>
        </w:r>
      </w:hyperlink>
      <w:r>
        <w:t xml:space="preserve"> (Accessed on: 14/11/19). </w:t>
      </w:r>
    </w:p>
  </w:footnote>
  <w:footnote w:id="3">
    <w:p w14:paraId="0FDB6668" w14:textId="25267E05" w:rsidR="00A45BA4" w:rsidRPr="00A45BA4" w:rsidRDefault="00A45BA4">
      <w:pPr>
        <w:pStyle w:val="FootnoteText"/>
      </w:pPr>
      <w:r>
        <w:rPr>
          <w:rStyle w:val="FootnoteReference"/>
        </w:rPr>
        <w:footnoteRef/>
      </w:r>
      <w:r>
        <w:t xml:space="preserve"> Neufeld, E. </w:t>
      </w:r>
      <w:r>
        <w:rPr>
          <w:i/>
          <w:iCs/>
        </w:rPr>
        <w:t xml:space="preserve">Ancient Hebrew Marriage Laws </w:t>
      </w:r>
      <w:r w:rsidR="00A67E4F">
        <w:t xml:space="preserve">London: Williams, Lea &amp; Co., Ltd; 1994. P.98. </w:t>
      </w:r>
    </w:p>
  </w:footnote>
  <w:footnote w:id="4">
    <w:p w14:paraId="1B54EDF8" w14:textId="03EDBD8C" w:rsidR="00E26D76" w:rsidRPr="00E26D76" w:rsidRDefault="00E26D76">
      <w:pPr>
        <w:pStyle w:val="FootnoteText"/>
      </w:pPr>
      <w:r>
        <w:rPr>
          <w:rStyle w:val="FootnoteReference"/>
        </w:rPr>
        <w:footnoteRef/>
      </w:r>
      <w:r>
        <w:t xml:space="preserve"> Shurpin, Y. </w:t>
      </w:r>
      <w:r w:rsidRPr="00E26D76">
        <w:rPr>
          <w:i/>
          <w:iCs/>
        </w:rPr>
        <w:t>Why Does the Bride Circle the Groom Seven Times?</w:t>
      </w:r>
      <w:r>
        <w:rPr>
          <w:i/>
          <w:iCs/>
        </w:rPr>
        <w:t xml:space="preserve"> </w:t>
      </w:r>
      <w:r>
        <w:t xml:space="preserve">Available at: </w:t>
      </w:r>
      <w:hyperlink r:id="rId2" w:history="1">
        <w:r w:rsidRPr="000960EF">
          <w:rPr>
            <w:rStyle w:val="Hyperlink"/>
          </w:rPr>
          <w:t>https://www.chabad.org/library/article_cdo/aid/4191420/jewish/Why-Does-the-Bride-Circle-the-Groom-Seven-Times.htm</w:t>
        </w:r>
      </w:hyperlink>
      <w:r>
        <w:t xml:space="preserve"> (Accessed on: 14/11/19).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27DE"/>
    <w:rsid w:val="00003146"/>
    <w:rsid w:val="00006140"/>
    <w:rsid w:val="00027969"/>
    <w:rsid w:val="00094F91"/>
    <w:rsid w:val="000B2964"/>
    <w:rsid w:val="000B7FE4"/>
    <w:rsid w:val="000E59DC"/>
    <w:rsid w:val="000F4806"/>
    <w:rsid w:val="0012630B"/>
    <w:rsid w:val="0015640F"/>
    <w:rsid w:val="001709DD"/>
    <w:rsid w:val="00186BF2"/>
    <w:rsid w:val="001A1B33"/>
    <w:rsid w:val="001C3CE8"/>
    <w:rsid w:val="00213407"/>
    <w:rsid w:val="002E4AF4"/>
    <w:rsid w:val="002F7AD5"/>
    <w:rsid w:val="0030211E"/>
    <w:rsid w:val="00363E23"/>
    <w:rsid w:val="00367C92"/>
    <w:rsid w:val="003B3484"/>
    <w:rsid w:val="003D2037"/>
    <w:rsid w:val="004042DE"/>
    <w:rsid w:val="00436BA7"/>
    <w:rsid w:val="00482E22"/>
    <w:rsid w:val="004836B7"/>
    <w:rsid w:val="00491BCF"/>
    <w:rsid w:val="004B7266"/>
    <w:rsid w:val="004F4F1C"/>
    <w:rsid w:val="0051362D"/>
    <w:rsid w:val="0052016F"/>
    <w:rsid w:val="005839AC"/>
    <w:rsid w:val="00594B8B"/>
    <w:rsid w:val="005A1A5E"/>
    <w:rsid w:val="0063412B"/>
    <w:rsid w:val="00647056"/>
    <w:rsid w:val="006712E8"/>
    <w:rsid w:val="006B2694"/>
    <w:rsid w:val="006D095A"/>
    <w:rsid w:val="006E2688"/>
    <w:rsid w:val="00706AD4"/>
    <w:rsid w:val="007B5B88"/>
    <w:rsid w:val="007D14D4"/>
    <w:rsid w:val="00801F71"/>
    <w:rsid w:val="00834511"/>
    <w:rsid w:val="008545A5"/>
    <w:rsid w:val="00855B25"/>
    <w:rsid w:val="00863384"/>
    <w:rsid w:val="0087298C"/>
    <w:rsid w:val="008D61D3"/>
    <w:rsid w:val="008D76BA"/>
    <w:rsid w:val="0099698C"/>
    <w:rsid w:val="009D1D46"/>
    <w:rsid w:val="009E1992"/>
    <w:rsid w:val="009E6245"/>
    <w:rsid w:val="00A06DF0"/>
    <w:rsid w:val="00A45BA4"/>
    <w:rsid w:val="00A52C9F"/>
    <w:rsid w:val="00A67E4F"/>
    <w:rsid w:val="00A76453"/>
    <w:rsid w:val="00A93ED8"/>
    <w:rsid w:val="00B40E61"/>
    <w:rsid w:val="00B70C01"/>
    <w:rsid w:val="00B71502"/>
    <w:rsid w:val="00B82487"/>
    <w:rsid w:val="00B91499"/>
    <w:rsid w:val="00BE61B1"/>
    <w:rsid w:val="00C21D08"/>
    <w:rsid w:val="00C73B64"/>
    <w:rsid w:val="00CA55F6"/>
    <w:rsid w:val="00CB27DE"/>
    <w:rsid w:val="00CB6D65"/>
    <w:rsid w:val="00CC12E4"/>
    <w:rsid w:val="00D06BAD"/>
    <w:rsid w:val="00D36F85"/>
    <w:rsid w:val="00D669F7"/>
    <w:rsid w:val="00DA7E46"/>
    <w:rsid w:val="00E07851"/>
    <w:rsid w:val="00E150FD"/>
    <w:rsid w:val="00E26D76"/>
    <w:rsid w:val="00E358B9"/>
    <w:rsid w:val="00E82BCE"/>
    <w:rsid w:val="00EC5060"/>
    <w:rsid w:val="00ED6F67"/>
    <w:rsid w:val="00F062CC"/>
    <w:rsid w:val="00F43FE5"/>
    <w:rsid w:val="00FA6E18"/>
    <w:rsid w:val="00FD56E7"/>
    <w:rsid w:val="00FF59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379B74C"/>
  <w15:chartTrackingRefBased/>
  <w15:docId w15:val="{53FA7EA2-AC20-4E2B-8A5E-E3F4C80F60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21D0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21D08"/>
    <w:rPr>
      <w:sz w:val="20"/>
      <w:szCs w:val="20"/>
    </w:rPr>
  </w:style>
  <w:style w:type="character" w:styleId="FootnoteReference">
    <w:name w:val="footnote reference"/>
    <w:basedOn w:val="DefaultParagraphFont"/>
    <w:uiPriority w:val="99"/>
    <w:semiHidden/>
    <w:unhideWhenUsed/>
    <w:rsid w:val="00C21D08"/>
    <w:rPr>
      <w:vertAlign w:val="superscript"/>
    </w:rPr>
  </w:style>
  <w:style w:type="character" w:styleId="Hyperlink">
    <w:name w:val="Hyperlink"/>
    <w:basedOn w:val="DefaultParagraphFont"/>
    <w:uiPriority w:val="99"/>
    <w:unhideWhenUsed/>
    <w:rsid w:val="00C21D08"/>
    <w:rPr>
      <w:color w:val="0563C1" w:themeColor="hyperlink"/>
      <w:u w:val="single"/>
    </w:rPr>
  </w:style>
  <w:style w:type="character" w:styleId="UnresolvedMention">
    <w:name w:val="Unresolved Mention"/>
    <w:basedOn w:val="DefaultParagraphFont"/>
    <w:uiPriority w:val="99"/>
    <w:semiHidden/>
    <w:unhideWhenUsed/>
    <w:rsid w:val="00C21D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abad.org/library/article_cdo/aid/465162/jewish/The-Jewish-Marriage-Ceremony.htm" TargetMode="External"/><Relationship Id="rId3" Type="http://schemas.openxmlformats.org/officeDocument/2006/relationships/webSettings" Target="webSettings.xml"/><Relationship Id="rId7" Type="http://schemas.openxmlformats.org/officeDocument/2006/relationships/hyperlink" Target="https://www.myjewishlearning.com/article/liturgy-ritual-custom-of-divorc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habad.org/library/article_cdo/aid/465160/jewish/Jewish-Insights-into-Marriage.htm"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chabad.org/library/article_cdo/aid/4191420/jewish/Why-Does-the-Bride-Circle-the-Groom-Seven-Times.htm"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www.chabad.org/library/article_cdo/aid/4191420/jewish/Why-Does-the-Bride-Circle-the-Groom-Seven-Times.htm" TargetMode="External"/><Relationship Id="rId1" Type="http://schemas.openxmlformats.org/officeDocument/2006/relationships/hyperlink" Target="https://www.chabad.org/library/article_cdo/aid/465162/jewish/The-Jewish-Marriage-Ceremony.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1415</TotalTime>
  <Pages>3</Pages>
  <Words>1158</Words>
  <Characters>6256</Characters>
  <Application>Microsoft Office Word</Application>
  <DocSecurity>0</DocSecurity>
  <Lines>107</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Gordon</dc:creator>
  <cp:keywords/>
  <dc:description/>
  <cp:lastModifiedBy>Grace Gordon</cp:lastModifiedBy>
  <cp:revision>168</cp:revision>
  <dcterms:created xsi:type="dcterms:W3CDTF">2019-11-14T12:58:00Z</dcterms:created>
  <dcterms:modified xsi:type="dcterms:W3CDTF">2019-11-15T12:42:00Z</dcterms:modified>
</cp:coreProperties>
</file>