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551E7B" w14:textId="481DC132" w:rsidR="000326E4" w:rsidRDefault="000326E4" w:rsidP="000326E4">
      <w:pPr>
        <w:spacing w:line="360" w:lineRule="auto"/>
        <w:jc w:val="center"/>
        <w:rPr>
          <w:rFonts w:ascii="Arial" w:hAnsi="Arial" w:cs="Arial"/>
        </w:rPr>
      </w:pPr>
      <w:r>
        <w:rPr>
          <w:rFonts w:ascii="Arial" w:hAnsi="Arial" w:cs="Arial"/>
          <w:noProof/>
        </w:rPr>
        <w:drawing>
          <wp:anchor distT="0" distB="0" distL="114300" distR="114300" simplePos="0" relativeHeight="251658240" behindDoc="0" locked="0" layoutInCell="1" allowOverlap="1" wp14:anchorId="6445CE12" wp14:editId="0041CEF2">
            <wp:simplePos x="0" y="0"/>
            <wp:positionH relativeFrom="column">
              <wp:posOffset>-292100</wp:posOffset>
            </wp:positionH>
            <wp:positionV relativeFrom="paragraph">
              <wp:posOffset>-558800</wp:posOffset>
            </wp:positionV>
            <wp:extent cx="1270000" cy="1270000"/>
            <wp:effectExtent l="0" t="0" r="6350" b="6350"/>
            <wp:wrapNone/>
            <wp:docPr id="1" name="Picture 1" descr="A blue background with a black and yellow sh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jpg"/>
                    <pic:cNvPicPr/>
                  </pic:nvPicPr>
                  <pic:blipFill>
                    <a:blip r:embed="rId8">
                      <a:extLst>
                        <a:ext uri="{28A0092B-C50C-407E-A947-70E740481C1C}">
                          <a14:useLocalDpi xmlns:a14="http://schemas.microsoft.com/office/drawing/2010/main" val="0"/>
                        </a:ext>
                      </a:extLst>
                    </a:blip>
                    <a:stretch>
                      <a:fillRect/>
                    </a:stretch>
                  </pic:blipFill>
                  <pic:spPr>
                    <a:xfrm>
                      <a:off x="0" y="0"/>
                      <a:ext cx="1270000" cy="1270000"/>
                    </a:xfrm>
                    <a:prstGeom prst="rect">
                      <a:avLst/>
                    </a:prstGeom>
                  </pic:spPr>
                </pic:pic>
              </a:graphicData>
            </a:graphic>
            <wp14:sizeRelH relativeFrom="margin">
              <wp14:pctWidth>0</wp14:pctWidth>
            </wp14:sizeRelH>
            <wp14:sizeRelV relativeFrom="margin">
              <wp14:pctHeight>0</wp14:pctHeight>
            </wp14:sizeRelV>
          </wp:anchor>
        </w:drawing>
      </w:r>
    </w:p>
    <w:p w14:paraId="39F21F7C" w14:textId="77777777" w:rsidR="000326E4" w:rsidRDefault="000326E4" w:rsidP="000326E4">
      <w:pPr>
        <w:spacing w:line="360" w:lineRule="auto"/>
        <w:rPr>
          <w:rFonts w:ascii="Arial" w:hAnsi="Arial" w:cs="Arial"/>
        </w:rPr>
      </w:pPr>
    </w:p>
    <w:p w14:paraId="399189C4" w14:textId="79A7A0C8" w:rsidR="003060BA" w:rsidRPr="00473E06" w:rsidRDefault="00473E06" w:rsidP="00473E06">
      <w:pPr>
        <w:spacing w:line="360" w:lineRule="auto"/>
        <w:jc w:val="center"/>
        <w:rPr>
          <w:rFonts w:ascii="Arial" w:hAnsi="Arial" w:cs="Arial"/>
        </w:rPr>
      </w:pPr>
      <w:r w:rsidRPr="00473E06">
        <w:rPr>
          <w:rFonts w:ascii="Arial" w:hAnsi="Arial" w:cs="Arial"/>
        </w:rPr>
        <w:t>Student name: Mrs Reda Juciute</w:t>
      </w:r>
    </w:p>
    <w:p w14:paraId="7328D65C" w14:textId="00BB1D39" w:rsidR="00473E06" w:rsidRDefault="00473E06" w:rsidP="00473E06">
      <w:pPr>
        <w:spacing w:line="360" w:lineRule="auto"/>
        <w:jc w:val="center"/>
        <w:rPr>
          <w:rFonts w:ascii="Arial" w:hAnsi="Arial" w:cs="Arial"/>
        </w:rPr>
      </w:pPr>
      <w:proofErr w:type="spellStart"/>
      <w:r w:rsidRPr="00473E06">
        <w:rPr>
          <w:rFonts w:ascii="Arial" w:hAnsi="Arial" w:cs="Arial"/>
        </w:rPr>
        <w:t>Studend</w:t>
      </w:r>
      <w:proofErr w:type="spellEnd"/>
      <w:r w:rsidRPr="00473E06">
        <w:rPr>
          <w:rFonts w:ascii="Arial" w:hAnsi="Arial" w:cs="Arial"/>
        </w:rPr>
        <w:t xml:space="preserve"> ID: 2213928</w:t>
      </w:r>
    </w:p>
    <w:p w14:paraId="255CB786" w14:textId="4140EB32" w:rsidR="000326E4" w:rsidRPr="00473E06" w:rsidRDefault="000326E4" w:rsidP="00473E06">
      <w:pPr>
        <w:spacing w:line="360" w:lineRule="auto"/>
        <w:jc w:val="center"/>
        <w:rPr>
          <w:rFonts w:ascii="Arial" w:hAnsi="Arial" w:cs="Arial"/>
        </w:rPr>
      </w:pPr>
      <w:r>
        <w:rPr>
          <w:rFonts w:ascii="Arial" w:hAnsi="Arial" w:cs="Arial"/>
        </w:rPr>
        <w:t>Programme name: Master of Business Administration</w:t>
      </w:r>
    </w:p>
    <w:p w14:paraId="103A0C1E" w14:textId="27D2E554" w:rsidR="00473E06" w:rsidRPr="00473E06" w:rsidRDefault="00473E06" w:rsidP="00473E06">
      <w:pPr>
        <w:spacing w:line="360" w:lineRule="auto"/>
        <w:jc w:val="center"/>
        <w:rPr>
          <w:rFonts w:ascii="Arial" w:hAnsi="Arial" w:cs="Arial"/>
        </w:rPr>
      </w:pPr>
      <w:r w:rsidRPr="00473E06">
        <w:rPr>
          <w:rFonts w:ascii="Arial" w:hAnsi="Arial" w:cs="Arial"/>
        </w:rPr>
        <w:t>Module</w:t>
      </w:r>
      <w:r w:rsidR="000326E4">
        <w:rPr>
          <w:rFonts w:ascii="Arial" w:hAnsi="Arial" w:cs="Arial"/>
        </w:rPr>
        <w:t xml:space="preserve"> name</w:t>
      </w:r>
      <w:r w:rsidRPr="00473E06">
        <w:rPr>
          <w:rFonts w:ascii="Arial" w:hAnsi="Arial" w:cs="Arial"/>
        </w:rPr>
        <w:t>: Marketing Management</w:t>
      </w:r>
    </w:p>
    <w:p w14:paraId="0C6A32D2" w14:textId="728BC04B" w:rsidR="00473E06" w:rsidRDefault="00473E06" w:rsidP="00473E06">
      <w:pPr>
        <w:spacing w:line="360" w:lineRule="auto"/>
        <w:jc w:val="center"/>
        <w:rPr>
          <w:rFonts w:ascii="Arial" w:hAnsi="Arial" w:cs="Arial"/>
        </w:rPr>
      </w:pPr>
      <w:r w:rsidRPr="00473E06">
        <w:rPr>
          <w:rFonts w:ascii="Arial" w:hAnsi="Arial" w:cs="Arial"/>
        </w:rPr>
        <w:t>Module Code: LCMB7024</w:t>
      </w:r>
    </w:p>
    <w:p w14:paraId="765CE2FF" w14:textId="7EF7F829" w:rsidR="000326E4" w:rsidRPr="00473E06" w:rsidRDefault="000326E4" w:rsidP="00473E06">
      <w:pPr>
        <w:spacing w:line="360" w:lineRule="auto"/>
        <w:jc w:val="center"/>
        <w:rPr>
          <w:rFonts w:ascii="Arial" w:hAnsi="Arial" w:cs="Arial"/>
        </w:rPr>
      </w:pPr>
      <w:proofErr w:type="spellStart"/>
      <w:r>
        <w:rPr>
          <w:rFonts w:ascii="Arial" w:hAnsi="Arial" w:cs="Arial"/>
        </w:rPr>
        <w:t>Submision</w:t>
      </w:r>
      <w:proofErr w:type="spellEnd"/>
      <w:r>
        <w:rPr>
          <w:rFonts w:ascii="Arial" w:hAnsi="Arial" w:cs="Arial"/>
        </w:rPr>
        <w:t xml:space="preserve"> date: 24 October 2025</w:t>
      </w:r>
    </w:p>
    <w:p w14:paraId="55829258" w14:textId="6DAC8F37" w:rsidR="00473E06" w:rsidRDefault="00473E06" w:rsidP="00473E06">
      <w:pPr>
        <w:spacing w:line="360" w:lineRule="auto"/>
        <w:jc w:val="center"/>
        <w:rPr>
          <w:rFonts w:ascii="Arial" w:hAnsi="Arial" w:cs="Arial"/>
        </w:rPr>
      </w:pPr>
      <w:r w:rsidRPr="00473E06">
        <w:rPr>
          <w:rFonts w:ascii="Arial" w:hAnsi="Arial" w:cs="Arial"/>
        </w:rPr>
        <w:t xml:space="preserve">Lector: Dian </w:t>
      </w:r>
      <w:proofErr w:type="spellStart"/>
      <w:r w:rsidRPr="00473E06">
        <w:rPr>
          <w:rFonts w:ascii="Arial" w:hAnsi="Arial" w:cs="Arial"/>
        </w:rPr>
        <w:t>Mayasari</w:t>
      </w:r>
      <w:proofErr w:type="spellEnd"/>
    </w:p>
    <w:p w14:paraId="010E1120" w14:textId="77777777" w:rsidR="00FD0FED" w:rsidRDefault="00FD0FED" w:rsidP="000326E4">
      <w:pPr>
        <w:spacing w:line="360" w:lineRule="auto"/>
        <w:rPr>
          <w:rFonts w:ascii="Arial" w:hAnsi="Arial" w:cs="Arial"/>
        </w:rPr>
      </w:pPr>
    </w:p>
    <w:p w14:paraId="154719C7" w14:textId="63B4A1A9" w:rsidR="00473E06" w:rsidRDefault="00473E06" w:rsidP="00473E06">
      <w:pPr>
        <w:spacing w:line="360" w:lineRule="auto"/>
        <w:jc w:val="center"/>
        <w:rPr>
          <w:rFonts w:ascii="Arial" w:hAnsi="Arial" w:cs="Arial"/>
        </w:rPr>
      </w:pPr>
    </w:p>
    <w:p w14:paraId="23AABD58" w14:textId="682E907D" w:rsidR="00473E06" w:rsidRDefault="00473E06" w:rsidP="00473E06">
      <w:pPr>
        <w:spacing w:line="360" w:lineRule="auto"/>
        <w:jc w:val="center"/>
        <w:rPr>
          <w:rFonts w:ascii="Arial" w:hAnsi="Arial" w:cs="Arial"/>
        </w:rPr>
      </w:pPr>
    </w:p>
    <w:p w14:paraId="5D69FC1A" w14:textId="0014E718" w:rsidR="00473E06" w:rsidRDefault="00473E06" w:rsidP="00473E06">
      <w:pPr>
        <w:spacing w:line="360" w:lineRule="auto"/>
        <w:jc w:val="center"/>
        <w:rPr>
          <w:rFonts w:ascii="Arial" w:hAnsi="Arial" w:cs="Arial"/>
          <w:b/>
          <w:bCs/>
          <w:sz w:val="28"/>
          <w:szCs w:val="28"/>
        </w:rPr>
      </w:pPr>
      <w:r w:rsidRPr="00473E06">
        <w:rPr>
          <w:rFonts w:ascii="Arial" w:hAnsi="Arial" w:cs="Arial"/>
          <w:b/>
          <w:bCs/>
          <w:sz w:val="28"/>
          <w:szCs w:val="28"/>
        </w:rPr>
        <w:t xml:space="preserve">Marketing </w:t>
      </w:r>
      <w:r>
        <w:rPr>
          <w:rFonts w:ascii="Arial" w:hAnsi="Arial" w:cs="Arial"/>
          <w:b/>
          <w:bCs/>
          <w:sz w:val="28"/>
          <w:szCs w:val="28"/>
        </w:rPr>
        <w:t>E</w:t>
      </w:r>
      <w:r w:rsidRPr="00473E06">
        <w:rPr>
          <w:rFonts w:ascii="Arial" w:hAnsi="Arial" w:cs="Arial"/>
          <w:b/>
          <w:bCs/>
          <w:sz w:val="28"/>
          <w:szCs w:val="28"/>
        </w:rPr>
        <w:t xml:space="preserve">nvironment </w:t>
      </w:r>
      <w:r>
        <w:rPr>
          <w:rFonts w:ascii="Arial" w:hAnsi="Arial" w:cs="Arial"/>
          <w:b/>
          <w:bCs/>
          <w:sz w:val="28"/>
          <w:szCs w:val="28"/>
        </w:rPr>
        <w:t>A</w:t>
      </w:r>
      <w:r w:rsidRPr="00473E06">
        <w:rPr>
          <w:rFonts w:ascii="Arial" w:hAnsi="Arial" w:cs="Arial"/>
          <w:b/>
          <w:bCs/>
          <w:sz w:val="28"/>
          <w:szCs w:val="28"/>
        </w:rPr>
        <w:t>nalysis</w:t>
      </w:r>
      <w:r>
        <w:rPr>
          <w:rFonts w:ascii="Arial" w:hAnsi="Arial" w:cs="Arial"/>
          <w:b/>
          <w:bCs/>
          <w:sz w:val="28"/>
          <w:szCs w:val="28"/>
        </w:rPr>
        <w:t xml:space="preserve"> for Pioneers and Followers</w:t>
      </w:r>
    </w:p>
    <w:p w14:paraId="3CF2279C" w14:textId="02C64D7C" w:rsidR="00473E06" w:rsidRDefault="00473E06" w:rsidP="00473E06">
      <w:pPr>
        <w:spacing w:line="360" w:lineRule="auto"/>
        <w:jc w:val="center"/>
        <w:rPr>
          <w:rFonts w:ascii="Arial" w:hAnsi="Arial" w:cs="Arial"/>
          <w:b/>
          <w:bCs/>
          <w:sz w:val="28"/>
          <w:szCs w:val="28"/>
        </w:rPr>
      </w:pPr>
      <w:r>
        <w:rPr>
          <w:rFonts w:ascii="Arial" w:hAnsi="Arial" w:cs="Arial"/>
          <w:b/>
          <w:bCs/>
          <w:sz w:val="28"/>
          <w:szCs w:val="28"/>
        </w:rPr>
        <w:t>Tesco and Lidl</w:t>
      </w:r>
    </w:p>
    <w:p w14:paraId="5530794A" w14:textId="3FA9ED4A" w:rsidR="00473E06" w:rsidRDefault="00473E06" w:rsidP="00473E06">
      <w:pPr>
        <w:spacing w:line="360" w:lineRule="auto"/>
        <w:jc w:val="center"/>
        <w:rPr>
          <w:rFonts w:ascii="Arial" w:hAnsi="Arial" w:cs="Arial"/>
          <w:b/>
          <w:bCs/>
          <w:sz w:val="28"/>
          <w:szCs w:val="28"/>
        </w:rPr>
      </w:pPr>
    </w:p>
    <w:p w14:paraId="75010ED0" w14:textId="44A24716" w:rsidR="00473E06" w:rsidRDefault="00473E06" w:rsidP="00473E06">
      <w:pPr>
        <w:spacing w:line="360" w:lineRule="auto"/>
        <w:jc w:val="center"/>
        <w:rPr>
          <w:rFonts w:ascii="Arial" w:hAnsi="Arial" w:cs="Arial"/>
          <w:b/>
          <w:bCs/>
          <w:sz w:val="28"/>
          <w:szCs w:val="28"/>
        </w:rPr>
      </w:pPr>
    </w:p>
    <w:p w14:paraId="208DE4D8" w14:textId="7E9101BD" w:rsidR="00473E06" w:rsidRDefault="00473E06" w:rsidP="00473E06">
      <w:pPr>
        <w:spacing w:line="360" w:lineRule="auto"/>
        <w:jc w:val="center"/>
        <w:rPr>
          <w:rFonts w:ascii="Arial" w:hAnsi="Arial" w:cs="Arial"/>
          <w:b/>
          <w:bCs/>
          <w:sz w:val="28"/>
          <w:szCs w:val="28"/>
        </w:rPr>
      </w:pPr>
    </w:p>
    <w:p w14:paraId="1BFCB69C" w14:textId="48F63764" w:rsidR="00473E06" w:rsidRDefault="00473E06" w:rsidP="00473E06">
      <w:pPr>
        <w:spacing w:line="360" w:lineRule="auto"/>
        <w:jc w:val="center"/>
        <w:rPr>
          <w:rFonts w:ascii="Arial" w:hAnsi="Arial" w:cs="Arial"/>
          <w:b/>
          <w:bCs/>
          <w:sz w:val="28"/>
          <w:szCs w:val="28"/>
        </w:rPr>
      </w:pPr>
    </w:p>
    <w:p w14:paraId="28B7E46D" w14:textId="31C2EF0F" w:rsidR="00473E06" w:rsidRDefault="00473E06" w:rsidP="00473E06">
      <w:pPr>
        <w:spacing w:line="360" w:lineRule="auto"/>
        <w:jc w:val="center"/>
        <w:rPr>
          <w:rFonts w:ascii="Arial" w:hAnsi="Arial" w:cs="Arial"/>
          <w:b/>
          <w:bCs/>
          <w:sz w:val="28"/>
          <w:szCs w:val="28"/>
        </w:rPr>
      </w:pPr>
    </w:p>
    <w:p w14:paraId="1E59D48A" w14:textId="773B6D8C" w:rsidR="00473E06" w:rsidRDefault="00473E06" w:rsidP="00473E06">
      <w:pPr>
        <w:spacing w:line="360" w:lineRule="auto"/>
        <w:jc w:val="center"/>
        <w:rPr>
          <w:rFonts w:ascii="Arial" w:hAnsi="Arial" w:cs="Arial"/>
          <w:b/>
          <w:bCs/>
          <w:sz w:val="28"/>
          <w:szCs w:val="28"/>
        </w:rPr>
      </w:pPr>
    </w:p>
    <w:p w14:paraId="3DE695A3" w14:textId="0C9733F7" w:rsidR="00473E06" w:rsidRDefault="00473E06" w:rsidP="00473E06">
      <w:pPr>
        <w:spacing w:line="360" w:lineRule="auto"/>
        <w:jc w:val="center"/>
        <w:rPr>
          <w:rFonts w:ascii="Arial" w:hAnsi="Arial" w:cs="Arial"/>
          <w:b/>
          <w:bCs/>
          <w:sz w:val="28"/>
          <w:szCs w:val="28"/>
        </w:rPr>
      </w:pPr>
    </w:p>
    <w:p w14:paraId="1FB13AC4" w14:textId="6D2825DE" w:rsidR="00473E06" w:rsidRDefault="00473E06" w:rsidP="00473E06">
      <w:pPr>
        <w:spacing w:line="360" w:lineRule="auto"/>
        <w:jc w:val="center"/>
        <w:rPr>
          <w:rFonts w:ascii="Arial" w:hAnsi="Arial" w:cs="Arial"/>
          <w:b/>
          <w:bCs/>
          <w:sz w:val="28"/>
          <w:szCs w:val="28"/>
        </w:rPr>
      </w:pPr>
    </w:p>
    <w:p w14:paraId="38419AD7" w14:textId="47DDFC9A" w:rsidR="00473E06" w:rsidRDefault="00473E06" w:rsidP="00473E06">
      <w:pPr>
        <w:spacing w:line="360" w:lineRule="auto"/>
        <w:jc w:val="center"/>
        <w:rPr>
          <w:rFonts w:ascii="Arial" w:hAnsi="Arial" w:cs="Arial"/>
          <w:b/>
          <w:bCs/>
          <w:sz w:val="28"/>
          <w:szCs w:val="28"/>
        </w:rPr>
      </w:pPr>
    </w:p>
    <w:p w14:paraId="609FAB3F" w14:textId="68798C7E" w:rsidR="00473E06" w:rsidRDefault="00473E06" w:rsidP="008470B7">
      <w:pPr>
        <w:spacing w:line="360" w:lineRule="auto"/>
        <w:rPr>
          <w:rFonts w:ascii="Arial" w:hAnsi="Arial" w:cs="Arial"/>
          <w:b/>
          <w:bCs/>
          <w:sz w:val="28"/>
          <w:szCs w:val="28"/>
        </w:rPr>
      </w:pPr>
    </w:p>
    <w:p w14:paraId="1A0F9A3D" w14:textId="639CCF2E" w:rsidR="00473E06" w:rsidRDefault="00473E06" w:rsidP="00473E06">
      <w:pPr>
        <w:spacing w:line="360" w:lineRule="auto"/>
        <w:jc w:val="center"/>
        <w:rPr>
          <w:rFonts w:ascii="Arial" w:hAnsi="Arial" w:cs="Arial"/>
          <w:b/>
          <w:bCs/>
          <w:sz w:val="28"/>
          <w:szCs w:val="28"/>
        </w:rPr>
      </w:pPr>
    </w:p>
    <w:sdt>
      <w:sdtPr>
        <w:rPr>
          <w:rFonts w:asciiTheme="minorHAnsi" w:eastAsiaTheme="minorHAnsi" w:hAnsiTheme="minorHAnsi" w:cstheme="minorBidi"/>
          <w:color w:val="auto"/>
          <w:sz w:val="22"/>
          <w:szCs w:val="22"/>
          <w:lang w:val="en-GB"/>
        </w:rPr>
        <w:id w:val="-418406879"/>
        <w:docPartObj>
          <w:docPartGallery w:val="Table of Contents"/>
          <w:docPartUnique/>
        </w:docPartObj>
      </w:sdtPr>
      <w:sdtEndPr>
        <w:rPr>
          <w:b/>
          <w:bCs/>
          <w:noProof/>
        </w:rPr>
      </w:sdtEndPr>
      <w:sdtContent>
        <w:p w14:paraId="298BDC0B" w14:textId="5FD2D287" w:rsidR="003319AA" w:rsidRDefault="003319AA">
          <w:pPr>
            <w:pStyle w:val="TOCHeading"/>
          </w:pPr>
          <w:r>
            <w:t>Table of Contents</w:t>
          </w:r>
        </w:p>
        <w:p w14:paraId="35E35BD0" w14:textId="77777777" w:rsidR="003319AA" w:rsidRPr="003319AA" w:rsidRDefault="003319AA" w:rsidP="003319AA">
          <w:pPr>
            <w:rPr>
              <w:lang w:val="en-US"/>
            </w:rPr>
          </w:pPr>
        </w:p>
        <w:p w14:paraId="3578AE5D" w14:textId="0BA8E520" w:rsidR="009B3169" w:rsidRDefault="003319A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2145130" w:history="1">
            <w:r w:rsidR="009B3169" w:rsidRPr="00774835">
              <w:rPr>
                <w:rStyle w:val="Hyperlink"/>
                <w:rFonts w:ascii="Arial" w:hAnsi="Arial" w:cs="Arial"/>
                <w:noProof/>
              </w:rPr>
              <w:t>Introduction</w:t>
            </w:r>
            <w:r w:rsidR="009B3169">
              <w:rPr>
                <w:noProof/>
                <w:webHidden/>
              </w:rPr>
              <w:tab/>
            </w:r>
            <w:r w:rsidR="009B3169">
              <w:rPr>
                <w:noProof/>
                <w:webHidden/>
              </w:rPr>
              <w:fldChar w:fldCharType="begin"/>
            </w:r>
            <w:r w:rsidR="009B3169">
              <w:rPr>
                <w:noProof/>
                <w:webHidden/>
              </w:rPr>
              <w:instrText xml:space="preserve"> PAGEREF _Toc212145130 \h </w:instrText>
            </w:r>
            <w:r w:rsidR="009B3169">
              <w:rPr>
                <w:noProof/>
                <w:webHidden/>
              </w:rPr>
            </w:r>
            <w:r w:rsidR="009B3169">
              <w:rPr>
                <w:noProof/>
                <w:webHidden/>
              </w:rPr>
              <w:fldChar w:fldCharType="separate"/>
            </w:r>
            <w:r w:rsidR="009B3169">
              <w:rPr>
                <w:noProof/>
                <w:webHidden/>
              </w:rPr>
              <w:t>3</w:t>
            </w:r>
            <w:r w:rsidR="009B3169">
              <w:rPr>
                <w:noProof/>
                <w:webHidden/>
              </w:rPr>
              <w:fldChar w:fldCharType="end"/>
            </w:r>
          </w:hyperlink>
        </w:p>
        <w:p w14:paraId="71C60491" w14:textId="5E7E9168" w:rsidR="009B3169" w:rsidRDefault="009B3169">
          <w:pPr>
            <w:pStyle w:val="TOC1"/>
            <w:tabs>
              <w:tab w:val="right" w:leader="dot" w:pos="9016"/>
            </w:tabs>
            <w:rPr>
              <w:rFonts w:eastAsiaTheme="minorEastAsia"/>
              <w:noProof/>
              <w:lang w:eastAsia="en-GB"/>
            </w:rPr>
          </w:pPr>
          <w:hyperlink w:anchor="_Toc212145131" w:history="1">
            <w:r w:rsidRPr="00774835">
              <w:rPr>
                <w:rStyle w:val="Hyperlink"/>
                <w:rFonts w:ascii="Arial" w:hAnsi="Arial" w:cs="Arial"/>
                <w:b/>
                <w:bCs/>
                <w:noProof/>
              </w:rPr>
              <w:t>TASK 1</w:t>
            </w:r>
            <w:r>
              <w:rPr>
                <w:noProof/>
                <w:webHidden/>
              </w:rPr>
              <w:tab/>
            </w:r>
            <w:r>
              <w:rPr>
                <w:noProof/>
                <w:webHidden/>
              </w:rPr>
              <w:fldChar w:fldCharType="begin"/>
            </w:r>
            <w:r>
              <w:rPr>
                <w:noProof/>
                <w:webHidden/>
              </w:rPr>
              <w:instrText xml:space="preserve"> PAGEREF _Toc212145131 \h </w:instrText>
            </w:r>
            <w:r>
              <w:rPr>
                <w:noProof/>
                <w:webHidden/>
              </w:rPr>
            </w:r>
            <w:r>
              <w:rPr>
                <w:noProof/>
                <w:webHidden/>
              </w:rPr>
              <w:fldChar w:fldCharType="separate"/>
            </w:r>
            <w:r>
              <w:rPr>
                <w:noProof/>
                <w:webHidden/>
              </w:rPr>
              <w:t>4</w:t>
            </w:r>
            <w:r>
              <w:rPr>
                <w:noProof/>
                <w:webHidden/>
              </w:rPr>
              <w:fldChar w:fldCharType="end"/>
            </w:r>
          </w:hyperlink>
        </w:p>
        <w:p w14:paraId="54AA2643" w14:textId="7C35B1D9" w:rsidR="009B3169" w:rsidRDefault="009B3169">
          <w:pPr>
            <w:pStyle w:val="TOC1"/>
            <w:tabs>
              <w:tab w:val="right" w:leader="dot" w:pos="9016"/>
            </w:tabs>
            <w:rPr>
              <w:rFonts w:eastAsiaTheme="minorEastAsia"/>
              <w:noProof/>
              <w:lang w:eastAsia="en-GB"/>
            </w:rPr>
          </w:pPr>
          <w:hyperlink w:anchor="_Toc212145132" w:history="1">
            <w:r w:rsidRPr="00774835">
              <w:rPr>
                <w:rStyle w:val="Hyperlink"/>
                <w:rFonts w:ascii="Arial" w:hAnsi="Arial" w:cs="Arial"/>
                <w:noProof/>
              </w:rPr>
              <w:t>Macro marketing environment analysis</w:t>
            </w:r>
            <w:r>
              <w:rPr>
                <w:noProof/>
                <w:webHidden/>
              </w:rPr>
              <w:tab/>
            </w:r>
            <w:r>
              <w:rPr>
                <w:noProof/>
                <w:webHidden/>
              </w:rPr>
              <w:fldChar w:fldCharType="begin"/>
            </w:r>
            <w:r>
              <w:rPr>
                <w:noProof/>
                <w:webHidden/>
              </w:rPr>
              <w:instrText xml:space="preserve"> PAGEREF _Toc212145132 \h </w:instrText>
            </w:r>
            <w:r>
              <w:rPr>
                <w:noProof/>
                <w:webHidden/>
              </w:rPr>
            </w:r>
            <w:r>
              <w:rPr>
                <w:noProof/>
                <w:webHidden/>
              </w:rPr>
              <w:fldChar w:fldCharType="separate"/>
            </w:r>
            <w:r>
              <w:rPr>
                <w:noProof/>
                <w:webHidden/>
              </w:rPr>
              <w:t>4</w:t>
            </w:r>
            <w:r>
              <w:rPr>
                <w:noProof/>
                <w:webHidden/>
              </w:rPr>
              <w:fldChar w:fldCharType="end"/>
            </w:r>
          </w:hyperlink>
        </w:p>
        <w:p w14:paraId="1E8AAE49" w14:textId="71F4B67E" w:rsidR="009B3169" w:rsidRDefault="009B3169">
          <w:pPr>
            <w:pStyle w:val="TOC2"/>
            <w:tabs>
              <w:tab w:val="right" w:leader="dot" w:pos="9016"/>
            </w:tabs>
            <w:rPr>
              <w:rFonts w:eastAsiaTheme="minorEastAsia"/>
              <w:noProof/>
              <w:lang w:eastAsia="en-GB"/>
            </w:rPr>
          </w:pPr>
          <w:hyperlink w:anchor="_Toc212145133" w:history="1">
            <w:r w:rsidRPr="00774835">
              <w:rPr>
                <w:rStyle w:val="Hyperlink"/>
                <w:rFonts w:ascii="Arial" w:eastAsia="Times New Roman" w:hAnsi="Arial" w:cs="Arial"/>
                <w:noProof/>
                <w:lang w:eastAsia="en-GB"/>
              </w:rPr>
              <w:t>Technological Factor Analysis</w:t>
            </w:r>
            <w:r>
              <w:rPr>
                <w:noProof/>
                <w:webHidden/>
              </w:rPr>
              <w:tab/>
            </w:r>
            <w:r>
              <w:rPr>
                <w:noProof/>
                <w:webHidden/>
              </w:rPr>
              <w:fldChar w:fldCharType="begin"/>
            </w:r>
            <w:r>
              <w:rPr>
                <w:noProof/>
                <w:webHidden/>
              </w:rPr>
              <w:instrText xml:space="preserve"> PAGEREF _Toc212145133 \h </w:instrText>
            </w:r>
            <w:r>
              <w:rPr>
                <w:noProof/>
                <w:webHidden/>
              </w:rPr>
            </w:r>
            <w:r>
              <w:rPr>
                <w:noProof/>
                <w:webHidden/>
              </w:rPr>
              <w:fldChar w:fldCharType="separate"/>
            </w:r>
            <w:r>
              <w:rPr>
                <w:noProof/>
                <w:webHidden/>
              </w:rPr>
              <w:t>4</w:t>
            </w:r>
            <w:r>
              <w:rPr>
                <w:noProof/>
                <w:webHidden/>
              </w:rPr>
              <w:fldChar w:fldCharType="end"/>
            </w:r>
          </w:hyperlink>
        </w:p>
        <w:p w14:paraId="494CE71C" w14:textId="50AB9588" w:rsidR="009B3169" w:rsidRDefault="009B3169">
          <w:pPr>
            <w:pStyle w:val="TOC2"/>
            <w:tabs>
              <w:tab w:val="right" w:leader="dot" w:pos="9016"/>
            </w:tabs>
            <w:rPr>
              <w:rFonts w:eastAsiaTheme="minorEastAsia"/>
              <w:noProof/>
              <w:lang w:eastAsia="en-GB"/>
            </w:rPr>
          </w:pPr>
          <w:hyperlink w:anchor="_Toc212145134" w:history="1">
            <w:r w:rsidRPr="00774835">
              <w:rPr>
                <w:rStyle w:val="Hyperlink"/>
                <w:rFonts w:ascii="Arial" w:eastAsia="Times New Roman" w:hAnsi="Arial" w:cs="Arial"/>
                <w:noProof/>
                <w:lang w:eastAsia="en-GB"/>
              </w:rPr>
              <w:t>Economic Environment Analysis</w:t>
            </w:r>
            <w:r>
              <w:rPr>
                <w:noProof/>
                <w:webHidden/>
              </w:rPr>
              <w:tab/>
            </w:r>
            <w:r>
              <w:rPr>
                <w:noProof/>
                <w:webHidden/>
              </w:rPr>
              <w:fldChar w:fldCharType="begin"/>
            </w:r>
            <w:r>
              <w:rPr>
                <w:noProof/>
                <w:webHidden/>
              </w:rPr>
              <w:instrText xml:space="preserve"> PAGEREF _Toc212145134 \h </w:instrText>
            </w:r>
            <w:r>
              <w:rPr>
                <w:noProof/>
                <w:webHidden/>
              </w:rPr>
            </w:r>
            <w:r>
              <w:rPr>
                <w:noProof/>
                <w:webHidden/>
              </w:rPr>
              <w:fldChar w:fldCharType="separate"/>
            </w:r>
            <w:r>
              <w:rPr>
                <w:noProof/>
                <w:webHidden/>
              </w:rPr>
              <w:t>6</w:t>
            </w:r>
            <w:r>
              <w:rPr>
                <w:noProof/>
                <w:webHidden/>
              </w:rPr>
              <w:fldChar w:fldCharType="end"/>
            </w:r>
          </w:hyperlink>
        </w:p>
        <w:p w14:paraId="264AE6AE" w14:textId="706D99A7" w:rsidR="009B3169" w:rsidRDefault="009B3169">
          <w:pPr>
            <w:pStyle w:val="TOC2"/>
            <w:tabs>
              <w:tab w:val="right" w:leader="dot" w:pos="9016"/>
            </w:tabs>
            <w:rPr>
              <w:rFonts w:eastAsiaTheme="minorEastAsia"/>
              <w:noProof/>
              <w:lang w:eastAsia="en-GB"/>
            </w:rPr>
          </w:pPr>
          <w:hyperlink w:anchor="_Toc212145135" w:history="1">
            <w:r w:rsidRPr="00774835">
              <w:rPr>
                <w:rStyle w:val="Hyperlink"/>
                <w:rFonts w:ascii="Arial" w:eastAsia="Times New Roman" w:hAnsi="Arial" w:cs="Arial"/>
                <w:noProof/>
                <w:lang w:eastAsia="en-GB"/>
              </w:rPr>
              <w:t>Synthesis</w:t>
            </w:r>
            <w:r>
              <w:rPr>
                <w:noProof/>
                <w:webHidden/>
              </w:rPr>
              <w:tab/>
            </w:r>
            <w:r>
              <w:rPr>
                <w:noProof/>
                <w:webHidden/>
              </w:rPr>
              <w:fldChar w:fldCharType="begin"/>
            </w:r>
            <w:r>
              <w:rPr>
                <w:noProof/>
                <w:webHidden/>
              </w:rPr>
              <w:instrText xml:space="preserve"> PAGEREF _Toc212145135 \h </w:instrText>
            </w:r>
            <w:r>
              <w:rPr>
                <w:noProof/>
                <w:webHidden/>
              </w:rPr>
            </w:r>
            <w:r>
              <w:rPr>
                <w:noProof/>
                <w:webHidden/>
              </w:rPr>
              <w:fldChar w:fldCharType="separate"/>
            </w:r>
            <w:r>
              <w:rPr>
                <w:noProof/>
                <w:webHidden/>
              </w:rPr>
              <w:t>7</w:t>
            </w:r>
            <w:r>
              <w:rPr>
                <w:noProof/>
                <w:webHidden/>
              </w:rPr>
              <w:fldChar w:fldCharType="end"/>
            </w:r>
          </w:hyperlink>
        </w:p>
        <w:p w14:paraId="22805BF5" w14:textId="0E78F5B0" w:rsidR="009B3169" w:rsidRDefault="009B3169">
          <w:pPr>
            <w:pStyle w:val="TOC1"/>
            <w:tabs>
              <w:tab w:val="right" w:leader="dot" w:pos="9016"/>
            </w:tabs>
            <w:rPr>
              <w:rFonts w:eastAsiaTheme="minorEastAsia"/>
              <w:noProof/>
              <w:lang w:eastAsia="en-GB"/>
            </w:rPr>
          </w:pPr>
          <w:hyperlink w:anchor="_Toc212145136" w:history="1">
            <w:r w:rsidRPr="00774835">
              <w:rPr>
                <w:rStyle w:val="Hyperlink"/>
                <w:rFonts w:ascii="Arial" w:hAnsi="Arial" w:cs="Arial"/>
                <w:b/>
                <w:bCs/>
                <w:noProof/>
              </w:rPr>
              <w:t>Task 2</w:t>
            </w:r>
            <w:r>
              <w:rPr>
                <w:noProof/>
                <w:webHidden/>
              </w:rPr>
              <w:tab/>
            </w:r>
            <w:r>
              <w:rPr>
                <w:noProof/>
                <w:webHidden/>
              </w:rPr>
              <w:fldChar w:fldCharType="begin"/>
            </w:r>
            <w:r>
              <w:rPr>
                <w:noProof/>
                <w:webHidden/>
              </w:rPr>
              <w:instrText xml:space="preserve"> PAGEREF _Toc212145136 \h </w:instrText>
            </w:r>
            <w:r>
              <w:rPr>
                <w:noProof/>
                <w:webHidden/>
              </w:rPr>
            </w:r>
            <w:r>
              <w:rPr>
                <w:noProof/>
                <w:webHidden/>
              </w:rPr>
              <w:fldChar w:fldCharType="separate"/>
            </w:r>
            <w:r>
              <w:rPr>
                <w:noProof/>
                <w:webHidden/>
              </w:rPr>
              <w:t>8</w:t>
            </w:r>
            <w:r>
              <w:rPr>
                <w:noProof/>
                <w:webHidden/>
              </w:rPr>
              <w:fldChar w:fldCharType="end"/>
            </w:r>
          </w:hyperlink>
        </w:p>
        <w:p w14:paraId="31548911" w14:textId="7D1514A5" w:rsidR="009B3169" w:rsidRDefault="009B3169">
          <w:pPr>
            <w:pStyle w:val="TOC2"/>
            <w:tabs>
              <w:tab w:val="right" w:leader="dot" w:pos="9016"/>
            </w:tabs>
            <w:rPr>
              <w:rFonts w:eastAsiaTheme="minorEastAsia"/>
              <w:noProof/>
              <w:lang w:eastAsia="en-GB"/>
            </w:rPr>
          </w:pPr>
          <w:hyperlink w:anchor="_Toc212145137" w:history="1">
            <w:r w:rsidRPr="00774835">
              <w:rPr>
                <w:rStyle w:val="Hyperlink"/>
                <w:rFonts w:ascii="Arial" w:hAnsi="Arial" w:cs="Arial"/>
                <w:noProof/>
              </w:rPr>
              <w:t>Analysis for</w:t>
            </w:r>
            <w:r w:rsidRPr="00774835">
              <w:rPr>
                <w:rStyle w:val="Hyperlink"/>
                <w:b/>
                <w:bCs/>
                <w:noProof/>
              </w:rPr>
              <w:t xml:space="preserve"> </w:t>
            </w:r>
            <w:r w:rsidRPr="00774835">
              <w:rPr>
                <w:rStyle w:val="Hyperlink"/>
                <w:rFonts w:ascii="Arial" w:hAnsi="Arial" w:cs="Arial"/>
                <w:noProof/>
              </w:rPr>
              <w:t>Tesco and Lidl</w:t>
            </w:r>
            <w:r w:rsidRPr="00774835">
              <w:rPr>
                <w:rStyle w:val="Hyperlink"/>
                <w:b/>
                <w:bCs/>
                <w:noProof/>
              </w:rPr>
              <w:t xml:space="preserve">, </w:t>
            </w:r>
            <w:r w:rsidRPr="00774835">
              <w:rPr>
                <w:rStyle w:val="Hyperlink"/>
                <w:rFonts w:ascii="Arial" w:hAnsi="Arial" w:cs="Arial"/>
                <w:noProof/>
              </w:rPr>
              <w:t>critically evaluation how pioneering and follower organisations strategically respond to the selected external factors to maintain competitiveness</w:t>
            </w:r>
            <w:r w:rsidRPr="00774835">
              <w:rPr>
                <w:rStyle w:val="Hyperlink"/>
                <w:b/>
                <w:bCs/>
                <w:noProof/>
              </w:rPr>
              <w:t>.</w:t>
            </w:r>
            <w:r>
              <w:rPr>
                <w:noProof/>
                <w:webHidden/>
              </w:rPr>
              <w:tab/>
            </w:r>
            <w:r>
              <w:rPr>
                <w:noProof/>
                <w:webHidden/>
              </w:rPr>
              <w:fldChar w:fldCharType="begin"/>
            </w:r>
            <w:r>
              <w:rPr>
                <w:noProof/>
                <w:webHidden/>
              </w:rPr>
              <w:instrText xml:space="preserve"> PAGEREF _Toc212145137 \h </w:instrText>
            </w:r>
            <w:r>
              <w:rPr>
                <w:noProof/>
                <w:webHidden/>
              </w:rPr>
            </w:r>
            <w:r>
              <w:rPr>
                <w:noProof/>
                <w:webHidden/>
              </w:rPr>
              <w:fldChar w:fldCharType="separate"/>
            </w:r>
            <w:r>
              <w:rPr>
                <w:noProof/>
                <w:webHidden/>
              </w:rPr>
              <w:t>8</w:t>
            </w:r>
            <w:r>
              <w:rPr>
                <w:noProof/>
                <w:webHidden/>
              </w:rPr>
              <w:fldChar w:fldCharType="end"/>
            </w:r>
          </w:hyperlink>
        </w:p>
        <w:p w14:paraId="131B1A75" w14:textId="72816023" w:rsidR="009B3169" w:rsidRDefault="009B3169">
          <w:pPr>
            <w:pStyle w:val="TOC2"/>
            <w:tabs>
              <w:tab w:val="right" w:leader="dot" w:pos="9016"/>
            </w:tabs>
            <w:rPr>
              <w:rFonts w:eastAsiaTheme="minorEastAsia"/>
              <w:noProof/>
              <w:lang w:eastAsia="en-GB"/>
            </w:rPr>
          </w:pPr>
          <w:hyperlink w:anchor="_Toc212145138" w:history="1">
            <w:r w:rsidRPr="00774835">
              <w:rPr>
                <w:rStyle w:val="Hyperlink"/>
                <w:rFonts w:ascii="Arial" w:eastAsia="Times New Roman" w:hAnsi="Arial" w:cs="Arial"/>
                <w:noProof/>
                <w:lang w:eastAsia="en-GB"/>
              </w:rPr>
              <w:t>Technological Responses and Competitive Strategy</w:t>
            </w:r>
            <w:r>
              <w:rPr>
                <w:noProof/>
                <w:webHidden/>
              </w:rPr>
              <w:tab/>
            </w:r>
            <w:r>
              <w:rPr>
                <w:noProof/>
                <w:webHidden/>
              </w:rPr>
              <w:fldChar w:fldCharType="begin"/>
            </w:r>
            <w:r>
              <w:rPr>
                <w:noProof/>
                <w:webHidden/>
              </w:rPr>
              <w:instrText xml:space="preserve"> PAGEREF _Toc212145138 \h </w:instrText>
            </w:r>
            <w:r>
              <w:rPr>
                <w:noProof/>
                <w:webHidden/>
              </w:rPr>
            </w:r>
            <w:r>
              <w:rPr>
                <w:noProof/>
                <w:webHidden/>
              </w:rPr>
              <w:fldChar w:fldCharType="separate"/>
            </w:r>
            <w:r>
              <w:rPr>
                <w:noProof/>
                <w:webHidden/>
              </w:rPr>
              <w:t>8</w:t>
            </w:r>
            <w:r>
              <w:rPr>
                <w:noProof/>
                <w:webHidden/>
              </w:rPr>
              <w:fldChar w:fldCharType="end"/>
            </w:r>
          </w:hyperlink>
        </w:p>
        <w:p w14:paraId="11D2C6B6" w14:textId="598D7CF6" w:rsidR="009B3169" w:rsidRDefault="009B3169">
          <w:pPr>
            <w:pStyle w:val="TOC2"/>
            <w:tabs>
              <w:tab w:val="right" w:leader="dot" w:pos="9016"/>
            </w:tabs>
            <w:rPr>
              <w:rFonts w:eastAsiaTheme="minorEastAsia"/>
              <w:noProof/>
              <w:lang w:eastAsia="en-GB"/>
            </w:rPr>
          </w:pPr>
          <w:hyperlink w:anchor="_Toc212145139" w:history="1">
            <w:r w:rsidRPr="00774835">
              <w:rPr>
                <w:rStyle w:val="Hyperlink"/>
                <w:rFonts w:ascii="Arial" w:eastAsia="Times New Roman" w:hAnsi="Arial" w:cs="Arial"/>
                <w:noProof/>
                <w:lang w:eastAsia="en-GB"/>
              </w:rPr>
              <w:t>Strategic Responses to Economic Change</w:t>
            </w:r>
            <w:r>
              <w:rPr>
                <w:noProof/>
                <w:webHidden/>
              </w:rPr>
              <w:tab/>
            </w:r>
            <w:r>
              <w:rPr>
                <w:noProof/>
                <w:webHidden/>
              </w:rPr>
              <w:fldChar w:fldCharType="begin"/>
            </w:r>
            <w:r>
              <w:rPr>
                <w:noProof/>
                <w:webHidden/>
              </w:rPr>
              <w:instrText xml:space="preserve"> PAGEREF _Toc212145139 \h </w:instrText>
            </w:r>
            <w:r>
              <w:rPr>
                <w:noProof/>
                <w:webHidden/>
              </w:rPr>
            </w:r>
            <w:r>
              <w:rPr>
                <w:noProof/>
                <w:webHidden/>
              </w:rPr>
              <w:fldChar w:fldCharType="separate"/>
            </w:r>
            <w:r>
              <w:rPr>
                <w:noProof/>
                <w:webHidden/>
              </w:rPr>
              <w:t>9</w:t>
            </w:r>
            <w:r>
              <w:rPr>
                <w:noProof/>
                <w:webHidden/>
              </w:rPr>
              <w:fldChar w:fldCharType="end"/>
            </w:r>
          </w:hyperlink>
        </w:p>
        <w:p w14:paraId="5E1DDD2D" w14:textId="08720435" w:rsidR="009B3169" w:rsidRDefault="009B3169">
          <w:pPr>
            <w:pStyle w:val="TOC2"/>
            <w:tabs>
              <w:tab w:val="right" w:leader="dot" w:pos="9016"/>
            </w:tabs>
            <w:rPr>
              <w:rFonts w:eastAsiaTheme="minorEastAsia"/>
              <w:noProof/>
              <w:lang w:eastAsia="en-GB"/>
            </w:rPr>
          </w:pPr>
          <w:hyperlink w:anchor="_Toc212145140" w:history="1">
            <w:r w:rsidRPr="00774835">
              <w:rPr>
                <w:rStyle w:val="Hyperlink"/>
                <w:rFonts w:ascii="Arial" w:eastAsia="Times New Roman" w:hAnsi="Arial" w:cs="Arial"/>
                <w:noProof/>
                <w:lang w:eastAsia="en-GB"/>
              </w:rPr>
              <w:t>Comparative Evaluation</w:t>
            </w:r>
            <w:r>
              <w:rPr>
                <w:noProof/>
                <w:webHidden/>
              </w:rPr>
              <w:tab/>
            </w:r>
            <w:r>
              <w:rPr>
                <w:noProof/>
                <w:webHidden/>
              </w:rPr>
              <w:fldChar w:fldCharType="begin"/>
            </w:r>
            <w:r>
              <w:rPr>
                <w:noProof/>
                <w:webHidden/>
              </w:rPr>
              <w:instrText xml:space="preserve"> PAGEREF _Toc212145140 \h </w:instrText>
            </w:r>
            <w:r>
              <w:rPr>
                <w:noProof/>
                <w:webHidden/>
              </w:rPr>
            </w:r>
            <w:r>
              <w:rPr>
                <w:noProof/>
                <w:webHidden/>
              </w:rPr>
              <w:fldChar w:fldCharType="separate"/>
            </w:r>
            <w:r>
              <w:rPr>
                <w:noProof/>
                <w:webHidden/>
              </w:rPr>
              <w:t>11</w:t>
            </w:r>
            <w:r>
              <w:rPr>
                <w:noProof/>
                <w:webHidden/>
              </w:rPr>
              <w:fldChar w:fldCharType="end"/>
            </w:r>
          </w:hyperlink>
        </w:p>
        <w:p w14:paraId="3ABAF5DE" w14:textId="5FB64279" w:rsidR="009B3169" w:rsidRDefault="009B3169">
          <w:pPr>
            <w:pStyle w:val="TOC1"/>
            <w:tabs>
              <w:tab w:val="right" w:leader="dot" w:pos="9016"/>
            </w:tabs>
            <w:rPr>
              <w:rFonts w:eastAsiaTheme="minorEastAsia"/>
              <w:noProof/>
              <w:lang w:eastAsia="en-GB"/>
            </w:rPr>
          </w:pPr>
          <w:hyperlink w:anchor="_Toc212145141" w:history="1">
            <w:r w:rsidRPr="00774835">
              <w:rPr>
                <w:rStyle w:val="Hyperlink"/>
                <w:rFonts w:ascii="Arial" w:eastAsia="Times New Roman" w:hAnsi="Arial" w:cs="Arial"/>
                <w:noProof/>
                <w:lang w:eastAsia="en-GB"/>
              </w:rPr>
              <w:t>Conclusion</w:t>
            </w:r>
            <w:r>
              <w:rPr>
                <w:noProof/>
                <w:webHidden/>
              </w:rPr>
              <w:tab/>
            </w:r>
            <w:r>
              <w:rPr>
                <w:noProof/>
                <w:webHidden/>
              </w:rPr>
              <w:fldChar w:fldCharType="begin"/>
            </w:r>
            <w:r>
              <w:rPr>
                <w:noProof/>
                <w:webHidden/>
              </w:rPr>
              <w:instrText xml:space="preserve"> PAGEREF _Toc212145141 \h </w:instrText>
            </w:r>
            <w:r>
              <w:rPr>
                <w:noProof/>
                <w:webHidden/>
              </w:rPr>
            </w:r>
            <w:r>
              <w:rPr>
                <w:noProof/>
                <w:webHidden/>
              </w:rPr>
              <w:fldChar w:fldCharType="separate"/>
            </w:r>
            <w:r>
              <w:rPr>
                <w:noProof/>
                <w:webHidden/>
              </w:rPr>
              <w:t>11</w:t>
            </w:r>
            <w:r>
              <w:rPr>
                <w:noProof/>
                <w:webHidden/>
              </w:rPr>
              <w:fldChar w:fldCharType="end"/>
            </w:r>
          </w:hyperlink>
        </w:p>
        <w:p w14:paraId="31771C6B" w14:textId="686DEC67" w:rsidR="009B3169" w:rsidRDefault="009B3169">
          <w:pPr>
            <w:pStyle w:val="TOC1"/>
            <w:tabs>
              <w:tab w:val="right" w:leader="dot" w:pos="9016"/>
            </w:tabs>
            <w:rPr>
              <w:rFonts w:eastAsiaTheme="minorEastAsia"/>
              <w:noProof/>
              <w:lang w:eastAsia="en-GB"/>
            </w:rPr>
          </w:pPr>
          <w:hyperlink w:anchor="_Toc212145142" w:history="1">
            <w:r w:rsidRPr="00774835">
              <w:rPr>
                <w:rStyle w:val="Hyperlink"/>
                <w:rFonts w:ascii="Arial" w:hAnsi="Arial" w:cs="Arial"/>
                <w:noProof/>
              </w:rPr>
              <w:t>Referencing list</w:t>
            </w:r>
            <w:r>
              <w:rPr>
                <w:noProof/>
                <w:webHidden/>
              </w:rPr>
              <w:tab/>
            </w:r>
            <w:r>
              <w:rPr>
                <w:noProof/>
                <w:webHidden/>
              </w:rPr>
              <w:fldChar w:fldCharType="begin"/>
            </w:r>
            <w:r>
              <w:rPr>
                <w:noProof/>
                <w:webHidden/>
              </w:rPr>
              <w:instrText xml:space="preserve"> PAGEREF _Toc212145142 \h </w:instrText>
            </w:r>
            <w:r>
              <w:rPr>
                <w:noProof/>
                <w:webHidden/>
              </w:rPr>
            </w:r>
            <w:r>
              <w:rPr>
                <w:noProof/>
                <w:webHidden/>
              </w:rPr>
              <w:fldChar w:fldCharType="separate"/>
            </w:r>
            <w:r>
              <w:rPr>
                <w:noProof/>
                <w:webHidden/>
              </w:rPr>
              <w:t>12</w:t>
            </w:r>
            <w:r>
              <w:rPr>
                <w:noProof/>
                <w:webHidden/>
              </w:rPr>
              <w:fldChar w:fldCharType="end"/>
            </w:r>
          </w:hyperlink>
        </w:p>
        <w:p w14:paraId="75854FBC" w14:textId="4189F562" w:rsidR="003319AA" w:rsidRDefault="003319AA">
          <w:r>
            <w:rPr>
              <w:b/>
              <w:bCs/>
              <w:noProof/>
            </w:rPr>
            <w:fldChar w:fldCharType="end"/>
          </w:r>
        </w:p>
      </w:sdtContent>
    </w:sdt>
    <w:p w14:paraId="11C4FA52" w14:textId="4CC3D0C3" w:rsidR="00473E06" w:rsidRDefault="00473E06" w:rsidP="003319AA">
      <w:pPr>
        <w:spacing w:line="360" w:lineRule="auto"/>
        <w:rPr>
          <w:rFonts w:ascii="Arial" w:hAnsi="Arial" w:cs="Arial"/>
          <w:b/>
          <w:bCs/>
          <w:sz w:val="28"/>
          <w:szCs w:val="28"/>
        </w:rPr>
      </w:pPr>
    </w:p>
    <w:p w14:paraId="0F2CB2CB" w14:textId="40D3C314" w:rsidR="00473E06" w:rsidRDefault="00473E06" w:rsidP="00473E06">
      <w:pPr>
        <w:spacing w:line="360" w:lineRule="auto"/>
        <w:jc w:val="center"/>
        <w:rPr>
          <w:rFonts w:ascii="Arial" w:hAnsi="Arial" w:cs="Arial"/>
          <w:b/>
          <w:bCs/>
          <w:sz w:val="28"/>
          <w:szCs w:val="28"/>
        </w:rPr>
      </w:pPr>
    </w:p>
    <w:p w14:paraId="16EFABFD" w14:textId="03A5B499" w:rsidR="00473E06" w:rsidRDefault="00473E06" w:rsidP="00473E06">
      <w:pPr>
        <w:spacing w:line="360" w:lineRule="auto"/>
        <w:jc w:val="center"/>
        <w:rPr>
          <w:rFonts w:ascii="Arial" w:hAnsi="Arial" w:cs="Arial"/>
          <w:b/>
          <w:bCs/>
          <w:sz w:val="28"/>
          <w:szCs w:val="28"/>
        </w:rPr>
      </w:pPr>
    </w:p>
    <w:p w14:paraId="070E0117" w14:textId="3F4C88FA" w:rsidR="00473E06" w:rsidRDefault="00473E06" w:rsidP="00473E06">
      <w:pPr>
        <w:spacing w:line="360" w:lineRule="auto"/>
        <w:jc w:val="center"/>
        <w:rPr>
          <w:rFonts w:ascii="Arial" w:hAnsi="Arial" w:cs="Arial"/>
          <w:b/>
          <w:bCs/>
          <w:sz w:val="28"/>
          <w:szCs w:val="28"/>
        </w:rPr>
      </w:pPr>
    </w:p>
    <w:p w14:paraId="762FAC71" w14:textId="1DF77226" w:rsidR="00473E06" w:rsidRDefault="00473E06" w:rsidP="00473E06">
      <w:pPr>
        <w:spacing w:line="360" w:lineRule="auto"/>
        <w:jc w:val="center"/>
        <w:rPr>
          <w:rFonts w:ascii="Arial" w:hAnsi="Arial" w:cs="Arial"/>
          <w:b/>
          <w:bCs/>
          <w:sz w:val="28"/>
          <w:szCs w:val="28"/>
        </w:rPr>
      </w:pPr>
    </w:p>
    <w:p w14:paraId="38E2E276" w14:textId="7316ADB8" w:rsidR="00473E06" w:rsidRDefault="00473E06" w:rsidP="00473E06">
      <w:pPr>
        <w:spacing w:line="360" w:lineRule="auto"/>
        <w:jc w:val="center"/>
        <w:rPr>
          <w:rFonts w:ascii="Arial" w:hAnsi="Arial" w:cs="Arial"/>
          <w:b/>
          <w:bCs/>
          <w:sz w:val="28"/>
          <w:szCs w:val="28"/>
        </w:rPr>
      </w:pPr>
    </w:p>
    <w:p w14:paraId="4813586A" w14:textId="2933BBFE" w:rsidR="00473E06" w:rsidRDefault="00473E06" w:rsidP="00473E06">
      <w:pPr>
        <w:spacing w:line="360" w:lineRule="auto"/>
        <w:jc w:val="center"/>
        <w:rPr>
          <w:rFonts w:ascii="Arial" w:hAnsi="Arial" w:cs="Arial"/>
          <w:b/>
          <w:bCs/>
          <w:sz w:val="28"/>
          <w:szCs w:val="28"/>
        </w:rPr>
      </w:pPr>
    </w:p>
    <w:p w14:paraId="40BFBED0" w14:textId="17080C9A" w:rsidR="00473E06" w:rsidRDefault="00473E06" w:rsidP="00473E06">
      <w:pPr>
        <w:spacing w:line="360" w:lineRule="auto"/>
        <w:jc w:val="center"/>
        <w:rPr>
          <w:rFonts w:ascii="Arial" w:hAnsi="Arial" w:cs="Arial"/>
          <w:b/>
          <w:bCs/>
          <w:sz w:val="28"/>
          <w:szCs w:val="28"/>
        </w:rPr>
      </w:pPr>
    </w:p>
    <w:p w14:paraId="2AD83E06" w14:textId="44D029FF" w:rsidR="00473E06" w:rsidRDefault="00473E06" w:rsidP="00473E06">
      <w:pPr>
        <w:spacing w:line="360" w:lineRule="auto"/>
        <w:jc w:val="center"/>
        <w:rPr>
          <w:rFonts w:ascii="Arial" w:hAnsi="Arial" w:cs="Arial"/>
          <w:b/>
          <w:bCs/>
          <w:sz w:val="28"/>
          <w:szCs w:val="28"/>
        </w:rPr>
      </w:pPr>
    </w:p>
    <w:p w14:paraId="00E7EFDC" w14:textId="5CE984B1" w:rsidR="00473E06" w:rsidRDefault="00473E06" w:rsidP="00473E06">
      <w:pPr>
        <w:spacing w:line="360" w:lineRule="auto"/>
        <w:jc w:val="center"/>
        <w:rPr>
          <w:rFonts w:ascii="Arial" w:hAnsi="Arial" w:cs="Arial"/>
          <w:b/>
          <w:bCs/>
          <w:sz w:val="28"/>
          <w:szCs w:val="28"/>
        </w:rPr>
      </w:pPr>
    </w:p>
    <w:p w14:paraId="7AF5D370" w14:textId="025C6F0A" w:rsidR="00473E06" w:rsidRDefault="00473E06" w:rsidP="00473E06">
      <w:pPr>
        <w:spacing w:line="360" w:lineRule="auto"/>
        <w:rPr>
          <w:rFonts w:ascii="Arial" w:hAnsi="Arial" w:cs="Arial"/>
          <w:b/>
          <w:bCs/>
          <w:sz w:val="28"/>
          <w:szCs w:val="28"/>
        </w:rPr>
      </w:pPr>
    </w:p>
    <w:p w14:paraId="2F1C8270" w14:textId="07FACCCF" w:rsidR="003319AA" w:rsidRDefault="003319AA" w:rsidP="00114BA4">
      <w:pPr>
        <w:pStyle w:val="Heading1"/>
        <w:spacing w:line="360" w:lineRule="auto"/>
        <w:rPr>
          <w:rFonts w:ascii="Arial" w:hAnsi="Arial" w:cs="Arial"/>
          <w:color w:val="auto"/>
        </w:rPr>
      </w:pPr>
      <w:bookmarkStart w:id="0" w:name="_Toc212145130"/>
      <w:r w:rsidRPr="003319AA">
        <w:rPr>
          <w:rFonts w:ascii="Arial" w:hAnsi="Arial" w:cs="Arial"/>
          <w:color w:val="auto"/>
        </w:rPr>
        <w:t>Introduction</w:t>
      </w:r>
      <w:bookmarkEnd w:id="0"/>
    </w:p>
    <w:p w14:paraId="3B8FE4C9" w14:textId="1A48C6B8" w:rsidR="00114BA4" w:rsidRDefault="00114BA4" w:rsidP="00114BA4"/>
    <w:p w14:paraId="7A6B04F0" w14:textId="33283BFD" w:rsidR="00114BA4" w:rsidRPr="008470B7" w:rsidRDefault="00114BA4" w:rsidP="00114BA4">
      <w:pPr>
        <w:pStyle w:val="NormalWeb"/>
        <w:spacing w:line="360" w:lineRule="auto"/>
        <w:rPr>
          <w:rFonts w:ascii="Arial" w:hAnsi="Arial" w:cs="Arial"/>
        </w:rPr>
      </w:pPr>
      <w:r w:rsidRPr="008470B7">
        <w:rPr>
          <w:rFonts w:ascii="Arial" w:hAnsi="Arial" w:cs="Arial"/>
        </w:rPr>
        <w:t xml:space="preserve">In today’s competitive retail landscape, organisations must continuously adapt to changes in the macro marketing environment to remain relevant and profitable. Two prominent players in the UK grocery sector </w:t>
      </w:r>
      <w:r w:rsidRPr="008470B7">
        <w:rPr>
          <w:rStyle w:val="Strong"/>
          <w:rFonts w:ascii="Arial" w:eastAsiaTheme="majorEastAsia" w:hAnsi="Arial" w:cs="Arial"/>
          <w:b w:val="0"/>
          <w:bCs w:val="0"/>
        </w:rPr>
        <w:t>Tesco</w:t>
      </w:r>
      <w:r w:rsidRPr="008470B7">
        <w:rPr>
          <w:rFonts w:ascii="Arial" w:hAnsi="Arial" w:cs="Arial"/>
        </w:rPr>
        <w:t xml:space="preserve"> and </w:t>
      </w:r>
      <w:r w:rsidRPr="008470B7">
        <w:rPr>
          <w:rStyle w:val="Strong"/>
          <w:rFonts w:ascii="Arial" w:eastAsiaTheme="majorEastAsia" w:hAnsi="Arial" w:cs="Arial"/>
          <w:b w:val="0"/>
          <w:bCs w:val="0"/>
        </w:rPr>
        <w:t>Lidl</w:t>
      </w:r>
      <w:r w:rsidRPr="008470B7">
        <w:rPr>
          <w:rFonts w:ascii="Arial" w:hAnsi="Arial" w:cs="Arial"/>
        </w:rPr>
        <w:t xml:space="preserve">, offer contrasting strategic approaches that illustrate the roles of </w:t>
      </w:r>
      <w:r w:rsidRPr="008470B7">
        <w:rPr>
          <w:rStyle w:val="Strong"/>
          <w:rFonts w:ascii="Arial" w:eastAsiaTheme="majorEastAsia" w:hAnsi="Arial" w:cs="Arial"/>
          <w:b w:val="0"/>
          <w:bCs w:val="0"/>
        </w:rPr>
        <w:t>pioneers</w:t>
      </w:r>
      <w:r w:rsidRPr="008470B7">
        <w:rPr>
          <w:rFonts w:ascii="Arial" w:hAnsi="Arial" w:cs="Arial"/>
        </w:rPr>
        <w:t xml:space="preserve"> and </w:t>
      </w:r>
      <w:r w:rsidRPr="008470B7">
        <w:rPr>
          <w:rStyle w:val="Strong"/>
          <w:rFonts w:ascii="Arial" w:eastAsiaTheme="majorEastAsia" w:hAnsi="Arial" w:cs="Arial"/>
          <w:b w:val="0"/>
          <w:bCs w:val="0"/>
        </w:rPr>
        <w:t>followers</w:t>
      </w:r>
      <w:r w:rsidRPr="008470B7">
        <w:rPr>
          <w:rFonts w:ascii="Arial" w:hAnsi="Arial" w:cs="Arial"/>
          <w:b/>
          <w:bCs/>
        </w:rPr>
        <w:t>.</w:t>
      </w:r>
      <w:r w:rsidRPr="008470B7">
        <w:rPr>
          <w:rFonts w:ascii="Arial" w:hAnsi="Arial" w:cs="Arial"/>
        </w:rPr>
        <w:t xml:space="preserve"> Tesco, as a pioneer, has historically led the market through innovations such as the Clubcard loyalty scheme and early adoption of online grocery platforms. (Kotler, Armstrong and Balasubramanian, 2024). In contrast, Lidl has positioned itself as a strategic follower, entering the UK market later and refining cost-leadership tactics to appeal to value-conscious consumers (Jobber and Ellis-Chadwick, 2019). Analysing how macro environmental factors such as </w:t>
      </w:r>
      <w:r w:rsidRPr="008470B7">
        <w:rPr>
          <w:rStyle w:val="Strong"/>
          <w:rFonts w:ascii="Arial" w:eastAsiaTheme="majorEastAsia" w:hAnsi="Arial" w:cs="Arial"/>
          <w:b w:val="0"/>
          <w:bCs w:val="0"/>
        </w:rPr>
        <w:t>technological</w:t>
      </w:r>
      <w:r w:rsidRPr="008470B7">
        <w:rPr>
          <w:rFonts w:ascii="Arial" w:hAnsi="Arial" w:cs="Arial"/>
        </w:rPr>
        <w:t xml:space="preserve"> and </w:t>
      </w:r>
      <w:r w:rsidRPr="008470B7">
        <w:rPr>
          <w:rStyle w:val="Strong"/>
          <w:rFonts w:ascii="Arial" w:eastAsiaTheme="majorEastAsia" w:hAnsi="Arial" w:cs="Arial"/>
          <w:b w:val="0"/>
          <w:bCs w:val="0"/>
        </w:rPr>
        <w:t>economic</w:t>
      </w:r>
      <w:r w:rsidRPr="008470B7">
        <w:rPr>
          <w:rFonts w:ascii="Arial" w:hAnsi="Arial" w:cs="Arial"/>
        </w:rPr>
        <w:t xml:space="preserve"> changes impact these organisations provides insight into the opportunities and threats faced by both pioneers and followers in the same industry (Hooley et al., 2024; </w:t>
      </w:r>
      <w:proofErr w:type="spellStart"/>
      <w:r w:rsidRPr="008470B7">
        <w:rPr>
          <w:rFonts w:ascii="Arial" w:hAnsi="Arial" w:cs="Arial"/>
        </w:rPr>
        <w:t>Kalicanin</w:t>
      </w:r>
      <w:proofErr w:type="spellEnd"/>
      <w:r w:rsidRPr="008470B7">
        <w:rPr>
          <w:rFonts w:ascii="Arial" w:hAnsi="Arial" w:cs="Arial"/>
        </w:rPr>
        <w:t>, 2008).</w:t>
      </w:r>
    </w:p>
    <w:p w14:paraId="5945D2EA" w14:textId="09A36780" w:rsidR="003319AA" w:rsidRPr="008470B7" w:rsidRDefault="00114BA4" w:rsidP="00114BA4">
      <w:pPr>
        <w:pStyle w:val="NormalWeb"/>
        <w:spacing w:line="360" w:lineRule="auto"/>
        <w:rPr>
          <w:rFonts w:ascii="Arial" w:hAnsi="Arial" w:cs="Arial"/>
        </w:rPr>
      </w:pPr>
      <w:r w:rsidRPr="008470B7">
        <w:rPr>
          <w:rFonts w:ascii="Arial" w:hAnsi="Arial" w:cs="Arial"/>
        </w:rPr>
        <w:t>PESTLE analysis is a vital strategic tool in marketing that enables organisations to systematically evaluate external macro-environmental factors, Political, Economic, Social, Technological, Legal, and Environmental, that influence decision-making and market performance. By identifying trends and disruptions in these areas, marketers can anticipate consumer behaviour shifts, regulatory changes, and technological advancements, allowing for more informed strategic planning. For example, understanding economic conditions such as inflation or recession helps firms adjust pricing strategies and product offerings to maintain competitiveness (Kotler, Armstrong and Balasubramanian, 2024). Similarly, monitoring technological developments enables organisations to innovate or adapt digital platforms to meet evolving customer expectations (Hooley et al., 2024). As Jobber and Ellis-Chadwick (2019) emphasise, integrating PESTLE analysis into marketing strategy enhances environmental scanning and supports long-term positioning in dynamic markets</w:t>
      </w:r>
    </w:p>
    <w:p w14:paraId="5B5A8E8B" w14:textId="29921D2C" w:rsidR="00114BA4" w:rsidRDefault="00114BA4" w:rsidP="00114BA4">
      <w:pPr>
        <w:pStyle w:val="NormalWeb"/>
        <w:spacing w:line="360" w:lineRule="auto"/>
        <w:rPr>
          <w:rFonts w:ascii="Arial" w:hAnsi="Arial" w:cs="Arial"/>
        </w:rPr>
      </w:pPr>
    </w:p>
    <w:p w14:paraId="6575E6AA" w14:textId="42DA8DCF" w:rsidR="00114BA4" w:rsidRPr="00FD0FED" w:rsidRDefault="00FD0FED" w:rsidP="00FD0FED">
      <w:pPr>
        <w:pStyle w:val="Heading1"/>
        <w:spacing w:line="360" w:lineRule="auto"/>
        <w:rPr>
          <w:rFonts w:ascii="Arial" w:hAnsi="Arial" w:cs="Arial"/>
          <w:b/>
          <w:bCs/>
          <w:color w:val="auto"/>
        </w:rPr>
      </w:pPr>
      <w:bookmarkStart w:id="1" w:name="_Toc212145131"/>
      <w:r w:rsidRPr="00FD0FED">
        <w:rPr>
          <w:rFonts w:ascii="Arial" w:hAnsi="Arial" w:cs="Arial"/>
          <w:b/>
          <w:bCs/>
          <w:color w:val="auto"/>
        </w:rPr>
        <w:lastRenderedPageBreak/>
        <w:t>TASK 1</w:t>
      </w:r>
      <w:bookmarkEnd w:id="1"/>
    </w:p>
    <w:p w14:paraId="54637C32" w14:textId="49953D4F" w:rsidR="00473E06" w:rsidRDefault="00473E06" w:rsidP="003319AA">
      <w:pPr>
        <w:pStyle w:val="Heading1"/>
        <w:spacing w:line="360" w:lineRule="auto"/>
        <w:rPr>
          <w:rFonts w:ascii="Arial" w:hAnsi="Arial" w:cs="Arial"/>
          <w:color w:val="auto"/>
        </w:rPr>
      </w:pPr>
      <w:bookmarkStart w:id="2" w:name="_Toc212145132"/>
      <w:r w:rsidRPr="003319AA">
        <w:rPr>
          <w:rFonts w:ascii="Arial" w:hAnsi="Arial" w:cs="Arial"/>
          <w:color w:val="auto"/>
        </w:rPr>
        <w:t>Macro marketing environment analysis</w:t>
      </w:r>
      <w:bookmarkEnd w:id="2"/>
    </w:p>
    <w:p w14:paraId="7CFE5B7B" w14:textId="48E2D672" w:rsidR="00506FC9" w:rsidRPr="00506FC9" w:rsidRDefault="00506FC9" w:rsidP="00506FC9">
      <w:pPr>
        <w:spacing w:before="100" w:beforeAutospacing="1" w:after="100" w:afterAutospacing="1" w:line="360" w:lineRule="auto"/>
        <w:rPr>
          <w:rFonts w:ascii="Arial" w:eastAsia="Times New Roman" w:hAnsi="Arial" w:cs="Arial"/>
          <w:sz w:val="24"/>
          <w:szCs w:val="24"/>
          <w:lang w:eastAsia="en-GB"/>
        </w:rPr>
      </w:pPr>
      <w:r w:rsidRPr="00506FC9">
        <w:rPr>
          <w:rFonts w:ascii="Arial" w:eastAsia="Times New Roman" w:hAnsi="Arial" w:cs="Arial"/>
          <w:sz w:val="24"/>
          <w:szCs w:val="24"/>
          <w:lang w:eastAsia="en-GB"/>
        </w:rPr>
        <w:t>The macro marketing environment comprises external forces that influence strategic marketing decisions yet remain largely beyond the control of individual firms. These forces shape both pioneering and follower organisations</w:t>
      </w:r>
      <w:r w:rsidR="002F7ACA">
        <w:rPr>
          <w:rFonts w:ascii="Arial" w:eastAsia="Times New Roman" w:hAnsi="Arial" w:cs="Arial"/>
          <w:sz w:val="24"/>
          <w:szCs w:val="24"/>
          <w:lang w:eastAsia="en-GB"/>
        </w:rPr>
        <w:t xml:space="preserve"> </w:t>
      </w:r>
      <w:r w:rsidRPr="00506FC9">
        <w:rPr>
          <w:rFonts w:ascii="Arial" w:eastAsia="Times New Roman" w:hAnsi="Arial" w:cs="Arial"/>
          <w:sz w:val="24"/>
          <w:szCs w:val="24"/>
          <w:lang w:eastAsia="en-GB"/>
        </w:rPr>
        <w:t>competitive strategies, determining how effectively they adapt to change and sustain performance in dynamic industries such as retail. According to Kotler, Armstrong and Balasubramanian (2024), systematic scanning of the external environment enables firms to anticipate shifts in consumer behaviour, technology, and the economy</w:t>
      </w:r>
      <w:r w:rsidR="002F7ACA">
        <w:rPr>
          <w:rFonts w:ascii="Arial" w:eastAsia="Times New Roman" w:hAnsi="Arial" w:cs="Arial"/>
          <w:sz w:val="24"/>
          <w:szCs w:val="24"/>
          <w:lang w:eastAsia="en-GB"/>
        </w:rPr>
        <w:t xml:space="preserve">, </w:t>
      </w:r>
      <w:r w:rsidRPr="00506FC9">
        <w:rPr>
          <w:rFonts w:ascii="Arial" w:eastAsia="Times New Roman" w:hAnsi="Arial" w:cs="Arial"/>
          <w:sz w:val="24"/>
          <w:szCs w:val="24"/>
          <w:lang w:eastAsia="en-GB"/>
        </w:rPr>
        <w:t>factors that can either drive growth or create substantial threats.</w:t>
      </w:r>
    </w:p>
    <w:p w14:paraId="72DAB350" w14:textId="33092E5F" w:rsidR="00506FC9" w:rsidRPr="00506FC9" w:rsidRDefault="00506FC9" w:rsidP="00506FC9">
      <w:pPr>
        <w:spacing w:before="100" w:beforeAutospacing="1" w:after="100" w:afterAutospacing="1" w:line="360" w:lineRule="auto"/>
        <w:rPr>
          <w:rFonts w:ascii="Arial" w:eastAsia="Times New Roman" w:hAnsi="Arial" w:cs="Arial"/>
          <w:sz w:val="24"/>
          <w:szCs w:val="24"/>
          <w:lang w:eastAsia="en-GB"/>
        </w:rPr>
      </w:pPr>
      <w:r w:rsidRPr="00506FC9">
        <w:rPr>
          <w:rFonts w:ascii="Arial" w:eastAsia="Times New Roman" w:hAnsi="Arial" w:cs="Arial"/>
          <w:sz w:val="24"/>
          <w:szCs w:val="24"/>
          <w:lang w:eastAsia="en-GB"/>
        </w:rPr>
        <w:t>For this analysis, two macro-environmental factors</w:t>
      </w:r>
      <w:r>
        <w:rPr>
          <w:rFonts w:ascii="Arial" w:eastAsia="Times New Roman" w:hAnsi="Arial" w:cs="Arial"/>
          <w:sz w:val="24"/>
          <w:szCs w:val="24"/>
          <w:lang w:eastAsia="en-GB"/>
        </w:rPr>
        <w:t xml:space="preserve">, </w:t>
      </w:r>
      <w:r w:rsidRPr="00506FC9">
        <w:rPr>
          <w:rFonts w:ascii="Arial" w:eastAsia="Times New Roman" w:hAnsi="Arial" w:cs="Arial"/>
          <w:sz w:val="24"/>
          <w:szCs w:val="24"/>
          <w:lang w:eastAsia="en-GB"/>
        </w:rPr>
        <w:t>technological and economic</w:t>
      </w:r>
      <w:r>
        <w:rPr>
          <w:rFonts w:ascii="Arial" w:eastAsia="Times New Roman" w:hAnsi="Arial" w:cs="Arial"/>
          <w:sz w:val="24"/>
          <w:szCs w:val="24"/>
          <w:lang w:eastAsia="en-GB"/>
        </w:rPr>
        <w:t xml:space="preserve">, </w:t>
      </w:r>
      <w:r w:rsidRPr="00506FC9">
        <w:rPr>
          <w:rFonts w:ascii="Arial" w:eastAsia="Times New Roman" w:hAnsi="Arial" w:cs="Arial"/>
          <w:sz w:val="24"/>
          <w:szCs w:val="24"/>
          <w:lang w:eastAsia="en-GB"/>
        </w:rPr>
        <w:t>have been selected. Both are among the most influential components of the PESTLE framework and have significantly impacted the strategic directions of Tesco (as a pioneer) and Lidl (as a follower). These dimensions not only shape the competitive landscape but also determine how organisations position themselves in relation to innovation, pricing, and customer engagement.</w:t>
      </w:r>
    </w:p>
    <w:p w14:paraId="4B1DE8EA" w14:textId="634439BA" w:rsidR="00506FC9" w:rsidRDefault="00506FC9" w:rsidP="00506FC9">
      <w:pPr>
        <w:pStyle w:val="Heading2"/>
        <w:spacing w:line="360" w:lineRule="auto"/>
        <w:rPr>
          <w:rFonts w:ascii="Arial" w:eastAsia="Times New Roman" w:hAnsi="Arial" w:cs="Arial"/>
          <w:color w:val="auto"/>
          <w:sz w:val="28"/>
          <w:szCs w:val="28"/>
          <w:lang w:eastAsia="en-GB"/>
        </w:rPr>
      </w:pPr>
      <w:bookmarkStart w:id="3" w:name="_Toc212145133"/>
      <w:r w:rsidRPr="00506FC9">
        <w:rPr>
          <w:rFonts w:ascii="Arial" w:eastAsia="Times New Roman" w:hAnsi="Arial" w:cs="Arial"/>
          <w:color w:val="auto"/>
          <w:sz w:val="28"/>
          <w:szCs w:val="28"/>
          <w:lang w:eastAsia="en-GB"/>
        </w:rPr>
        <w:t>Technological Factor Analysis</w:t>
      </w:r>
      <w:bookmarkEnd w:id="3"/>
    </w:p>
    <w:p w14:paraId="4B677826" w14:textId="5B793301" w:rsidR="00B57B45" w:rsidRDefault="00B57B45" w:rsidP="00B57B45">
      <w:pPr>
        <w:rPr>
          <w:lang w:eastAsia="en-GB"/>
        </w:rPr>
      </w:pPr>
    </w:p>
    <w:tbl>
      <w:tblPr>
        <w:tblStyle w:val="TableGrid"/>
        <w:tblW w:w="0" w:type="auto"/>
        <w:tblLook w:val="04A0" w:firstRow="1" w:lastRow="0" w:firstColumn="1" w:lastColumn="0" w:noHBand="0" w:noVBand="1"/>
      </w:tblPr>
      <w:tblGrid>
        <w:gridCol w:w="3005"/>
        <w:gridCol w:w="3005"/>
        <w:gridCol w:w="3006"/>
      </w:tblGrid>
      <w:tr w:rsidR="00B57B45" w14:paraId="3AB8ADFE" w14:textId="77777777" w:rsidTr="002510E6">
        <w:tc>
          <w:tcPr>
            <w:tcW w:w="3005" w:type="dxa"/>
          </w:tcPr>
          <w:p w14:paraId="64DCC47B" w14:textId="77777777" w:rsidR="00B57B45" w:rsidRPr="00FD0FED" w:rsidRDefault="00B57B45" w:rsidP="002510E6">
            <w:pPr>
              <w:spacing w:line="360" w:lineRule="auto"/>
              <w:rPr>
                <w:rFonts w:ascii="Arial" w:hAnsi="Arial" w:cs="Arial"/>
                <w:b/>
                <w:bCs/>
                <w:sz w:val="28"/>
                <w:szCs w:val="28"/>
              </w:rPr>
            </w:pPr>
            <w:r w:rsidRPr="00FD0FED">
              <w:rPr>
                <w:rFonts w:ascii="Arial" w:hAnsi="Arial" w:cs="Arial"/>
                <w:b/>
                <w:bCs/>
                <w:sz w:val="28"/>
                <w:szCs w:val="28"/>
              </w:rPr>
              <w:t>Technological Factor</w:t>
            </w:r>
          </w:p>
        </w:tc>
        <w:tc>
          <w:tcPr>
            <w:tcW w:w="3005" w:type="dxa"/>
          </w:tcPr>
          <w:p w14:paraId="046A8A50" w14:textId="77777777" w:rsidR="00B57B45" w:rsidRPr="00FD0FED" w:rsidRDefault="00B57B45" w:rsidP="002510E6">
            <w:pPr>
              <w:spacing w:line="360" w:lineRule="auto"/>
              <w:jc w:val="center"/>
              <w:rPr>
                <w:rFonts w:ascii="Arial" w:hAnsi="Arial" w:cs="Arial"/>
                <w:b/>
                <w:bCs/>
                <w:sz w:val="28"/>
                <w:szCs w:val="28"/>
              </w:rPr>
            </w:pPr>
            <w:r w:rsidRPr="00FD0FED">
              <w:rPr>
                <w:rFonts w:ascii="Arial" w:hAnsi="Arial" w:cs="Arial"/>
                <w:b/>
                <w:bCs/>
                <w:sz w:val="28"/>
                <w:szCs w:val="28"/>
              </w:rPr>
              <w:t>Tesco</w:t>
            </w:r>
          </w:p>
          <w:p w14:paraId="0648DA8F" w14:textId="77777777" w:rsidR="00B57B45" w:rsidRPr="00FD0FED" w:rsidRDefault="00B57B45" w:rsidP="002510E6">
            <w:pPr>
              <w:spacing w:line="360" w:lineRule="auto"/>
              <w:jc w:val="center"/>
              <w:rPr>
                <w:rFonts w:ascii="Arial" w:hAnsi="Arial" w:cs="Arial"/>
                <w:b/>
                <w:bCs/>
                <w:sz w:val="28"/>
                <w:szCs w:val="28"/>
              </w:rPr>
            </w:pPr>
            <w:r w:rsidRPr="00FD0FED">
              <w:rPr>
                <w:rFonts w:ascii="Arial" w:hAnsi="Arial" w:cs="Arial"/>
                <w:b/>
                <w:bCs/>
                <w:sz w:val="28"/>
                <w:szCs w:val="28"/>
              </w:rPr>
              <w:t>Pioneer</w:t>
            </w:r>
          </w:p>
        </w:tc>
        <w:tc>
          <w:tcPr>
            <w:tcW w:w="3006" w:type="dxa"/>
          </w:tcPr>
          <w:p w14:paraId="33F55BF8" w14:textId="77777777" w:rsidR="00B57B45" w:rsidRPr="00FD0FED" w:rsidRDefault="00B57B45" w:rsidP="002510E6">
            <w:pPr>
              <w:spacing w:line="360" w:lineRule="auto"/>
              <w:jc w:val="center"/>
              <w:rPr>
                <w:rFonts w:ascii="Arial" w:hAnsi="Arial" w:cs="Arial"/>
                <w:b/>
                <w:bCs/>
                <w:sz w:val="28"/>
                <w:szCs w:val="28"/>
              </w:rPr>
            </w:pPr>
            <w:r w:rsidRPr="00FD0FED">
              <w:rPr>
                <w:rFonts w:ascii="Arial" w:hAnsi="Arial" w:cs="Arial"/>
                <w:b/>
                <w:bCs/>
                <w:sz w:val="28"/>
                <w:szCs w:val="28"/>
              </w:rPr>
              <w:t>Lidl</w:t>
            </w:r>
          </w:p>
          <w:p w14:paraId="66D5FF86" w14:textId="77777777" w:rsidR="00B57B45" w:rsidRPr="00FD0FED" w:rsidRDefault="00B57B45" w:rsidP="002510E6">
            <w:pPr>
              <w:spacing w:line="360" w:lineRule="auto"/>
              <w:jc w:val="center"/>
              <w:rPr>
                <w:rFonts w:ascii="Arial" w:hAnsi="Arial" w:cs="Arial"/>
                <w:b/>
                <w:bCs/>
                <w:sz w:val="28"/>
                <w:szCs w:val="28"/>
              </w:rPr>
            </w:pPr>
            <w:r w:rsidRPr="00FD0FED">
              <w:rPr>
                <w:rFonts w:ascii="Arial" w:hAnsi="Arial" w:cs="Arial"/>
                <w:b/>
                <w:bCs/>
                <w:sz w:val="28"/>
                <w:szCs w:val="28"/>
              </w:rPr>
              <w:t>Follower</w:t>
            </w:r>
          </w:p>
        </w:tc>
      </w:tr>
      <w:tr w:rsidR="00B57B45" w14:paraId="156F4F80" w14:textId="77777777" w:rsidTr="002510E6">
        <w:tc>
          <w:tcPr>
            <w:tcW w:w="3005" w:type="dxa"/>
          </w:tcPr>
          <w:p w14:paraId="59F7BBD8" w14:textId="77777777" w:rsidR="00B57B45" w:rsidRPr="00FD0FED" w:rsidRDefault="00B57B45" w:rsidP="002510E6">
            <w:pPr>
              <w:spacing w:line="360" w:lineRule="auto"/>
              <w:rPr>
                <w:rFonts w:ascii="Arial" w:hAnsi="Arial" w:cs="Arial"/>
                <w:b/>
                <w:bCs/>
                <w:sz w:val="28"/>
                <w:szCs w:val="28"/>
              </w:rPr>
            </w:pPr>
            <w:proofErr w:type="spellStart"/>
            <w:r w:rsidRPr="00FD0FED">
              <w:rPr>
                <w:rFonts w:ascii="Arial" w:hAnsi="Arial" w:cs="Arial"/>
                <w:b/>
                <w:bCs/>
                <w:sz w:val="28"/>
                <w:szCs w:val="28"/>
              </w:rPr>
              <w:t>Oportunities</w:t>
            </w:r>
            <w:proofErr w:type="spellEnd"/>
          </w:p>
        </w:tc>
        <w:tc>
          <w:tcPr>
            <w:tcW w:w="3005" w:type="dxa"/>
          </w:tcPr>
          <w:p w14:paraId="0FEE2DC1" w14:textId="77777777" w:rsidR="00B57B45" w:rsidRPr="006B1E7A" w:rsidRDefault="00B57B45" w:rsidP="002510E6">
            <w:pPr>
              <w:spacing w:line="360" w:lineRule="auto"/>
              <w:rPr>
                <w:rFonts w:ascii="Arial" w:hAnsi="Arial" w:cs="Arial"/>
                <w:sz w:val="24"/>
                <w:szCs w:val="24"/>
              </w:rPr>
            </w:pPr>
            <w:r w:rsidRPr="006B1E7A">
              <w:rPr>
                <w:rStyle w:val="Strong"/>
                <w:rFonts w:ascii="Arial" w:hAnsi="Arial" w:cs="Arial"/>
                <w:b w:val="0"/>
                <w:bCs w:val="0"/>
                <w:sz w:val="24"/>
                <w:szCs w:val="24"/>
              </w:rPr>
              <w:t>Pioneers</w:t>
            </w:r>
            <w:r w:rsidRPr="006B1E7A">
              <w:rPr>
                <w:rFonts w:ascii="Arial" w:hAnsi="Arial" w:cs="Arial"/>
                <w:sz w:val="24"/>
                <w:szCs w:val="24"/>
              </w:rPr>
              <w:t xml:space="preserve"> like </w:t>
            </w:r>
            <w:r w:rsidRPr="006B1E7A">
              <w:rPr>
                <w:rStyle w:val="Strong"/>
                <w:rFonts w:ascii="Arial" w:hAnsi="Arial" w:cs="Arial"/>
                <w:b w:val="0"/>
                <w:bCs w:val="0"/>
                <w:sz w:val="24"/>
                <w:szCs w:val="24"/>
              </w:rPr>
              <w:t>Tesco</w:t>
            </w:r>
            <w:r w:rsidRPr="006B1E7A">
              <w:rPr>
                <w:rFonts w:ascii="Arial" w:hAnsi="Arial" w:cs="Arial"/>
                <w:b/>
                <w:bCs/>
                <w:sz w:val="24"/>
                <w:szCs w:val="24"/>
              </w:rPr>
              <w:t xml:space="preserve"> </w:t>
            </w:r>
            <w:r w:rsidRPr="006B1E7A">
              <w:rPr>
                <w:rFonts w:ascii="Arial" w:hAnsi="Arial" w:cs="Arial"/>
                <w:sz w:val="24"/>
                <w:szCs w:val="24"/>
              </w:rPr>
              <w:t xml:space="preserve">leveraged early adoption of </w:t>
            </w:r>
            <w:r w:rsidRPr="006B1E7A">
              <w:rPr>
                <w:rStyle w:val="Strong"/>
                <w:rFonts w:ascii="Arial" w:hAnsi="Arial" w:cs="Arial"/>
                <w:b w:val="0"/>
                <w:bCs w:val="0"/>
                <w:sz w:val="24"/>
                <w:szCs w:val="24"/>
              </w:rPr>
              <w:t>online grocery platforms</w:t>
            </w:r>
            <w:r w:rsidRPr="006B1E7A">
              <w:rPr>
                <w:rFonts w:ascii="Arial" w:hAnsi="Arial" w:cs="Arial"/>
                <w:sz w:val="24"/>
                <w:szCs w:val="24"/>
              </w:rPr>
              <w:t xml:space="preserve"> and </w:t>
            </w:r>
            <w:r w:rsidRPr="006B1E7A">
              <w:rPr>
                <w:rStyle w:val="Strong"/>
                <w:rFonts w:ascii="Arial" w:hAnsi="Arial" w:cs="Arial"/>
                <w:b w:val="0"/>
                <w:bCs w:val="0"/>
                <w:sz w:val="24"/>
                <w:szCs w:val="24"/>
              </w:rPr>
              <w:t>data analytics</w:t>
            </w:r>
            <w:r w:rsidRPr="006B1E7A">
              <w:rPr>
                <w:rFonts w:ascii="Arial" w:hAnsi="Arial" w:cs="Arial"/>
                <w:sz w:val="24"/>
                <w:szCs w:val="24"/>
              </w:rPr>
              <w:t xml:space="preserve"> to gain competitive advantage (Kotler et al., 2024)</w:t>
            </w:r>
          </w:p>
        </w:tc>
        <w:tc>
          <w:tcPr>
            <w:tcW w:w="3006" w:type="dxa"/>
          </w:tcPr>
          <w:p w14:paraId="3F5E0840" w14:textId="77777777" w:rsidR="00B57B45" w:rsidRPr="006B1E7A" w:rsidRDefault="00B57B45" w:rsidP="002510E6">
            <w:pPr>
              <w:spacing w:line="360" w:lineRule="auto"/>
              <w:rPr>
                <w:rFonts w:ascii="Arial" w:hAnsi="Arial" w:cs="Arial"/>
                <w:b/>
                <w:bCs/>
                <w:sz w:val="24"/>
                <w:szCs w:val="24"/>
              </w:rPr>
            </w:pPr>
            <w:r w:rsidRPr="006B1E7A">
              <w:rPr>
                <w:rFonts w:ascii="Arial" w:hAnsi="Arial" w:cs="Arial"/>
                <w:sz w:val="24"/>
                <w:szCs w:val="24"/>
              </w:rPr>
              <w:t xml:space="preserve">Followers like </w:t>
            </w:r>
            <w:r w:rsidRPr="006B1E7A">
              <w:rPr>
                <w:rStyle w:val="Strong"/>
                <w:rFonts w:ascii="Arial" w:hAnsi="Arial" w:cs="Arial"/>
                <w:b w:val="0"/>
                <w:bCs w:val="0"/>
                <w:sz w:val="24"/>
                <w:szCs w:val="24"/>
              </w:rPr>
              <w:t>Lidl</w:t>
            </w:r>
            <w:r w:rsidRPr="006B1E7A">
              <w:rPr>
                <w:rFonts w:ascii="Arial" w:hAnsi="Arial" w:cs="Arial"/>
                <w:sz w:val="24"/>
                <w:szCs w:val="24"/>
              </w:rPr>
              <w:t xml:space="preserve"> later launched </w:t>
            </w:r>
            <w:r w:rsidRPr="006B1E7A">
              <w:rPr>
                <w:rStyle w:val="Strong"/>
                <w:rFonts w:ascii="Arial" w:hAnsi="Arial" w:cs="Arial"/>
                <w:b w:val="0"/>
                <w:bCs w:val="0"/>
                <w:sz w:val="24"/>
                <w:szCs w:val="24"/>
              </w:rPr>
              <w:t>Lidl Plus</w:t>
            </w:r>
            <w:r w:rsidRPr="006B1E7A">
              <w:rPr>
                <w:rFonts w:ascii="Arial" w:hAnsi="Arial" w:cs="Arial"/>
                <w:sz w:val="24"/>
                <w:szCs w:val="24"/>
              </w:rPr>
              <w:t>, benefiting from consumer readiness and lower development costs (Jobber and Ellis-Chadwick, 2019).</w:t>
            </w:r>
          </w:p>
        </w:tc>
      </w:tr>
      <w:tr w:rsidR="00B57B45" w14:paraId="73089C3E" w14:textId="77777777" w:rsidTr="002510E6">
        <w:tc>
          <w:tcPr>
            <w:tcW w:w="3005" w:type="dxa"/>
          </w:tcPr>
          <w:p w14:paraId="6A49A994" w14:textId="77777777" w:rsidR="00B57B45" w:rsidRPr="00FD0FED" w:rsidRDefault="00B57B45" w:rsidP="002510E6">
            <w:pPr>
              <w:spacing w:line="360" w:lineRule="auto"/>
              <w:rPr>
                <w:rFonts w:ascii="Arial" w:hAnsi="Arial" w:cs="Arial"/>
                <w:b/>
                <w:bCs/>
                <w:sz w:val="28"/>
                <w:szCs w:val="28"/>
              </w:rPr>
            </w:pPr>
            <w:r w:rsidRPr="00FD0FED">
              <w:rPr>
                <w:rFonts w:ascii="Arial" w:hAnsi="Arial" w:cs="Arial"/>
                <w:b/>
                <w:bCs/>
                <w:sz w:val="28"/>
                <w:szCs w:val="28"/>
              </w:rPr>
              <w:t>Threats</w:t>
            </w:r>
          </w:p>
        </w:tc>
        <w:tc>
          <w:tcPr>
            <w:tcW w:w="3005" w:type="dxa"/>
          </w:tcPr>
          <w:p w14:paraId="26FB88EE" w14:textId="77777777" w:rsidR="00B57B45" w:rsidRPr="006B1E7A" w:rsidRDefault="00B57B45" w:rsidP="002510E6">
            <w:pPr>
              <w:spacing w:line="360" w:lineRule="auto"/>
              <w:rPr>
                <w:rFonts w:ascii="Arial" w:hAnsi="Arial" w:cs="Arial"/>
                <w:b/>
                <w:bCs/>
                <w:sz w:val="24"/>
                <w:szCs w:val="24"/>
              </w:rPr>
            </w:pPr>
            <w:r w:rsidRPr="006B1E7A">
              <w:rPr>
                <w:rFonts w:ascii="Arial" w:hAnsi="Arial" w:cs="Arial"/>
                <w:sz w:val="24"/>
                <w:szCs w:val="24"/>
              </w:rPr>
              <w:t xml:space="preserve">Pioneers face high R&amp;D costs and risk of </w:t>
            </w:r>
            <w:r w:rsidRPr="006B1E7A">
              <w:rPr>
                <w:rFonts w:ascii="Arial" w:hAnsi="Arial" w:cs="Arial"/>
                <w:sz w:val="24"/>
                <w:szCs w:val="24"/>
              </w:rPr>
              <w:lastRenderedPageBreak/>
              <w:t>technological obsolescence.</w:t>
            </w:r>
          </w:p>
        </w:tc>
        <w:tc>
          <w:tcPr>
            <w:tcW w:w="3006" w:type="dxa"/>
          </w:tcPr>
          <w:p w14:paraId="1AC0D719" w14:textId="77777777" w:rsidR="00B57B45" w:rsidRPr="006B1E7A" w:rsidRDefault="00B57B45" w:rsidP="002510E6">
            <w:pPr>
              <w:spacing w:line="360" w:lineRule="auto"/>
              <w:rPr>
                <w:rFonts w:ascii="Arial" w:hAnsi="Arial" w:cs="Arial"/>
                <w:b/>
                <w:bCs/>
                <w:sz w:val="24"/>
                <w:szCs w:val="24"/>
              </w:rPr>
            </w:pPr>
            <w:r w:rsidRPr="006B1E7A">
              <w:rPr>
                <w:rFonts w:ascii="Arial" w:hAnsi="Arial" w:cs="Arial"/>
                <w:sz w:val="24"/>
                <w:szCs w:val="24"/>
              </w:rPr>
              <w:lastRenderedPageBreak/>
              <w:t xml:space="preserve">Followers risk falling behind if adoption is </w:t>
            </w:r>
            <w:r w:rsidRPr="006B1E7A">
              <w:rPr>
                <w:rFonts w:ascii="Arial" w:hAnsi="Arial" w:cs="Arial"/>
                <w:sz w:val="24"/>
                <w:szCs w:val="24"/>
              </w:rPr>
              <w:lastRenderedPageBreak/>
              <w:t>delayed or misaligned with consumer expectations.</w:t>
            </w:r>
          </w:p>
        </w:tc>
      </w:tr>
    </w:tbl>
    <w:p w14:paraId="1BB8B495" w14:textId="17F47306" w:rsidR="00B57B45" w:rsidRDefault="00B57B45" w:rsidP="00B57B45">
      <w:pPr>
        <w:rPr>
          <w:lang w:eastAsia="en-GB"/>
        </w:rPr>
      </w:pPr>
    </w:p>
    <w:p w14:paraId="4285A92A" w14:textId="77777777" w:rsidR="00B57B45" w:rsidRPr="00B57B45" w:rsidRDefault="00B57B45" w:rsidP="00B57B45">
      <w:pPr>
        <w:rPr>
          <w:lang w:eastAsia="en-GB"/>
        </w:rPr>
      </w:pPr>
    </w:p>
    <w:p w14:paraId="557D45BA" w14:textId="7AFEC222" w:rsidR="00506FC9" w:rsidRPr="00506FC9" w:rsidRDefault="00506FC9" w:rsidP="00506FC9">
      <w:pPr>
        <w:spacing w:before="100" w:beforeAutospacing="1" w:after="100" w:afterAutospacing="1" w:line="360" w:lineRule="auto"/>
        <w:rPr>
          <w:rFonts w:ascii="Arial" w:eastAsia="Times New Roman" w:hAnsi="Arial" w:cs="Arial"/>
          <w:sz w:val="24"/>
          <w:szCs w:val="24"/>
          <w:lang w:eastAsia="en-GB"/>
        </w:rPr>
      </w:pPr>
      <w:r w:rsidRPr="00506FC9">
        <w:rPr>
          <w:rFonts w:ascii="Arial" w:eastAsia="Times New Roman" w:hAnsi="Arial" w:cs="Arial"/>
          <w:sz w:val="24"/>
          <w:szCs w:val="24"/>
          <w:lang w:eastAsia="en-GB"/>
        </w:rPr>
        <w:t>Technological change is a primary catalyst for transformation in the retail sector, influencing operations, consumer engagement, and competitive differentiation. For pioneering firms such as Tesco, technological advancement provides a platform for innovation and first-mover advantage. Tesco’s early introduction of online grocery platforms and the Clubcard loyalty programme demonstrates its proactive approach to technology-led marketing (Gupta, 2024). These initiatives enabled data-driven decision-making, customer segmentation, and personalised marketing, key drivers of long-term customer loyalty. However, pioneering carries inherent risks, including high R&amp;D costs and the potential for technological obsolescence as innovations quickly become industry norms (</w:t>
      </w:r>
      <w:proofErr w:type="spellStart"/>
      <w:r w:rsidRPr="00506FC9">
        <w:rPr>
          <w:rFonts w:ascii="Arial" w:eastAsia="Times New Roman" w:hAnsi="Arial" w:cs="Arial"/>
          <w:sz w:val="24"/>
          <w:szCs w:val="24"/>
          <w:lang w:eastAsia="en-GB"/>
        </w:rPr>
        <w:t>Kalicanin</w:t>
      </w:r>
      <w:proofErr w:type="spellEnd"/>
      <w:r w:rsidRPr="00506FC9">
        <w:rPr>
          <w:rFonts w:ascii="Arial" w:eastAsia="Times New Roman" w:hAnsi="Arial" w:cs="Arial"/>
          <w:sz w:val="24"/>
          <w:szCs w:val="24"/>
          <w:lang w:eastAsia="en-GB"/>
        </w:rPr>
        <w:t>, 2008).</w:t>
      </w:r>
    </w:p>
    <w:p w14:paraId="41E8DFEA" w14:textId="20BB9F77" w:rsidR="00506FC9" w:rsidRPr="00506FC9" w:rsidRDefault="00506FC9" w:rsidP="00506FC9">
      <w:pPr>
        <w:spacing w:before="100" w:beforeAutospacing="1" w:after="100" w:afterAutospacing="1" w:line="360" w:lineRule="auto"/>
        <w:rPr>
          <w:rFonts w:ascii="Arial" w:eastAsia="Times New Roman" w:hAnsi="Arial" w:cs="Arial"/>
          <w:sz w:val="24"/>
          <w:szCs w:val="24"/>
          <w:lang w:eastAsia="en-GB"/>
        </w:rPr>
      </w:pPr>
      <w:r w:rsidRPr="00506FC9">
        <w:rPr>
          <w:rFonts w:ascii="Arial" w:eastAsia="Times New Roman" w:hAnsi="Arial" w:cs="Arial"/>
          <w:sz w:val="24"/>
          <w:szCs w:val="24"/>
          <w:lang w:eastAsia="en-GB"/>
        </w:rPr>
        <w:t>In contrast, follower organisations like Lidl adopt a more calculated approach to technological change. Instead of initiating new technologies, Lidl focuses on selective adoption</w:t>
      </w:r>
      <w:r>
        <w:rPr>
          <w:rFonts w:ascii="Arial" w:eastAsia="Times New Roman" w:hAnsi="Arial" w:cs="Arial"/>
          <w:sz w:val="24"/>
          <w:szCs w:val="24"/>
          <w:lang w:eastAsia="en-GB"/>
        </w:rPr>
        <w:t xml:space="preserve">, </w:t>
      </w:r>
      <w:r w:rsidRPr="00506FC9">
        <w:rPr>
          <w:rFonts w:ascii="Arial" w:eastAsia="Times New Roman" w:hAnsi="Arial" w:cs="Arial"/>
          <w:sz w:val="24"/>
          <w:szCs w:val="24"/>
          <w:lang w:eastAsia="en-GB"/>
        </w:rPr>
        <w:t xml:space="preserve">implementing proven innovations at lower cost and with reduced uncertainty. The Lidl Plus mobile app exemplifies this strategy, offering digital coupons and customer data insights </w:t>
      </w:r>
      <w:proofErr w:type="gramStart"/>
      <w:r w:rsidRPr="00506FC9">
        <w:rPr>
          <w:rFonts w:ascii="Arial" w:eastAsia="Times New Roman" w:hAnsi="Arial" w:cs="Arial"/>
          <w:sz w:val="24"/>
          <w:szCs w:val="24"/>
          <w:lang w:eastAsia="en-GB"/>
        </w:rPr>
        <w:t>similar to</w:t>
      </w:r>
      <w:proofErr w:type="gramEnd"/>
      <w:r w:rsidRPr="00506FC9">
        <w:rPr>
          <w:rFonts w:ascii="Arial" w:eastAsia="Times New Roman" w:hAnsi="Arial" w:cs="Arial"/>
          <w:sz w:val="24"/>
          <w:szCs w:val="24"/>
          <w:lang w:eastAsia="en-GB"/>
        </w:rPr>
        <w:t xml:space="preserve"> Tesco’s Clubcard but launched after consumer familiarity had been established (Jobber and Ellis-Chadwick, 2019). This approach aligns with the principles of strategic imitation, which allow followers to optimise efficiency and reduce risk by learning from pioneers’ experiences (Lieberman and Montgomery, 1988).</w:t>
      </w:r>
    </w:p>
    <w:p w14:paraId="1DE2EAB4" w14:textId="77777777" w:rsidR="00506FC9" w:rsidRPr="00506FC9" w:rsidRDefault="00506FC9" w:rsidP="00506FC9">
      <w:pPr>
        <w:spacing w:before="100" w:beforeAutospacing="1" w:after="100" w:afterAutospacing="1" w:line="360" w:lineRule="auto"/>
        <w:rPr>
          <w:rFonts w:ascii="Arial" w:eastAsia="Times New Roman" w:hAnsi="Arial" w:cs="Arial"/>
          <w:sz w:val="24"/>
          <w:szCs w:val="24"/>
          <w:lang w:eastAsia="en-GB"/>
        </w:rPr>
      </w:pPr>
      <w:r w:rsidRPr="00506FC9">
        <w:rPr>
          <w:rFonts w:ascii="Arial" w:eastAsia="Times New Roman" w:hAnsi="Arial" w:cs="Arial"/>
          <w:sz w:val="24"/>
          <w:szCs w:val="24"/>
          <w:lang w:eastAsia="en-GB"/>
        </w:rPr>
        <w:t xml:space="preserve">From a strategic perspective, both organisations demonstrate distinct uses of technology consistent with their competitive positioning. Tesco’s approach aligns with Porter’s differentiation strategy, leveraging innovation to create unique value propositions. Lidl’s method reflects cost leadership, where technology supports lean operations and efficiency. As Cripps LLP (2025) highlights, digitalisation in retail now extends beyond transactions to integrated supply chain management, predictive analytics, and sustainability monitoring. Pioneers must therefore continuously </w:t>
      </w:r>
      <w:r w:rsidRPr="00506FC9">
        <w:rPr>
          <w:rFonts w:ascii="Arial" w:eastAsia="Times New Roman" w:hAnsi="Arial" w:cs="Arial"/>
          <w:sz w:val="24"/>
          <w:szCs w:val="24"/>
          <w:lang w:eastAsia="en-GB"/>
        </w:rPr>
        <w:lastRenderedPageBreak/>
        <w:t>reinvest to maintain technological leadership, whereas followers can exploit timing advantages by adopting mature, cost-efficient systems.</w:t>
      </w:r>
    </w:p>
    <w:p w14:paraId="70F421D8" w14:textId="6E22A6AC" w:rsidR="00506FC9" w:rsidRPr="00506FC9" w:rsidRDefault="00506FC9" w:rsidP="00506FC9">
      <w:pPr>
        <w:spacing w:before="100" w:beforeAutospacing="1" w:after="100" w:afterAutospacing="1" w:line="360" w:lineRule="auto"/>
        <w:rPr>
          <w:rFonts w:ascii="Arial" w:eastAsia="Times New Roman" w:hAnsi="Arial" w:cs="Arial"/>
          <w:sz w:val="24"/>
          <w:szCs w:val="24"/>
          <w:lang w:eastAsia="en-GB"/>
        </w:rPr>
      </w:pPr>
      <w:r w:rsidRPr="00506FC9">
        <w:rPr>
          <w:rFonts w:ascii="Arial" w:eastAsia="Times New Roman" w:hAnsi="Arial" w:cs="Arial"/>
          <w:sz w:val="24"/>
          <w:szCs w:val="24"/>
          <w:lang w:eastAsia="en-GB"/>
        </w:rPr>
        <w:t>However, the technological environment also presents shared threats. Both retailers face cybersecurity risks, rising customer expectations for omnichannel integration, and competitive disruption from online-only entrants such as Amazon Fresh. Therefore, success depends not only on adopting technology but on aligning digital transformation with consumer value creation and strategic agility.</w:t>
      </w:r>
    </w:p>
    <w:p w14:paraId="60C34052" w14:textId="77777777" w:rsidR="00506FC9" w:rsidRPr="00AB4DDC" w:rsidRDefault="00506FC9" w:rsidP="00AB4DDC">
      <w:pPr>
        <w:pStyle w:val="Heading2"/>
        <w:spacing w:line="360" w:lineRule="auto"/>
        <w:rPr>
          <w:rFonts w:ascii="Arial" w:eastAsia="Times New Roman" w:hAnsi="Arial" w:cs="Arial"/>
          <w:color w:val="auto"/>
          <w:sz w:val="28"/>
          <w:szCs w:val="28"/>
          <w:lang w:eastAsia="en-GB"/>
        </w:rPr>
      </w:pPr>
      <w:bookmarkStart w:id="4" w:name="_Toc212145134"/>
      <w:r w:rsidRPr="00AB4DDC">
        <w:rPr>
          <w:rFonts w:ascii="Arial" w:eastAsia="Times New Roman" w:hAnsi="Arial" w:cs="Arial"/>
          <w:color w:val="auto"/>
          <w:sz w:val="28"/>
          <w:szCs w:val="28"/>
          <w:lang w:eastAsia="en-GB"/>
        </w:rPr>
        <w:t>Economic Environment Analysis</w:t>
      </w:r>
      <w:bookmarkEnd w:id="4"/>
    </w:p>
    <w:p w14:paraId="3D877683" w14:textId="77777777" w:rsidR="00506FC9" w:rsidRPr="00506FC9" w:rsidRDefault="00506FC9" w:rsidP="00506FC9">
      <w:pPr>
        <w:spacing w:before="100" w:beforeAutospacing="1" w:after="100" w:afterAutospacing="1" w:line="360" w:lineRule="auto"/>
        <w:rPr>
          <w:rFonts w:ascii="Arial" w:eastAsia="Times New Roman" w:hAnsi="Arial" w:cs="Arial"/>
          <w:sz w:val="24"/>
          <w:szCs w:val="24"/>
          <w:lang w:eastAsia="en-GB"/>
        </w:rPr>
      </w:pPr>
      <w:r w:rsidRPr="00506FC9">
        <w:rPr>
          <w:rFonts w:ascii="Arial" w:eastAsia="Times New Roman" w:hAnsi="Arial" w:cs="Arial"/>
          <w:sz w:val="24"/>
          <w:szCs w:val="24"/>
          <w:lang w:eastAsia="en-GB"/>
        </w:rPr>
        <w:t xml:space="preserve">Economic conditions exert profound influence on retail strategy, affecting consumer purchasing power, demand elasticity, and pricing decisions. In periods of growth, pioneering organisations like Tesco exploit favourable market conditions to invest in innovation and expand premium offerings. During its growth phases, Tesco has diversified into higher-margin product lines such as </w:t>
      </w:r>
      <w:r w:rsidRPr="00506FC9">
        <w:rPr>
          <w:rFonts w:ascii="Arial" w:eastAsia="Times New Roman" w:hAnsi="Arial" w:cs="Arial"/>
          <w:i/>
          <w:iCs/>
          <w:sz w:val="24"/>
          <w:szCs w:val="24"/>
          <w:lang w:eastAsia="en-GB"/>
        </w:rPr>
        <w:t>Tesco Finest</w:t>
      </w:r>
      <w:r w:rsidRPr="00506FC9">
        <w:rPr>
          <w:rFonts w:ascii="Arial" w:eastAsia="Times New Roman" w:hAnsi="Arial" w:cs="Arial"/>
          <w:sz w:val="24"/>
          <w:szCs w:val="24"/>
          <w:lang w:eastAsia="en-GB"/>
        </w:rPr>
        <w:t xml:space="preserve"> and enhanced store experiences to attract middle- and upper-income consumers (Hooley et al., 2024). This aligns with the Ansoff Matrix’s product development strategy, which focuses on expanding value through innovation within existing markets.</w:t>
      </w:r>
    </w:p>
    <w:p w14:paraId="10DA4893" w14:textId="4F768E58" w:rsidR="00506FC9" w:rsidRPr="00506FC9" w:rsidRDefault="00506FC9" w:rsidP="00506FC9">
      <w:pPr>
        <w:spacing w:before="100" w:beforeAutospacing="1" w:after="100" w:afterAutospacing="1" w:line="360" w:lineRule="auto"/>
        <w:rPr>
          <w:rFonts w:ascii="Arial" w:eastAsia="Times New Roman" w:hAnsi="Arial" w:cs="Arial"/>
          <w:sz w:val="24"/>
          <w:szCs w:val="24"/>
          <w:lang w:eastAsia="en-GB"/>
        </w:rPr>
      </w:pPr>
      <w:r w:rsidRPr="00506FC9">
        <w:rPr>
          <w:rFonts w:ascii="Arial" w:eastAsia="Times New Roman" w:hAnsi="Arial" w:cs="Arial"/>
          <w:sz w:val="24"/>
          <w:szCs w:val="24"/>
          <w:lang w:eastAsia="en-GB"/>
        </w:rPr>
        <w:t>Conversely, Lidl’s follower strategy thrives in challenging economic environments. Its success during periods of inflation and economic downturn reflects its value-based positioning, which resonates with price-sensitive consumers (Retail Economics, 2025). Lidl’s operational efficiency, achieved through private-label dominance, limited SKU ranges, and tight cost control, enables it to maintain profitability even when market conditions deteriorate. This resilience was evident during the UK’s recent cost-of-living crisis, where discount retailers gained market share as consumers traded down from premium brands (McKinsey &amp; Company, 2022).</w:t>
      </w:r>
    </w:p>
    <w:p w14:paraId="211EDFBC" w14:textId="43C26ED4" w:rsidR="00506FC9" w:rsidRDefault="00506FC9" w:rsidP="00506FC9">
      <w:pPr>
        <w:spacing w:before="100" w:beforeAutospacing="1" w:after="100" w:afterAutospacing="1" w:line="360" w:lineRule="auto"/>
        <w:rPr>
          <w:rFonts w:ascii="Arial" w:eastAsia="Times New Roman" w:hAnsi="Arial" w:cs="Arial"/>
          <w:sz w:val="24"/>
          <w:szCs w:val="24"/>
          <w:lang w:eastAsia="en-GB"/>
        </w:rPr>
      </w:pPr>
      <w:r w:rsidRPr="00506FC9">
        <w:rPr>
          <w:rFonts w:ascii="Arial" w:eastAsia="Times New Roman" w:hAnsi="Arial" w:cs="Arial"/>
          <w:sz w:val="24"/>
          <w:szCs w:val="24"/>
          <w:lang w:eastAsia="en-GB"/>
        </w:rPr>
        <w:t xml:space="preserve">Nonetheless, economic volatility creates risks for both models. For Tesco, inflationary pressures can erode consumer demand for premium offerings and compress profit margins. For Lidl, rising logistics and energy costs can undermine its low-cost advantage. Both companies must therefore manage cost structures and supply chains strategically to safeguard competitiveness. According to Hooley et al. (2024), organisations that effectively align marketing strategies with macroeconomic </w:t>
      </w:r>
      <w:r w:rsidRPr="00506FC9">
        <w:rPr>
          <w:rFonts w:ascii="Arial" w:eastAsia="Times New Roman" w:hAnsi="Arial" w:cs="Arial"/>
          <w:sz w:val="24"/>
          <w:szCs w:val="24"/>
          <w:lang w:eastAsia="en-GB"/>
        </w:rPr>
        <w:lastRenderedPageBreak/>
        <w:t>trends</w:t>
      </w:r>
      <w:r>
        <w:rPr>
          <w:rFonts w:ascii="Arial" w:eastAsia="Times New Roman" w:hAnsi="Arial" w:cs="Arial"/>
          <w:sz w:val="24"/>
          <w:szCs w:val="24"/>
          <w:lang w:eastAsia="en-GB"/>
        </w:rPr>
        <w:t xml:space="preserve">, </w:t>
      </w:r>
      <w:r w:rsidRPr="00506FC9">
        <w:rPr>
          <w:rFonts w:ascii="Arial" w:eastAsia="Times New Roman" w:hAnsi="Arial" w:cs="Arial"/>
          <w:sz w:val="24"/>
          <w:szCs w:val="24"/>
          <w:lang w:eastAsia="en-GB"/>
        </w:rPr>
        <w:t>through pricing flexibility, diversification, and strategic partnerships</w:t>
      </w:r>
      <w:r>
        <w:rPr>
          <w:rFonts w:ascii="Arial" w:eastAsia="Times New Roman" w:hAnsi="Arial" w:cs="Arial"/>
          <w:sz w:val="24"/>
          <w:szCs w:val="24"/>
          <w:lang w:eastAsia="en-GB"/>
        </w:rPr>
        <w:t xml:space="preserve">, </w:t>
      </w:r>
      <w:r w:rsidRPr="00506FC9">
        <w:rPr>
          <w:rFonts w:ascii="Arial" w:eastAsia="Times New Roman" w:hAnsi="Arial" w:cs="Arial"/>
          <w:sz w:val="24"/>
          <w:szCs w:val="24"/>
          <w:lang w:eastAsia="en-GB"/>
        </w:rPr>
        <w:t>are better positioned to sustain performance during volatility.</w:t>
      </w:r>
    </w:p>
    <w:tbl>
      <w:tblPr>
        <w:tblStyle w:val="TableGrid"/>
        <w:tblW w:w="0" w:type="auto"/>
        <w:tblLook w:val="04A0" w:firstRow="1" w:lastRow="0" w:firstColumn="1" w:lastColumn="0" w:noHBand="0" w:noVBand="1"/>
      </w:tblPr>
      <w:tblGrid>
        <w:gridCol w:w="3005"/>
        <w:gridCol w:w="3005"/>
        <w:gridCol w:w="3006"/>
      </w:tblGrid>
      <w:tr w:rsidR="00B57B45" w14:paraId="553F1A7B" w14:textId="77777777" w:rsidTr="002510E6">
        <w:tc>
          <w:tcPr>
            <w:tcW w:w="3005" w:type="dxa"/>
          </w:tcPr>
          <w:p w14:paraId="43CE4A60" w14:textId="77777777" w:rsidR="00B57B45" w:rsidRPr="00A91C5E" w:rsidRDefault="00B57B45" w:rsidP="002510E6">
            <w:pPr>
              <w:spacing w:line="360" w:lineRule="auto"/>
              <w:jc w:val="center"/>
              <w:rPr>
                <w:rFonts w:ascii="Arial" w:hAnsi="Arial" w:cs="Arial"/>
                <w:b/>
                <w:bCs/>
                <w:sz w:val="28"/>
                <w:szCs w:val="28"/>
              </w:rPr>
            </w:pPr>
            <w:r w:rsidRPr="00A91C5E">
              <w:rPr>
                <w:rFonts w:ascii="Arial" w:hAnsi="Arial" w:cs="Arial"/>
                <w:b/>
                <w:bCs/>
                <w:sz w:val="28"/>
                <w:szCs w:val="28"/>
              </w:rPr>
              <w:t>Economic factor</w:t>
            </w:r>
          </w:p>
        </w:tc>
        <w:tc>
          <w:tcPr>
            <w:tcW w:w="3005" w:type="dxa"/>
          </w:tcPr>
          <w:p w14:paraId="5C0824EF" w14:textId="77777777" w:rsidR="00B57B45" w:rsidRPr="00A91C5E" w:rsidRDefault="00B57B45" w:rsidP="002510E6">
            <w:pPr>
              <w:spacing w:line="360" w:lineRule="auto"/>
              <w:jc w:val="center"/>
              <w:rPr>
                <w:rFonts w:ascii="Arial" w:hAnsi="Arial" w:cs="Arial"/>
                <w:b/>
                <w:bCs/>
                <w:sz w:val="28"/>
                <w:szCs w:val="28"/>
              </w:rPr>
            </w:pPr>
            <w:r w:rsidRPr="00A91C5E">
              <w:rPr>
                <w:rFonts w:ascii="Arial" w:hAnsi="Arial" w:cs="Arial"/>
                <w:b/>
                <w:bCs/>
                <w:sz w:val="28"/>
                <w:szCs w:val="28"/>
              </w:rPr>
              <w:t>Tesco</w:t>
            </w:r>
          </w:p>
        </w:tc>
        <w:tc>
          <w:tcPr>
            <w:tcW w:w="3006" w:type="dxa"/>
          </w:tcPr>
          <w:p w14:paraId="3F7DB96B" w14:textId="77777777" w:rsidR="00B57B45" w:rsidRPr="00A91C5E" w:rsidRDefault="00B57B45" w:rsidP="002510E6">
            <w:pPr>
              <w:spacing w:line="360" w:lineRule="auto"/>
              <w:jc w:val="center"/>
              <w:rPr>
                <w:rFonts w:ascii="Arial" w:hAnsi="Arial" w:cs="Arial"/>
                <w:b/>
                <w:bCs/>
                <w:sz w:val="28"/>
                <w:szCs w:val="28"/>
              </w:rPr>
            </w:pPr>
            <w:r w:rsidRPr="00A91C5E">
              <w:rPr>
                <w:rFonts w:ascii="Arial" w:hAnsi="Arial" w:cs="Arial"/>
                <w:b/>
                <w:bCs/>
                <w:sz w:val="28"/>
                <w:szCs w:val="28"/>
              </w:rPr>
              <w:t>Lidl</w:t>
            </w:r>
          </w:p>
        </w:tc>
      </w:tr>
      <w:tr w:rsidR="00B57B45" w14:paraId="6C669F36" w14:textId="77777777" w:rsidTr="002510E6">
        <w:tc>
          <w:tcPr>
            <w:tcW w:w="3005" w:type="dxa"/>
          </w:tcPr>
          <w:p w14:paraId="70E7CE00" w14:textId="77777777" w:rsidR="00B57B45" w:rsidRPr="00A91C5E" w:rsidRDefault="00B57B45" w:rsidP="002510E6">
            <w:pPr>
              <w:spacing w:line="360" w:lineRule="auto"/>
              <w:rPr>
                <w:rFonts w:ascii="Arial" w:hAnsi="Arial" w:cs="Arial"/>
                <w:b/>
                <w:bCs/>
                <w:sz w:val="28"/>
                <w:szCs w:val="28"/>
              </w:rPr>
            </w:pPr>
            <w:proofErr w:type="spellStart"/>
            <w:r w:rsidRPr="00A91C5E">
              <w:rPr>
                <w:rFonts w:ascii="Arial" w:hAnsi="Arial" w:cs="Arial"/>
                <w:b/>
                <w:bCs/>
                <w:sz w:val="28"/>
                <w:szCs w:val="28"/>
              </w:rPr>
              <w:t>Oportunities</w:t>
            </w:r>
            <w:proofErr w:type="spellEnd"/>
          </w:p>
        </w:tc>
        <w:tc>
          <w:tcPr>
            <w:tcW w:w="3005" w:type="dxa"/>
          </w:tcPr>
          <w:p w14:paraId="07D6D6BB" w14:textId="77777777" w:rsidR="00B57B45" w:rsidRPr="00A91C5E" w:rsidRDefault="00B57B45" w:rsidP="002510E6">
            <w:pPr>
              <w:pStyle w:val="NormalWeb"/>
              <w:spacing w:line="360" w:lineRule="auto"/>
              <w:rPr>
                <w:rFonts w:ascii="Arial" w:hAnsi="Arial" w:cs="Arial"/>
              </w:rPr>
            </w:pPr>
            <w:r w:rsidRPr="00A91C5E">
              <w:rPr>
                <w:rFonts w:ascii="Arial" w:hAnsi="Arial" w:cs="Arial"/>
              </w:rPr>
              <w:t>Pioneers can introduce premium innovations during economic growth phases.</w:t>
            </w:r>
          </w:p>
          <w:p w14:paraId="57F879CE" w14:textId="77777777" w:rsidR="00B57B45" w:rsidRPr="00A91C5E" w:rsidRDefault="00B57B45" w:rsidP="002510E6">
            <w:pPr>
              <w:pStyle w:val="NormalWeb"/>
              <w:spacing w:line="360" w:lineRule="auto"/>
            </w:pPr>
          </w:p>
        </w:tc>
        <w:tc>
          <w:tcPr>
            <w:tcW w:w="3006" w:type="dxa"/>
          </w:tcPr>
          <w:p w14:paraId="7265C4AD" w14:textId="77777777" w:rsidR="00B57B45" w:rsidRPr="00A91C5E" w:rsidRDefault="00B57B45" w:rsidP="002510E6">
            <w:pPr>
              <w:pStyle w:val="NormalWeb"/>
              <w:spacing w:line="360" w:lineRule="auto"/>
              <w:rPr>
                <w:rFonts w:ascii="Arial" w:hAnsi="Arial" w:cs="Arial"/>
              </w:rPr>
            </w:pPr>
            <w:r w:rsidRPr="00A91C5E">
              <w:rPr>
                <w:rFonts w:ascii="Arial" w:hAnsi="Arial" w:cs="Arial"/>
              </w:rPr>
              <w:t xml:space="preserve">Followers like </w:t>
            </w:r>
            <w:r w:rsidRPr="00A91C5E">
              <w:rPr>
                <w:rStyle w:val="Strong"/>
                <w:rFonts w:ascii="Arial" w:eastAsiaTheme="majorEastAsia" w:hAnsi="Arial" w:cs="Arial"/>
                <w:b w:val="0"/>
                <w:bCs w:val="0"/>
              </w:rPr>
              <w:t>Lidl</w:t>
            </w:r>
            <w:r w:rsidRPr="00A91C5E">
              <w:rPr>
                <w:rFonts w:ascii="Arial" w:hAnsi="Arial" w:cs="Arial"/>
              </w:rPr>
              <w:t xml:space="preserve"> thrive during downturns by offering value-based pricing and lean operations (Hooley et al., 2024).</w:t>
            </w:r>
          </w:p>
          <w:p w14:paraId="45370FD1" w14:textId="77777777" w:rsidR="00B57B45" w:rsidRPr="00A91C5E" w:rsidRDefault="00B57B45" w:rsidP="002510E6">
            <w:pPr>
              <w:spacing w:line="360" w:lineRule="auto"/>
              <w:rPr>
                <w:sz w:val="24"/>
                <w:szCs w:val="24"/>
              </w:rPr>
            </w:pPr>
          </w:p>
        </w:tc>
      </w:tr>
      <w:tr w:rsidR="00B57B45" w14:paraId="2C41D4EE" w14:textId="77777777" w:rsidTr="002510E6">
        <w:tc>
          <w:tcPr>
            <w:tcW w:w="3005" w:type="dxa"/>
          </w:tcPr>
          <w:p w14:paraId="37F6D61A" w14:textId="77777777" w:rsidR="00B57B45" w:rsidRPr="00A91C5E" w:rsidRDefault="00B57B45" w:rsidP="002510E6">
            <w:pPr>
              <w:spacing w:line="360" w:lineRule="auto"/>
              <w:rPr>
                <w:rFonts w:ascii="Arial" w:hAnsi="Arial" w:cs="Arial"/>
                <w:b/>
                <w:bCs/>
                <w:sz w:val="28"/>
                <w:szCs w:val="28"/>
              </w:rPr>
            </w:pPr>
            <w:r w:rsidRPr="00A91C5E">
              <w:rPr>
                <w:rFonts w:ascii="Arial" w:hAnsi="Arial" w:cs="Arial"/>
                <w:b/>
                <w:bCs/>
                <w:sz w:val="28"/>
                <w:szCs w:val="28"/>
              </w:rPr>
              <w:t>Threats</w:t>
            </w:r>
          </w:p>
        </w:tc>
        <w:tc>
          <w:tcPr>
            <w:tcW w:w="3005" w:type="dxa"/>
          </w:tcPr>
          <w:p w14:paraId="1380641D" w14:textId="77777777" w:rsidR="00B57B45" w:rsidRPr="00A91C5E" w:rsidRDefault="00B57B45" w:rsidP="002510E6">
            <w:pPr>
              <w:spacing w:line="360" w:lineRule="auto"/>
              <w:rPr>
                <w:rFonts w:ascii="Arial" w:hAnsi="Arial" w:cs="Arial"/>
                <w:sz w:val="24"/>
                <w:szCs w:val="24"/>
              </w:rPr>
            </w:pPr>
            <w:r w:rsidRPr="00A91C5E">
              <w:rPr>
                <w:rFonts w:ascii="Arial" w:hAnsi="Arial" w:cs="Arial"/>
                <w:sz w:val="24"/>
                <w:szCs w:val="24"/>
              </w:rPr>
              <w:t>Economic downturns reduce demand for premium pioneer offerings.</w:t>
            </w:r>
          </w:p>
        </w:tc>
        <w:tc>
          <w:tcPr>
            <w:tcW w:w="3006" w:type="dxa"/>
          </w:tcPr>
          <w:p w14:paraId="3F8D56A5" w14:textId="77777777" w:rsidR="00B57B45" w:rsidRPr="00A91C5E" w:rsidRDefault="00B57B45" w:rsidP="002510E6">
            <w:pPr>
              <w:spacing w:line="360" w:lineRule="auto"/>
              <w:rPr>
                <w:rFonts w:ascii="Arial" w:hAnsi="Arial" w:cs="Arial"/>
                <w:sz w:val="24"/>
                <w:szCs w:val="24"/>
              </w:rPr>
            </w:pPr>
            <w:r w:rsidRPr="00A91C5E">
              <w:rPr>
                <w:rFonts w:ascii="Arial" w:hAnsi="Arial" w:cs="Arial"/>
                <w:sz w:val="24"/>
                <w:szCs w:val="24"/>
              </w:rPr>
              <w:t>Followers may struggle with cost pressures and supply chain volatility.</w:t>
            </w:r>
          </w:p>
        </w:tc>
      </w:tr>
    </w:tbl>
    <w:p w14:paraId="3879E8D8" w14:textId="77777777" w:rsidR="00506FC9" w:rsidRPr="00506FC9" w:rsidRDefault="00506FC9" w:rsidP="00506FC9">
      <w:pPr>
        <w:spacing w:before="100" w:beforeAutospacing="1" w:after="100" w:afterAutospacing="1" w:line="360" w:lineRule="auto"/>
        <w:rPr>
          <w:rFonts w:ascii="Arial" w:eastAsia="Times New Roman" w:hAnsi="Arial" w:cs="Arial"/>
          <w:sz w:val="24"/>
          <w:szCs w:val="24"/>
          <w:lang w:eastAsia="en-GB"/>
        </w:rPr>
      </w:pPr>
      <w:r w:rsidRPr="00506FC9">
        <w:rPr>
          <w:rFonts w:ascii="Arial" w:eastAsia="Times New Roman" w:hAnsi="Arial" w:cs="Arial"/>
          <w:sz w:val="24"/>
          <w:szCs w:val="24"/>
          <w:lang w:eastAsia="en-GB"/>
        </w:rPr>
        <w:t>In summary, economic forces present both opportunities and constraints depending on a firm’s strategic orientation. Pioneers like Tesco use economic upturns to innovate and expand, while followers like Lidl leverage downturns to consolidate market share. This interdependence highlights the cyclical nature of competition in retail: pioneering creates innovation that followers refine and democratise, ensuring market evolution continues across economic cycles.</w:t>
      </w:r>
    </w:p>
    <w:p w14:paraId="1DF5497B" w14:textId="77777777" w:rsidR="00506FC9" w:rsidRPr="00AB4DDC" w:rsidRDefault="00506FC9" w:rsidP="00AB4DDC">
      <w:pPr>
        <w:pStyle w:val="Heading2"/>
        <w:spacing w:line="360" w:lineRule="auto"/>
        <w:rPr>
          <w:rFonts w:ascii="Arial" w:eastAsia="Times New Roman" w:hAnsi="Arial" w:cs="Arial"/>
          <w:sz w:val="28"/>
          <w:szCs w:val="28"/>
          <w:lang w:eastAsia="en-GB"/>
        </w:rPr>
      </w:pPr>
      <w:bookmarkStart w:id="5" w:name="_Toc212145135"/>
      <w:r w:rsidRPr="00AB4DDC">
        <w:rPr>
          <w:rFonts w:ascii="Arial" w:eastAsia="Times New Roman" w:hAnsi="Arial" w:cs="Arial"/>
          <w:color w:val="auto"/>
          <w:sz w:val="28"/>
          <w:szCs w:val="28"/>
          <w:lang w:eastAsia="en-GB"/>
        </w:rPr>
        <w:t>Synthesis</w:t>
      </w:r>
      <w:bookmarkEnd w:id="5"/>
    </w:p>
    <w:p w14:paraId="2CDAA86B" w14:textId="6CEA9B0D" w:rsidR="00DC0BD2" w:rsidRPr="00B57B45" w:rsidRDefault="00506FC9" w:rsidP="00B57B45">
      <w:pPr>
        <w:spacing w:before="100" w:beforeAutospacing="1" w:after="100" w:afterAutospacing="1" w:line="360" w:lineRule="auto"/>
        <w:rPr>
          <w:rFonts w:ascii="Arial" w:eastAsia="Times New Roman" w:hAnsi="Arial" w:cs="Arial"/>
          <w:sz w:val="24"/>
          <w:szCs w:val="24"/>
          <w:lang w:eastAsia="en-GB"/>
        </w:rPr>
      </w:pPr>
      <w:r w:rsidRPr="00506FC9">
        <w:rPr>
          <w:rFonts w:ascii="Arial" w:eastAsia="Times New Roman" w:hAnsi="Arial" w:cs="Arial"/>
          <w:sz w:val="24"/>
          <w:szCs w:val="24"/>
          <w:lang w:eastAsia="en-GB"/>
        </w:rPr>
        <w:t xml:space="preserve">Technological and economic factors collectively shape the strategic responses of pioneer and follower organisations. Tesco’s pioneering strategy emphasises innovation, differentiation, and customer intimacy through technology and diversified product offerings. Lidl’s follower approach focuses on cost efficiency, selective innovation, and resilience in price-sensitive markets. Both strategies demonstrate how firms can interpret external environmental forces differently to achieve sustainable competitive advantage. As the marketing environment continues to evolve through digitalisation and economic uncertainty, adaptability and strategic </w:t>
      </w:r>
      <w:r w:rsidRPr="00506FC9">
        <w:rPr>
          <w:rFonts w:ascii="Arial" w:eastAsia="Times New Roman" w:hAnsi="Arial" w:cs="Arial"/>
          <w:sz w:val="24"/>
          <w:szCs w:val="24"/>
          <w:lang w:eastAsia="en-GB"/>
        </w:rPr>
        <w:lastRenderedPageBreak/>
        <w:t>foresight will remain critical to maintaining market relevance and long-term profitability</w:t>
      </w:r>
      <w:r w:rsidR="00B57B45">
        <w:rPr>
          <w:rFonts w:ascii="Arial" w:eastAsia="Times New Roman" w:hAnsi="Arial" w:cs="Arial"/>
          <w:sz w:val="24"/>
          <w:szCs w:val="24"/>
          <w:lang w:eastAsia="en-GB"/>
        </w:rPr>
        <w:t>.</w:t>
      </w:r>
    </w:p>
    <w:p w14:paraId="1C08A8E4" w14:textId="3C245D1B" w:rsidR="0037437B" w:rsidRPr="00B57B45" w:rsidRDefault="006B1E7A" w:rsidP="00B57B45">
      <w:pPr>
        <w:spacing w:line="360" w:lineRule="auto"/>
        <w:rPr>
          <w:rFonts w:ascii="Arial" w:hAnsi="Arial" w:cs="Arial"/>
          <w:sz w:val="24"/>
          <w:szCs w:val="24"/>
        </w:rPr>
      </w:pPr>
      <w:proofErr w:type="spellStart"/>
      <w:r w:rsidRPr="00114BA4">
        <w:rPr>
          <w:rFonts w:ascii="Arial" w:hAnsi="Arial" w:cs="Arial"/>
          <w:sz w:val="24"/>
          <w:szCs w:val="24"/>
        </w:rPr>
        <w:t>Kalicanin</w:t>
      </w:r>
      <w:proofErr w:type="spellEnd"/>
      <w:r w:rsidRPr="00114BA4">
        <w:rPr>
          <w:rFonts w:ascii="Arial" w:hAnsi="Arial" w:cs="Arial"/>
          <w:sz w:val="24"/>
          <w:szCs w:val="24"/>
        </w:rPr>
        <w:t xml:space="preserve"> (2008) argues that pioneers shape consumer expectations but face greater uncertainty, while followers benefit from strategic imitation.</w:t>
      </w:r>
    </w:p>
    <w:p w14:paraId="4E425B97" w14:textId="5941762F" w:rsidR="00F76EC1" w:rsidRPr="009B3169" w:rsidRDefault="0037437B" w:rsidP="00B57B45">
      <w:pPr>
        <w:pStyle w:val="Heading1"/>
        <w:rPr>
          <w:rFonts w:ascii="Arial" w:hAnsi="Arial" w:cs="Arial"/>
          <w:b/>
          <w:bCs/>
          <w:color w:val="auto"/>
        </w:rPr>
      </w:pPr>
      <w:bookmarkStart w:id="6" w:name="_Toc212145136"/>
      <w:r w:rsidRPr="009B3169">
        <w:rPr>
          <w:rFonts w:ascii="Arial" w:hAnsi="Arial" w:cs="Arial"/>
          <w:b/>
          <w:bCs/>
          <w:color w:val="auto"/>
        </w:rPr>
        <w:t>Task 2</w:t>
      </w:r>
      <w:bookmarkEnd w:id="6"/>
    </w:p>
    <w:p w14:paraId="3F5FCD67" w14:textId="77777777" w:rsidR="00B57B45" w:rsidRPr="00B57B45" w:rsidRDefault="00B57B45" w:rsidP="00B57B45"/>
    <w:p w14:paraId="0CE85E6A" w14:textId="002329B0" w:rsidR="0037437B" w:rsidRDefault="00F76EC1" w:rsidP="00F76EC1">
      <w:pPr>
        <w:pStyle w:val="Heading2"/>
        <w:spacing w:line="360" w:lineRule="auto"/>
        <w:rPr>
          <w:b/>
          <w:bCs/>
        </w:rPr>
      </w:pPr>
      <w:bookmarkStart w:id="7" w:name="_Toc212145137"/>
      <w:r w:rsidRPr="00F76EC1">
        <w:rPr>
          <w:rFonts w:ascii="Arial" w:hAnsi="Arial" w:cs="Arial"/>
          <w:color w:val="auto"/>
          <w:sz w:val="28"/>
          <w:szCs w:val="28"/>
        </w:rPr>
        <w:t>Analysis for</w:t>
      </w:r>
      <w:r w:rsidRPr="00F76EC1">
        <w:rPr>
          <w:b/>
          <w:bCs/>
          <w:color w:val="auto"/>
        </w:rPr>
        <w:t xml:space="preserve"> </w:t>
      </w:r>
      <w:r w:rsidRPr="00F76EC1">
        <w:rPr>
          <w:rStyle w:val="Strong"/>
          <w:rFonts w:ascii="Arial" w:hAnsi="Arial" w:cs="Arial"/>
          <w:b w:val="0"/>
          <w:bCs w:val="0"/>
          <w:color w:val="auto"/>
          <w:sz w:val="28"/>
          <w:szCs w:val="28"/>
        </w:rPr>
        <w:t>Tesc</w:t>
      </w:r>
      <w:bookmarkStart w:id="8" w:name="_GoBack"/>
      <w:bookmarkEnd w:id="8"/>
      <w:r w:rsidRPr="00F76EC1">
        <w:rPr>
          <w:rStyle w:val="Strong"/>
          <w:rFonts w:ascii="Arial" w:hAnsi="Arial" w:cs="Arial"/>
          <w:b w:val="0"/>
          <w:bCs w:val="0"/>
          <w:color w:val="auto"/>
          <w:sz w:val="28"/>
          <w:szCs w:val="28"/>
        </w:rPr>
        <w:t>o and Lidl</w:t>
      </w:r>
      <w:r w:rsidRPr="00F76EC1">
        <w:rPr>
          <w:b/>
          <w:bCs/>
        </w:rPr>
        <w:t xml:space="preserve">, </w:t>
      </w:r>
      <w:r w:rsidRPr="00F76EC1">
        <w:rPr>
          <w:rStyle w:val="Strong"/>
          <w:rFonts w:ascii="Arial" w:hAnsi="Arial" w:cs="Arial"/>
          <w:b w:val="0"/>
          <w:bCs w:val="0"/>
          <w:color w:val="auto"/>
          <w:sz w:val="28"/>
          <w:szCs w:val="28"/>
        </w:rPr>
        <w:t>critically evaluation how pioneering and follower organisations strategically respond to the selected external factors to maintain competitiveness</w:t>
      </w:r>
      <w:r w:rsidRPr="00F76EC1">
        <w:rPr>
          <w:b/>
          <w:bCs/>
        </w:rPr>
        <w:t>.</w:t>
      </w:r>
      <w:bookmarkEnd w:id="7"/>
    </w:p>
    <w:p w14:paraId="650E4992" w14:textId="77777777" w:rsidR="00506FC9" w:rsidRPr="00506FC9" w:rsidRDefault="00506FC9" w:rsidP="002F7ACA">
      <w:pPr>
        <w:spacing w:before="100" w:beforeAutospacing="1" w:after="100" w:afterAutospacing="1" w:line="360" w:lineRule="auto"/>
        <w:rPr>
          <w:rFonts w:ascii="Arial" w:eastAsia="Times New Roman" w:hAnsi="Arial" w:cs="Arial"/>
          <w:sz w:val="24"/>
          <w:szCs w:val="24"/>
          <w:lang w:eastAsia="en-GB"/>
        </w:rPr>
      </w:pPr>
      <w:r w:rsidRPr="00506FC9">
        <w:rPr>
          <w:rFonts w:ascii="Arial" w:eastAsia="Times New Roman" w:hAnsi="Arial" w:cs="Arial"/>
          <w:sz w:val="24"/>
          <w:szCs w:val="24"/>
          <w:lang w:eastAsia="en-GB"/>
        </w:rPr>
        <w:t>Building on the analysis of technological and economic factors in Task 1, this section critically evaluates how pioneering and follower organisations strategically respond to these external influences to sustain competitiveness in the UK retail sector. Tesco represents a pioneer, characterised by early innovation and market leadership, while Lidl exemplifies a strategic follower, leveraging efficiency and cost-based positioning to compete effectively.</w:t>
      </w:r>
    </w:p>
    <w:p w14:paraId="702964BD" w14:textId="7F43FBFC" w:rsidR="00506FC9" w:rsidRPr="00506FC9" w:rsidRDefault="00506FC9" w:rsidP="00506FC9">
      <w:pPr>
        <w:spacing w:after="0" w:line="240" w:lineRule="auto"/>
        <w:rPr>
          <w:rFonts w:ascii="Times New Roman" w:eastAsia="Times New Roman" w:hAnsi="Times New Roman" w:cs="Times New Roman"/>
          <w:sz w:val="24"/>
          <w:szCs w:val="24"/>
          <w:lang w:eastAsia="en-GB"/>
        </w:rPr>
      </w:pPr>
    </w:p>
    <w:p w14:paraId="7F0AACC7" w14:textId="77777777" w:rsidR="00506FC9" w:rsidRPr="002F7ACA" w:rsidRDefault="00506FC9" w:rsidP="002F7ACA">
      <w:pPr>
        <w:pStyle w:val="Heading2"/>
        <w:rPr>
          <w:rFonts w:ascii="Arial" w:eastAsia="Times New Roman" w:hAnsi="Arial" w:cs="Arial"/>
          <w:color w:val="auto"/>
          <w:sz w:val="28"/>
          <w:szCs w:val="28"/>
          <w:lang w:eastAsia="en-GB"/>
        </w:rPr>
      </w:pPr>
      <w:bookmarkStart w:id="9" w:name="_Toc212145138"/>
      <w:r w:rsidRPr="002F7ACA">
        <w:rPr>
          <w:rFonts w:ascii="Arial" w:eastAsia="Times New Roman" w:hAnsi="Arial" w:cs="Arial"/>
          <w:color w:val="auto"/>
          <w:sz w:val="28"/>
          <w:szCs w:val="28"/>
          <w:lang w:eastAsia="en-GB"/>
        </w:rPr>
        <w:t>Technological Responses and Competitive Strategy</w:t>
      </w:r>
      <w:bookmarkEnd w:id="9"/>
    </w:p>
    <w:p w14:paraId="579353E4" w14:textId="77777777" w:rsidR="00506FC9" w:rsidRPr="00506FC9" w:rsidRDefault="00506FC9" w:rsidP="002F7ACA">
      <w:pPr>
        <w:spacing w:before="100" w:beforeAutospacing="1" w:after="100" w:afterAutospacing="1" w:line="360" w:lineRule="auto"/>
        <w:rPr>
          <w:rFonts w:ascii="Arial" w:eastAsia="Times New Roman" w:hAnsi="Arial" w:cs="Arial"/>
          <w:sz w:val="24"/>
          <w:szCs w:val="24"/>
          <w:lang w:eastAsia="en-GB"/>
        </w:rPr>
      </w:pPr>
      <w:r w:rsidRPr="00506FC9">
        <w:rPr>
          <w:rFonts w:ascii="Arial" w:eastAsia="Times New Roman" w:hAnsi="Arial" w:cs="Arial"/>
          <w:sz w:val="24"/>
          <w:szCs w:val="24"/>
          <w:lang w:eastAsia="en-GB"/>
        </w:rPr>
        <w:t>Technological advancement remains a critical determinant of competitive advantage in retail, shaping customer experience, operations, and value delivery. Pioneers such as Tesco adopt proactive technological innovation to differentiate themselves through superior customer engagement and operational intelligence. Tesco’s early investment in online grocery retailing and the Clubcard loyalty programme demonstrated how technology could transform data into insight, establishing an enduring relationship with customers (Kotler, Armstrong and Balasubramanian, 2024). More recently, Tesco has implemented AI-driven demand forecasting and automated supply-chain systems to reduce waste and increase responsiveness (Gupta, 2024). This reflects the application of Porter’s differentiation strategy, where innovation becomes a source of sustained value creation.</w:t>
      </w:r>
    </w:p>
    <w:p w14:paraId="4A062692" w14:textId="57694135" w:rsidR="00506FC9" w:rsidRPr="00506FC9" w:rsidRDefault="00506FC9" w:rsidP="002F7ACA">
      <w:pPr>
        <w:spacing w:before="100" w:beforeAutospacing="1" w:after="100" w:afterAutospacing="1" w:line="360" w:lineRule="auto"/>
        <w:rPr>
          <w:rFonts w:ascii="Arial" w:eastAsia="Times New Roman" w:hAnsi="Arial" w:cs="Arial"/>
          <w:sz w:val="24"/>
          <w:szCs w:val="24"/>
          <w:lang w:eastAsia="en-GB"/>
        </w:rPr>
      </w:pPr>
      <w:r w:rsidRPr="00506FC9">
        <w:rPr>
          <w:rFonts w:ascii="Arial" w:eastAsia="Times New Roman" w:hAnsi="Arial" w:cs="Arial"/>
          <w:sz w:val="24"/>
          <w:szCs w:val="24"/>
          <w:lang w:eastAsia="en-GB"/>
        </w:rPr>
        <w:lastRenderedPageBreak/>
        <w:t xml:space="preserve">However, pioneering also introduces risk. As </w:t>
      </w:r>
      <w:proofErr w:type="spellStart"/>
      <w:r w:rsidRPr="00506FC9">
        <w:rPr>
          <w:rFonts w:ascii="Arial" w:eastAsia="Times New Roman" w:hAnsi="Arial" w:cs="Arial"/>
          <w:sz w:val="24"/>
          <w:szCs w:val="24"/>
          <w:lang w:eastAsia="en-GB"/>
        </w:rPr>
        <w:t>Kalicanin</w:t>
      </w:r>
      <w:proofErr w:type="spellEnd"/>
      <w:r w:rsidRPr="00506FC9">
        <w:rPr>
          <w:rFonts w:ascii="Arial" w:eastAsia="Times New Roman" w:hAnsi="Arial" w:cs="Arial"/>
          <w:sz w:val="24"/>
          <w:szCs w:val="24"/>
          <w:lang w:eastAsia="en-GB"/>
        </w:rPr>
        <w:t xml:space="preserve"> (2008) notes, pioneers often face uncertainty and high sunk costs when technologies become obsolete. Tesco’s need for continuous technological reinvestment</w:t>
      </w:r>
      <w:r w:rsidR="002F7ACA">
        <w:rPr>
          <w:rFonts w:ascii="Arial" w:eastAsia="Times New Roman" w:hAnsi="Arial" w:cs="Arial"/>
          <w:sz w:val="24"/>
          <w:szCs w:val="24"/>
          <w:lang w:eastAsia="en-GB"/>
        </w:rPr>
        <w:t xml:space="preserve">, </w:t>
      </w:r>
      <w:r w:rsidRPr="00506FC9">
        <w:rPr>
          <w:rFonts w:ascii="Arial" w:eastAsia="Times New Roman" w:hAnsi="Arial" w:cs="Arial"/>
          <w:sz w:val="24"/>
          <w:szCs w:val="24"/>
          <w:lang w:eastAsia="en-GB"/>
        </w:rPr>
        <w:t>such as the integration of digital self-service, cloud logistics, and omnichannel platforms</w:t>
      </w:r>
      <w:r w:rsidR="002F7ACA">
        <w:rPr>
          <w:rFonts w:ascii="Arial" w:eastAsia="Times New Roman" w:hAnsi="Arial" w:cs="Arial"/>
          <w:sz w:val="24"/>
          <w:szCs w:val="24"/>
          <w:lang w:eastAsia="en-GB"/>
        </w:rPr>
        <w:t xml:space="preserve">, </w:t>
      </w:r>
      <w:r w:rsidRPr="00506FC9">
        <w:rPr>
          <w:rFonts w:ascii="Arial" w:eastAsia="Times New Roman" w:hAnsi="Arial" w:cs="Arial"/>
          <w:sz w:val="24"/>
          <w:szCs w:val="24"/>
          <w:lang w:eastAsia="en-GB"/>
        </w:rPr>
        <w:t>illustrates this vulnerability.</w:t>
      </w:r>
    </w:p>
    <w:p w14:paraId="69029996" w14:textId="77777777" w:rsidR="00506FC9" w:rsidRPr="00506FC9" w:rsidRDefault="00506FC9" w:rsidP="002F7ACA">
      <w:pPr>
        <w:spacing w:before="100" w:beforeAutospacing="1" w:after="100" w:afterAutospacing="1" w:line="360" w:lineRule="auto"/>
        <w:rPr>
          <w:rFonts w:ascii="Arial" w:eastAsia="Times New Roman" w:hAnsi="Arial" w:cs="Arial"/>
          <w:sz w:val="24"/>
          <w:szCs w:val="24"/>
          <w:lang w:eastAsia="en-GB"/>
        </w:rPr>
      </w:pPr>
      <w:r w:rsidRPr="00506FC9">
        <w:rPr>
          <w:rFonts w:ascii="Arial" w:eastAsia="Times New Roman" w:hAnsi="Arial" w:cs="Arial"/>
          <w:sz w:val="24"/>
          <w:szCs w:val="24"/>
          <w:lang w:eastAsia="en-GB"/>
        </w:rPr>
        <w:t>In contrast, Lidl’s follower strategy emphasises strategic imitation and cost efficiency. The company carefully observes market trends and selectively implements technologies once their commercial viability is proven (Jobber and Ellis-Chadwick, 2023). The Lidl Plus app, introduced years after Tesco’s Clubcard, capitalised on consumer readiness for digital loyalty tools while minimising R&amp;D costs. This mirrors the concept of second-mover advantage (Lieberman and Montgomery, 1988), where followers exploit the pioneers’ learning curve to achieve comparable results with lower risk.</w:t>
      </w:r>
    </w:p>
    <w:p w14:paraId="23CAF493" w14:textId="77777777" w:rsidR="00506FC9" w:rsidRPr="00506FC9" w:rsidRDefault="00506FC9" w:rsidP="002F7ACA">
      <w:pPr>
        <w:spacing w:before="100" w:beforeAutospacing="1" w:after="100" w:afterAutospacing="1" w:line="360" w:lineRule="auto"/>
        <w:rPr>
          <w:rFonts w:ascii="Arial" w:eastAsia="Times New Roman" w:hAnsi="Arial" w:cs="Arial"/>
          <w:sz w:val="24"/>
          <w:szCs w:val="24"/>
          <w:lang w:eastAsia="en-GB"/>
        </w:rPr>
      </w:pPr>
      <w:r w:rsidRPr="00506FC9">
        <w:rPr>
          <w:rFonts w:ascii="Arial" w:eastAsia="Times New Roman" w:hAnsi="Arial" w:cs="Arial"/>
          <w:sz w:val="24"/>
          <w:szCs w:val="24"/>
          <w:lang w:eastAsia="en-GB"/>
        </w:rPr>
        <w:t>Lidl also applies technology to optimise logistics and inventory management, deploying data-driven forecasting to maintain lean operations. This reinforces its cost-leadership positioning (Hooley et al., 2024). Yet, over-reliance on imitation limits Lidl’s ability to shape market trends or strengthen brand differentiation. As Drummond et al. (2007) argue, followers must eventually transition from adaptation to innovation to avoid strategic stagnation.</w:t>
      </w:r>
    </w:p>
    <w:p w14:paraId="3C156027" w14:textId="77777777" w:rsidR="00506FC9" w:rsidRPr="00506FC9" w:rsidRDefault="00506FC9" w:rsidP="002F7ACA">
      <w:pPr>
        <w:spacing w:before="100" w:beforeAutospacing="1" w:after="100" w:afterAutospacing="1" w:line="360" w:lineRule="auto"/>
        <w:rPr>
          <w:rFonts w:ascii="Arial" w:eastAsia="Times New Roman" w:hAnsi="Arial" w:cs="Arial"/>
          <w:sz w:val="24"/>
          <w:szCs w:val="24"/>
          <w:lang w:eastAsia="en-GB"/>
        </w:rPr>
      </w:pPr>
      <w:r w:rsidRPr="00506FC9">
        <w:rPr>
          <w:rFonts w:ascii="Arial" w:eastAsia="Times New Roman" w:hAnsi="Arial" w:cs="Arial"/>
          <w:sz w:val="24"/>
          <w:szCs w:val="24"/>
          <w:lang w:eastAsia="en-GB"/>
        </w:rPr>
        <w:t>Both firms, however, face common technological pressures: the acceleration of digital commerce, cybersecurity threats, and evolving consumer expectations for sustainability and convenience. Effective strategic response thus requires continuous alignment between technological adoption and customer value creation, supported by long-term investment in organisational learning and digital capability.</w:t>
      </w:r>
    </w:p>
    <w:p w14:paraId="1B168D37" w14:textId="746D50E8" w:rsidR="00506FC9" w:rsidRPr="00506FC9" w:rsidRDefault="00506FC9" w:rsidP="00506FC9">
      <w:pPr>
        <w:spacing w:after="0" w:line="240" w:lineRule="auto"/>
        <w:rPr>
          <w:rFonts w:ascii="Times New Roman" w:eastAsia="Times New Roman" w:hAnsi="Times New Roman" w:cs="Times New Roman"/>
          <w:sz w:val="24"/>
          <w:szCs w:val="24"/>
          <w:lang w:eastAsia="en-GB"/>
        </w:rPr>
      </w:pPr>
    </w:p>
    <w:p w14:paraId="4B3430AD" w14:textId="77777777" w:rsidR="00506FC9" w:rsidRPr="002F7ACA" w:rsidRDefault="00506FC9" w:rsidP="002F7ACA">
      <w:pPr>
        <w:pStyle w:val="Heading2"/>
        <w:spacing w:line="360" w:lineRule="auto"/>
        <w:rPr>
          <w:rFonts w:ascii="Arial" w:eastAsia="Times New Roman" w:hAnsi="Arial" w:cs="Arial"/>
          <w:color w:val="auto"/>
          <w:sz w:val="28"/>
          <w:szCs w:val="28"/>
          <w:lang w:eastAsia="en-GB"/>
        </w:rPr>
      </w:pPr>
      <w:bookmarkStart w:id="10" w:name="_Toc212145139"/>
      <w:r w:rsidRPr="002F7ACA">
        <w:rPr>
          <w:rFonts w:ascii="Arial" w:eastAsia="Times New Roman" w:hAnsi="Arial" w:cs="Arial"/>
          <w:color w:val="auto"/>
          <w:sz w:val="28"/>
          <w:szCs w:val="28"/>
          <w:lang w:eastAsia="en-GB"/>
        </w:rPr>
        <w:t>Strategic Responses to Economic Change</w:t>
      </w:r>
      <w:bookmarkEnd w:id="10"/>
    </w:p>
    <w:p w14:paraId="2C3C3171" w14:textId="77777777" w:rsidR="00506FC9" w:rsidRPr="00506FC9" w:rsidRDefault="00506FC9" w:rsidP="002F7ACA">
      <w:pPr>
        <w:spacing w:before="100" w:beforeAutospacing="1" w:after="100" w:afterAutospacing="1" w:line="360" w:lineRule="auto"/>
        <w:rPr>
          <w:rFonts w:ascii="Arial" w:eastAsia="Times New Roman" w:hAnsi="Arial" w:cs="Arial"/>
          <w:sz w:val="24"/>
          <w:szCs w:val="24"/>
          <w:lang w:eastAsia="en-GB"/>
        </w:rPr>
      </w:pPr>
      <w:r w:rsidRPr="00506FC9">
        <w:rPr>
          <w:rFonts w:ascii="Arial" w:eastAsia="Times New Roman" w:hAnsi="Arial" w:cs="Arial"/>
          <w:sz w:val="24"/>
          <w:szCs w:val="24"/>
          <w:lang w:eastAsia="en-GB"/>
        </w:rPr>
        <w:t xml:space="preserve">Economic fluctuations, including inflation, recession, and shifts in disposable income, significantly influence consumer spending and strategic marketing choices. Tesco’s </w:t>
      </w:r>
      <w:r w:rsidRPr="00D62BEA">
        <w:rPr>
          <w:rFonts w:ascii="Arial" w:eastAsia="Times New Roman" w:hAnsi="Arial" w:cs="Arial"/>
          <w:sz w:val="24"/>
          <w:szCs w:val="24"/>
          <w:lang w:eastAsia="en-GB"/>
        </w:rPr>
        <w:t>pioneering strategy</w:t>
      </w:r>
      <w:r w:rsidRPr="00506FC9">
        <w:rPr>
          <w:rFonts w:ascii="Arial" w:eastAsia="Times New Roman" w:hAnsi="Arial" w:cs="Arial"/>
          <w:sz w:val="24"/>
          <w:szCs w:val="24"/>
          <w:lang w:eastAsia="en-GB"/>
        </w:rPr>
        <w:t xml:space="preserve"> is characterised by adaptability across economic cycles. During periods of expansion, it launches </w:t>
      </w:r>
      <w:r w:rsidRPr="00D62BEA">
        <w:rPr>
          <w:rFonts w:ascii="Arial" w:eastAsia="Times New Roman" w:hAnsi="Arial" w:cs="Arial"/>
          <w:sz w:val="24"/>
          <w:szCs w:val="24"/>
          <w:lang w:eastAsia="en-GB"/>
        </w:rPr>
        <w:t>premium ranges</w:t>
      </w:r>
      <w:r w:rsidRPr="00506FC9">
        <w:rPr>
          <w:rFonts w:ascii="Arial" w:eastAsia="Times New Roman" w:hAnsi="Arial" w:cs="Arial"/>
          <w:sz w:val="24"/>
          <w:szCs w:val="24"/>
          <w:lang w:eastAsia="en-GB"/>
        </w:rPr>
        <w:t xml:space="preserve"> (e.g. Tesco Finest) and experiential retail initiatives to target higher-income segments (Hooley et al., 2024). </w:t>
      </w:r>
      <w:r w:rsidRPr="00506FC9">
        <w:rPr>
          <w:rFonts w:ascii="Arial" w:eastAsia="Times New Roman" w:hAnsi="Arial" w:cs="Arial"/>
          <w:sz w:val="24"/>
          <w:szCs w:val="24"/>
          <w:lang w:eastAsia="en-GB"/>
        </w:rPr>
        <w:lastRenderedPageBreak/>
        <w:t xml:space="preserve">In downturns, Tesco uses its scale advantage to pursue </w:t>
      </w:r>
      <w:r w:rsidRPr="00140164">
        <w:rPr>
          <w:rFonts w:ascii="Arial" w:eastAsia="Times New Roman" w:hAnsi="Arial" w:cs="Arial"/>
          <w:sz w:val="24"/>
          <w:szCs w:val="24"/>
          <w:lang w:eastAsia="en-GB"/>
        </w:rPr>
        <w:t>hybrid positioning</w:t>
      </w:r>
      <w:r w:rsidRPr="00506FC9">
        <w:rPr>
          <w:rFonts w:ascii="Arial" w:eastAsia="Times New Roman" w:hAnsi="Arial" w:cs="Arial"/>
          <w:sz w:val="24"/>
          <w:szCs w:val="24"/>
          <w:lang w:eastAsia="en-GB"/>
        </w:rPr>
        <w:t xml:space="preserve">, balancing quality with affordability through loyalty promotions and flexible pricing (McKinsey &amp; Company, 2022). This dual approach reflects the </w:t>
      </w:r>
      <w:r w:rsidRPr="00140164">
        <w:rPr>
          <w:rFonts w:ascii="Arial" w:eastAsia="Times New Roman" w:hAnsi="Arial" w:cs="Arial"/>
          <w:sz w:val="24"/>
          <w:szCs w:val="24"/>
          <w:lang w:eastAsia="en-GB"/>
        </w:rPr>
        <w:t>Ansoff Matrix’s</w:t>
      </w:r>
      <w:r w:rsidRPr="00506FC9">
        <w:rPr>
          <w:rFonts w:ascii="Arial" w:eastAsia="Times New Roman" w:hAnsi="Arial" w:cs="Arial"/>
          <w:sz w:val="24"/>
          <w:szCs w:val="24"/>
          <w:lang w:eastAsia="en-GB"/>
        </w:rPr>
        <w:t xml:space="preserve"> product-development and market-penetration strategies, allowing Tesco to retain customer loyalty while defending market share.</w:t>
      </w:r>
    </w:p>
    <w:p w14:paraId="1C4198AA" w14:textId="5B8B5E2C" w:rsidR="00506FC9" w:rsidRPr="00506FC9" w:rsidRDefault="00506FC9" w:rsidP="002F7ACA">
      <w:pPr>
        <w:spacing w:before="100" w:beforeAutospacing="1" w:after="100" w:afterAutospacing="1" w:line="360" w:lineRule="auto"/>
        <w:rPr>
          <w:rFonts w:ascii="Arial" w:eastAsia="Times New Roman" w:hAnsi="Arial" w:cs="Arial"/>
          <w:sz w:val="24"/>
          <w:szCs w:val="24"/>
          <w:lang w:eastAsia="en-GB"/>
        </w:rPr>
      </w:pPr>
      <w:r w:rsidRPr="00506FC9">
        <w:rPr>
          <w:rFonts w:ascii="Arial" w:eastAsia="Times New Roman" w:hAnsi="Arial" w:cs="Arial"/>
          <w:sz w:val="24"/>
          <w:szCs w:val="24"/>
          <w:lang w:eastAsia="en-GB"/>
        </w:rPr>
        <w:t>Nevertheless, Tesco’s large operational footprint exposes it to macroeconomic volatility. Inflationary pressures and high energy costs can erode profit margins, forcing the company to rationalise operations. Hooley et al. (2024) suggest that strategic resilience in such contexts requires leveraging economies of scale while maintaining cost discipline</w:t>
      </w:r>
      <w:r w:rsidR="002F7ACA">
        <w:rPr>
          <w:rFonts w:ascii="Arial" w:eastAsia="Times New Roman" w:hAnsi="Arial" w:cs="Arial"/>
          <w:sz w:val="24"/>
          <w:szCs w:val="24"/>
          <w:lang w:eastAsia="en-GB"/>
        </w:rPr>
        <w:t xml:space="preserve">, </w:t>
      </w:r>
      <w:r w:rsidRPr="00506FC9">
        <w:rPr>
          <w:rFonts w:ascii="Arial" w:eastAsia="Times New Roman" w:hAnsi="Arial" w:cs="Arial"/>
          <w:sz w:val="24"/>
          <w:szCs w:val="24"/>
          <w:lang w:eastAsia="en-GB"/>
        </w:rPr>
        <w:t>something Tesco achieves through its integrated supply-chain partnerships.</w:t>
      </w:r>
    </w:p>
    <w:p w14:paraId="1B8A78B8" w14:textId="73FD7E65" w:rsidR="00506FC9" w:rsidRPr="00506FC9" w:rsidRDefault="00506FC9" w:rsidP="002F7ACA">
      <w:pPr>
        <w:spacing w:before="100" w:beforeAutospacing="1" w:after="100" w:afterAutospacing="1" w:line="360" w:lineRule="auto"/>
        <w:rPr>
          <w:rFonts w:ascii="Arial" w:eastAsia="Times New Roman" w:hAnsi="Arial" w:cs="Arial"/>
          <w:sz w:val="24"/>
          <w:szCs w:val="24"/>
          <w:lang w:eastAsia="en-GB"/>
        </w:rPr>
      </w:pPr>
      <w:r w:rsidRPr="00506FC9">
        <w:rPr>
          <w:rFonts w:ascii="Arial" w:eastAsia="Times New Roman" w:hAnsi="Arial" w:cs="Arial"/>
          <w:sz w:val="24"/>
          <w:szCs w:val="24"/>
          <w:lang w:eastAsia="en-GB"/>
        </w:rPr>
        <w:t>Lidl, by contrast, thrives in economically constrained environments. Its value-oriented model</w:t>
      </w:r>
      <w:r w:rsidR="002F7ACA">
        <w:rPr>
          <w:rFonts w:ascii="Arial" w:eastAsia="Times New Roman" w:hAnsi="Arial" w:cs="Arial"/>
          <w:sz w:val="24"/>
          <w:szCs w:val="24"/>
          <w:lang w:eastAsia="en-GB"/>
        </w:rPr>
        <w:t xml:space="preserve">, </w:t>
      </w:r>
      <w:r w:rsidRPr="00506FC9">
        <w:rPr>
          <w:rFonts w:ascii="Arial" w:eastAsia="Times New Roman" w:hAnsi="Arial" w:cs="Arial"/>
          <w:sz w:val="24"/>
          <w:szCs w:val="24"/>
          <w:lang w:eastAsia="en-GB"/>
        </w:rPr>
        <w:t>based on private labels, limited product assortments, and efficient supply chains</w:t>
      </w:r>
      <w:r w:rsidR="002F7ACA">
        <w:rPr>
          <w:rFonts w:ascii="Arial" w:eastAsia="Times New Roman" w:hAnsi="Arial" w:cs="Arial"/>
          <w:sz w:val="24"/>
          <w:szCs w:val="24"/>
          <w:lang w:eastAsia="en-GB"/>
        </w:rPr>
        <w:t xml:space="preserve">, </w:t>
      </w:r>
      <w:r w:rsidRPr="00506FC9">
        <w:rPr>
          <w:rFonts w:ascii="Arial" w:eastAsia="Times New Roman" w:hAnsi="Arial" w:cs="Arial"/>
          <w:sz w:val="24"/>
          <w:szCs w:val="24"/>
          <w:lang w:eastAsia="en-GB"/>
        </w:rPr>
        <w:t>aligns with consumers’ pursuit of affordability during downturns (Retail Economics, 2025). This is consistent with Porter’s cost-leadership framework, enabling Lidl to expand market share as consumers trade down from premium brands. During the UK cost-of-living crisis, Lidl reported double-digit growth, demonstrating its agility in capitalising on economic adversity (</w:t>
      </w:r>
      <w:proofErr w:type="spellStart"/>
      <w:r w:rsidRPr="00506FC9">
        <w:rPr>
          <w:rFonts w:ascii="Arial" w:eastAsia="Times New Roman" w:hAnsi="Arial" w:cs="Arial"/>
          <w:sz w:val="24"/>
          <w:szCs w:val="24"/>
          <w:lang w:eastAsia="en-GB"/>
        </w:rPr>
        <w:t>Czinkota</w:t>
      </w:r>
      <w:proofErr w:type="spellEnd"/>
      <w:r w:rsidRPr="00506FC9">
        <w:rPr>
          <w:rFonts w:ascii="Arial" w:eastAsia="Times New Roman" w:hAnsi="Arial" w:cs="Arial"/>
          <w:sz w:val="24"/>
          <w:szCs w:val="24"/>
          <w:lang w:eastAsia="en-GB"/>
        </w:rPr>
        <w:t xml:space="preserve"> et al., 2023).</w:t>
      </w:r>
    </w:p>
    <w:p w14:paraId="2A45DED8" w14:textId="77777777" w:rsidR="00506FC9" w:rsidRPr="00506FC9" w:rsidRDefault="00506FC9" w:rsidP="002F7ACA">
      <w:pPr>
        <w:spacing w:before="100" w:beforeAutospacing="1" w:after="100" w:afterAutospacing="1" w:line="360" w:lineRule="auto"/>
        <w:rPr>
          <w:rFonts w:ascii="Arial" w:eastAsia="Times New Roman" w:hAnsi="Arial" w:cs="Arial"/>
          <w:sz w:val="24"/>
          <w:szCs w:val="24"/>
          <w:lang w:eastAsia="en-GB"/>
        </w:rPr>
      </w:pPr>
      <w:r w:rsidRPr="00506FC9">
        <w:rPr>
          <w:rFonts w:ascii="Arial" w:eastAsia="Times New Roman" w:hAnsi="Arial" w:cs="Arial"/>
          <w:sz w:val="24"/>
          <w:szCs w:val="24"/>
          <w:lang w:eastAsia="en-GB"/>
        </w:rPr>
        <w:t>However, Lidl’s reliance on low-cost operations makes it vulnerable to supply-chain disruptions and inflation-driven input costs. To counter this, Lidl increasingly integrates technology into procurement and distribution, achieving efficiency gains that offset external pressures. Still, limited diversification and brand perception as a discount retailer may restrict its ability to attract higher-income consumers once economic conditions improve.</w:t>
      </w:r>
    </w:p>
    <w:p w14:paraId="5582E08E" w14:textId="77777777" w:rsidR="00506FC9" w:rsidRPr="00506FC9" w:rsidRDefault="00506FC9" w:rsidP="002F7ACA">
      <w:pPr>
        <w:spacing w:before="100" w:beforeAutospacing="1" w:after="100" w:afterAutospacing="1" w:line="360" w:lineRule="auto"/>
        <w:rPr>
          <w:rFonts w:ascii="Arial" w:eastAsia="Times New Roman" w:hAnsi="Arial" w:cs="Arial"/>
          <w:sz w:val="24"/>
          <w:szCs w:val="24"/>
          <w:lang w:eastAsia="en-GB"/>
        </w:rPr>
      </w:pPr>
      <w:r w:rsidRPr="00506FC9">
        <w:rPr>
          <w:rFonts w:ascii="Arial" w:eastAsia="Times New Roman" w:hAnsi="Arial" w:cs="Arial"/>
          <w:sz w:val="24"/>
          <w:szCs w:val="24"/>
          <w:lang w:eastAsia="en-GB"/>
        </w:rPr>
        <w:t>Both firms exemplify strategic agility, adjusting resource allocation, pricing, and marketing communication to reflect economic realities. The key difference lies in strategic intent: Tesco focuses on value creation through innovation and brand equity, while Lidl pursues value extraction through efficiency and scalability.</w:t>
      </w:r>
    </w:p>
    <w:p w14:paraId="18ED8A7E" w14:textId="7364FBBB" w:rsidR="00506FC9" w:rsidRPr="00506FC9" w:rsidRDefault="00506FC9" w:rsidP="002F7ACA">
      <w:pPr>
        <w:spacing w:after="0" w:line="360" w:lineRule="auto"/>
        <w:rPr>
          <w:rFonts w:ascii="Times New Roman" w:eastAsia="Times New Roman" w:hAnsi="Times New Roman" w:cs="Times New Roman"/>
          <w:sz w:val="24"/>
          <w:szCs w:val="24"/>
          <w:lang w:eastAsia="en-GB"/>
        </w:rPr>
      </w:pPr>
    </w:p>
    <w:p w14:paraId="6BE6D49E" w14:textId="77777777" w:rsidR="00506FC9" w:rsidRPr="002F7ACA" w:rsidRDefault="00506FC9" w:rsidP="002F7ACA">
      <w:pPr>
        <w:pStyle w:val="Heading2"/>
        <w:spacing w:line="360" w:lineRule="auto"/>
        <w:rPr>
          <w:rFonts w:ascii="Arial" w:eastAsia="Times New Roman" w:hAnsi="Arial" w:cs="Arial"/>
          <w:color w:val="auto"/>
          <w:sz w:val="28"/>
          <w:szCs w:val="28"/>
          <w:lang w:eastAsia="en-GB"/>
        </w:rPr>
      </w:pPr>
      <w:bookmarkStart w:id="11" w:name="_Toc212145140"/>
      <w:r w:rsidRPr="002F7ACA">
        <w:rPr>
          <w:rFonts w:ascii="Arial" w:eastAsia="Times New Roman" w:hAnsi="Arial" w:cs="Arial"/>
          <w:color w:val="auto"/>
          <w:sz w:val="28"/>
          <w:szCs w:val="28"/>
          <w:lang w:eastAsia="en-GB"/>
        </w:rPr>
        <w:lastRenderedPageBreak/>
        <w:t>Comparative Evaluation</w:t>
      </w:r>
      <w:bookmarkEnd w:id="11"/>
    </w:p>
    <w:p w14:paraId="1177B13B" w14:textId="77777777" w:rsidR="00506FC9" w:rsidRPr="00506FC9" w:rsidRDefault="00506FC9" w:rsidP="002F7ACA">
      <w:pPr>
        <w:spacing w:before="100" w:beforeAutospacing="1" w:after="100" w:afterAutospacing="1" w:line="360" w:lineRule="auto"/>
        <w:rPr>
          <w:rFonts w:ascii="Arial" w:eastAsia="Times New Roman" w:hAnsi="Arial" w:cs="Arial"/>
          <w:sz w:val="24"/>
          <w:szCs w:val="24"/>
          <w:lang w:eastAsia="en-GB"/>
        </w:rPr>
      </w:pPr>
      <w:r w:rsidRPr="00506FC9">
        <w:rPr>
          <w:rFonts w:ascii="Arial" w:eastAsia="Times New Roman" w:hAnsi="Arial" w:cs="Arial"/>
          <w:sz w:val="24"/>
          <w:szCs w:val="24"/>
          <w:lang w:eastAsia="en-GB"/>
        </w:rPr>
        <w:t>The contrasting responses of Tesco and Lidl illustrate the strategic duality between pioneers and followers in navigating external macro-environmental forces. Tesco’s approach embodies innovation-driven differentiation, underpinned by continual investment in technology and adaptive pricing mechanisms. Lidl’s strategy exemplifies value-driven imitation, emphasising operational excellence and affordability.</w:t>
      </w:r>
    </w:p>
    <w:p w14:paraId="37D6D36A" w14:textId="77777777" w:rsidR="00506FC9" w:rsidRPr="00506FC9" w:rsidRDefault="00506FC9" w:rsidP="002F7ACA">
      <w:pPr>
        <w:spacing w:before="100" w:beforeAutospacing="1" w:after="100" w:afterAutospacing="1" w:line="360" w:lineRule="auto"/>
        <w:rPr>
          <w:rFonts w:ascii="Arial" w:eastAsia="Times New Roman" w:hAnsi="Arial" w:cs="Arial"/>
          <w:sz w:val="24"/>
          <w:szCs w:val="24"/>
          <w:lang w:eastAsia="en-GB"/>
        </w:rPr>
      </w:pPr>
      <w:r w:rsidRPr="00506FC9">
        <w:rPr>
          <w:rFonts w:ascii="Arial" w:eastAsia="Times New Roman" w:hAnsi="Arial" w:cs="Arial"/>
          <w:sz w:val="24"/>
          <w:szCs w:val="24"/>
          <w:lang w:eastAsia="en-GB"/>
        </w:rPr>
        <w:t xml:space="preserve">Critically, both strategies are effective within their respective competitive logics. Tesco’s pioneering delivers long-term brand equity but requires high financial commitment and carries greater risk. Lidl’s follower model ensures resilience and cost control but constrains its ability to lead innovation. As </w:t>
      </w:r>
      <w:proofErr w:type="spellStart"/>
      <w:r w:rsidRPr="00506FC9">
        <w:rPr>
          <w:rFonts w:ascii="Arial" w:eastAsia="Times New Roman" w:hAnsi="Arial" w:cs="Arial"/>
          <w:sz w:val="24"/>
          <w:szCs w:val="24"/>
          <w:lang w:eastAsia="en-GB"/>
        </w:rPr>
        <w:t>Samanta</w:t>
      </w:r>
      <w:proofErr w:type="spellEnd"/>
      <w:r w:rsidRPr="00506FC9">
        <w:rPr>
          <w:rFonts w:ascii="Arial" w:eastAsia="Times New Roman" w:hAnsi="Arial" w:cs="Arial"/>
          <w:sz w:val="24"/>
          <w:szCs w:val="24"/>
          <w:lang w:eastAsia="en-GB"/>
        </w:rPr>
        <w:t xml:space="preserve"> and Chaudhuri (2014) observe, sustainable competitiveness in volatile environments depends on an organisation’s capacity to balance innovation with efficiency.</w:t>
      </w:r>
    </w:p>
    <w:p w14:paraId="5E1EC41F" w14:textId="3678B084" w:rsidR="00A91C5E" w:rsidRDefault="00506FC9" w:rsidP="00395B65">
      <w:pPr>
        <w:spacing w:before="100" w:beforeAutospacing="1" w:after="100" w:afterAutospacing="1" w:line="360" w:lineRule="auto"/>
        <w:rPr>
          <w:rFonts w:ascii="Arial" w:eastAsia="Times New Roman" w:hAnsi="Arial" w:cs="Arial"/>
          <w:sz w:val="24"/>
          <w:szCs w:val="24"/>
          <w:lang w:eastAsia="en-GB"/>
        </w:rPr>
      </w:pPr>
      <w:r w:rsidRPr="00506FC9">
        <w:rPr>
          <w:rFonts w:ascii="Arial" w:eastAsia="Times New Roman" w:hAnsi="Arial" w:cs="Arial"/>
          <w:sz w:val="24"/>
          <w:szCs w:val="24"/>
          <w:lang w:eastAsia="en-GB"/>
        </w:rPr>
        <w:t>Ultimately, successful strategic response in the retail industry depends not on whether a firm is a pioneer or a follower, but on how effectively it aligns technological and economic strategies with customer expectations and market realities. Tesco’s and Lidl’s contrasting yet complementary approaches exemplify two viable pathways to achieving and sustaining competitive advantage in a continuously evolving marketing environment.</w:t>
      </w:r>
    </w:p>
    <w:p w14:paraId="4F188E45" w14:textId="1DE5E741" w:rsidR="00395B65" w:rsidRDefault="00395B65" w:rsidP="00395B65">
      <w:pPr>
        <w:pStyle w:val="Heading1"/>
        <w:spacing w:line="360" w:lineRule="auto"/>
        <w:rPr>
          <w:rFonts w:ascii="Arial" w:eastAsia="Times New Roman" w:hAnsi="Arial" w:cs="Arial"/>
          <w:color w:val="auto"/>
          <w:lang w:eastAsia="en-GB"/>
        </w:rPr>
      </w:pPr>
      <w:bookmarkStart w:id="12" w:name="_Toc212145141"/>
      <w:r w:rsidRPr="00395B65">
        <w:rPr>
          <w:rFonts w:ascii="Arial" w:eastAsia="Times New Roman" w:hAnsi="Arial" w:cs="Arial"/>
          <w:color w:val="auto"/>
          <w:lang w:eastAsia="en-GB"/>
        </w:rPr>
        <w:t>Conclusion</w:t>
      </w:r>
      <w:bookmarkEnd w:id="12"/>
    </w:p>
    <w:p w14:paraId="17E57C63" w14:textId="04EEFD3B" w:rsidR="00395B65" w:rsidRPr="00395B65" w:rsidRDefault="00395B65" w:rsidP="00395B65">
      <w:pPr>
        <w:spacing w:line="360" w:lineRule="auto"/>
        <w:rPr>
          <w:rFonts w:ascii="Arial" w:hAnsi="Arial" w:cs="Arial"/>
          <w:sz w:val="24"/>
          <w:szCs w:val="24"/>
          <w:lang w:eastAsia="en-GB"/>
        </w:rPr>
      </w:pPr>
      <w:r w:rsidRPr="00395B65">
        <w:rPr>
          <w:rFonts w:ascii="Arial" w:hAnsi="Arial" w:cs="Arial"/>
          <w:sz w:val="24"/>
          <w:szCs w:val="24"/>
        </w:rPr>
        <w:t>In conclusion, Tesco and Lidl demonstrate how pioneering and follower strategies can both lead to competitive success when aligned with macro-environmental factors. Tesco’s innovation-driven approach leverages technology and premium offerings to build brand equity, while Lidl’s cost-focused model thrives on efficiency and adaptability during economic uncertainty. By responding strategically to technological and economic changes, both retailers sustain relevance and resilience in a dynamic market landscape.</w:t>
      </w:r>
    </w:p>
    <w:p w14:paraId="3E9C1CCF" w14:textId="060A0772" w:rsidR="00395B65" w:rsidRDefault="00395B65" w:rsidP="00395B65">
      <w:pPr>
        <w:rPr>
          <w:lang w:eastAsia="en-GB"/>
        </w:rPr>
      </w:pPr>
    </w:p>
    <w:p w14:paraId="49CC5683" w14:textId="3F1FBEF9" w:rsidR="00395B65" w:rsidRDefault="00395B65" w:rsidP="00395B65">
      <w:pPr>
        <w:rPr>
          <w:lang w:eastAsia="en-GB"/>
        </w:rPr>
      </w:pPr>
    </w:p>
    <w:p w14:paraId="292C1EDC" w14:textId="77777777" w:rsidR="00395B65" w:rsidRPr="00395B65" w:rsidRDefault="00395B65" w:rsidP="00395B65">
      <w:pPr>
        <w:rPr>
          <w:lang w:eastAsia="en-GB"/>
        </w:rPr>
      </w:pPr>
    </w:p>
    <w:p w14:paraId="08C53363" w14:textId="605F8330" w:rsidR="00A91C5E" w:rsidRPr="00395B65" w:rsidRDefault="00A91C5E" w:rsidP="00395B65">
      <w:pPr>
        <w:pStyle w:val="Heading1"/>
        <w:spacing w:line="360" w:lineRule="auto"/>
        <w:rPr>
          <w:rFonts w:ascii="Arial" w:hAnsi="Arial" w:cs="Arial"/>
          <w:color w:val="auto"/>
        </w:rPr>
      </w:pPr>
      <w:bookmarkStart w:id="13" w:name="_Toc212145142"/>
      <w:r w:rsidRPr="00395B65">
        <w:rPr>
          <w:rFonts w:ascii="Arial" w:hAnsi="Arial" w:cs="Arial"/>
          <w:color w:val="auto"/>
        </w:rPr>
        <w:lastRenderedPageBreak/>
        <w:t>Referencing list</w:t>
      </w:r>
      <w:bookmarkEnd w:id="13"/>
    </w:p>
    <w:p w14:paraId="0593D324" w14:textId="20F224C5" w:rsidR="00D44969" w:rsidRPr="00D44969" w:rsidRDefault="00D44969" w:rsidP="00D44969">
      <w:pPr>
        <w:pStyle w:val="NormalWeb"/>
        <w:numPr>
          <w:ilvl w:val="0"/>
          <w:numId w:val="9"/>
        </w:numPr>
        <w:spacing w:line="360" w:lineRule="auto"/>
        <w:rPr>
          <w:rFonts w:ascii="Arial" w:hAnsi="Arial" w:cs="Arial"/>
        </w:rPr>
      </w:pPr>
      <w:proofErr w:type="spellStart"/>
      <w:r w:rsidRPr="00D44969">
        <w:rPr>
          <w:rFonts w:ascii="Arial" w:hAnsi="Arial" w:cs="Arial"/>
        </w:rPr>
        <w:t>Bhasin</w:t>
      </w:r>
      <w:proofErr w:type="spellEnd"/>
      <w:r w:rsidRPr="00D44969">
        <w:rPr>
          <w:rFonts w:ascii="Arial" w:hAnsi="Arial" w:cs="Arial"/>
        </w:rPr>
        <w:t xml:space="preserve">, H. (2024) </w:t>
      </w:r>
      <w:r w:rsidRPr="00D44969">
        <w:rPr>
          <w:rStyle w:val="Emphasis"/>
          <w:rFonts w:ascii="Arial" w:eastAsiaTheme="majorEastAsia" w:hAnsi="Arial" w:cs="Arial"/>
        </w:rPr>
        <w:t>Marketing mix of LIDL and 7Ps</w:t>
      </w:r>
      <w:r w:rsidRPr="00D44969">
        <w:rPr>
          <w:rFonts w:ascii="Arial" w:hAnsi="Arial" w:cs="Arial"/>
        </w:rPr>
        <w:t xml:space="preserve">. Available at: </w:t>
      </w:r>
      <w:hyperlink r:id="rId9" w:history="1">
        <w:r w:rsidRPr="00D44969">
          <w:rPr>
            <w:rStyle w:val="Hyperlink"/>
            <w:rFonts w:ascii="Arial" w:hAnsi="Arial" w:cs="Arial"/>
          </w:rPr>
          <w:t>https://www.marketing91.com/marketing-mix-of-lidl/</w:t>
        </w:r>
      </w:hyperlink>
      <w:r w:rsidRPr="00D44969">
        <w:rPr>
          <w:rFonts w:ascii="Arial" w:hAnsi="Arial" w:cs="Arial"/>
        </w:rPr>
        <w:t xml:space="preserve"> (Accessed: 23 October 2025).</w:t>
      </w:r>
    </w:p>
    <w:p w14:paraId="1317CE65" w14:textId="6AA438E0" w:rsidR="00D44969" w:rsidRPr="00D44969" w:rsidRDefault="00D44969" w:rsidP="00D44969">
      <w:pPr>
        <w:pStyle w:val="NormalWeb"/>
        <w:numPr>
          <w:ilvl w:val="0"/>
          <w:numId w:val="9"/>
        </w:numPr>
        <w:spacing w:line="360" w:lineRule="auto"/>
        <w:rPr>
          <w:rFonts w:ascii="Arial" w:hAnsi="Arial" w:cs="Arial"/>
        </w:rPr>
      </w:pPr>
      <w:r w:rsidRPr="00D44969">
        <w:rPr>
          <w:rFonts w:ascii="Arial" w:hAnsi="Arial" w:cs="Arial"/>
        </w:rPr>
        <w:t xml:space="preserve">Cripps LLP (2025) </w:t>
      </w:r>
      <w:r w:rsidRPr="00D44969">
        <w:rPr>
          <w:rStyle w:val="Emphasis"/>
          <w:rFonts w:ascii="Arial" w:eastAsiaTheme="majorEastAsia" w:hAnsi="Arial" w:cs="Arial"/>
        </w:rPr>
        <w:t>The evolution of retail: How technology is transforming the retail industry</w:t>
      </w:r>
      <w:r w:rsidRPr="00D44969">
        <w:rPr>
          <w:rFonts w:ascii="Arial" w:hAnsi="Arial" w:cs="Arial"/>
        </w:rPr>
        <w:t xml:space="preserve">. Available at: </w:t>
      </w:r>
      <w:hyperlink r:id="rId10" w:history="1">
        <w:r w:rsidRPr="00D44969">
          <w:rPr>
            <w:rStyle w:val="Hyperlink"/>
            <w:rFonts w:ascii="Arial" w:hAnsi="Arial" w:cs="Arial"/>
          </w:rPr>
          <w:t>https://www.cripps.co.uk/thinking/the-evolution-of-retail-how-technology-is-transforming-the-retail-industry/</w:t>
        </w:r>
      </w:hyperlink>
      <w:r w:rsidRPr="00D44969">
        <w:rPr>
          <w:rFonts w:ascii="Arial" w:hAnsi="Arial" w:cs="Arial"/>
        </w:rPr>
        <w:t xml:space="preserve"> (Accessed: 23 October 2025).</w:t>
      </w:r>
    </w:p>
    <w:p w14:paraId="1355A2A8" w14:textId="77777777" w:rsidR="00D44969" w:rsidRPr="00D44969" w:rsidRDefault="00D44969" w:rsidP="00D44969">
      <w:pPr>
        <w:pStyle w:val="NormalWeb"/>
        <w:numPr>
          <w:ilvl w:val="0"/>
          <w:numId w:val="9"/>
        </w:numPr>
        <w:spacing w:line="360" w:lineRule="auto"/>
        <w:rPr>
          <w:rFonts w:ascii="Arial" w:hAnsi="Arial" w:cs="Arial"/>
        </w:rPr>
      </w:pPr>
      <w:proofErr w:type="spellStart"/>
      <w:r w:rsidRPr="00D44969">
        <w:rPr>
          <w:rFonts w:ascii="Arial" w:hAnsi="Arial" w:cs="Arial"/>
        </w:rPr>
        <w:t>Czinkota</w:t>
      </w:r>
      <w:proofErr w:type="spellEnd"/>
      <w:r w:rsidRPr="00D44969">
        <w:rPr>
          <w:rFonts w:ascii="Arial" w:hAnsi="Arial" w:cs="Arial"/>
        </w:rPr>
        <w:t xml:space="preserve">, M.R., </w:t>
      </w:r>
      <w:proofErr w:type="spellStart"/>
      <w:r w:rsidRPr="00D44969">
        <w:rPr>
          <w:rFonts w:ascii="Arial" w:hAnsi="Arial" w:cs="Arial"/>
        </w:rPr>
        <w:t>Ronkainen</w:t>
      </w:r>
      <w:proofErr w:type="spellEnd"/>
      <w:r w:rsidRPr="00D44969">
        <w:rPr>
          <w:rFonts w:ascii="Arial" w:hAnsi="Arial" w:cs="Arial"/>
        </w:rPr>
        <w:t xml:space="preserve">, I.A. and Sui, A.P. (2023) </w:t>
      </w:r>
      <w:r w:rsidRPr="00D44969">
        <w:rPr>
          <w:rStyle w:val="Emphasis"/>
          <w:rFonts w:ascii="Arial" w:eastAsiaTheme="majorEastAsia" w:hAnsi="Arial" w:cs="Arial"/>
        </w:rPr>
        <w:t>International marketing</w:t>
      </w:r>
      <w:r w:rsidRPr="00D44969">
        <w:rPr>
          <w:rFonts w:ascii="Arial" w:hAnsi="Arial" w:cs="Arial"/>
        </w:rPr>
        <w:t xml:space="preserve">. 11th </w:t>
      </w:r>
      <w:proofErr w:type="spellStart"/>
      <w:r w:rsidRPr="00D44969">
        <w:rPr>
          <w:rFonts w:ascii="Arial" w:hAnsi="Arial" w:cs="Arial"/>
        </w:rPr>
        <w:t>edn</w:t>
      </w:r>
      <w:proofErr w:type="spellEnd"/>
      <w:r w:rsidRPr="00D44969">
        <w:rPr>
          <w:rFonts w:ascii="Arial" w:hAnsi="Arial" w:cs="Arial"/>
        </w:rPr>
        <w:t>. Boston, MA: Cengage.</w:t>
      </w:r>
    </w:p>
    <w:p w14:paraId="574DAFB7" w14:textId="77777777" w:rsidR="00D44969" w:rsidRPr="00D44969" w:rsidRDefault="00D44969" w:rsidP="00D44969">
      <w:pPr>
        <w:pStyle w:val="NormalWeb"/>
        <w:numPr>
          <w:ilvl w:val="0"/>
          <w:numId w:val="9"/>
        </w:numPr>
        <w:spacing w:line="360" w:lineRule="auto"/>
        <w:rPr>
          <w:rFonts w:ascii="Arial" w:hAnsi="Arial" w:cs="Arial"/>
        </w:rPr>
      </w:pPr>
      <w:r w:rsidRPr="00D44969">
        <w:rPr>
          <w:rFonts w:ascii="Arial" w:hAnsi="Arial" w:cs="Arial"/>
        </w:rPr>
        <w:t xml:space="preserve">Drummond, G., Ensor, J. and Ashford, R. (2007) </w:t>
      </w:r>
      <w:r w:rsidRPr="00D44969">
        <w:rPr>
          <w:rStyle w:val="Emphasis"/>
          <w:rFonts w:ascii="Arial" w:eastAsiaTheme="majorEastAsia" w:hAnsi="Arial" w:cs="Arial"/>
        </w:rPr>
        <w:t>Strategic marketing: Planning and control</w:t>
      </w:r>
      <w:r w:rsidRPr="00D44969">
        <w:rPr>
          <w:rFonts w:ascii="Arial" w:hAnsi="Arial" w:cs="Arial"/>
        </w:rPr>
        <w:t xml:space="preserve">. 3rd </w:t>
      </w:r>
      <w:proofErr w:type="spellStart"/>
      <w:r w:rsidRPr="00D44969">
        <w:rPr>
          <w:rFonts w:ascii="Arial" w:hAnsi="Arial" w:cs="Arial"/>
        </w:rPr>
        <w:t>edn</w:t>
      </w:r>
      <w:proofErr w:type="spellEnd"/>
      <w:r w:rsidRPr="00D44969">
        <w:rPr>
          <w:rFonts w:ascii="Arial" w:hAnsi="Arial" w:cs="Arial"/>
        </w:rPr>
        <w:t>. London: Routledge.</w:t>
      </w:r>
    </w:p>
    <w:p w14:paraId="5A5AF185" w14:textId="3A40BD83" w:rsidR="00D44969" w:rsidRPr="00D44969" w:rsidRDefault="00D44969" w:rsidP="00D44969">
      <w:pPr>
        <w:pStyle w:val="NormalWeb"/>
        <w:numPr>
          <w:ilvl w:val="0"/>
          <w:numId w:val="9"/>
        </w:numPr>
        <w:spacing w:line="360" w:lineRule="auto"/>
        <w:rPr>
          <w:rFonts w:ascii="Arial" w:hAnsi="Arial" w:cs="Arial"/>
        </w:rPr>
      </w:pPr>
      <w:r w:rsidRPr="00D44969">
        <w:rPr>
          <w:rFonts w:ascii="Arial" w:hAnsi="Arial" w:cs="Arial"/>
        </w:rPr>
        <w:t xml:space="preserve">Gupta, S. (2024) ‘Tesco’s success: Innovation, strategy and market leadership’, </w:t>
      </w:r>
      <w:r w:rsidRPr="00D44969">
        <w:rPr>
          <w:rStyle w:val="Emphasis"/>
          <w:rFonts w:ascii="Arial" w:eastAsiaTheme="majorEastAsia" w:hAnsi="Arial" w:cs="Arial"/>
        </w:rPr>
        <w:t>Grocery Doppio</w:t>
      </w:r>
      <w:r w:rsidRPr="00D44969">
        <w:rPr>
          <w:rFonts w:ascii="Arial" w:hAnsi="Arial" w:cs="Arial"/>
        </w:rPr>
        <w:t xml:space="preserve">. Available at: </w:t>
      </w:r>
      <w:hyperlink r:id="rId11" w:history="1">
        <w:r w:rsidRPr="00D44969">
          <w:rPr>
            <w:rStyle w:val="Hyperlink"/>
            <w:rFonts w:ascii="Arial" w:hAnsi="Arial" w:cs="Arial"/>
          </w:rPr>
          <w:t>https://www.grocerydoppio.com/articles/tesco-the-pillars-of-success-and-market-leadership</w:t>
        </w:r>
      </w:hyperlink>
      <w:r w:rsidRPr="00D44969">
        <w:rPr>
          <w:rFonts w:ascii="Arial" w:hAnsi="Arial" w:cs="Arial"/>
        </w:rPr>
        <w:t xml:space="preserve"> (Accessed: 23 October 2025).</w:t>
      </w:r>
    </w:p>
    <w:p w14:paraId="6DF066B0" w14:textId="77777777" w:rsidR="00D44969" w:rsidRPr="00D44969" w:rsidRDefault="00D44969" w:rsidP="00D44969">
      <w:pPr>
        <w:pStyle w:val="NormalWeb"/>
        <w:numPr>
          <w:ilvl w:val="0"/>
          <w:numId w:val="9"/>
        </w:numPr>
        <w:spacing w:line="360" w:lineRule="auto"/>
        <w:rPr>
          <w:rFonts w:ascii="Arial" w:hAnsi="Arial" w:cs="Arial"/>
        </w:rPr>
      </w:pPr>
      <w:r w:rsidRPr="00D44969">
        <w:rPr>
          <w:rFonts w:ascii="Arial" w:hAnsi="Arial" w:cs="Arial"/>
        </w:rPr>
        <w:t xml:space="preserve">Hooley, G.J., </w:t>
      </w:r>
      <w:proofErr w:type="spellStart"/>
      <w:r w:rsidRPr="00D44969">
        <w:rPr>
          <w:rFonts w:ascii="Arial" w:hAnsi="Arial" w:cs="Arial"/>
        </w:rPr>
        <w:t>Nicoulaud</w:t>
      </w:r>
      <w:proofErr w:type="spellEnd"/>
      <w:r w:rsidRPr="00D44969">
        <w:rPr>
          <w:rFonts w:ascii="Arial" w:hAnsi="Arial" w:cs="Arial"/>
        </w:rPr>
        <w:t xml:space="preserve">, B., Rudd, J.M. and Lee, N. (2024) </w:t>
      </w:r>
      <w:r w:rsidRPr="00D44969">
        <w:rPr>
          <w:rStyle w:val="Emphasis"/>
          <w:rFonts w:ascii="Arial" w:eastAsiaTheme="majorEastAsia" w:hAnsi="Arial" w:cs="Arial"/>
        </w:rPr>
        <w:t>Marketing strategy and competitive positioning</w:t>
      </w:r>
      <w:r w:rsidRPr="00D44969">
        <w:rPr>
          <w:rFonts w:ascii="Arial" w:hAnsi="Arial" w:cs="Arial"/>
        </w:rPr>
        <w:t xml:space="preserve">. 8th </w:t>
      </w:r>
      <w:proofErr w:type="spellStart"/>
      <w:r w:rsidRPr="00D44969">
        <w:rPr>
          <w:rFonts w:ascii="Arial" w:hAnsi="Arial" w:cs="Arial"/>
        </w:rPr>
        <w:t>edn</w:t>
      </w:r>
      <w:proofErr w:type="spellEnd"/>
      <w:r w:rsidRPr="00D44969">
        <w:rPr>
          <w:rFonts w:ascii="Arial" w:hAnsi="Arial" w:cs="Arial"/>
        </w:rPr>
        <w:t>. Harlow: Pearson.</w:t>
      </w:r>
    </w:p>
    <w:p w14:paraId="3AA052F1" w14:textId="77777777" w:rsidR="00D44969" w:rsidRPr="00D44969" w:rsidRDefault="00D44969" w:rsidP="00D44969">
      <w:pPr>
        <w:pStyle w:val="NormalWeb"/>
        <w:numPr>
          <w:ilvl w:val="0"/>
          <w:numId w:val="9"/>
        </w:numPr>
        <w:spacing w:line="360" w:lineRule="auto"/>
        <w:rPr>
          <w:rFonts w:ascii="Arial" w:hAnsi="Arial" w:cs="Arial"/>
        </w:rPr>
      </w:pPr>
      <w:r w:rsidRPr="00D44969">
        <w:rPr>
          <w:rFonts w:ascii="Arial" w:hAnsi="Arial" w:cs="Arial"/>
        </w:rPr>
        <w:t xml:space="preserve">Jobber, D. and Ellis-Chadwick, F. (2019) </w:t>
      </w:r>
      <w:r w:rsidRPr="00D44969">
        <w:rPr>
          <w:rStyle w:val="Emphasis"/>
          <w:rFonts w:ascii="Arial" w:eastAsiaTheme="majorEastAsia" w:hAnsi="Arial" w:cs="Arial"/>
        </w:rPr>
        <w:t>Principles and practice of marketing</w:t>
      </w:r>
      <w:r w:rsidRPr="00D44969">
        <w:rPr>
          <w:rFonts w:ascii="Arial" w:hAnsi="Arial" w:cs="Arial"/>
        </w:rPr>
        <w:t xml:space="preserve">. 9th </w:t>
      </w:r>
      <w:proofErr w:type="spellStart"/>
      <w:r w:rsidRPr="00D44969">
        <w:rPr>
          <w:rFonts w:ascii="Arial" w:hAnsi="Arial" w:cs="Arial"/>
        </w:rPr>
        <w:t>edn</w:t>
      </w:r>
      <w:proofErr w:type="spellEnd"/>
      <w:r w:rsidRPr="00D44969">
        <w:rPr>
          <w:rFonts w:ascii="Arial" w:hAnsi="Arial" w:cs="Arial"/>
        </w:rPr>
        <w:t>. Maidenhead: McGraw-Hill Education.</w:t>
      </w:r>
    </w:p>
    <w:p w14:paraId="339ABBB2" w14:textId="77777777" w:rsidR="00D44969" w:rsidRPr="00D44969" w:rsidRDefault="00D44969" w:rsidP="00D44969">
      <w:pPr>
        <w:pStyle w:val="NormalWeb"/>
        <w:numPr>
          <w:ilvl w:val="0"/>
          <w:numId w:val="9"/>
        </w:numPr>
        <w:spacing w:line="360" w:lineRule="auto"/>
        <w:rPr>
          <w:rFonts w:ascii="Arial" w:hAnsi="Arial" w:cs="Arial"/>
        </w:rPr>
      </w:pPr>
      <w:r w:rsidRPr="00D44969">
        <w:rPr>
          <w:rFonts w:ascii="Arial" w:hAnsi="Arial" w:cs="Arial"/>
        </w:rPr>
        <w:t xml:space="preserve">Jobber, D. and Ellis-Chadwick, F. (2023) </w:t>
      </w:r>
      <w:r w:rsidRPr="00D44969">
        <w:rPr>
          <w:rStyle w:val="Emphasis"/>
          <w:rFonts w:ascii="Arial" w:eastAsiaTheme="majorEastAsia" w:hAnsi="Arial" w:cs="Arial"/>
        </w:rPr>
        <w:t>Principles and practice of marketing</w:t>
      </w:r>
      <w:r w:rsidRPr="00D44969">
        <w:rPr>
          <w:rFonts w:ascii="Arial" w:hAnsi="Arial" w:cs="Arial"/>
        </w:rPr>
        <w:t xml:space="preserve">. 10th </w:t>
      </w:r>
      <w:proofErr w:type="spellStart"/>
      <w:r w:rsidRPr="00D44969">
        <w:rPr>
          <w:rFonts w:ascii="Arial" w:hAnsi="Arial" w:cs="Arial"/>
        </w:rPr>
        <w:t>edn</w:t>
      </w:r>
      <w:proofErr w:type="spellEnd"/>
      <w:r w:rsidRPr="00D44969">
        <w:rPr>
          <w:rFonts w:ascii="Arial" w:hAnsi="Arial" w:cs="Arial"/>
        </w:rPr>
        <w:t>. London: McGraw Hill.</w:t>
      </w:r>
    </w:p>
    <w:p w14:paraId="25C77519" w14:textId="77777777" w:rsidR="00D44969" w:rsidRPr="00D44969" w:rsidRDefault="00D44969" w:rsidP="00D44969">
      <w:pPr>
        <w:pStyle w:val="NormalWeb"/>
        <w:numPr>
          <w:ilvl w:val="0"/>
          <w:numId w:val="9"/>
        </w:numPr>
        <w:spacing w:line="360" w:lineRule="auto"/>
        <w:rPr>
          <w:rFonts w:ascii="Arial" w:hAnsi="Arial" w:cs="Arial"/>
        </w:rPr>
      </w:pPr>
      <w:proofErr w:type="spellStart"/>
      <w:r w:rsidRPr="00D44969">
        <w:rPr>
          <w:rFonts w:ascii="Arial" w:hAnsi="Arial" w:cs="Arial"/>
        </w:rPr>
        <w:t>Kalicanin</w:t>
      </w:r>
      <w:proofErr w:type="spellEnd"/>
      <w:r w:rsidRPr="00D44969">
        <w:rPr>
          <w:rFonts w:ascii="Arial" w:hAnsi="Arial" w:cs="Arial"/>
        </w:rPr>
        <w:t xml:space="preserve">, D. (2008) ‘A question of strategy: To be a pioneer or a follower?’, </w:t>
      </w:r>
      <w:proofErr w:type="spellStart"/>
      <w:r w:rsidRPr="00D44969">
        <w:rPr>
          <w:rStyle w:val="Emphasis"/>
          <w:rFonts w:ascii="Arial" w:eastAsiaTheme="majorEastAsia" w:hAnsi="Arial" w:cs="Arial"/>
        </w:rPr>
        <w:t>Ekonomski</w:t>
      </w:r>
      <w:proofErr w:type="spellEnd"/>
      <w:r w:rsidRPr="00D44969">
        <w:rPr>
          <w:rStyle w:val="Emphasis"/>
          <w:rFonts w:ascii="Arial" w:eastAsiaTheme="majorEastAsia" w:hAnsi="Arial" w:cs="Arial"/>
        </w:rPr>
        <w:t xml:space="preserve"> </w:t>
      </w:r>
      <w:proofErr w:type="spellStart"/>
      <w:r w:rsidRPr="00D44969">
        <w:rPr>
          <w:rStyle w:val="Emphasis"/>
          <w:rFonts w:ascii="Arial" w:eastAsiaTheme="majorEastAsia" w:hAnsi="Arial" w:cs="Arial"/>
        </w:rPr>
        <w:t>anali</w:t>
      </w:r>
      <w:proofErr w:type="spellEnd"/>
      <w:r w:rsidRPr="00D44969">
        <w:rPr>
          <w:rFonts w:ascii="Arial" w:hAnsi="Arial" w:cs="Arial"/>
        </w:rPr>
        <w:t>, 53(177), pp. 89–102.</w:t>
      </w:r>
    </w:p>
    <w:p w14:paraId="4280CA16" w14:textId="77777777" w:rsidR="00D44969" w:rsidRPr="00D44969" w:rsidRDefault="00D44969" w:rsidP="00D44969">
      <w:pPr>
        <w:pStyle w:val="NormalWeb"/>
        <w:spacing w:line="360" w:lineRule="auto"/>
        <w:ind w:left="360"/>
        <w:rPr>
          <w:rFonts w:ascii="Arial" w:hAnsi="Arial" w:cs="Arial"/>
        </w:rPr>
      </w:pPr>
      <w:r w:rsidRPr="00D44969">
        <w:rPr>
          <w:rFonts w:ascii="Arial" w:hAnsi="Arial" w:cs="Arial"/>
        </w:rPr>
        <w:t xml:space="preserve">10.Kotler, P., Armstrong, G. and Balasubramanian, S. (2024) </w:t>
      </w:r>
      <w:r w:rsidRPr="00D44969">
        <w:rPr>
          <w:rStyle w:val="Emphasis"/>
          <w:rFonts w:ascii="Arial" w:eastAsiaTheme="majorEastAsia" w:hAnsi="Arial" w:cs="Arial"/>
        </w:rPr>
        <w:t>Principles of marketing</w:t>
      </w:r>
      <w:r w:rsidRPr="00D44969">
        <w:rPr>
          <w:rFonts w:ascii="Arial" w:hAnsi="Arial" w:cs="Arial"/>
        </w:rPr>
        <w:t xml:space="preserve">. 19th </w:t>
      </w:r>
      <w:proofErr w:type="spellStart"/>
      <w:r w:rsidRPr="00D44969">
        <w:rPr>
          <w:rFonts w:ascii="Arial" w:hAnsi="Arial" w:cs="Arial"/>
        </w:rPr>
        <w:t>edn</w:t>
      </w:r>
      <w:proofErr w:type="spellEnd"/>
      <w:r w:rsidRPr="00D44969">
        <w:rPr>
          <w:rFonts w:ascii="Arial" w:hAnsi="Arial" w:cs="Arial"/>
        </w:rPr>
        <w:t>. Harlow: Pearson.</w:t>
      </w:r>
    </w:p>
    <w:p w14:paraId="63CE3135" w14:textId="77777777" w:rsidR="00D44969" w:rsidRPr="00D44969" w:rsidRDefault="00D44969" w:rsidP="00D44969">
      <w:pPr>
        <w:pStyle w:val="NormalWeb"/>
        <w:spacing w:line="360" w:lineRule="auto"/>
        <w:ind w:left="360"/>
        <w:rPr>
          <w:rFonts w:ascii="Arial" w:hAnsi="Arial" w:cs="Arial"/>
        </w:rPr>
      </w:pPr>
      <w:r w:rsidRPr="00D44969">
        <w:rPr>
          <w:rFonts w:ascii="Arial" w:hAnsi="Arial" w:cs="Arial"/>
        </w:rPr>
        <w:t xml:space="preserve">11. Lieberman, M.B. and Montgomery, D.B. (1988) ‘First-mover advantages’, </w:t>
      </w:r>
      <w:r w:rsidRPr="00D44969">
        <w:rPr>
          <w:rStyle w:val="Emphasis"/>
          <w:rFonts w:ascii="Arial" w:eastAsiaTheme="majorEastAsia" w:hAnsi="Arial" w:cs="Arial"/>
        </w:rPr>
        <w:t>Strategic Management Journal</w:t>
      </w:r>
      <w:r w:rsidRPr="00D44969">
        <w:rPr>
          <w:rFonts w:ascii="Arial" w:hAnsi="Arial" w:cs="Arial"/>
        </w:rPr>
        <w:t>, 9(S1), pp. 41–58.</w:t>
      </w:r>
    </w:p>
    <w:p w14:paraId="4C3B7D4B" w14:textId="3DA4ABBD" w:rsidR="00D44969" w:rsidRPr="00D44969" w:rsidRDefault="00D44969" w:rsidP="00D44969">
      <w:pPr>
        <w:pStyle w:val="NormalWeb"/>
        <w:spacing w:line="360" w:lineRule="auto"/>
        <w:ind w:left="360"/>
        <w:rPr>
          <w:rFonts w:ascii="Arial" w:hAnsi="Arial" w:cs="Arial"/>
        </w:rPr>
      </w:pPr>
      <w:r w:rsidRPr="00D44969">
        <w:rPr>
          <w:rFonts w:ascii="Arial" w:hAnsi="Arial" w:cs="Arial"/>
        </w:rPr>
        <w:t xml:space="preserve">12. McKinsey &amp; Company (2022) </w:t>
      </w:r>
      <w:r w:rsidRPr="00D44969">
        <w:rPr>
          <w:rStyle w:val="Emphasis"/>
          <w:rFonts w:ascii="Arial" w:eastAsiaTheme="majorEastAsia" w:hAnsi="Arial" w:cs="Arial"/>
        </w:rPr>
        <w:t>Navigating inflation in retail: Six actions for retailers</w:t>
      </w:r>
      <w:r w:rsidRPr="00D44969">
        <w:rPr>
          <w:rFonts w:ascii="Arial" w:hAnsi="Arial" w:cs="Arial"/>
        </w:rPr>
        <w:t xml:space="preserve">. Available at: </w:t>
      </w:r>
      <w:hyperlink r:id="rId12" w:history="1">
        <w:r w:rsidRPr="00D44969">
          <w:rPr>
            <w:rStyle w:val="Hyperlink"/>
            <w:rFonts w:ascii="Arial" w:hAnsi="Arial" w:cs="Arial"/>
          </w:rPr>
          <w:t>https://www.mckinsey.com/industries/retail/our-</w:t>
        </w:r>
        <w:r w:rsidRPr="00D44969">
          <w:rPr>
            <w:rStyle w:val="Hyperlink"/>
            <w:rFonts w:ascii="Arial" w:hAnsi="Arial" w:cs="Arial"/>
          </w:rPr>
          <w:lastRenderedPageBreak/>
          <w:t>insights/navigating-inflation-in-retail-six-actions-for-retailers</w:t>
        </w:r>
      </w:hyperlink>
      <w:r w:rsidRPr="00D44969">
        <w:rPr>
          <w:rFonts w:ascii="Arial" w:hAnsi="Arial" w:cs="Arial"/>
        </w:rPr>
        <w:t xml:space="preserve"> (Accessed: 23 October 2025).</w:t>
      </w:r>
    </w:p>
    <w:p w14:paraId="214291B2" w14:textId="69BAC857" w:rsidR="00D44969" w:rsidRPr="00D44969" w:rsidRDefault="00D44969" w:rsidP="00D44969">
      <w:pPr>
        <w:pStyle w:val="NormalWeb"/>
        <w:numPr>
          <w:ilvl w:val="0"/>
          <w:numId w:val="10"/>
        </w:numPr>
        <w:spacing w:line="360" w:lineRule="auto"/>
        <w:rPr>
          <w:rFonts w:ascii="Arial" w:hAnsi="Arial" w:cs="Arial"/>
        </w:rPr>
      </w:pPr>
      <w:r w:rsidRPr="00D44969">
        <w:rPr>
          <w:rFonts w:ascii="Arial" w:hAnsi="Arial" w:cs="Arial"/>
        </w:rPr>
        <w:t xml:space="preserve">Retail Economics (2025) </w:t>
      </w:r>
      <w:r w:rsidRPr="00D44969">
        <w:rPr>
          <w:rStyle w:val="Emphasis"/>
          <w:rFonts w:ascii="Arial" w:eastAsiaTheme="majorEastAsia" w:hAnsi="Arial" w:cs="Arial"/>
        </w:rPr>
        <w:t>5 strategies to combat inflation</w:t>
      </w:r>
      <w:r w:rsidRPr="00D44969">
        <w:rPr>
          <w:rFonts w:ascii="Arial" w:hAnsi="Arial" w:cs="Arial"/>
        </w:rPr>
        <w:t xml:space="preserve">. Available at: </w:t>
      </w:r>
      <w:hyperlink r:id="rId13" w:history="1">
        <w:r w:rsidRPr="00D44969">
          <w:rPr>
            <w:rStyle w:val="Hyperlink"/>
            <w:rFonts w:ascii="Arial" w:hAnsi="Arial" w:cs="Arial"/>
          </w:rPr>
          <w:t>https://www.retaileconomics.co.uk/retail-insights/thought-leadership-reports/top-5-strategies-for-retailers-and-brands-to-combat-rising-inflation-and-operating-costs</w:t>
        </w:r>
      </w:hyperlink>
      <w:r w:rsidRPr="00D44969">
        <w:rPr>
          <w:rFonts w:ascii="Arial" w:hAnsi="Arial" w:cs="Arial"/>
        </w:rPr>
        <w:t xml:space="preserve"> (Accessed: 23 October 2025).</w:t>
      </w:r>
    </w:p>
    <w:p w14:paraId="11DC1F47" w14:textId="77777777" w:rsidR="00D44969" w:rsidRPr="00D44969" w:rsidRDefault="00D44969" w:rsidP="00D44969">
      <w:pPr>
        <w:pStyle w:val="NormalWeb"/>
        <w:numPr>
          <w:ilvl w:val="0"/>
          <w:numId w:val="10"/>
        </w:numPr>
        <w:spacing w:line="360" w:lineRule="auto"/>
        <w:rPr>
          <w:rFonts w:ascii="Arial" w:hAnsi="Arial" w:cs="Arial"/>
        </w:rPr>
      </w:pPr>
      <w:proofErr w:type="spellStart"/>
      <w:r w:rsidRPr="00D44969">
        <w:rPr>
          <w:rFonts w:ascii="Arial" w:hAnsi="Arial" w:cs="Arial"/>
        </w:rPr>
        <w:t>Samanta</w:t>
      </w:r>
      <w:proofErr w:type="spellEnd"/>
      <w:r w:rsidRPr="00D44969">
        <w:rPr>
          <w:rFonts w:ascii="Arial" w:hAnsi="Arial" w:cs="Arial"/>
        </w:rPr>
        <w:t xml:space="preserve">, I. and Chaudhuri, S. (2014) </w:t>
      </w:r>
      <w:r w:rsidRPr="00D44969">
        <w:rPr>
          <w:rStyle w:val="Emphasis"/>
          <w:rFonts w:ascii="Arial" w:eastAsiaTheme="majorEastAsia" w:hAnsi="Arial" w:cs="Arial"/>
        </w:rPr>
        <w:t>Strategic marketing in fragile economic conditions</w:t>
      </w:r>
      <w:r w:rsidRPr="00D44969">
        <w:rPr>
          <w:rFonts w:ascii="Arial" w:hAnsi="Arial" w:cs="Arial"/>
        </w:rPr>
        <w:t>. Hershey, PA: Business Science Reference.</w:t>
      </w:r>
    </w:p>
    <w:p w14:paraId="58CB139C" w14:textId="01BC2962" w:rsidR="00473E06" w:rsidRPr="00262E7D" w:rsidRDefault="00473E06" w:rsidP="00B57B45">
      <w:pPr>
        <w:spacing w:line="360" w:lineRule="auto"/>
        <w:rPr>
          <w:rFonts w:ascii="Arial" w:hAnsi="Arial" w:cs="Arial"/>
          <w:b/>
          <w:bCs/>
          <w:sz w:val="28"/>
          <w:szCs w:val="28"/>
        </w:rPr>
      </w:pPr>
    </w:p>
    <w:p w14:paraId="2A8C42AF" w14:textId="61E70240" w:rsidR="00473E06" w:rsidRDefault="00473E06" w:rsidP="00473E06">
      <w:pPr>
        <w:spacing w:line="360" w:lineRule="auto"/>
        <w:jc w:val="center"/>
        <w:rPr>
          <w:rFonts w:ascii="Arial" w:hAnsi="Arial" w:cs="Arial"/>
          <w:b/>
          <w:bCs/>
          <w:sz w:val="28"/>
          <w:szCs w:val="28"/>
        </w:rPr>
      </w:pPr>
    </w:p>
    <w:p w14:paraId="764E3773" w14:textId="31B22DB1" w:rsidR="00473E06" w:rsidRDefault="00473E06" w:rsidP="00473E06">
      <w:pPr>
        <w:spacing w:line="360" w:lineRule="auto"/>
        <w:jc w:val="center"/>
        <w:rPr>
          <w:rFonts w:ascii="Arial" w:hAnsi="Arial" w:cs="Arial"/>
          <w:b/>
          <w:bCs/>
          <w:sz w:val="28"/>
          <w:szCs w:val="28"/>
        </w:rPr>
      </w:pPr>
    </w:p>
    <w:p w14:paraId="73CCF73F" w14:textId="19362D24" w:rsidR="00473E06" w:rsidRDefault="00473E06" w:rsidP="00473E06">
      <w:pPr>
        <w:spacing w:line="360" w:lineRule="auto"/>
        <w:jc w:val="center"/>
        <w:rPr>
          <w:rFonts w:ascii="Arial" w:hAnsi="Arial" w:cs="Arial"/>
          <w:b/>
          <w:bCs/>
          <w:sz w:val="28"/>
          <w:szCs w:val="28"/>
        </w:rPr>
      </w:pPr>
    </w:p>
    <w:p w14:paraId="4E6E7E4B" w14:textId="7FEFD045" w:rsidR="00473E06" w:rsidRDefault="00473E06" w:rsidP="00473E06">
      <w:pPr>
        <w:spacing w:line="360" w:lineRule="auto"/>
        <w:jc w:val="center"/>
        <w:rPr>
          <w:rFonts w:ascii="Arial" w:hAnsi="Arial" w:cs="Arial"/>
          <w:b/>
          <w:bCs/>
          <w:sz w:val="28"/>
          <w:szCs w:val="28"/>
        </w:rPr>
      </w:pPr>
    </w:p>
    <w:p w14:paraId="2E15DCC8" w14:textId="17C3A5EC" w:rsidR="00473E06" w:rsidRDefault="00473E06" w:rsidP="00473E06">
      <w:pPr>
        <w:spacing w:line="360" w:lineRule="auto"/>
        <w:jc w:val="center"/>
        <w:rPr>
          <w:rFonts w:ascii="Arial" w:hAnsi="Arial" w:cs="Arial"/>
          <w:b/>
          <w:bCs/>
          <w:sz w:val="28"/>
          <w:szCs w:val="28"/>
        </w:rPr>
      </w:pPr>
    </w:p>
    <w:p w14:paraId="47C10A3A" w14:textId="53B23573" w:rsidR="00473E06" w:rsidRDefault="00473E06" w:rsidP="00473E06">
      <w:pPr>
        <w:spacing w:line="360" w:lineRule="auto"/>
        <w:jc w:val="center"/>
        <w:rPr>
          <w:rFonts w:ascii="Arial" w:hAnsi="Arial" w:cs="Arial"/>
          <w:b/>
          <w:bCs/>
          <w:sz w:val="28"/>
          <w:szCs w:val="28"/>
        </w:rPr>
      </w:pPr>
    </w:p>
    <w:p w14:paraId="76B96992" w14:textId="4213FC5A" w:rsidR="00473E06" w:rsidRDefault="00473E06" w:rsidP="00473E06">
      <w:pPr>
        <w:spacing w:line="360" w:lineRule="auto"/>
        <w:jc w:val="center"/>
        <w:rPr>
          <w:rFonts w:ascii="Arial" w:hAnsi="Arial" w:cs="Arial"/>
          <w:b/>
          <w:bCs/>
          <w:sz w:val="28"/>
          <w:szCs w:val="28"/>
        </w:rPr>
      </w:pPr>
    </w:p>
    <w:p w14:paraId="13C4DB58" w14:textId="021F7FDC" w:rsidR="00473E06" w:rsidRDefault="00473E06" w:rsidP="00473E06">
      <w:pPr>
        <w:spacing w:line="360" w:lineRule="auto"/>
        <w:jc w:val="center"/>
        <w:rPr>
          <w:rFonts w:ascii="Arial" w:hAnsi="Arial" w:cs="Arial"/>
          <w:b/>
          <w:bCs/>
          <w:sz w:val="28"/>
          <w:szCs w:val="28"/>
        </w:rPr>
      </w:pPr>
    </w:p>
    <w:p w14:paraId="0D78D9F1" w14:textId="704D9CCF" w:rsidR="00473E06" w:rsidRDefault="00473E06" w:rsidP="00473E06">
      <w:pPr>
        <w:spacing w:line="360" w:lineRule="auto"/>
        <w:jc w:val="center"/>
        <w:rPr>
          <w:rFonts w:ascii="Arial" w:hAnsi="Arial" w:cs="Arial"/>
          <w:b/>
          <w:bCs/>
          <w:sz w:val="28"/>
          <w:szCs w:val="28"/>
        </w:rPr>
      </w:pPr>
    </w:p>
    <w:p w14:paraId="6C85B31F" w14:textId="6035AB43" w:rsidR="00473E06" w:rsidRDefault="00473E06" w:rsidP="00473E06">
      <w:pPr>
        <w:spacing w:line="360" w:lineRule="auto"/>
        <w:jc w:val="center"/>
        <w:rPr>
          <w:rFonts w:ascii="Arial" w:hAnsi="Arial" w:cs="Arial"/>
          <w:b/>
          <w:bCs/>
          <w:sz w:val="28"/>
          <w:szCs w:val="28"/>
        </w:rPr>
      </w:pPr>
    </w:p>
    <w:p w14:paraId="05F8250D" w14:textId="1BB212EE" w:rsidR="00473E06" w:rsidRDefault="00473E06" w:rsidP="00473E06">
      <w:pPr>
        <w:spacing w:line="360" w:lineRule="auto"/>
        <w:jc w:val="center"/>
        <w:rPr>
          <w:rFonts w:ascii="Arial" w:hAnsi="Arial" w:cs="Arial"/>
          <w:b/>
          <w:bCs/>
          <w:sz w:val="28"/>
          <w:szCs w:val="28"/>
        </w:rPr>
      </w:pPr>
    </w:p>
    <w:p w14:paraId="198CF893" w14:textId="5028D726" w:rsidR="00473E06" w:rsidRDefault="00473E06" w:rsidP="00473E06">
      <w:pPr>
        <w:spacing w:line="360" w:lineRule="auto"/>
        <w:jc w:val="center"/>
        <w:rPr>
          <w:rFonts w:ascii="Arial" w:hAnsi="Arial" w:cs="Arial"/>
          <w:b/>
          <w:bCs/>
          <w:sz w:val="28"/>
          <w:szCs w:val="28"/>
        </w:rPr>
      </w:pPr>
    </w:p>
    <w:p w14:paraId="49D2AC0A" w14:textId="321ED04E" w:rsidR="00473E06" w:rsidRDefault="00473E06" w:rsidP="00473E06">
      <w:pPr>
        <w:spacing w:line="360" w:lineRule="auto"/>
        <w:jc w:val="center"/>
        <w:rPr>
          <w:rFonts w:ascii="Arial" w:hAnsi="Arial" w:cs="Arial"/>
          <w:b/>
          <w:bCs/>
          <w:sz w:val="28"/>
          <w:szCs w:val="28"/>
        </w:rPr>
      </w:pPr>
    </w:p>
    <w:p w14:paraId="6329FD8D" w14:textId="5CF0F36C" w:rsidR="00473E06" w:rsidRDefault="00473E06" w:rsidP="00473E06">
      <w:pPr>
        <w:spacing w:line="360" w:lineRule="auto"/>
        <w:jc w:val="center"/>
        <w:rPr>
          <w:rFonts w:ascii="Arial" w:hAnsi="Arial" w:cs="Arial"/>
          <w:b/>
          <w:bCs/>
          <w:sz w:val="28"/>
          <w:szCs w:val="28"/>
        </w:rPr>
      </w:pPr>
    </w:p>
    <w:p w14:paraId="22B750FA" w14:textId="6DAA3905" w:rsidR="00473E06" w:rsidRDefault="00473E06" w:rsidP="00473E06">
      <w:pPr>
        <w:spacing w:line="360" w:lineRule="auto"/>
        <w:jc w:val="center"/>
        <w:rPr>
          <w:rFonts w:ascii="Arial" w:hAnsi="Arial" w:cs="Arial"/>
          <w:b/>
          <w:bCs/>
          <w:sz w:val="28"/>
          <w:szCs w:val="28"/>
        </w:rPr>
      </w:pPr>
    </w:p>
    <w:p w14:paraId="365A697B" w14:textId="458D667B" w:rsidR="00473E06" w:rsidRDefault="00473E06" w:rsidP="00473E06">
      <w:pPr>
        <w:spacing w:line="360" w:lineRule="auto"/>
        <w:jc w:val="center"/>
        <w:rPr>
          <w:rFonts w:ascii="Arial" w:hAnsi="Arial" w:cs="Arial"/>
          <w:b/>
          <w:bCs/>
          <w:sz w:val="28"/>
          <w:szCs w:val="28"/>
        </w:rPr>
      </w:pPr>
    </w:p>
    <w:p w14:paraId="5CA14B82" w14:textId="32DA975D" w:rsidR="00473E06" w:rsidRDefault="00473E06" w:rsidP="00473E06">
      <w:pPr>
        <w:spacing w:line="360" w:lineRule="auto"/>
        <w:jc w:val="center"/>
        <w:rPr>
          <w:rFonts w:ascii="Arial" w:hAnsi="Arial" w:cs="Arial"/>
          <w:b/>
          <w:bCs/>
          <w:sz w:val="28"/>
          <w:szCs w:val="28"/>
        </w:rPr>
      </w:pPr>
    </w:p>
    <w:p w14:paraId="06ED9C29" w14:textId="648C8E69" w:rsidR="00473E06" w:rsidRDefault="00473E06" w:rsidP="00473E06">
      <w:pPr>
        <w:spacing w:line="360" w:lineRule="auto"/>
        <w:jc w:val="center"/>
        <w:rPr>
          <w:rFonts w:ascii="Arial" w:hAnsi="Arial" w:cs="Arial"/>
          <w:b/>
          <w:bCs/>
          <w:sz w:val="28"/>
          <w:szCs w:val="28"/>
        </w:rPr>
      </w:pPr>
    </w:p>
    <w:p w14:paraId="7F4030DA" w14:textId="5C9F0BD0" w:rsidR="00473E06" w:rsidRDefault="00473E06" w:rsidP="00473E06">
      <w:pPr>
        <w:spacing w:line="360" w:lineRule="auto"/>
        <w:jc w:val="center"/>
        <w:rPr>
          <w:rFonts w:ascii="Arial" w:hAnsi="Arial" w:cs="Arial"/>
          <w:b/>
          <w:bCs/>
          <w:sz w:val="28"/>
          <w:szCs w:val="28"/>
        </w:rPr>
      </w:pPr>
    </w:p>
    <w:p w14:paraId="5C9504B3" w14:textId="5BE23492" w:rsidR="00473E06" w:rsidRDefault="00473E06" w:rsidP="00473E06">
      <w:pPr>
        <w:spacing w:line="360" w:lineRule="auto"/>
        <w:jc w:val="center"/>
        <w:rPr>
          <w:rFonts w:ascii="Arial" w:hAnsi="Arial" w:cs="Arial"/>
          <w:b/>
          <w:bCs/>
          <w:sz w:val="28"/>
          <w:szCs w:val="28"/>
        </w:rPr>
      </w:pPr>
    </w:p>
    <w:p w14:paraId="1007B450" w14:textId="129D0A6D" w:rsidR="00473E06" w:rsidRDefault="00473E06" w:rsidP="00473E06">
      <w:pPr>
        <w:spacing w:line="360" w:lineRule="auto"/>
        <w:jc w:val="center"/>
        <w:rPr>
          <w:rFonts w:ascii="Arial" w:hAnsi="Arial" w:cs="Arial"/>
          <w:b/>
          <w:bCs/>
          <w:sz w:val="28"/>
          <w:szCs w:val="28"/>
        </w:rPr>
      </w:pPr>
    </w:p>
    <w:p w14:paraId="2DA5B544" w14:textId="4927B7FC" w:rsidR="00473E06" w:rsidRDefault="00473E06" w:rsidP="00473E06">
      <w:pPr>
        <w:spacing w:line="360" w:lineRule="auto"/>
        <w:jc w:val="center"/>
        <w:rPr>
          <w:rFonts w:ascii="Arial" w:hAnsi="Arial" w:cs="Arial"/>
          <w:b/>
          <w:bCs/>
          <w:sz w:val="28"/>
          <w:szCs w:val="28"/>
        </w:rPr>
      </w:pPr>
    </w:p>
    <w:p w14:paraId="13CA26ED" w14:textId="4D44068C" w:rsidR="00473E06" w:rsidRDefault="00473E06" w:rsidP="00473E06">
      <w:pPr>
        <w:spacing w:line="360" w:lineRule="auto"/>
        <w:jc w:val="center"/>
        <w:rPr>
          <w:rFonts w:ascii="Arial" w:hAnsi="Arial" w:cs="Arial"/>
          <w:b/>
          <w:bCs/>
          <w:sz w:val="28"/>
          <w:szCs w:val="28"/>
        </w:rPr>
      </w:pPr>
    </w:p>
    <w:p w14:paraId="45BC0865" w14:textId="599AD4DF" w:rsidR="00473E06" w:rsidRDefault="00473E06" w:rsidP="00473E06">
      <w:pPr>
        <w:spacing w:line="360" w:lineRule="auto"/>
        <w:jc w:val="center"/>
        <w:rPr>
          <w:rFonts w:ascii="Arial" w:hAnsi="Arial" w:cs="Arial"/>
          <w:b/>
          <w:bCs/>
          <w:sz w:val="28"/>
          <w:szCs w:val="28"/>
        </w:rPr>
      </w:pPr>
    </w:p>
    <w:p w14:paraId="23E5421C" w14:textId="77777777" w:rsidR="00473E06" w:rsidRPr="00473E06" w:rsidRDefault="00473E06" w:rsidP="00473E06">
      <w:pPr>
        <w:spacing w:line="360" w:lineRule="auto"/>
        <w:jc w:val="center"/>
        <w:rPr>
          <w:rFonts w:ascii="Arial" w:hAnsi="Arial" w:cs="Arial"/>
          <w:b/>
          <w:bCs/>
          <w:sz w:val="28"/>
          <w:szCs w:val="28"/>
        </w:rPr>
      </w:pPr>
    </w:p>
    <w:sectPr w:rsidR="00473E06" w:rsidRPr="00473E06">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319902" w14:textId="77777777" w:rsidR="00B32BA9" w:rsidRDefault="00B32BA9" w:rsidP="003319AA">
      <w:pPr>
        <w:spacing w:after="0" w:line="240" w:lineRule="auto"/>
      </w:pPr>
      <w:r>
        <w:separator/>
      </w:r>
    </w:p>
  </w:endnote>
  <w:endnote w:type="continuationSeparator" w:id="0">
    <w:p w14:paraId="21A7900B" w14:textId="77777777" w:rsidR="00B32BA9" w:rsidRDefault="00B32BA9" w:rsidP="003319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okmarkStart w:id="14" w:name="_Toc211433416" w:displacedByCustomXml="next"/>
  <w:sdt>
    <w:sdtPr>
      <w:id w:val="-1908209234"/>
      <w:docPartObj>
        <w:docPartGallery w:val="Page Numbers (Bottom of Page)"/>
        <w:docPartUnique/>
      </w:docPartObj>
    </w:sdtPr>
    <w:sdtEndPr>
      <w:rPr>
        <w:noProof/>
      </w:rPr>
    </w:sdtEndPr>
    <w:sdtContent>
      <w:p w14:paraId="251A89DC" w14:textId="77777777" w:rsidR="008470B7" w:rsidRDefault="008470B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bookmarkEnd w:id="14"/>
  <w:p w14:paraId="6183D6B6" w14:textId="77777777" w:rsidR="003319AA" w:rsidRDefault="003319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3C6467" w14:textId="77777777" w:rsidR="00B32BA9" w:rsidRDefault="00B32BA9" w:rsidP="003319AA">
      <w:pPr>
        <w:spacing w:after="0" w:line="240" w:lineRule="auto"/>
      </w:pPr>
      <w:r>
        <w:separator/>
      </w:r>
    </w:p>
  </w:footnote>
  <w:footnote w:type="continuationSeparator" w:id="0">
    <w:p w14:paraId="0249ABF9" w14:textId="77777777" w:rsidR="00B32BA9" w:rsidRDefault="00B32BA9" w:rsidP="003319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AC4862"/>
    <w:multiLevelType w:val="multilevel"/>
    <w:tmpl w:val="50368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746465"/>
    <w:multiLevelType w:val="hybridMultilevel"/>
    <w:tmpl w:val="89D2A8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0968D1"/>
    <w:multiLevelType w:val="hybridMultilevel"/>
    <w:tmpl w:val="B0AA1A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A56627"/>
    <w:multiLevelType w:val="hybridMultilevel"/>
    <w:tmpl w:val="5C489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EB78F9"/>
    <w:multiLevelType w:val="hybridMultilevel"/>
    <w:tmpl w:val="5BF89B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5C4B20"/>
    <w:multiLevelType w:val="hybridMultilevel"/>
    <w:tmpl w:val="B2F02F10"/>
    <w:lvl w:ilvl="0" w:tplc="6B040B8E">
      <w:start w:val="13"/>
      <w:numFmt w:val="decimal"/>
      <w:lvlText w:val="%1."/>
      <w:lvlJc w:val="left"/>
      <w:pPr>
        <w:ind w:left="760" w:hanging="4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442C4A"/>
    <w:multiLevelType w:val="multilevel"/>
    <w:tmpl w:val="81005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571803"/>
    <w:multiLevelType w:val="hybridMultilevel"/>
    <w:tmpl w:val="9FD88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F65F66"/>
    <w:multiLevelType w:val="multilevel"/>
    <w:tmpl w:val="2B6C5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D4B1A3C"/>
    <w:multiLevelType w:val="multilevel"/>
    <w:tmpl w:val="32CC1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0"/>
  </w:num>
  <w:num w:numId="3">
    <w:abstractNumId w:val="9"/>
  </w:num>
  <w:num w:numId="4">
    <w:abstractNumId w:val="1"/>
  </w:num>
  <w:num w:numId="5">
    <w:abstractNumId w:val="2"/>
  </w:num>
  <w:num w:numId="6">
    <w:abstractNumId w:val="4"/>
  </w:num>
  <w:num w:numId="7">
    <w:abstractNumId w:val="3"/>
  </w:num>
  <w:num w:numId="8">
    <w:abstractNumId w:val="7"/>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E06"/>
    <w:rsid w:val="000326E4"/>
    <w:rsid w:val="00114BA4"/>
    <w:rsid w:val="00140164"/>
    <w:rsid w:val="001575C7"/>
    <w:rsid w:val="001D5B2F"/>
    <w:rsid w:val="0025023E"/>
    <w:rsid w:val="00262E7D"/>
    <w:rsid w:val="002F2AF4"/>
    <w:rsid w:val="002F7ACA"/>
    <w:rsid w:val="003060BA"/>
    <w:rsid w:val="003319AA"/>
    <w:rsid w:val="0037437B"/>
    <w:rsid w:val="00395B65"/>
    <w:rsid w:val="0042407D"/>
    <w:rsid w:val="00473E06"/>
    <w:rsid w:val="00506FC9"/>
    <w:rsid w:val="005F43C1"/>
    <w:rsid w:val="006B1E7A"/>
    <w:rsid w:val="008470B7"/>
    <w:rsid w:val="009B3169"/>
    <w:rsid w:val="009B6503"/>
    <w:rsid w:val="00A91C5E"/>
    <w:rsid w:val="00A92A7E"/>
    <w:rsid w:val="00AB4DDC"/>
    <w:rsid w:val="00B32BA9"/>
    <w:rsid w:val="00B57B45"/>
    <w:rsid w:val="00C77269"/>
    <w:rsid w:val="00CF5BF6"/>
    <w:rsid w:val="00D44969"/>
    <w:rsid w:val="00D62BEA"/>
    <w:rsid w:val="00DC0BD2"/>
    <w:rsid w:val="00E167FA"/>
    <w:rsid w:val="00E324F4"/>
    <w:rsid w:val="00E54016"/>
    <w:rsid w:val="00F76EC1"/>
    <w:rsid w:val="00FD0F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E2D68F"/>
  <w15:chartTrackingRefBased/>
  <w15:docId w15:val="{FC74E0DB-42F5-4A8E-8FCC-67AF03173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0BD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B1E7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06FC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C0BD2"/>
    <w:rPr>
      <w:b/>
      <w:bCs/>
    </w:rPr>
  </w:style>
  <w:style w:type="table" w:styleId="TableGrid">
    <w:name w:val="Table Grid"/>
    <w:basedOn w:val="TableNormal"/>
    <w:uiPriority w:val="39"/>
    <w:rsid w:val="00DC0B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C0BD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B1E7A"/>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6B1E7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3319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19AA"/>
  </w:style>
  <w:style w:type="paragraph" w:styleId="Footer">
    <w:name w:val="footer"/>
    <w:basedOn w:val="Normal"/>
    <w:link w:val="FooterChar"/>
    <w:uiPriority w:val="99"/>
    <w:unhideWhenUsed/>
    <w:rsid w:val="003319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19AA"/>
  </w:style>
  <w:style w:type="paragraph" w:styleId="TOCHeading">
    <w:name w:val="TOC Heading"/>
    <w:basedOn w:val="Heading1"/>
    <w:next w:val="Normal"/>
    <w:uiPriority w:val="39"/>
    <w:unhideWhenUsed/>
    <w:qFormat/>
    <w:rsid w:val="003319AA"/>
    <w:pPr>
      <w:outlineLvl w:val="9"/>
    </w:pPr>
    <w:rPr>
      <w:lang w:val="en-US"/>
    </w:rPr>
  </w:style>
  <w:style w:type="paragraph" w:styleId="TOC1">
    <w:name w:val="toc 1"/>
    <w:basedOn w:val="Normal"/>
    <w:next w:val="Normal"/>
    <w:autoRedefine/>
    <w:uiPriority w:val="39"/>
    <w:unhideWhenUsed/>
    <w:rsid w:val="003319AA"/>
    <w:pPr>
      <w:spacing w:after="100"/>
    </w:pPr>
  </w:style>
  <w:style w:type="paragraph" w:styleId="TOC2">
    <w:name w:val="toc 2"/>
    <w:basedOn w:val="Normal"/>
    <w:next w:val="Normal"/>
    <w:autoRedefine/>
    <w:uiPriority w:val="39"/>
    <w:unhideWhenUsed/>
    <w:rsid w:val="003319AA"/>
    <w:pPr>
      <w:spacing w:after="100"/>
      <w:ind w:left="220"/>
    </w:pPr>
  </w:style>
  <w:style w:type="character" w:styleId="Hyperlink">
    <w:name w:val="Hyperlink"/>
    <w:basedOn w:val="DefaultParagraphFont"/>
    <w:uiPriority w:val="99"/>
    <w:unhideWhenUsed/>
    <w:rsid w:val="003319AA"/>
    <w:rPr>
      <w:color w:val="0563C1" w:themeColor="hyperlink"/>
      <w:u w:val="single"/>
    </w:rPr>
  </w:style>
  <w:style w:type="character" w:styleId="Emphasis">
    <w:name w:val="Emphasis"/>
    <w:basedOn w:val="DefaultParagraphFont"/>
    <w:uiPriority w:val="20"/>
    <w:qFormat/>
    <w:rsid w:val="00A91C5E"/>
    <w:rPr>
      <w:i/>
      <w:iCs/>
    </w:rPr>
  </w:style>
  <w:style w:type="paragraph" w:styleId="ListParagraph">
    <w:name w:val="List Paragraph"/>
    <w:basedOn w:val="Normal"/>
    <w:uiPriority w:val="34"/>
    <w:qFormat/>
    <w:rsid w:val="00262E7D"/>
    <w:pPr>
      <w:ind w:left="720"/>
      <w:contextualSpacing/>
    </w:pPr>
  </w:style>
  <w:style w:type="character" w:styleId="UnresolvedMention">
    <w:name w:val="Unresolved Mention"/>
    <w:basedOn w:val="DefaultParagraphFont"/>
    <w:uiPriority w:val="99"/>
    <w:semiHidden/>
    <w:unhideWhenUsed/>
    <w:rsid w:val="00262E7D"/>
    <w:rPr>
      <w:color w:val="605E5C"/>
      <w:shd w:val="clear" w:color="auto" w:fill="E1DFDD"/>
    </w:rPr>
  </w:style>
  <w:style w:type="character" w:customStyle="1" w:styleId="Heading3Char">
    <w:name w:val="Heading 3 Char"/>
    <w:basedOn w:val="DefaultParagraphFont"/>
    <w:link w:val="Heading3"/>
    <w:uiPriority w:val="9"/>
    <w:semiHidden/>
    <w:rsid w:val="00506FC9"/>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AB4DD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880620">
      <w:bodyDiv w:val="1"/>
      <w:marLeft w:val="0"/>
      <w:marRight w:val="0"/>
      <w:marTop w:val="0"/>
      <w:marBottom w:val="0"/>
      <w:divBdr>
        <w:top w:val="none" w:sz="0" w:space="0" w:color="auto"/>
        <w:left w:val="none" w:sz="0" w:space="0" w:color="auto"/>
        <w:bottom w:val="none" w:sz="0" w:space="0" w:color="auto"/>
        <w:right w:val="none" w:sz="0" w:space="0" w:color="auto"/>
      </w:divBdr>
    </w:div>
    <w:div w:id="303971806">
      <w:bodyDiv w:val="1"/>
      <w:marLeft w:val="0"/>
      <w:marRight w:val="0"/>
      <w:marTop w:val="0"/>
      <w:marBottom w:val="0"/>
      <w:divBdr>
        <w:top w:val="none" w:sz="0" w:space="0" w:color="auto"/>
        <w:left w:val="none" w:sz="0" w:space="0" w:color="auto"/>
        <w:bottom w:val="none" w:sz="0" w:space="0" w:color="auto"/>
        <w:right w:val="none" w:sz="0" w:space="0" w:color="auto"/>
      </w:divBdr>
    </w:div>
    <w:div w:id="309480412">
      <w:bodyDiv w:val="1"/>
      <w:marLeft w:val="0"/>
      <w:marRight w:val="0"/>
      <w:marTop w:val="0"/>
      <w:marBottom w:val="0"/>
      <w:divBdr>
        <w:top w:val="none" w:sz="0" w:space="0" w:color="auto"/>
        <w:left w:val="none" w:sz="0" w:space="0" w:color="auto"/>
        <w:bottom w:val="none" w:sz="0" w:space="0" w:color="auto"/>
        <w:right w:val="none" w:sz="0" w:space="0" w:color="auto"/>
      </w:divBdr>
    </w:div>
    <w:div w:id="461578446">
      <w:bodyDiv w:val="1"/>
      <w:marLeft w:val="0"/>
      <w:marRight w:val="0"/>
      <w:marTop w:val="0"/>
      <w:marBottom w:val="0"/>
      <w:divBdr>
        <w:top w:val="none" w:sz="0" w:space="0" w:color="auto"/>
        <w:left w:val="none" w:sz="0" w:space="0" w:color="auto"/>
        <w:bottom w:val="none" w:sz="0" w:space="0" w:color="auto"/>
        <w:right w:val="none" w:sz="0" w:space="0" w:color="auto"/>
      </w:divBdr>
    </w:div>
    <w:div w:id="558708461">
      <w:bodyDiv w:val="1"/>
      <w:marLeft w:val="0"/>
      <w:marRight w:val="0"/>
      <w:marTop w:val="0"/>
      <w:marBottom w:val="0"/>
      <w:divBdr>
        <w:top w:val="none" w:sz="0" w:space="0" w:color="auto"/>
        <w:left w:val="none" w:sz="0" w:space="0" w:color="auto"/>
        <w:bottom w:val="none" w:sz="0" w:space="0" w:color="auto"/>
        <w:right w:val="none" w:sz="0" w:space="0" w:color="auto"/>
      </w:divBdr>
    </w:div>
    <w:div w:id="650061591">
      <w:bodyDiv w:val="1"/>
      <w:marLeft w:val="0"/>
      <w:marRight w:val="0"/>
      <w:marTop w:val="0"/>
      <w:marBottom w:val="0"/>
      <w:divBdr>
        <w:top w:val="none" w:sz="0" w:space="0" w:color="auto"/>
        <w:left w:val="none" w:sz="0" w:space="0" w:color="auto"/>
        <w:bottom w:val="none" w:sz="0" w:space="0" w:color="auto"/>
        <w:right w:val="none" w:sz="0" w:space="0" w:color="auto"/>
      </w:divBdr>
    </w:div>
    <w:div w:id="1024743248">
      <w:bodyDiv w:val="1"/>
      <w:marLeft w:val="0"/>
      <w:marRight w:val="0"/>
      <w:marTop w:val="0"/>
      <w:marBottom w:val="0"/>
      <w:divBdr>
        <w:top w:val="none" w:sz="0" w:space="0" w:color="auto"/>
        <w:left w:val="none" w:sz="0" w:space="0" w:color="auto"/>
        <w:bottom w:val="none" w:sz="0" w:space="0" w:color="auto"/>
        <w:right w:val="none" w:sz="0" w:space="0" w:color="auto"/>
      </w:divBdr>
    </w:div>
    <w:div w:id="1030300832">
      <w:bodyDiv w:val="1"/>
      <w:marLeft w:val="0"/>
      <w:marRight w:val="0"/>
      <w:marTop w:val="0"/>
      <w:marBottom w:val="0"/>
      <w:divBdr>
        <w:top w:val="none" w:sz="0" w:space="0" w:color="auto"/>
        <w:left w:val="none" w:sz="0" w:space="0" w:color="auto"/>
        <w:bottom w:val="none" w:sz="0" w:space="0" w:color="auto"/>
        <w:right w:val="none" w:sz="0" w:space="0" w:color="auto"/>
      </w:divBdr>
    </w:div>
    <w:div w:id="1441798945">
      <w:bodyDiv w:val="1"/>
      <w:marLeft w:val="0"/>
      <w:marRight w:val="0"/>
      <w:marTop w:val="0"/>
      <w:marBottom w:val="0"/>
      <w:divBdr>
        <w:top w:val="none" w:sz="0" w:space="0" w:color="auto"/>
        <w:left w:val="none" w:sz="0" w:space="0" w:color="auto"/>
        <w:bottom w:val="none" w:sz="0" w:space="0" w:color="auto"/>
        <w:right w:val="none" w:sz="0" w:space="0" w:color="auto"/>
      </w:divBdr>
    </w:div>
    <w:div w:id="1500777740">
      <w:bodyDiv w:val="1"/>
      <w:marLeft w:val="0"/>
      <w:marRight w:val="0"/>
      <w:marTop w:val="0"/>
      <w:marBottom w:val="0"/>
      <w:divBdr>
        <w:top w:val="none" w:sz="0" w:space="0" w:color="auto"/>
        <w:left w:val="none" w:sz="0" w:space="0" w:color="auto"/>
        <w:bottom w:val="none" w:sz="0" w:space="0" w:color="auto"/>
        <w:right w:val="none" w:sz="0" w:space="0" w:color="auto"/>
      </w:divBdr>
      <w:divsChild>
        <w:div w:id="3357652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4788014">
      <w:bodyDiv w:val="1"/>
      <w:marLeft w:val="0"/>
      <w:marRight w:val="0"/>
      <w:marTop w:val="0"/>
      <w:marBottom w:val="0"/>
      <w:divBdr>
        <w:top w:val="none" w:sz="0" w:space="0" w:color="auto"/>
        <w:left w:val="none" w:sz="0" w:space="0" w:color="auto"/>
        <w:bottom w:val="none" w:sz="0" w:space="0" w:color="auto"/>
        <w:right w:val="none" w:sz="0" w:space="0" w:color="auto"/>
      </w:divBdr>
      <w:divsChild>
        <w:div w:id="162873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retaileconomics.co.uk/retail-insights/thought-leadership-reports/top-5-strategies-for-retailers-and-brands-to-combat-rising-inflation-and-operating-cost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ckinsey.com/industries/retail/our-insights/navigating-inflation-in-retail-six-actions-for-retailer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rocerydoppio.com/articles/tesco-the-pillars-of-success-and-market-leadershi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ripps.co.uk/thinking/the-evolution-of-retail-how-technology-is-transforming-the-retail-industry/" TargetMode="External"/><Relationship Id="rId4" Type="http://schemas.openxmlformats.org/officeDocument/2006/relationships/settings" Target="settings.xml"/><Relationship Id="rId9" Type="http://schemas.openxmlformats.org/officeDocument/2006/relationships/hyperlink" Target="https://www.marketing91.com/marketing-mix-of-lidl/"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E30E44-DC1F-4417-A5A5-B53B0B378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14</Pages>
  <Words>3328</Words>
  <Characters>18970</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Reda</dc:creator>
  <cp:keywords/>
  <dc:description/>
  <cp:lastModifiedBy>Reda</cp:lastModifiedBy>
  <cp:revision>17</cp:revision>
  <dcterms:created xsi:type="dcterms:W3CDTF">2025-10-15T13:08:00Z</dcterms:created>
  <dcterms:modified xsi:type="dcterms:W3CDTF">2025-10-23T19:52:00Z</dcterms:modified>
</cp:coreProperties>
</file>