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D6A6A5" w14:textId="545A9549" w:rsidR="00D07C53" w:rsidRPr="00D07C53" w:rsidRDefault="00D07C53" w:rsidP="00D07C53">
      <w:pPr>
        <w:spacing w:line="360" w:lineRule="auto"/>
        <w:rPr>
          <w:rFonts w:cstheme="minorHAnsi"/>
        </w:rPr>
      </w:pPr>
      <w:r w:rsidRPr="00D07C53">
        <w:rPr>
          <w:rFonts w:cstheme="minorHAnsi"/>
        </w:rPr>
        <w:t>The European Union (EU) law has primacy over member state law (Europa, 2011). Direct effect refers to an individual’s ability to rely on the EU law directly in court, whereas indirect effect refers to the way an individual can rely on the member state law that has been interpret</w:t>
      </w:r>
      <w:r>
        <w:rPr>
          <w:rFonts w:cstheme="minorHAnsi"/>
        </w:rPr>
        <w:t>ed</w:t>
      </w:r>
      <w:r w:rsidRPr="00D07C53">
        <w:rPr>
          <w:rFonts w:cstheme="minorHAnsi"/>
        </w:rPr>
        <w:t xml:space="preserve"> in line with the EU law (Homewood, 2020). This then affects how member state citizens, both natural and legal, can enforce their rights intended by EU law (Europa, 2017). Member state liability refers to the responsibility of the member state and the fallback that may be faced if EU laws are not incorporated and upheld within the member states' legal system (Marson, 2004). This essay will analyse how the above principles support EU citizens' ability to enforce the rights intended for them by EU law. </w:t>
      </w:r>
    </w:p>
    <w:p w14:paraId="4BC3DF28" w14:textId="77777777" w:rsidR="00D07C53" w:rsidRPr="00D07C53" w:rsidRDefault="00D07C53" w:rsidP="00D07C53">
      <w:pPr>
        <w:spacing w:line="360" w:lineRule="auto"/>
        <w:rPr>
          <w:rFonts w:cstheme="minorHAnsi"/>
        </w:rPr>
      </w:pPr>
    </w:p>
    <w:p w14:paraId="3454EBDB" w14:textId="77777777" w:rsidR="00D07C53" w:rsidRPr="00D07C53" w:rsidRDefault="00D07C53" w:rsidP="00D07C53">
      <w:pPr>
        <w:spacing w:line="360" w:lineRule="auto"/>
        <w:rPr>
          <w:rFonts w:cstheme="minorHAnsi"/>
        </w:rPr>
      </w:pPr>
      <w:r w:rsidRPr="00D07C53">
        <w:rPr>
          <w:rFonts w:cstheme="minorHAnsi"/>
        </w:rPr>
        <w:t>When the court of Justice of the EU Union solidified the principle of direct effect in Van Gen Den Loos v Netherlands (1963 (a)). It was criticized by some national courts due to the fear that the primacy of European law over the member states' law would eventually restrict some fundamental rights (</w:t>
      </w:r>
      <w:proofErr w:type="spellStart"/>
      <w:r w:rsidRPr="00D07C53">
        <w:rPr>
          <w:rFonts w:cstheme="minorHAnsi"/>
        </w:rPr>
        <w:t>Marzocchi</w:t>
      </w:r>
      <w:proofErr w:type="spellEnd"/>
      <w:r w:rsidRPr="00D07C53">
        <w:rPr>
          <w:rFonts w:cstheme="minorHAnsi"/>
        </w:rPr>
        <w:t xml:space="preserve">, 2021). However, this is overcome by the point that the union is founded on the respect of the fundamental human rights so any power enacted by it would not restrict these rights (Art.2, Consolidated version of TFEU). A point which is further supported by the court of Justice in the case Erich </w:t>
      </w:r>
      <w:proofErr w:type="spellStart"/>
      <w:r w:rsidRPr="00D07C53">
        <w:rPr>
          <w:rFonts w:cstheme="minorHAnsi"/>
        </w:rPr>
        <w:t>Stauder</w:t>
      </w:r>
      <w:proofErr w:type="spellEnd"/>
      <w:r w:rsidRPr="00D07C53">
        <w:rPr>
          <w:rFonts w:cstheme="minorHAnsi"/>
        </w:rPr>
        <w:t xml:space="preserve"> v City of Ulm – </w:t>
      </w:r>
      <w:proofErr w:type="spellStart"/>
      <w:r w:rsidRPr="00D07C53">
        <w:rPr>
          <w:rFonts w:cstheme="minorHAnsi"/>
        </w:rPr>
        <w:t>Sozialamt</w:t>
      </w:r>
      <w:proofErr w:type="spellEnd"/>
      <w:r w:rsidRPr="00D07C53">
        <w:rPr>
          <w:rFonts w:cstheme="minorHAnsi"/>
        </w:rPr>
        <w:t xml:space="preserve"> (1969). This supports the view that citizens are empowered to enforce the rights intended on them by EU law as they are set on the principles of fundamental human rights.</w:t>
      </w:r>
    </w:p>
    <w:p w14:paraId="38E900BC" w14:textId="77777777" w:rsidR="00D07C53" w:rsidRPr="00D07C53" w:rsidRDefault="00D07C53" w:rsidP="00D07C53">
      <w:pPr>
        <w:spacing w:line="360" w:lineRule="auto"/>
        <w:rPr>
          <w:rFonts w:cstheme="minorHAnsi"/>
        </w:rPr>
      </w:pPr>
      <w:r w:rsidRPr="00D07C53">
        <w:rPr>
          <w:rFonts w:cstheme="minorHAnsi"/>
        </w:rPr>
        <w:t xml:space="preserve">Direct effect can be broken into two categories, horizontal and vertical. Horizontal effect refers to a member state's citizens' ability to enforce their rights against another citizen, </w:t>
      </w:r>
      <w:proofErr w:type="gramStart"/>
      <w:r w:rsidRPr="00D07C53">
        <w:rPr>
          <w:rFonts w:cstheme="minorHAnsi"/>
        </w:rPr>
        <w:t>organisation</w:t>
      </w:r>
      <w:proofErr w:type="gramEnd"/>
      <w:r w:rsidRPr="00D07C53">
        <w:rPr>
          <w:rFonts w:cstheme="minorHAnsi"/>
        </w:rPr>
        <w:t xml:space="preserve"> or company (BNO </w:t>
      </w:r>
      <w:proofErr w:type="spellStart"/>
      <w:r w:rsidRPr="00D07C53">
        <w:rPr>
          <w:rFonts w:cstheme="minorHAnsi"/>
        </w:rPr>
        <w:t>Walrave</w:t>
      </w:r>
      <w:proofErr w:type="spellEnd"/>
      <w:r w:rsidRPr="00D07C53">
        <w:rPr>
          <w:rFonts w:cstheme="minorHAnsi"/>
        </w:rPr>
        <w:t xml:space="preserve"> and LJN Koch v Association Union, 1974). Whereas vertical direct effect refers to an individual enforcing an EU provision against the state (</w:t>
      </w:r>
      <w:proofErr w:type="spellStart"/>
      <w:r w:rsidRPr="00D07C53">
        <w:rPr>
          <w:rFonts w:cstheme="minorHAnsi"/>
        </w:rPr>
        <w:t>Lutticke</w:t>
      </w:r>
      <w:proofErr w:type="spellEnd"/>
      <w:r w:rsidRPr="00D07C53">
        <w:rPr>
          <w:rFonts w:cstheme="minorHAnsi"/>
        </w:rPr>
        <w:t xml:space="preserve"> GmbH v </w:t>
      </w:r>
      <w:proofErr w:type="spellStart"/>
      <w:r w:rsidRPr="00D07C53">
        <w:rPr>
          <w:rFonts w:cstheme="minorHAnsi"/>
        </w:rPr>
        <w:t>Hauptzollamt</w:t>
      </w:r>
      <w:proofErr w:type="spellEnd"/>
      <w:r w:rsidRPr="00D07C53">
        <w:rPr>
          <w:rFonts w:cstheme="minorHAnsi"/>
        </w:rPr>
        <w:t xml:space="preserve"> </w:t>
      </w:r>
      <w:proofErr w:type="spellStart"/>
      <w:r w:rsidRPr="00D07C53">
        <w:rPr>
          <w:rFonts w:cstheme="minorHAnsi"/>
        </w:rPr>
        <w:t>Sarrelouis</w:t>
      </w:r>
      <w:proofErr w:type="spellEnd"/>
      <w:r w:rsidRPr="00D07C53">
        <w:rPr>
          <w:rFonts w:cstheme="minorHAnsi"/>
        </w:rPr>
        <w:t xml:space="preserve"> 1966). Thus, providing wide-ranging cover and </w:t>
      </w:r>
      <w:proofErr w:type="gramStart"/>
      <w:r w:rsidRPr="00D07C53">
        <w:rPr>
          <w:rFonts w:cstheme="minorHAnsi"/>
        </w:rPr>
        <w:t>at a glance</w:t>
      </w:r>
      <w:proofErr w:type="gramEnd"/>
      <w:r w:rsidRPr="00D07C53">
        <w:rPr>
          <w:rFonts w:cstheme="minorHAnsi"/>
        </w:rPr>
        <w:t xml:space="preserve"> promoting citizens' abilities to enforce the rights afforded to them. </w:t>
      </w:r>
    </w:p>
    <w:p w14:paraId="5DCDED68" w14:textId="77777777" w:rsidR="00D07C53" w:rsidRPr="00D07C53" w:rsidRDefault="00D07C53" w:rsidP="00D07C53">
      <w:pPr>
        <w:spacing w:line="360" w:lineRule="auto"/>
        <w:rPr>
          <w:rFonts w:cstheme="minorHAnsi"/>
        </w:rPr>
      </w:pPr>
      <w:r w:rsidRPr="00D07C53">
        <w:rPr>
          <w:rFonts w:cstheme="minorHAnsi"/>
        </w:rPr>
        <w:t xml:space="preserve">EU treaties can be both horizontally or vertically directly effective (Thomas and Reuters, 2022). The stipulations of treaties are automatically binding as soon as they are brought into power (Europa, 2022). The protection of the rights afforded to citizens comes in the form that member states must not apply any conflicting legislation to these treaties, ensuring that the member state cannot deliberately prevent the enforcement of citizens' ability to enforce the rights intended (s.4 (3) TEU). The decision in Van Gen Den Loos v Netherlands (1963 (b)) stipulated </w:t>
      </w:r>
      <w:proofErr w:type="gramStart"/>
      <w:r w:rsidRPr="00D07C53">
        <w:rPr>
          <w:rFonts w:cstheme="minorHAnsi"/>
        </w:rPr>
        <w:t>that treaties</w:t>
      </w:r>
      <w:proofErr w:type="gramEnd"/>
      <w:r w:rsidRPr="00D07C53">
        <w:rPr>
          <w:rFonts w:cstheme="minorHAnsi"/>
        </w:rPr>
        <w:t xml:space="preserve"> can be directly effective providing the provision is clear, </w:t>
      </w:r>
      <w:r w:rsidRPr="00D07C53">
        <w:rPr>
          <w:rFonts w:cstheme="minorHAnsi"/>
        </w:rPr>
        <w:lastRenderedPageBreak/>
        <w:t xml:space="preserve">precise and unconditional. </w:t>
      </w:r>
      <w:proofErr w:type="spellStart"/>
      <w:r w:rsidRPr="00D07C53">
        <w:rPr>
          <w:rFonts w:cstheme="minorHAnsi"/>
        </w:rPr>
        <w:t>Defrenne</w:t>
      </w:r>
      <w:proofErr w:type="spellEnd"/>
      <w:r w:rsidRPr="00D07C53">
        <w:rPr>
          <w:rFonts w:cstheme="minorHAnsi"/>
        </w:rPr>
        <w:t xml:space="preserve"> v Sabena [1976] added protection to a citizen's rights by expanding the definition of clear, an EU treaty does not need to be clear in its entirety but only the stipulations which will be capable of having direct effect. The principles which are being relied on as directly effective </w:t>
      </w:r>
      <w:proofErr w:type="spellStart"/>
      <w:r w:rsidRPr="00D07C53">
        <w:rPr>
          <w:rFonts w:cstheme="minorHAnsi"/>
        </w:rPr>
        <w:t>can not</w:t>
      </w:r>
      <w:proofErr w:type="spellEnd"/>
      <w:r w:rsidRPr="00D07C53">
        <w:rPr>
          <w:rFonts w:cstheme="minorHAnsi"/>
        </w:rPr>
        <w:t xml:space="preserve"> have any room for the discretion of the member state (Ursula Becker v </w:t>
      </w:r>
      <w:proofErr w:type="spellStart"/>
      <w:r w:rsidRPr="00D07C53">
        <w:rPr>
          <w:rFonts w:cstheme="minorHAnsi"/>
        </w:rPr>
        <w:t>Finanzamt</w:t>
      </w:r>
      <w:proofErr w:type="spellEnd"/>
      <w:r w:rsidRPr="00D07C53">
        <w:rPr>
          <w:rFonts w:cstheme="minorHAnsi"/>
        </w:rPr>
        <w:t xml:space="preserve"> Münster-</w:t>
      </w:r>
      <w:proofErr w:type="spellStart"/>
      <w:r w:rsidRPr="00D07C53">
        <w:rPr>
          <w:rFonts w:cstheme="minorHAnsi"/>
        </w:rPr>
        <w:t>Innenstadt</w:t>
      </w:r>
      <w:proofErr w:type="spellEnd"/>
      <w:r w:rsidRPr="00D07C53">
        <w:rPr>
          <w:rFonts w:cstheme="minorHAnsi"/>
        </w:rPr>
        <w:t>, 1982). While this provides member state citizens with the assurance that they can enforce the rights intended by treaties it does highlight a concern that complexities of a case or unclear treaties could restrict this right. EU regulations are capable of direct effect, both horizontal and vertical (</w:t>
      </w:r>
      <w:proofErr w:type="spellStart"/>
      <w:r w:rsidRPr="00D07C53">
        <w:rPr>
          <w:rFonts w:cstheme="minorHAnsi"/>
        </w:rPr>
        <w:t>Politi</w:t>
      </w:r>
      <w:proofErr w:type="spellEnd"/>
      <w:r w:rsidRPr="00D07C53">
        <w:rPr>
          <w:rFonts w:cstheme="minorHAnsi"/>
        </w:rPr>
        <w:t xml:space="preserve"> SAS v </w:t>
      </w:r>
      <w:proofErr w:type="spellStart"/>
      <w:r w:rsidRPr="00D07C53">
        <w:rPr>
          <w:rFonts w:cstheme="minorHAnsi"/>
        </w:rPr>
        <w:t>Ministero</w:t>
      </w:r>
      <w:proofErr w:type="spellEnd"/>
      <w:r w:rsidRPr="00D07C53">
        <w:rPr>
          <w:rFonts w:cstheme="minorHAnsi"/>
        </w:rPr>
        <w:t xml:space="preserve"> </w:t>
      </w:r>
      <w:proofErr w:type="spellStart"/>
      <w:r w:rsidRPr="00D07C53">
        <w:rPr>
          <w:rFonts w:cstheme="minorHAnsi"/>
        </w:rPr>
        <w:t>delle</w:t>
      </w:r>
      <w:proofErr w:type="spellEnd"/>
      <w:r w:rsidRPr="00D07C53">
        <w:rPr>
          <w:rFonts w:cstheme="minorHAnsi"/>
        </w:rPr>
        <w:t xml:space="preserve"> </w:t>
      </w:r>
      <w:proofErr w:type="spellStart"/>
      <w:r w:rsidRPr="00D07C53">
        <w:rPr>
          <w:rFonts w:cstheme="minorHAnsi"/>
        </w:rPr>
        <w:t>Finanze</w:t>
      </w:r>
      <w:proofErr w:type="spellEnd"/>
      <w:r w:rsidRPr="00D07C53">
        <w:rPr>
          <w:rFonts w:cstheme="minorHAnsi"/>
        </w:rPr>
        <w:t xml:space="preserve">, 1973). </w:t>
      </w:r>
      <w:proofErr w:type="spellStart"/>
      <w:r w:rsidRPr="00D07C53">
        <w:rPr>
          <w:rFonts w:cstheme="minorHAnsi"/>
        </w:rPr>
        <w:t>Leonesio</w:t>
      </w:r>
      <w:proofErr w:type="spellEnd"/>
      <w:r w:rsidRPr="00D07C53">
        <w:rPr>
          <w:rFonts w:cstheme="minorHAnsi"/>
        </w:rPr>
        <w:t xml:space="preserve"> v Italian Ministry of Agriculture [1972] highlighted that member states could not enforce legislation conflicting with EU regulations. Thus, supporting the argument that the direct effect of EU regulations places power on member state citizens and protects their ability to enforce the rights intended for them. In line with the other EU legislation discussed decisions are binding and can have direct effect (Grad v </w:t>
      </w:r>
      <w:proofErr w:type="spellStart"/>
      <w:r w:rsidRPr="00D07C53">
        <w:rPr>
          <w:rFonts w:cstheme="minorHAnsi"/>
        </w:rPr>
        <w:t>Finanzamt</w:t>
      </w:r>
      <w:proofErr w:type="spellEnd"/>
      <w:r w:rsidRPr="00D07C53">
        <w:rPr>
          <w:rFonts w:cstheme="minorHAnsi"/>
        </w:rPr>
        <w:t xml:space="preserve"> </w:t>
      </w:r>
      <w:proofErr w:type="spellStart"/>
      <w:r w:rsidRPr="00D07C53">
        <w:rPr>
          <w:rFonts w:cstheme="minorHAnsi"/>
        </w:rPr>
        <w:t>Traunstein</w:t>
      </w:r>
      <w:proofErr w:type="spellEnd"/>
      <w:r w:rsidRPr="00D07C53">
        <w:rPr>
          <w:rFonts w:cstheme="minorHAnsi"/>
        </w:rPr>
        <w:t xml:space="preserve">, 1970). Carp v </w:t>
      </w:r>
      <w:proofErr w:type="spellStart"/>
      <w:r w:rsidRPr="00D07C53">
        <w:rPr>
          <w:rFonts w:cstheme="minorHAnsi"/>
        </w:rPr>
        <w:t>Encorad</w:t>
      </w:r>
      <w:proofErr w:type="spellEnd"/>
      <w:r w:rsidRPr="00D07C53">
        <w:rPr>
          <w:rFonts w:cstheme="minorHAnsi"/>
        </w:rPr>
        <w:t xml:space="preserve"> (2007) highlights that like treaties a decision must be clear and unconditional in its wording. Something that does ensure citizens can invoke their rights but does cause concerns over their rights being ignored if a decision is not adequately clear. </w:t>
      </w:r>
    </w:p>
    <w:p w14:paraId="4019A911" w14:textId="77777777" w:rsidR="00D07C53" w:rsidRPr="00D07C53" w:rsidRDefault="00D07C53" w:rsidP="00D07C53">
      <w:pPr>
        <w:spacing w:line="360" w:lineRule="auto"/>
        <w:rPr>
          <w:rFonts w:cstheme="minorHAnsi"/>
        </w:rPr>
      </w:pPr>
    </w:p>
    <w:p w14:paraId="12784F60" w14:textId="7D1AF876" w:rsidR="00D07C53" w:rsidRDefault="00D07C53" w:rsidP="00D07C53">
      <w:pPr>
        <w:spacing w:line="360" w:lineRule="auto"/>
        <w:rPr>
          <w:rFonts w:cstheme="minorHAnsi"/>
        </w:rPr>
      </w:pPr>
      <w:r w:rsidRPr="00D07C53">
        <w:rPr>
          <w:rFonts w:cstheme="minorHAnsi"/>
        </w:rPr>
        <w:t xml:space="preserve">Directives implemented by the EU are however more complex. Directives are binding on the EU member state (Art 288, TFEU). A directive requires a member state to incorporate a certain objective into its legislation by a certain date (Europa, 2022 (a)). </w:t>
      </w:r>
      <w:proofErr w:type="gramStart"/>
      <w:r w:rsidRPr="00D07C53">
        <w:rPr>
          <w:rFonts w:cstheme="minorHAnsi"/>
        </w:rPr>
        <w:t>This criteria</w:t>
      </w:r>
      <w:proofErr w:type="gramEnd"/>
      <w:r w:rsidRPr="00D07C53">
        <w:rPr>
          <w:rFonts w:cstheme="minorHAnsi"/>
        </w:rPr>
        <w:t xml:space="preserve"> allows directives to remain authoritative as without the necessity for member states to comply the directives may become mute (Van </w:t>
      </w:r>
      <w:proofErr w:type="spellStart"/>
      <w:r w:rsidRPr="00D07C53">
        <w:rPr>
          <w:rFonts w:cstheme="minorHAnsi"/>
        </w:rPr>
        <w:t>Duyn</w:t>
      </w:r>
      <w:proofErr w:type="spellEnd"/>
      <w:r w:rsidRPr="00D07C53">
        <w:rPr>
          <w:rFonts w:cstheme="minorHAnsi"/>
        </w:rPr>
        <w:t xml:space="preserve"> v Home Office, 1974 (a)). Although this does receive criticism for the implementation differing from other EU laws and calling the supremacy into question (Mol, 2011). Directives could not be relied upon to be horizontally effective (Duke v GEC Reliance, 1988). This brought into question unfairness for citizens enforcing their rights against other citizens, </w:t>
      </w:r>
      <w:proofErr w:type="gramStart"/>
      <w:r w:rsidRPr="00D07C53">
        <w:rPr>
          <w:rFonts w:cstheme="minorHAnsi"/>
        </w:rPr>
        <w:t>companies</w:t>
      </w:r>
      <w:proofErr w:type="gramEnd"/>
      <w:r w:rsidRPr="00D07C53">
        <w:rPr>
          <w:rFonts w:cstheme="minorHAnsi"/>
        </w:rPr>
        <w:t xml:space="preserve"> or organisations. Although an individual can rely on incidental horizontal direct effect (CIA Security International SA v </w:t>
      </w:r>
      <w:proofErr w:type="spellStart"/>
      <w:r w:rsidRPr="00D07C53">
        <w:rPr>
          <w:rFonts w:cstheme="minorHAnsi"/>
        </w:rPr>
        <w:t>Signalson</w:t>
      </w:r>
      <w:proofErr w:type="spellEnd"/>
      <w:r w:rsidRPr="00D07C53">
        <w:rPr>
          <w:rFonts w:cstheme="minorHAnsi"/>
        </w:rPr>
        <w:t xml:space="preserve"> SA and </w:t>
      </w:r>
      <w:proofErr w:type="spellStart"/>
      <w:r w:rsidRPr="00D07C53">
        <w:rPr>
          <w:rFonts w:cstheme="minorHAnsi"/>
        </w:rPr>
        <w:t>Securitel</w:t>
      </w:r>
      <w:proofErr w:type="spellEnd"/>
      <w:r w:rsidRPr="00D07C53">
        <w:rPr>
          <w:rFonts w:cstheme="minorHAnsi"/>
        </w:rPr>
        <w:t>, 1996). Something which can be argued to help overcome the criticism of unfairness.</w:t>
      </w:r>
    </w:p>
    <w:p w14:paraId="0EBAB311" w14:textId="77777777" w:rsidR="00D07C53" w:rsidRPr="00D07C53" w:rsidRDefault="00D07C53" w:rsidP="00D07C53">
      <w:pPr>
        <w:spacing w:line="360" w:lineRule="auto"/>
        <w:rPr>
          <w:rFonts w:cstheme="minorHAnsi"/>
        </w:rPr>
      </w:pPr>
    </w:p>
    <w:p w14:paraId="3C911848" w14:textId="2B7451BE" w:rsidR="00D07C53" w:rsidRPr="00D07C53" w:rsidRDefault="00D07C53" w:rsidP="00D07C53">
      <w:pPr>
        <w:spacing w:line="360" w:lineRule="auto"/>
        <w:rPr>
          <w:rFonts w:cstheme="minorHAnsi"/>
        </w:rPr>
      </w:pPr>
      <w:r w:rsidRPr="00D07C53">
        <w:rPr>
          <w:rFonts w:cstheme="minorHAnsi"/>
        </w:rPr>
        <w:t xml:space="preserve">Relying on estoppel reasoning the court of justice argues citizens can rely on their ability to enforce their rights intended through directives by vertical direct effect (Marshall v </w:t>
      </w:r>
      <w:r w:rsidRPr="00D07C53">
        <w:rPr>
          <w:rFonts w:cstheme="minorHAnsi"/>
        </w:rPr>
        <w:lastRenderedPageBreak/>
        <w:t xml:space="preserve">Southampton and South-West Hampshire Area Health Authority, 1986). Applying vertical direct effect is reliant on criteria being met (Van </w:t>
      </w:r>
      <w:proofErr w:type="spellStart"/>
      <w:r w:rsidRPr="00D07C53">
        <w:rPr>
          <w:rFonts w:cstheme="minorHAnsi"/>
        </w:rPr>
        <w:t>Duyn</w:t>
      </w:r>
      <w:proofErr w:type="spellEnd"/>
      <w:r w:rsidRPr="00D07C53">
        <w:rPr>
          <w:rFonts w:cstheme="minorHAnsi"/>
        </w:rPr>
        <w:t xml:space="preserve"> v Home Office, 1974 (b)). The directive implementation date must have passed and that the provisions within are clear, </w:t>
      </w:r>
      <w:proofErr w:type="gramStart"/>
      <w:r w:rsidRPr="00D07C53">
        <w:rPr>
          <w:rFonts w:cstheme="minorHAnsi"/>
        </w:rPr>
        <w:t>precise</w:t>
      </w:r>
      <w:proofErr w:type="gramEnd"/>
      <w:r w:rsidRPr="00D07C53">
        <w:rPr>
          <w:rFonts w:cstheme="minorHAnsi"/>
        </w:rPr>
        <w:t xml:space="preserve"> and unconditional in the intent to provide power to citizens or to afford them certain rights. If the above conditions are not both met a citizen </w:t>
      </w:r>
      <w:proofErr w:type="spellStart"/>
      <w:r w:rsidRPr="00D07C53">
        <w:rPr>
          <w:rFonts w:cstheme="minorHAnsi"/>
        </w:rPr>
        <w:t>can not</w:t>
      </w:r>
      <w:proofErr w:type="spellEnd"/>
      <w:r w:rsidRPr="00D07C53">
        <w:rPr>
          <w:rFonts w:cstheme="minorHAnsi"/>
        </w:rPr>
        <w:t xml:space="preserve"> rely on a directive for vertical direct effect (</w:t>
      </w:r>
      <w:proofErr w:type="spellStart"/>
      <w:r w:rsidRPr="00D07C53">
        <w:rPr>
          <w:rFonts w:cstheme="minorHAnsi"/>
        </w:rPr>
        <w:t>Pubblico</w:t>
      </w:r>
      <w:proofErr w:type="spellEnd"/>
      <w:r w:rsidRPr="00D07C53">
        <w:rPr>
          <w:rFonts w:cstheme="minorHAnsi"/>
        </w:rPr>
        <w:t xml:space="preserve"> </w:t>
      </w:r>
      <w:proofErr w:type="spellStart"/>
      <w:r w:rsidRPr="00D07C53">
        <w:rPr>
          <w:rFonts w:cstheme="minorHAnsi"/>
        </w:rPr>
        <w:t>Ministero</w:t>
      </w:r>
      <w:proofErr w:type="spellEnd"/>
      <w:r w:rsidRPr="00D07C53">
        <w:rPr>
          <w:rFonts w:cstheme="minorHAnsi"/>
        </w:rPr>
        <w:t xml:space="preserve"> v </w:t>
      </w:r>
      <w:proofErr w:type="spellStart"/>
      <w:r w:rsidRPr="00D07C53">
        <w:rPr>
          <w:rFonts w:cstheme="minorHAnsi"/>
        </w:rPr>
        <w:t>Tullio</w:t>
      </w:r>
      <w:proofErr w:type="spellEnd"/>
      <w:r w:rsidRPr="00D07C53">
        <w:rPr>
          <w:rFonts w:cstheme="minorHAnsi"/>
        </w:rPr>
        <w:t xml:space="preserve"> </w:t>
      </w:r>
      <w:proofErr w:type="spellStart"/>
      <w:r w:rsidRPr="00D07C53">
        <w:rPr>
          <w:rFonts w:cstheme="minorHAnsi"/>
        </w:rPr>
        <w:t>Ratti</w:t>
      </w:r>
      <w:proofErr w:type="spellEnd"/>
      <w:r w:rsidRPr="00D07C53">
        <w:rPr>
          <w:rFonts w:cstheme="minorHAnsi"/>
        </w:rPr>
        <w:t xml:space="preserve"> 1979). This promotes the security a citizen </w:t>
      </w:r>
      <w:proofErr w:type="gramStart"/>
      <w:r w:rsidRPr="00D07C53">
        <w:rPr>
          <w:rFonts w:cstheme="minorHAnsi"/>
        </w:rPr>
        <w:t>has to</w:t>
      </w:r>
      <w:proofErr w:type="gramEnd"/>
      <w:r w:rsidRPr="00D07C53">
        <w:rPr>
          <w:rFonts w:cstheme="minorHAnsi"/>
        </w:rPr>
        <w:t xml:space="preserve"> enforce the rights intended by EU law, however bringing into question what happens when the directive does not meet the set criteria. Case law has expanded the bodies liable under vertical direct effect. As seen in </w:t>
      </w:r>
      <w:proofErr w:type="gramStart"/>
      <w:r w:rsidRPr="00D07C53">
        <w:rPr>
          <w:rFonts w:cstheme="minorHAnsi"/>
        </w:rPr>
        <w:t>Foster</w:t>
      </w:r>
      <w:proofErr w:type="gramEnd"/>
      <w:r w:rsidRPr="00D07C53">
        <w:rPr>
          <w:rFonts w:cstheme="minorHAnsi"/>
        </w:rPr>
        <w:t xml:space="preserve"> v British gas (1990), the court has adopted a broad definition of the applicability of direct vertical effect, allowing certain entities to be seen as an emanation of the state. Something which is expanded by Farrell v Whitty (2017) where it is seen that a private body must have special power beyond what would be normally expected of an individual and would not need to be a body that is under control by the state. This wide interpretation could be argued as overcoming the inability to rely on horizontal direct effect, by ensuring the citizens' ability to enforce the rights intended for them by detailing a wide range of bodies who are included in this approach (</w:t>
      </w:r>
      <w:proofErr w:type="spellStart"/>
      <w:r w:rsidRPr="00D07C53">
        <w:rPr>
          <w:rFonts w:cstheme="minorHAnsi"/>
        </w:rPr>
        <w:t>Matusescu</w:t>
      </w:r>
      <w:proofErr w:type="spellEnd"/>
      <w:r w:rsidRPr="00D07C53">
        <w:rPr>
          <w:rFonts w:cstheme="minorHAnsi"/>
        </w:rPr>
        <w:t xml:space="preserve">, 2017). Although it should be noted that as per Art 288 (TFEU, b) the application of any type of direct effect could be seen as a conflict. The stipulation is that directives should be applied in a way the member state decides. Allowing citizens to rely on </w:t>
      </w:r>
      <w:proofErr w:type="spellStart"/>
      <w:r w:rsidRPr="00D07C53">
        <w:rPr>
          <w:rFonts w:cstheme="minorHAnsi"/>
        </w:rPr>
        <w:t>verticle</w:t>
      </w:r>
      <w:proofErr w:type="spellEnd"/>
      <w:r w:rsidRPr="00D07C53">
        <w:rPr>
          <w:rFonts w:cstheme="minorHAnsi"/>
        </w:rPr>
        <w:t xml:space="preserve"> direct effect ensures that estops member states from benefitting from their own failure. Further protection comes in the form that a member state could not bring into power any legislation that would hinder the implementation of the directive once the implementation date had passed (Inter- </w:t>
      </w:r>
      <w:proofErr w:type="spellStart"/>
      <w:r w:rsidRPr="00D07C53">
        <w:rPr>
          <w:rFonts w:cstheme="minorHAnsi"/>
        </w:rPr>
        <w:t>Environnement</w:t>
      </w:r>
      <w:proofErr w:type="spellEnd"/>
      <w:r w:rsidRPr="00D07C53">
        <w:rPr>
          <w:rFonts w:cstheme="minorHAnsi"/>
        </w:rPr>
        <w:t xml:space="preserve"> </w:t>
      </w:r>
      <w:proofErr w:type="spellStart"/>
      <w:r w:rsidRPr="00D07C53">
        <w:rPr>
          <w:rFonts w:cstheme="minorHAnsi"/>
        </w:rPr>
        <w:t>Wallonie</w:t>
      </w:r>
      <w:proofErr w:type="spellEnd"/>
      <w:r w:rsidRPr="00D07C53">
        <w:rPr>
          <w:rFonts w:cstheme="minorHAnsi"/>
        </w:rPr>
        <w:t xml:space="preserve"> ASBL v. </w:t>
      </w:r>
      <w:proofErr w:type="spellStart"/>
      <w:r w:rsidRPr="00D07C53">
        <w:rPr>
          <w:rFonts w:cstheme="minorHAnsi"/>
        </w:rPr>
        <w:t>Région</w:t>
      </w:r>
      <w:proofErr w:type="spellEnd"/>
      <w:r w:rsidRPr="00D07C53">
        <w:rPr>
          <w:rFonts w:cstheme="minorHAnsi"/>
        </w:rPr>
        <w:t xml:space="preserve"> </w:t>
      </w:r>
      <w:proofErr w:type="spellStart"/>
      <w:r w:rsidRPr="00D07C53">
        <w:rPr>
          <w:rFonts w:cstheme="minorHAnsi"/>
        </w:rPr>
        <w:t>Wallone</w:t>
      </w:r>
      <w:proofErr w:type="spellEnd"/>
      <w:r w:rsidRPr="00D07C53">
        <w:rPr>
          <w:rFonts w:cstheme="minorHAnsi"/>
        </w:rPr>
        <w:t xml:space="preserve">, 1971). Ensuring far-reaching protection is in place so that member states cannot disadvantage citizens and blame bad administration or rely on conflicting legislation to disadvantage a citizen. </w:t>
      </w:r>
    </w:p>
    <w:p w14:paraId="255D5EB2" w14:textId="77777777" w:rsidR="00D07C53" w:rsidRPr="00D07C53" w:rsidRDefault="00D07C53" w:rsidP="00D07C53">
      <w:pPr>
        <w:spacing w:line="360" w:lineRule="auto"/>
        <w:rPr>
          <w:rFonts w:cstheme="minorHAnsi"/>
        </w:rPr>
      </w:pPr>
    </w:p>
    <w:p w14:paraId="0A0692A8" w14:textId="77777777" w:rsidR="00D07C53" w:rsidRPr="00D07C53" w:rsidRDefault="00D07C53" w:rsidP="00D07C53">
      <w:pPr>
        <w:spacing w:line="360" w:lineRule="auto"/>
        <w:rPr>
          <w:rFonts w:cstheme="minorHAnsi"/>
        </w:rPr>
      </w:pPr>
      <w:r w:rsidRPr="00D07C53">
        <w:rPr>
          <w:rFonts w:cstheme="minorHAnsi"/>
        </w:rPr>
        <w:t xml:space="preserve">Citizens’ rights afforded by directives can be implemented onto other individuals through Indirect effect, which was established in Von Colson and </w:t>
      </w:r>
      <w:proofErr w:type="spellStart"/>
      <w:r w:rsidRPr="00D07C53">
        <w:rPr>
          <w:rFonts w:cstheme="minorHAnsi"/>
        </w:rPr>
        <w:t>Kamann</w:t>
      </w:r>
      <w:proofErr w:type="spellEnd"/>
      <w:r w:rsidRPr="00D07C53">
        <w:rPr>
          <w:rFonts w:cstheme="minorHAnsi"/>
        </w:rPr>
        <w:t xml:space="preserve"> v Land </w:t>
      </w:r>
      <w:proofErr w:type="spellStart"/>
      <w:r w:rsidRPr="00D07C53">
        <w:rPr>
          <w:rFonts w:cstheme="minorHAnsi"/>
        </w:rPr>
        <w:t>Nordreihn-Westfale</w:t>
      </w:r>
      <w:proofErr w:type="spellEnd"/>
      <w:r w:rsidRPr="00D07C53">
        <w:rPr>
          <w:rFonts w:cstheme="minorHAnsi"/>
        </w:rPr>
        <w:t xml:space="preserve"> (1984). Indirect effect requires a court to comply with EU law as to the result achieved (Art 288 TFEU, (c)). This can overcome criticism faced by the inability to rely on directives to have horizontal direct effect by allowing the indirect effect of a directive in horizontal cases (Harz v Deutsche </w:t>
      </w:r>
      <w:proofErr w:type="spellStart"/>
      <w:r w:rsidRPr="00D07C53">
        <w:rPr>
          <w:rFonts w:cstheme="minorHAnsi"/>
        </w:rPr>
        <w:t>Tradax</w:t>
      </w:r>
      <w:proofErr w:type="spellEnd"/>
      <w:r w:rsidRPr="00D07C53">
        <w:rPr>
          <w:rFonts w:cstheme="minorHAnsi"/>
        </w:rPr>
        <w:t xml:space="preserve">, 1984). Therefore, providing citizens with wide-ranging protection to </w:t>
      </w:r>
      <w:r w:rsidRPr="00D07C53">
        <w:rPr>
          <w:rFonts w:cstheme="minorHAnsi"/>
        </w:rPr>
        <w:lastRenderedPageBreak/>
        <w:t>enforce the rights intended. Although, criticisms of indirect effects' ability to ensure citizens' rights intended by directives are enforceable is seen in the fact that the court of justice expects member state courts to interpret the law ‘so far as possible’ (</w:t>
      </w:r>
      <w:proofErr w:type="spellStart"/>
      <w:r w:rsidRPr="00D07C53">
        <w:rPr>
          <w:rFonts w:cstheme="minorHAnsi"/>
        </w:rPr>
        <w:t>Marleasing</w:t>
      </w:r>
      <w:proofErr w:type="spellEnd"/>
      <w:r w:rsidRPr="00D07C53">
        <w:rPr>
          <w:rFonts w:cstheme="minorHAnsi"/>
        </w:rPr>
        <w:t xml:space="preserve"> SA v La </w:t>
      </w:r>
      <w:proofErr w:type="spellStart"/>
      <w:r w:rsidRPr="00D07C53">
        <w:rPr>
          <w:rFonts w:cstheme="minorHAnsi"/>
        </w:rPr>
        <w:t>Comercial</w:t>
      </w:r>
      <w:proofErr w:type="spellEnd"/>
      <w:r w:rsidRPr="00D07C53">
        <w:rPr>
          <w:rFonts w:cstheme="minorHAnsi"/>
        </w:rPr>
        <w:t xml:space="preserve"> </w:t>
      </w:r>
      <w:proofErr w:type="spellStart"/>
      <w:r w:rsidRPr="00D07C53">
        <w:rPr>
          <w:rFonts w:cstheme="minorHAnsi"/>
        </w:rPr>
        <w:t>Internacional</w:t>
      </w:r>
      <w:proofErr w:type="spellEnd"/>
      <w:r w:rsidRPr="00D07C53">
        <w:rPr>
          <w:rFonts w:cstheme="minorHAnsi"/>
        </w:rPr>
        <w:t xml:space="preserve"> de </w:t>
      </w:r>
      <w:proofErr w:type="spellStart"/>
      <w:r w:rsidRPr="00D07C53">
        <w:rPr>
          <w:rFonts w:cstheme="minorHAnsi"/>
        </w:rPr>
        <w:t>Alimentacion</w:t>
      </w:r>
      <w:proofErr w:type="spellEnd"/>
      <w:r w:rsidRPr="00D07C53">
        <w:rPr>
          <w:rFonts w:cstheme="minorHAnsi"/>
        </w:rPr>
        <w:t xml:space="preserve"> SA, 1990). With the in-depth and detailed legislation found within a common law </w:t>
      </w:r>
      <w:proofErr w:type="spellStart"/>
      <w:r w:rsidRPr="00D07C53">
        <w:rPr>
          <w:rFonts w:cstheme="minorHAnsi"/>
        </w:rPr>
        <w:t>jurestriction</w:t>
      </w:r>
      <w:proofErr w:type="spellEnd"/>
      <w:r w:rsidRPr="00D07C53">
        <w:rPr>
          <w:rFonts w:cstheme="minorHAnsi"/>
        </w:rPr>
        <w:t xml:space="preserve">, like the UK, little room for interpretation can be found (Quinn, 2022). Shortening the scope of the protection of citizens' ability to enforce their rights through indirect effect as without the ability to interpret the EU directive so far as possible the member state law will take precedence (Wagner </w:t>
      </w:r>
      <w:proofErr w:type="spellStart"/>
      <w:r w:rsidRPr="00D07C53">
        <w:rPr>
          <w:rFonts w:cstheme="minorHAnsi"/>
        </w:rPr>
        <w:t>Miret</w:t>
      </w:r>
      <w:proofErr w:type="spellEnd"/>
      <w:r w:rsidRPr="00D07C53">
        <w:rPr>
          <w:rFonts w:cstheme="minorHAnsi"/>
        </w:rPr>
        <w:t xml:space="preserve"> v </w:t>
      </w:r>
      <w:proofErr w:type="spellStart"/>
      <w:r w:rsidRPr="00D07C53">
        <w:rPr>
          <w:rFonts w:cstheme="minorHAnsi"/>
        </w:rPr>
        <w:t>Fondo</w:t>
      </w:r>
      <w:proofErr w:type="spellEnd"/>
      <w:r w:rsidRPr="00D07C53">
        <w:rPr>
          <w:rFonts w:cstheme="minorHAnsi"/>
        </w:rPr>
        <w:t xml:space="preserve"> </w:t>
      </w:r>
      <w:proofErr w:type="spellStart"/>
      <w:r w:rsidRPr="00D07C53">
        <w:rPr>
          <w:rFonts w:cstheme="minorHAnsi"/>
        </w:rPr>
        <w:t>Garantia</w:t>
      </w:r>
      <w:proofErr w:type="spellEnd"/>
      <w:r w:rsidRPr="00D07C53">
        <w:rPr>
          <w:rFonts w:cstheme="minorHAnsi"/>
        </w:rPr>
        <w:t xml:space="preserve"> </w:t>
      </w:r>
      <w:proofErr w:type="spellStart"/>
      <w:r w:rsidRPr="00D07C53">
        <w:rPr>
          <w:rFonts w:cstheme="minorHAnsi"/>
        </w:rPr>
        <w:t>Salarial</w:t>
      </w:r>
      <w:proofErr w:type="spellEnd"/>
      <w:r w:rsidRPr="00D07C53">
        <w:rPr>
          <w:rFonts w:cstheme="minorHAnsi"/>
        </w:rPr>
        <w:t>, 1993). However, in such scenarios protection for citizens is in the form of state liability.</w:t>
      </w:r>
    </w:p>
    <w:p w14:paraId="3934EF27" w14:textId="77777777" w:rsidR="00D07C53" w:rsidRPr="00D07C53" w:rsidRDefault="00D07C53" w:rsidP="00D07C53">
      <w:pPr>
        <w:spacing w:line="360" w:lineRule="auto"/>
        <w:rPr>
          <w:rFonts w:cstheme="minorHAnsi"/>
        </w:rPr>
      </w:pPr>
    </w:p>
    <w:p w14:paraId="3EC786E1" w14:textId="77777777" w:rsidR="00D07C53" w:rsidRPr="00D07C53" w:rsidRDefault="00D07C53" w:rsidP="00D07C53">
      <w:pPr>
        <w:spacing w:line="360" w:lineRule="auto"/>
        <w:rPr>
          <w:rFonts w:cstheme="minorHAnsi"/>
        </w:rPr>
      </w:pPr>
      <w:r w:rsidRPr="00D07C53">
        <w:rPr>
          <w:rFonts w:cstheme="minorHAnsi"/>
        </w:rPr>
        <w:t xml:space="preserve">The EU commission allows citizens of member states to hold them accountable if they are not enforcing EU provisions in the way they should be (Art 258, TFEU). State liability allows citizens to seek damages against the state when certain requirements are met (Fox, 2007). Francovich and </w:t>
      </w:r>
      <w:proofErr w:type="spellStart"/>
      <w:r w:rsidRPr="00D07C53">
        <w:rPr>
          <w:rFonts w:cstheme="minorHAnsi"/>
        </w:rPr>
        <w:t>Bonifaci</w:t>
      </w:r>
      <w:proofErr w:type="spellEnd"/>
      <w:r w:rsidRPr="00D07C53">
        <w:rPr>
          <w:rFonts w:cstheme="minorHAnsi"/>
        </w:rPr>
        <w:t xml:space="preserve"> v Italy (1991 (a)) introduced state liability providing protection to citizens who were not able to rely on direct and indirect effect. Providing the directive gave rights to the citizens, that those rights are identifiable in the directive and that there is a causal link between the breach and the loss suffered. Something which was expanded upon in Brasserie v Germany (1996) to allow for state liability to apply to any organ of the state and stipulate that there must’ve been a sufficiently serious breach, not just a failure to implement a directive. Thus, broadening the scope of state liability, and adding increased protection to the citizens' rights as a method of receiving compensation when the state failed in its duties. Although this is not a blanket approach and is assessed on a case-by-case basis to assess the severity of the breach (</w:t>
      </w:r>
      <w:proofErr w:type="spellStart"/>
      <w:r w:rsidRPr="00D07C53">
        <w:rPr>
          <w:rFonts w:cstheme="minorHAnsi"/>
        </w:rPr>
        <w:t>Dillenkofer</w:t>
      </w:r>
      <w:proofErr w:type="spellEnd"/>
      <w:r w:rsidRPr="00D07C53">
        <w:rPr>
          <w:rFonts w:cstheme="minorHAnsi"/>
        </w:rPr>
        <w:t xml:space="preserve"> v Germany, 1996). Further expansion on the scope of state liability was seen that a citizen could rely on state liability if a supreme court has breached EU Law (</w:t>
      </w:r>
      <w:proofErr w:type="spellStart"/>
      <w:r w:rsidRPr="00D07C53">
        <w:rPr>
          <w:rFonts w:cstheme="minorHAnsi"/>
        </w:rPr>
        <w:t>Kobler</w:t>
      </w:r>
      <w:proofErr w:type="spellEnd"/>
      <w:r w:rsidRPr="00D07C53">
        <w:rPr>
          <w:rFonts w:cstheme="minorHAnsi"/>
        </w:rPr>
        <w:t xml:space="preserve"> v Austria, 2003). However, for this to apply the supreme court breach must meet certain criteria which are in-depth and thorough (Traghetti del </w:t>
      </w:r>
      <w:proofErr w:type="spellStart"/>
      <w:r w:rsidRPr="00D07C53">
        <w:rPr>
          <w:rFonts w:cstheme="minorHAnsi"/>
        </w:rPr>
        <w:t>Mediterraneo</w:t>
      </w:r>
      <w:proofErr w:type="spellEnd"/>
      <w:r w:rsidRPr="00D07C53">
        <w:rPr>
          <w:rFonts w:cstheme="minorHAnsi"/>
        </w:rPr>
        <w:t xml:space="preserve"> </w:t>
      </w:r>
      <w:proofErr w:type="spellStart"/>
      <w:r w:rsidRPr="00D07C53">
        <w:rPr>
          <w:rFonts w:cstheme="minorHAnsi"/>
        </w:rPr>
        <w:t>SpA</w:t>
      </w:r>
      <w:proofErr w:type="spellEnd"/>
      <w:r w:rsidRPr="00D07C53">
        <w:rPr>
          <w:rFonts w:cstheme="minorHAnsi"/>
        </w:rPr>
        <w:t xml:space="preserve"> v Repubblica </w:t>
      </w:r>
      <w:proofErr w:type="spellStart"/>
      <w:r w:rsidRPr="00D07C53">
        <w:rPr>
          <w:rFonts w:cstheme="minorHAnsi"/>
        </w:rPr>
        <w:t>italiana</w:t>
      </w:r>
      <w:proofErr w:type="spellEnd"/>
      <w:r w:rsidRPr="00D07C53">
        <w:rPr>
          <w:rFonts w:cstheme="minorHAnsi"/>
        </w:rPr>
        <w:t xml:space="preserve">, 2006).  Therefore, bringing into question the comprehensive protection of citizens' ability to enforce their rights.  However, it should be noted that the intention outlined in Francovich and </w:t>
      </w:r>
      <w:proofErr w:type="spellStart"/>
      <w:r w:rsidRPr="00D07C53">
        <w:rPr>
          <w:rFonts w:cstheme="minorHAnsi"/>
        </w:rPr>
        <w:t>Bonifaci</w:t>
      </w:r>
      <w:proofErr w:type="spellEnd"/>
      <w:r w:rsidRPr="00D07C53">
        <w:rPr>
          <w:rFonts w:cstheme="minorHAnsi"/>
        </w:rPr>
        <w:t xml:space="preserve"> v Italy (1991 (b)) by the Court of Justice for state liability to strengthen the protection of citizens could be criticised due to the fact statistics present that this is not necessarily a deterrent to breaches. Statistics show </w:t>
      </w:r>
      <w:r w:rsidRPr="00D07C53">
        <w:rPr>
          <w:rFonts w:cstheme="minorHAnsi"/>
        </w:rPr>
        <w:lastRenderedPageBreak/>
        <w:t>that between 2013 and 2015 there was an average of 800 infringement cases opened per year to member states (Smith, 2018). Something which, although fluctuating slightly, remains around that figure or drastically higher with 903 new cases opened in 2020 (Europa, 2020). While citizens may have the protection of seeking damages under state liability, the evidence that it is not enough of a drastic deterrent to ensure there are fewer breaches brings into question how comprehensive the protection to a citizen’s ability to enforce their rights is.</w:t>
      </w:r>
    </w:p>
    <w:p w14:paraId="790CCCB5" w14:textId="77777777" w:rsidR="00D07C53" w:rsidRPr="00D07C53" w:rsidRDefault="00D07C53" w:rsidP="00D07C53">
      <w:pPr>
        <w:spacing w:line="360" w:lineRule="auto"/>
        <w:rPr>
          <w:rFonts w:cstheme="minorHAnsi"/>
        </w:rPr>
      </w:pPr>
    </w:p>
    <w:p w14:paraId="241BF5B9" w14:textId="069788D1" w:rsidR="00813E77" w:rsidRPr="00D07C53" w:rsidRDefault="00D07C53" w:rsidP="00D07C53">
      <w:pPr>
        <w:spacing w:line="360" w:lineRule="auto"/>
        <w:rPr>
          <w:rFonts w:eastAsia="Times New Roman" w:cstheme="minorHAnsi"/>
          <w:sz w:val="28"/>
          <w:szCs w:val="28"/>
          <w:shd w:val="clear" w:color="auto" w:fill="FFFFFF"/>
          <w:lang w:eastAsia="en-GB"/>
        </w:rPr>
      </w:pPr>
      <w:r w:rsidRPr="00D07C53">
        <w:rPr>
          <w:rFonts w:cstheme="minorHAnsi"/>
        </w:rPr>
        <w:t xml:space="preserve">Direct effect and indirect effect provide wide-ranging protection to a citizen’s ability to enforce their rights. Although shortfalls are found in the inability of citizens to enforce rights under horizontal direct effect of directives, the wide-ranging definition attached to ‘state’ allows for protection under vertical direct effect. Furthermore, the shortfalls that are identified with indirect effect do, to an extent, cover the holes that direct effect leaves. This can be seen through substantial case law that is </w:t>
      </w:r>
      <w:r w:rsidRPr="00D07C53">
        <w:rPr>
          <w:rFonts w:cstheme="minorHAnsi"/>
        </w:rPr>
        <w:t>ever evolving</w:t>
      </w:r>
      <w:r w:rsidRPr="00D07C53">
        <w:rPr>
          <w:rFonts w:cstheme="minorHAnsi"/>
        </w:rPr>
        <w:t xml:space="preserve">. Although it is important to note that as argued by </w:t>
      </w:r>
      <w:proofErr w:type="spellStart"/>
      <w:r w:rsidRPr="00D07C53">
        <w:rPr>
          <w:rFonts w:cstheme="minorHAnsi"/>
        </w:rPr>
        <w:t>Pescatore</w:t>
      </w:r>
      <w:proofErr w:type="spellEnd"/>
      <w:r w:rsidRPr="00D07C53">
        <w:rPr>
          <w:rFonts w:cstheme="minorHAnsi"/>
        </w:rPr>
        <w:t xml:space="preserve"> (Quoted in </w:t>
      </w:r>
      <w:proofErr w:type="spellStart"/>
      <w:r w:rsidRPr="00D07C53">
        <w:rPr>
          <w:rFonts w:cstheme="minorHAnsi"/>
        </w:rPr>
        <w:t>Squintani</w:t>
      </w:r>
      <w:proofErr w:type="spellEnd"/>
      <w:r w:rsidRPr="00D07C53">
        <w:rPr>
          <w:rFonts w:cstheme="minorHAnsi"/>
        </w:rPr>
        <w:t xml:space="preserve"> &amp; </w:t>
      </w:r>
      <w:proofErr w:type="spellStart"/>
      <w:r w:rsidRPr="00D07C53">
        <w:rPr>
          <w:rFonts w:cstheme="minorHAnsi"/>
        </w:rPr>
        <w:t>Lindeboom</w:t>
      </w:r>
      <w:proofErr w:type="spellEnd"/>
      <w:r w:rsidRPr="00D07C53">
        <w:rPr>
          <w:rFonts w:cstheme="minorHAnsi"/>
        </w:rPr>
        <w:t xml:space="preserve">, 2019) a well-rounded legal system will allow the reliance on EU provisions </w:t>
      </w:r>
      <w:proofErr w:type="gramStart"/>
      <w:r w:rsidRPr="00D07C53">
        <w:rPr>
          <w:rFonts w:cstheme="minorHAnsi"/>
        </w:rPr>
        <w:t>as long as</w:t>
      </w:r>
      <w:proofErr w:type="gramEnd"/>
      <w:r w:rsidRPr="00D07C53">
        <w:rPr>
          <w:rFonts w:cstheme="minorHAnsi"/>
        </w:rPr>
        <w:t xml:space="preserve"> they are justifiable. Therefore, showing that in line with the principle of the rule of law, the courts can ensure citizens’ rights can be enforced in the way EU legislation intended (Dicey, 1885). With the three doctrines applied in unison, any citizens who may fall through the gaps of one of the individual doctrines would be covered by one of the others. Therefore, providing comprehensive protection to a citizen’s ability to enforce the rights intended on them by EU law.</w:t>
      </w:r>
    </w:p>
    <w:p w14:paraId="21E90D37" w14:textId="04ACAEA8" w:rsidR="00692B9D" w:rsidRPr="00787D1B" w:rsidRDefault="00692B9D">
      <w:pPr>
        <w:rPr>
          <w:rFonts w:ascii="Arial" w:hAnsi="Arial" w:cs="Arial"/>
        </w:rPr>
      </w:pPr>
    </w:p>
    <w:p w14:paraId="25CE1687" w14:textId="0662B67D" w:rsidR="00692B9D" w:rsidRPr="00787D1B" w:rsidRDefault="00692B9D">
      <w:pPr>
        <w:pBdr>
          <w:bottom w:val="single" w:sz="6" w:space="1" w:color="auto"/>
        </w:pBdr>
        <w:rPr>
          <w:rFonts w:ascii="Arial" w:hAnsi="Arial" w:cs="Arial"/>
        </w:rPr>
      </w:pPr>
    </w:p>
    <w:p w14:paraId="3B9A43E3" w14:textId="282B4065" w:rsidR="00692B9D" w:rsidRPr="00787D1B" w:rsidRDefault="00692B9D">
      <w:pPr>
        <w:rPr>
          <w:rFonts w:ascii="Arial" w:hAnsi="Arial" w:cs="Arial"/>
        </w:rPr>
      </w:pPr>
    </w:p>
    <w:p w14:paraId="1E522FDF" w14:textId="505E3C63" w:rsidR="00692B9D" w:rsidRPr="00787D1B" w:rsidRDefault="00692B9D">
      <w:pPr>
        <w:rPr>
          <w:rFonts w:ascii="Arial" w:hAnsi="Arial" w:cs="Arial"/>
        </w:rPr>
      </w:pPr>
      <w:r w:rsidRPr="00787D1B">
        <w:rPr>
          <w:rFonts w:ascii="Arial" w:hAnsi="Arial" w:cs="Arial"/>
        </w:rPr>
        <w:t>References</w:t>
      </w:r>
    </w:p>
    <w:p w14:paraId="4A3F8E03" w14:textId="0337E016" w:rsidR="00692B9D" w:rsidRPr="00787D1B" w:rsidRDefault="00692B9D">
      <w:pPr>
        <w:rPr>
          <w:rFonts w:ascii="Arial" w:hAnsi="Arial" w:cs="Arial"/>
        </w:rPr>
      </w:pPr>
    </w:p>
    <w:p w14:paraId="7BFEED62" w14:textId="77777777" w:rsidR="003A7A54" w:rsidRPr="003C4C6E" w:rsidRDefault="003A7A54" w:rsidP="003C4C6E">
      <w:pPr>
        <w:spacing w:line="360" w:lineRule="auto"/>
        <w:ind w:left="360"/>
        <w:rPr>
          <w:rFonts w:cstheme="minorHAnsi"/>
        </w:rPr>
      </w:pPr>
    </w:p>
    <w:p w14:paraId="7DE5B877" w14:textId="77777777" w:rsidR="003A7A54" w:rsidRPr="003C4C6E" w:rsidRDefault="003A7A54" w:rsidP="003C4C6E">
      <w:pPr>
        <w:spacing w:line="360" w:lineRule="auto"/>
        <w:ind w:left="360"/>
        <w:rPr>
          <w:rFonts w:cstheme="minorHAnsi"/>
          <w:lang w:val="en-US"/>
        </w:rPr>
      </w:pPr>
      <w:r w:rsidRPr="003C4C6E">
        <w:rPr>
          <w:rFonts w:cstheme="minorHAnsi"/>
          <w:lang w:val="en-US"/>
        </w:rPr>
        <w:t xml:space="preserve">Alter, K. (2003) </w:t>
      </w:r>
      <w:r w:rsidRPr="003C4C6E">
        <w:rPr>
          <w:rFonts w:cstheme="minorHAnsi"/>
          <w:i/>
          <w:iCs/>
          <w:color w:val="333333"/>
        </w:rPr>
        <w:t xml:space="preserve">Select Committee on EU Memoranda. Available at: </w:t>
      </w:r>
      <w:hyperlink r:id="rId5" w:history="1">
        <w:r w:rsidRPr="003C4C6E">
          <w:rPr>
            <w:rStyle w:val="Hyperlink"/>
            <w:rFonts w:cstheme="minorHAnsi"/>
            <w:i/>
            <w:iCs/>
          </w:rPr>
          <w:t>https://publications.parliament.uk/pa/ld200304/ldselect/ldeucom/47/47we02.htm</w:t>
        </w:r>
      </w:hyperlink>
      <w:r w:rsidRPr="003C4C6E">
        <w:rPr>
          <w:rFonts w:cstheme="minorHAnsi"/>
          <w:i/>
          <w:iCs/>
          <w:color w:val="333333"/>
        </w:rPr>
        <w:t xml:space="preserve"> (Accessed on: 11</w:t>
      </w:r>
      <w:r w:rsidRPr="003C4C6E">
        <w:rPr>
          <w:rFonts w:cstheme="minorHAnsi"/>
          <w:i/>
          <w:iCs/>
          <w:color w:val="333333"/>
          <w:vertAlign w:val="superscript"/>
        </w:rPr>
        <w:t>th</w:t>
      </w:r>
      <w:r w:rsidRPr="003C4C6E">
        <w:rPr>
          <w:rFonts w:cstheme="minorHAnsi"/>
          <w:i/>
          <w:iCs/>
          <w:color w:val="333333"/>
        </w:rPr>
        <w:t xml:space="preserve"> April 2022)</w:t>
      </w:r>
      <w:r w:rsidRPr="003C4C6E">
        <w:rPr>
          <w:rFonts w:cstheme="minorHAnsi"/>
          <w:lang w:val="en-US"/>
        </w:rPr>
        <w:t xml:space="preserve"> </w:t>
      </w:r>
    </w:p>
    <w:p w14:paraId="70E2B4C6" w14:textId="77777777" w:rsidR="003A7A54" w:rsidRPr="003C4C6E" w:rsidRDefault="003A7A54" w:rsidP="003C4C6E">
      <w:pPr>
        <w:spacing w:line="360" w:lineRule="auto"/>
        <w:ind w:left="360"/>
        <w:rPr>
          <w:rFonts w:cstheme="minorHAnsi"/>
          <w:lang w:val="en-US"/>
        </w:rPr>
      </w:pPr>
      <w:r w:rsidRPr="003C4C6E">
        <w:rPr>
          <w:rFonts w:cstheme="minorHAnsi"/>
          <w:lang w:val="en-US"/>
        </w:rPr>
        <w:lastRenderedPageBreak/>
        <w:t xml:space="preserve">Dicey, A (1885). </w:t>
      </w:r>
      <w:r w:rsidRPr="003C4C6E">
        <w:rPr>
          <w:rFonts w:cstheme="minorHAnsi"/>
          <w:i/>
          <w:iCs/>
          <w:lang w:val="en-US"/>
        </w:rPr>
        <w:t xml:space="preserve">Introduction to the Study of Law of the Constitution. </w:t>
      </w:r>
      <w:r w:rsidRPr="003C4C6E">
        <w:rPr>
          <w:rFonts w:cstheme="minorHAnsi"/>
          <w:lang w:val="en-US"/>
        </w:rPr>
        <w:t>8</w:t>
      </w:r>
      <w:r w:rsidRPr="003C4C6E">
        <w:rPr>
          <w:rFonts w:cstheme="minorHAnsi"/>
          <w:vertAlign w:val="superscript"/>
          <w:lang w:val="en-US"/>
        </w:rPr>
        <w:t>th</w:t>
      </w:r>
      <w:r w:rsidRPr="003C4C6E">
        <w:rPr>
          <w:rFonts w:cstheme="minorHAnsi"/>
          <w:lang w:val="en-US"/>
        </w:rPr>
        <w:t xml:space="preserve"> Edition. London: MacMillan. Available at: </w:t>
      </w:r>
      <w:hyperlink r:id="rId6" w:history="1">
        <w:r w:rsidRPr="003C4C6E">
          <w:rPr>
            <w:rStyle w:val="Hyperlink"/>
            <w:rFonts w:cstheme="minorHAnsi"/>
            <w:lang w:val="en-US"/>
          </w:rPr>
          <w:t>http://files.libraryfund.org/files/1714/0125_Bk.pdf</w:t>
        </w:r>
      </w:hyperlink>
      <w:r w:rsidRPr="003C4C6E">
        <w:rPr>
          <w:rFonts w:cstheme="minorHAnsi"/>
          <w:lang w:val="en-US"/>
        </w:rPr>
        <w:t xml:space="preserve"> (Accessed on: 27</w:t>
      </w:r>
      <w:r w:rsidRPr="003C4C6E">
        <w:rPr>
          <w:rFonts w:cstheme="minorHAnsi"/>
          <w:vertAlign w:val="superscript"/>
          <w:lang w:val="en-US"/>
        </w:rPr>
        <w:t>th</w:t>
      </w:r>
      <w:r w:rsidRPr="003C4C6E">
        <w:rPr>
          <w:rFonts w:cstheme="minorHAnsi"/>
          <w:lang w:val="en-US"/>
        </w:rPr>
        <w:t xml:space="preserve"> April 2022)</w:t>
      </w:r>
    </w:p>
    <w:p w14:paraId="443E0066" w14:textId="77777777" w:rsidR="003A7A54" w:rsidRPr="003C4C6E" w:rsidRDefault="003A7A54" w:rsidP="003C4C6E">
      <w:pPr>
        <w:spacing w:line="360" w:lineRule="auto"/>
        <w:ind w:left="360"/>
        <w:rPr>
          <w:rFonts w:cstheme="minorHAnsi"/>
          <w:lang w:val="en-US"/>
        </w:rPr>
      </w:pPr>
      <w:r w:rsidRPr="003C4C6E">
        <w:rPr>
          <w:rFonts w:cstheme="minorHAnsi"/>
          <w:lang w:val="en-US"/>
        </w:rPr>
        <w:t xml:space="preserve">Europa (2011) </w:t>
      </w:r>
      <w:r w:rsidRPr="003C4C6E">
        <w:rPr>
          <w:rFonts w:cstheme="minorHAnsi"/>
          <w:i/>
          <w:iCs/>
          <w:lang w:val="en-US"/>
        </w:rPr>
        <w:t xml:space="preserve">Supremacy of EU law. </w:t>
      </w:r>
      <w:r w:rsidRPr="003C4C6E">
        <w:rPr>
          <w:rFonts w:cstheme="minorHAnsi"/>
          <w:lang w:val="en-US"/>
        </w:rPr>
        <w:t xml:space="preserve">Available at: </w:t>
      </w:r>
      <w:hyperlink r:id="rId7" w:history="1">
        <w:r w:rsidRPr="003C4C6E">
          <w:rPr>
            <w:rStyle w:val="Hyperlink"/>
            <w:rFonts w:cstheme="minorHAnsi"/>
            <w:lang w:val="en-US"/>
          </w:rPr>
          <w:t>https://www.eurofound.europa.eu/observatories/eurwork/industrial-relations-dictionary/supremacy-of-eu-law</w:t>
        </w:r>
      </w:hyperlink>
      <w:r w:rsidRPr="003C4C6E">
        <w:rPr>
          <w:rFonts w:cstheme="minorHAnsi"/>
          <w:lang w:val="en-US"/>
        </w:rPr>
        <w:t xml:space="preserve"> (Accessed on: 26</w:t>
      </w:r>
      <w:r w:rsidRPr="003C4C6E">
        <w:rPr>
          <w:rFonts w:cstheme="minorHAnsi"/>
          <w:vertAlign w:val="superscript"/>
          <w:lang w:val="en-US"/>
        </w:rPr>
        <w:t>th</w:t>
      </w:r>
      <w:r w:rsidRPr="003C4C6E">
        <w:rPr>
          <w:rFonts w:cstheme="minorHAnsi"/>
          <w:lang w:val="en-US"/>
        </w:rPr>
        <w:t xml:space="preserve"> April 2022).</w:t>
      </w:r>
    </w:p>
    <w:p w14:paraId="19A21542" w14:textId="77777777" w:rsidR="003A7A54" w:rsidRPr="003C4C6E" w:rsidRDefault="003A7A54" w:rsidP="003C4C6E">
      <w:pPr>
        <w:spacing w:line="360" w:lineRule="auto"/>
        <w:ind w:left="360"/>
        <w:rPr>
          <w:rFonts w:cstheme="minorHAnsi"/>
        </w:rPr>
      </w:pPr>
      <w:r w:rsidRPr="003C4C6E">
        <w:rPr>
          <w:rFonts w:cstheme="minorHAnsi"/>
        </w:rPr>
        <w:t xml:space="preserve">Europa (2017) </w:t>
      </w:r>
      <w:r w:rsidRPr="003C4C6E">
        <w:rPr>
          <w:rFonts w:cstheme="minorHAnsi"/>
          <w:i/>
          <w:iCs/>
        </w:rPr>
        <w:t xml:space="preserve">Direct Effect. </w:t>
      </w:r>
      <w:r w:rsidRPr="003C4C6E">
        <w:rPr>
          <w:rFonts w:cstheme="minorHAnsi"/>
        </w:rPr>
        <w:t xml:space="preserve">Available at: </w:t>
      </w:r>
      <w:hyperlink r:id="rId8" w:history="1">
        <w:r w:rsidRPr="003C4C6E">
          <w:rPr>
            <w:rStyle w:val="Hyperlink"/>
            <w:rFonts w:cstheme="minorHAnsi"/>
          </w:rPr>
          <w:t>https://www.eurofound.europa.eu/observatories/eurwork/industrial-relations-dictionary/direct-effect</w:t>
        </w:r>
      </w:hyperlink>
      <w:r w:rsidRPr="003C4C6E">
        <w:rPr>
          <w:rFonts w:cstheme="minorHAnsi"/>
        </w:rPr>
        <w:t xml:space="preserve"> (Accessed on: 30</w:t>
      </w:r>
      <w:r w:rsidRPr="003C4C6E">
        <w:rPr>
          <w:rFonts w:cstheme="minorHAnsi"/>
          <w:vertAlign w:val="superscript"/>
        </w:rPr>
        <w:t>th</w:t>
      </w:r>
      <w:r w:rsidRPr="003C4C6E">
        <w:rPr>
          <w:rFonts w:cstheme="minorHAnsi"/>
        </w:rPr>
        <w:t xml:space="preserve"> March 2022)</w:t>
      </w:r>
    </w:p>
    <w:p w14:paraId="7A165466" w14:textId="77777777" w:rsidR="003A7A54" w:rsidRPr="003C4C6E" w:rsidRDefault="003A7A54" w:rsidP="003C4C6E">
      <w:pPr>
        <w:spacing w:line="360" w:lineRule="auto"/>
        <w:ind w:left="360"/>
        <w:rPr>
          <w:rFonts w:cstheme="minorHAnsi"/>
        </w:rPr>
      </w:pPr>
      <w:r w:rsidRPr="003C4C6E">
        <w:rPr>
          <w:rFonts w:cstheme="minorHAnsi"/>
        </w:rPr>
        <w:t xml:space="preserve">Europa (2020) </w:t>
      </w:r>
      <w:r w:rsidRPr="003C4C6E">
        <w:rPr>
          <w:rFonts w:cstheme="minorHAnsi"/>
          <w:i/>
          <w:iCs/>
        </w:rPr>
        <w:t>2020 Annual Report on Monitoring the Application of EU Law.</w:t>
      </w:r>
      <w:r w:rsidRPr="003C4C6E">
        <w:rPr>
          <w:rFonts w:cstheme="minorHAnsi"/>
        </w:rPr>
        <w:t xml:space="preserve"> Available at: </w:t>
      </w:r>
      <w:hyperlink r:id="rId9" w:history="1">
        <w:r w:rsidRPr="003C4C6E">
          <w:rPr>
            <w:rStyle w:val="Hyperlink"/>
            <w:rFonts w:cstheme="minorHAnsi"/>
          </w:rPr>
          <w:t>2020 Annual Report on monitoring the application of EU law | European Commission (europa.eu)</w:t>
        </w:r>
      </w:hyperlink>
      <w:r w:rsidRPr="003C4C6E">
        <w:rPr>
          <w:rFonts w:cstheme="minorHAnsi"/>
        </w:rPr>
        <w:t xml:space="preserve"> (Accessed on: 30</w:t>
      </w:r>
      <w:r w:rsidRPr="003C4C6E">
        <w:rPr>
          <w:rFonts w:cstheme="minorHAnsi"/>
          <w:vertAlign w:val="superscript"/>
        </w:rPr>
        <w:t>th</w:t>
      </w:r>
      <w:r w:rsidRPr="003C4C6E">
        <w:rPr>
          <w:rFonts w:cstheme="minorHAnsi"/>
        </w:rPr>
        <w:t xml:space="preserve"> April 2022)</w:t>
      </w:r>
    </w:p>
    <w:p w14:paraId="45B0BB93" w14:textId="77777777" w:rsidR="003A7A54" w:rsidRPr="003C4C6E" w:rsidRDefault="003A7A54" w:rsidP="003C4C6E">
      <w:pPr>
        <w:spacing w:line="360" w:lineRule="auto"/>
        <w:ind w:left="360"/>
        <w:rPr>
          <w:rFonts w:cstheme="minorHAnsi"/>
          <w:lang w:val="en-US"/>
        </w:rPr>
      </w:pPr>
      <w:r w:rsidRPr="003C4C6E">
        <w:rPr>
          <w:rFonts w:cstheme="minorHAnsi"/>
          <w:lang w:val="en-US"/>
        </w:rPr>
        <w:t xml:space="preserve">Europa (2022) </w:t>
      </w:r>
      <w:r w:rsidRPr="003C4C6E">
        <w:rPr>
          <w:rFonts w:cstheme="minorHAnsi"/>
          <w:i/>
          <w:iCs/>
          <w:lang w:val="en-US"/>
        </w:rPr>
        <w:t xml:space="preserve">Applying EU Law. </w:t>
      </w:r>
      <w:r w:rsidRPr="003C4C6E">
        <w:rPr>
          <w:rFonts w:cstheme="minorHAnsi"/>
          <w:lang w:val="en-US"/>
        </w:rPr>
        <w:t xml:space="preserve">Available at: </w:t>
      </w:r>
      <w:hyperlink r:id="rId10" w:history="1">
        <w:r w:rsidRPr="003C4C6E">
          <w:rPr>
            <w:rStyle w:val="Hyperlink"/>
            <w:rFonts w:cstheme="minorHAnsi"/>
            <w:lang w:val="en-US"/>
          </w:rPr>
          <w:t>https://ec.europa.eu/info/law/law-making-process/applying-eu-law_en</w:t>
        </w:r>
      </w:hyperlink>
      <w:r w:rsidRPr="003C4C6E">
        <w:rPr>
          <w:rFonts w:cstheme="minorHAnsi"/>
          <w:lang w:val="en-US"/>
        </w:rPr>
        <w:t xml:space="preserve"> (Accessed on: 10</w:t>
      </w:r>
      <w:r w:rsidRPr="003C4C6E">
        <w:rPr>
          <w:rFonts w:cstheme="minorHAnsi"/>
          <w:vertAlign w:val="superscript"/>
          <w:lang w:val="en-US"/>
        </w:rPr>
        <w:t>th</w:t>
      </w:r>
      <w:r w:rsidRPr="003C4C6E">
        <w:rPr>
          <w:rFonts w:cstheme="minorHAnsi"/>
          <w:lang w:val="en-US"/>
        </w:rPr>
        <w:t xml:space="preserve"> April 2022)</w:t>
      </w:r>
    </w:p>
    <w:p w14:paraId="2818CD3F" w14:textId="77777777" w:rsidR="003A7A54" w:rsidRPr="003C4C6E" w:rsidRDefault="003A7A54" w:rsidP="003C4C6E">
      <w:pPr>
        <w:spacing w:line="360" w:lineRule="auto"/>
        <w:ind w:left="360"/>
        <w:rPr>
          <w:rFonts w:cstheme="minorHAnsi"/>
          <w:lang w:val="en-US"/>
        </w:rPr>
      </w:pPr>
      <w:r w:rsidRPr="003C4C6E">
        <w:rPr>
          <w:rFonts w:cstheme="minorHAnsi"/>
          <w:lang w:val="en-US"/>
        </w:rPr>
        <w:t xml:space="preserve">Europa (2022) </w:t>
      </w:r>
      <w:r w:rsidRPr="003C4C6E">
        <w:rPr>
          <w:rFonts w:cstheme="minorHAnsi"/>
          <w:i/>
          <w:iCs/>
          <w:lang w:val="en-US"/>
        </w:rPr>
        <w:t xml:space="preserve">EU law and its application. </w:t>
      </w:r>
      <w:r w:rsidRPr="003C4C6E">
        <w:rPr>
          <w:rFonts w:cstheme="minorHAnsi"/>
          <w:lang w:val="en-US"/>
        </w:rPr>
        <w:t xml:space="preserve">Available at: </w:t>
      </w:r>
      <w:hyperlink r:id="rId11" w:history="1">
        <w:r w:rsidRPr="003C4C6E">
          <w:rPr>
            <w:rStyle w:val="Hyperlink"/>
            <w:rFonts w:cstheme="minorHAnsi"/>
            <w:lang w:val="en-US"/>
          </w:rPr>
          <w:t>https://ec.europa.eu/info/law/law-making-process/applying-eu-law_en</w:t>
        </w:r>
      </w:hyperlink>
      <w:r w:rsidRPr="003C4C6E">
        <w:rPr>
          <w:rFonts w:cstheme="minorHAnsi"/>
          <w:lang w:val="en-US"/>
        </w:rPr>
        <w:t xml:space="preserve"> (Accessed on: 25</w:t>
      </w:r>
      <w:r w:rsidRPr="003C4C6E">
        <w:rPr>
          <w:rFonts w:cstheme="minorHAnsi"/>
          <w:vertAlign w:val="superscript"/>
          <w:lang w:val="en-US"/>
        </w:rPr>
        <w:t>th</w:t>
      </w:r>
      <w:r w:rsidRPr="003C4C6E">
        <w:rPr>
          <w:rFonts w:cstheme="minorHAnsi"/>
          <w:lang w:val="en-US"/>
        </w:rPr>
        <w:t xml:space="preserve"> March 2022) (b)</w:t>
      </w:r>
    </w:p>
    <w:p w14:paraId="5A86B15E" w14:textId="77777777" w:rsidR="003A7A54" w:rsidRPr="003C4C6E" w:rsidRDefault="003A7A54" w:rsidP="003C4C6E">
      <w:pPr>
        <w:spacing w:line="360" w:lineRule="auto"/>
        <w:ind w:left="360"/>
        <w:rPr>
          <w:rFonts w:cstheme="minorHAnsi"/>
          <w:lang w:val="en-US"/>
        </w:rPr>
      </w:pPr>
      <w:r w:rsidRPr="003C4C6E">
        <w:rPr>
          <w:rFonts w:cstheme="minorHAnsi"/>
          <w:lang w:val="en-US"/>
        </w:rPr>
        <w:t xml:space="preserve">Europa (2022) </w:t>
      </w:r>
      <w:r w:rsidRPr="003C4C6E">
        <w:rPr>
          <w:rFonts w:cstheme="minorHAnsi"/>
          <w:i/>
          <w:iCs/>
          <w:lang w:val="en-US"/>
        </w:rPr>
        <w:t xml:space="preserve">Primary versus secondary law. </w:t>
      </w:r>
      <w:r w:rsidRPr="003C4C6E">
        <w:rPr>
          <w:rFonts w:cstheme="minorHAnsi"/>
          <w:lang w:val="en-US"/>
        </w:rPr>
        <w:t xml:space="preserve">Available at: </w:t>
      </w:r>
      <w:hyperlink r:id="rId12" w:history="1">
        <w:r w:rsidRPr="003C4C6E">
          <w:rPr>
            <w:rStyle w:val="Hyperlink"/>
            <w:rFonts w:cstheme="minorHAnsi"/>
            <w:lang w:val="en-US"/>
          </w:rPr>
          <w:t>https://ec.europa.eu/info/law/law-making-process/types-eu-law_en</w:t>
        </w:r>
      </w:hyperlink>
      <w:r w:rsidRPr="003C4C6E">
        <w:rPr>
          <w:rFonts w:cstheme="minorHAnsi"/>
          <w:lang w:val="en-US"/>
        </w:rPr>
        <w:t xml:space="preserve"> (Accessed on: 29</w:t>
      </w:r>
      <w:r w:rsidRPr="003C4C6E">
        <w:rPr>
          <w:rFonts w:cstheme="minorHAnsi"/>
          <w:vertAlign w:val="superscript"/>
          <w:lang w:val="en-US"/>
        </w:rPr>
        <w:t>th</w:t>
      </w:r>
      <w:r w:rsidRPr="003C4C6E">
        <w:rPr>
          <w:rFonts w:cstheme="minorHAnsi"/>
          <w:lang w:val="en-US"/>
        </w:rPr>
        <w:t xml:space="preserve"> March 2022) (a)</w:t>
      </w:r>
    </w:p>
    <w:p w14:paraId="7C4F47EC" w14:textId="77777777" w:rsidR="003A7A54" w:rsidRPr="003C4C6E" w:rsidRDefault="003A7A54" w:rsidP="003C4C6E">
      <w:pPr>
        <w:spacing w:line="360" w:lineRule="auto"/>
        <w:ind w:left="360"/>
        <w:rPr>
          <w:rFonts w:cstheme="minorHAnsi"/>
          <w:lang w:val="en-US"/>
        </w:rPr>
      </w:pPr>
      <w:r w:rsidRPr="003C4C6E">
        <w:rPr>
          <w:rFonts w:cstheme="minorHAnsi"/>
          <w:lang w:val="en-US"/>
        </w:rPr>
        <w:t>Fox, D (2007). ‘The principle of State Liability in EC Law and the Supreme Courts of The Member States’</w:t>
      </w:r>
      <w:r w:rsidRPr="003C4C6E">
        <w:rPr>
          <w:rFonts w:cstheme="minorHAnsi"/>
          <w:i/>
          <w:iCs/>
          <w:lang w:val="en-US"/>
        </w:rPr>
        <w:t>.</w:t>
      </w:r>
      <w:r w:rsidRPr="003C4C6E">
        <w:rPr>
          <w:rFonts w:cstheme="minorHAnsi"/>
          <w:lang w:val="en-US"/>
        </w:rPr>
        <w:t xml:space="preserve"> </w:t>
      </w:r>
      <w:r w:rsidRPr="003C4C6E">
        <w:rPr>
          <w:rFonts w:cstheme="minorHAnsi"/>
          <w:i/>
          <w:iCs/>
          <w:lang w:val="en-US"/>
        </w:rPr>
        <w:t xml:space="preserve">Cambridge Law Journal. </w:t>
      </w:r>
      <w:r w:rsidRPr="003C4C6E">
        <w:rPr>
          <w:rFonts w:cstheme="minorHAnsi"/>
          <w:lang w:val="en-US"/>
        </w:rPr>
        <w:t>Vol 66. Issue 2. Pp 270- 27. Available at</w:t>
      </w:r>
      <w:r w:rsidRPr="003C4C6E">
        <w:rPr>
          <w:rFonts w:cstheme="minorHAnsi"/>
        </w:rPr>
        <w:t xml:space="preserve"> </w:t>
      </w:r>
      <w:hyperlink r:id="rId13" w:tgtFrame="_blank" w:history="1">
        <w:r w:rsidRPr="003C4C6E">
          <w:rPr>
            <w:rStyle w:val="Hyperlink"/>
            <w:rFonts w:cstheme="minorHAnsi"/>
            <w:color w:val="1155CC"/>
            <w:shd w:val="clear" w:color="auto" w:fill="FFFFFF"/>
          </w:rPr>
          <w:t>https://www-cambridge-org.ezproxy.uwtsd.ac.uk/core/services/aop-cambridge-core/content/view/D4AFB69C0872CAF8DC6AFDC06A1D6E5E/S0008197307000463a.pdf/the-principle-of-state-liability-in-ec-law-and-the-supreme-courts-of-the-member-states.pdf</w:t>
        </w:r>
      </w:hyperlink>
      <w:r w:rsidRPr="003C4C6E">
        <w:rPr>
          <w:rFonts w:cstheme="minorHAnsi"/>
        </w:rPr>
        <w:t xml:space="preserve"> (Accessed on: 30</w:t>
      </w:r>
      <w:r w:rsidRPr="003C4C6E">
        <w:rPr>
          <w:rFonts w:cstheme="minorHAnsi"/>
          <w:vertAlign w:val="superscript"/>
        </w:rPr>
        <w:t>th</w:t>
      </w:r>
      <w:r w:rsidRPr="003C4C6E">
        <w:rPr>
          <w:rFonts w:cstheme="minorHAnsi"/>
        </w:rPr>
        <w:t xml:space="preserve"> April 2022)</w:t>
      </w:r>
    </w:p>
    <w:p w14:paraId="088734B4" w14:textId="77777777" w:rsidR="003A7A54" w:rsidRPr="003C4C6E" w:rsidRDefault="003A7A54" w:rsidP="003C4C6E">
      <w:pPr>
        <w:spacing w:line="360" w:lineRule="auto"/>
        <w:ind w:left="360"/>
        <w:rPr>
          <w:rFonts w:cstheme="minorHAnsi"/>
          <w:lang w:val="en-US"/>
        </w:rPr>
      </w:pPr>
      <w:r w:rsidRPr="003C4C6E">
        <w:rPr>
          <w:rFonts w:cstheme="minorHAnsi"/>
          <w:lang w:val="en-US"/>
        </w:rPr>
        <w:t xml:space="preserve">Homewood, M (2020). </w:t>
      </w:r>
      <w:r w:rsidRPr="003C4C6E">
        <w:rPr>
          <w:rFonts w:cstheme="minorHAnsi"/>
          <w:i/>
          <w:iCs/>
          <w:lang w:val="en-US"/>
        </w:rPr>
        <w:t xml:space="preserve">EU Law. </w:t>
      </w:r>
      <w:r w:rsidRPr="003C4C6E">
        <w:rPr>
          <w:rFonts w:cstheme="minorHAnsi"/>
          <w:lang w:val="en-US"/>
        </w:rPr>
        <w:t>7</w:t>
      </w:r>
      <w:r w:rsidRPr="003C4C6E">
        <w:rPr>
          <w:rFonts w:cstheme="minorHAnsi"/>
          <w:vertAlign w:val="superscript"/>
          <w:lang w:val="en-US"/>
        </w:rPr>
        <w:t>th</w:t>
      </w:r>
      <w:r w:rsidRPr="003C4C6E">
        <w:rPr>
          <w:rFonts w:cstheme="minorHAnsi"/>
          <w:lang w:val="en-US"/>
        </w:rPr>
        <w:t xml:space="preserve"> Edition. Oxford University Press</w:t>
      </w:r>
    </w:p>
    <w:p w14:paraId="45FD9C8E" w14:textId="77777777" w:rsidR="003A7A54" w:rsidRPr="003C4C6E" w:rsidRDefault="003A7A54" w:rsidP="003C4C6E">
      <w:pPr>
        <w:spacing w:line="360" w:lineRule="auto"/>
        <w:ind w:left="360"/>
        <w:rPr>
          <w:rFonts w:cstheme="minorHAnsi"/>
        </w:rPr>
      </w:pPr>
      <w:r w:rsidRPr="003C4C6E">
        <w:rPr>
          <w:rFonts w:cstheme="minorHAnsi"/>
        </w:rPr>
        <w:t xml:space="preserve">Marson, J (2004). Holes in the safety net? State liability and the need for private law enforcement. Liverpool Law Review, 25 (2), 113 – 134. Available at: </w:t>
      </w:r>
      <w:hyperlink r:id="rId14" w:history="1">
        <w:r w:rsidRPr="003C4C6E">
          <w:rPr>
            <w:rStyle w:val="Hyperlink"/>
            <w:rFonts w:cstheme="minorHAnsi"/>
          </w:rPr>
          <w:t>https://shura.shu.ac.uk/8869/3/Marson_-_Holes_in_the_Safety_Net_Paper.pdf</w:t>
        </w:r>
      </w:hyperlink>
      <w:r w:rsidRPr="003C4C6E">
        <w:rPr>
          <w:rFonts w:cstheme="minorHAnsi"/>
        </w:rPr>
        <w:t xml:space="preserve"> (Accessed on: 30</w:t>
      </w:r>
      <w:r w:rsidRPr="003C4C6E">
        <w:rPr>
          <w:rFonts w:cstheme="minorHAnsi"/>
          <w:vertAlign w:val="superscript"/>
        </w:rPr>
        <w:t>th</w:t>
      </w:r>
      <w:r w:rsidRPr="003C4C6E">
        <w:rPr>
          <w:rFonts w:cstheme="minorHAnsi"/>
        </w:rPr>
        <w:t xml:space="preserve"> March 2022).</w:t>
      </w:r>
    </w:p>
    <w:p w14:paraId="2D6BD226" w14:textId="77777777" w:rsidR="003A7A54" w:rsidRPr="003C4C6E" w:rsidRDefault="003A7A54" w:rsidP="003C4C6E">
      <w:pPr>
        <w:spacing w:line="360" w:lineRule="auto"/>
        <w:ind w:left="360"/>
        <w:rPr>
          <w:rFonts w:cstheme="minorHAnsi"/>
          <w:lang w:val="en-US"/>
        </w:rPr>
      </w:pPr>
      <w:proofErr w:type="spellStart"/>
      <w:r w:rsidRPr="003C4C6E">
        <w:rPr>
          <w:rFonts w:cstheme="minorHAnsi"/>
          <w:lang w:val="en-US"/>
        </w:rPr>
        <w:lastRenderedPageBreak/>
        <w:t>Marzocchi</w:t>
      </w:r>
      <w:proofErr w:type="spellEnd"/>
      <w:r w:rsidRPr="003C4C6E">
        <w:rPr>
          <w:rFonts w:cstheme="minorHAnsi"/>
          <w:lang w:val="en-US"/>
        </w:rPr>
        <w:t xml:space="preserve">, O. (2021) </w:t>
      </w:r>
      <w:r w:rsidRPr="003C4C6E">
        <w:rPr>
          <w:rFonts w:cstheme="minorHAnsi"/>
          <w:i/>
          <w:iCs/>
          <w:lang w:val="en-US"/>
        </w:rPr>
        <w:t xml:space="preserve">The protection of Article TEU values in the EU. </w:t>
      </w:r>
      <w:r w:rsidRPr="003C4C6E">
        <w:rPr>
          <w:rFonts w:cstheme="minorHAnsi"/>
          <w:lang w:val="en-US"/>
        </w:rPr>
        <w:t xml:space="preserve">Available at: </w:t>
      </w:r>
      <w:hyperlink r:id="rId15" w:history="1">
        <w:r w:rsidRPr="003C4C6E">
          <w:rPr>
            <w:rStyle w:val="Hyperlink"/>
            <w:rFonts w:cstheme="minorHAnsi"/>
            <w:lang w:val="en-US"/>
          </w:rPr>
          <w:t>https://www.europarl.europa.eu/factsheets/en/sheet/146/the-protection-of-article-2-teu-values-in-the-eu</w:t>
        </w:r>
      </w:hyperlink>
      <w:r w:rsidRPr="003C4C6E">
        <w:rPr>
          <w:rFonts w:cstheme="minorHAnsi"/>
          <w:lang w:val="en-US"/>
        </w:rPr>
        <w:t xml:space="preserve"> (Accessed on:12th March 2022).</w:t>
      </w:r>
    </w:p>
    <w:p w14:paraId="1C69B820" w14:textId="77777777" w:rsidR="003A7A54" w:rsidRPr="003C4C6E" w:rsidRDefault="003A7A54" w:rsidP="003C4C6E">
      <w:pPr>
        <w:spacing w:line="360" w:lineRule="auto"/>
        <w:ind w:left="360"/>
        <w:rPr>
          <w:rFonts w:cstheme="minorHAnsi"/>
          <w:lang w:val="en-US"/>
        </w:rPr>
      </w:pPr>
      <w:proofErr w:type="spellStart"/>
      <w:r w:rsidRPr="003C4C6E">
        <w:rPr>
          <w:rFonts w:cstheme="minorHAnsi"/>
          <w:lang w:val="en-US"/>
        </w:rPr>
        <w:t>Matusescu</w:t>
      </w:r>
      <w:proofErr w:type="spellEnd"/>
      <w:r w:rsidRPr="003C4C6E">
        <w:rPr>
          <w:rFonts w:cstheme="minorHAnsi"/>
          <w:lang w:val="en-US"/>
        </w:rPr>
        <w:t>, C (2017) ‘</w:t>
      </w:r>
      <w:proofErr w:type="spellStart"/>
      <w:r w:rsidRPr="003C4C6E">
        <w:rPr>
          <w:rFonts w:cstheme="minorHAnsi"/>
          <w:lang w:val="en-US"/>
        </w:rPr>
        <w:t>Verticle</w:t>
      </w:r>
      <w:proofErr w:type="spellEnd"/>
      <w:r w:rsidRPr="003C4C6E">
        <w:rPr>
          <w:rFonts w:cstheme="minorHAnsi"/>
          <w:lang w:val="en-US"/>
        </w:rPr>
        <w:t xml:space="preserve"> </w:t>
      </w:r>
      <w:proofErr w:type="spellStart"/>
      <w:r w:rsidRPr="003C4C6E">
        <w:rPr>
          <w:rFonts w:cstheme="minorHAnsi"/>
          <w:lang w:val="en-US"/>
        </w:rPr>
        <w:t>Dirrect</w:t>
      </w:r>
      <w:proofErr w:type="spellEnd"/>
      <w:r w:rsidRPr="003C4C6E">
        <w:rPr>
          <w:rFonts w:cstheme="minorHAnsi"/>
          <w:lang w:val="en-US"/>
        </w:rPr>
        <w:t xml:space="preserve"> Effect of Directives. </w:t>
      </w:r>
      <w:proofErr w:type="spellStart"/>
      <w:r w:rsidRPr="003C4C6E">
        <w:rPr>
          <w:rFonts w:cstheme="minorHAnsi"/>
          <w:lang w:val="en-US"/>
        </w:rPr>
        <w:t>Clarigication</w:t>
      </w:r>
      <w:proofErr w:type="spellEnd"/>
      <w:r w:rsidRPr="003C4C6E">
        <w:rPr>
          <w:rFonts w:cstheme="minorHAnsi"/>
          <w:lang w:val="en-US"/>
        </w:rPr>
        <w:t xml:space="preserve"> in the Recent Case-Law of the Court of Justice of the European Union’ </w:t>
      </w:r>
      <w:r w:rsidRPr="003C4C6E">
        <w:rPr>
          <w:rFonts w:cstheme="minorHAnsi"/>
          <w:i/>
          <w:iCs/>
          <w:lang w:val="en-US"/>
        </w:rPr>
        <w:t>Law Review.</w:t>
      </w:r>
      <w:r w:rsidRPr="003C4C6E">
        <w:rPr>
          <w:rFonts w:cstheme="minorHAnsi"/>
          <w:lang w:val="en-US"/>
        </w:rPr>
        <w:t xml:space="preserve"> Vol. V11. Pp.33-42. Available at: </w:t>
      </w:r>
      <w:hyperlink r:id="rId16" w:history="1">
        <w:r w:rsidRPr="003C4C6E">
          <w:rPr>
            <w:rStyle w:val="Hyperlink"/>
            <w:rFonts w:cstheme="minorHAnsi"/>
          </w:rPr>
          <w:t>Microsoft Word - SUPLIMENT_LAW_REVIEW_2017.docx (internationallawreview.eu)</w:t>
        </w:r>
      </w:hyperlink>
      <w:r w:rsidRPr="003C4C6E">
        <w:rPr>
          <w:rFonts w:cstheme="minorHAnsi"/>
        </w:rPr>
        <w:t xml:space="preserve"> (Accessed on: 27.04.2022)</w:t>
      </w:r>
    </w:p>
    <w:p w14:paraId="1EC95F92" w14:textId="77777777" w:rsidR="003A7A54" w:rsidRPr="003C4C6E" w:rsidRDefault="003A7A54" w:rsidP="003C4C6E">
      <w:pPr>
        <w:spacing w:line="360" w:lineRule="auto"/>
        <w:ind w:left="360"/>
        <w:rPr>
          <w:rFonts w:cstheme="minorHAnsi"/>
        </w:rPr>
      </w:pPr>
      <w:r w:rsidRPr="003C4C6E">
        <w:rPr>
          <w:rFonts w:cstheme="minorHAnsi"/>
        </w:rPr>
        <w:t xml:space="preserve">Mol, M (2011) ‘The Novel Approach to the CJEU on the Horizontal Direct Effect of the EU Principle of Non-Discrimination: (Unbridled) Expansionism of EU Law?’ </w:t>
      </w:r>
      <w:r w:rsidRPr="003C4C6E">
        <w:rPr>
          <w:rFonts w:cstheme="minorHAnsi"/>
          <w:i/>
          <w:iCs/>
        </w:rPr>
        <w:t xml:space="preserve">Sage Journals. </w:t>
      </w:r>
      <w:r w:rsidRPr="003C4C6E">
        <w:rPr>
          <w:rFonts w:cstheme="minorHAnsi"/>
        </w:rPr>
        <w:t xml:space="preserve">Vol18. Issue 1-2. Pp 109 – 135. Available at: </w:t>
      </w:r>
      <w:hyperlink r:id="rId17" w:tgtFrame="_blank" w:history="1">
        <w:r w:rsidRPr="003C4C6E">
          <w:rPr>
            <w:rStyle w:val="Hyperlink"/>
            <w:rFonts w:cstheme="minorHAnsi"/>
            <w:color w:val="1155CC"/>
          </w:rPr>
          <w:t>https://journals.sagepub.com/doi/pdf/10.1177/1023263X1101800106</w:t>
        </w:r>
      </w:hyperlink>
      <w:r w:rsidRPr="003C4C6E">
        <w:rPr>
          <w:rFonts w:cstheme="minorHAnsi"/>
        </w:rPr>
        <w:t xml:space="preserve"> (Accessed on: 30</w:t>
      </w:r>
      <w:r w:rsidRPr="003C4C6E">
        <w:rPr>
          <w:rFonts w:cstheme="minorHAnsi"/>
          <w:vertAlign w:val="superscript"/>
        </w:rPr>
        <w:t>th</w:t>
      </w:r>
      <w:r w:rsidRPr="003C4C6E">
        <w:rPr>
          <w:rFonts w:cstheme="minorHAnsi"/>
        </w:rPr>
        <w:t xml:space="preserve"> April 2022)</w:t>
      </w:r>
    </w:p>
    <w:p w14:paraId="2E642381" w14:textId="77777777" w:rsidR="003A7A54" w:rsidRPr="003C4C6E" w:rsidRDefault="003A7A54" w:rsidP="003C4C6E">
      <w:pPr>
        <w:spacing w:line="360" w:lineRule="auto"/>
        <w:ind w:left="360"/>
        <w:rPr>
          <w:rFonts w:cstheme="minorHAnsi"/>
          <w:lang w:val="en-US"/>
        </w:rPr>
      </w:pPr>
      <w:r w:rsidRPr="003C4C6E">
        <w:rPr>
          <w:rFonts w:cstheme="minorHAnsi"/>
          <w:lang w:val="en-US"/>
        </w:rPr>
        <w:t xml:space="preserve">Quinn, B. (2022) ‘What is common law and why is it being misinterpreted’. </w:t>
      </w:r>
      <w:r w:rsidRPr="003C4C6E">
        <w:rPr>
          <w:rFonts w:cstheme="minorHAnsi"/>
          <w:i/>
          <w:iCs/>
          <w:lang w:val="en-US"/>
        </w:rPr>
        <w:t xml:space="preserve">The Guardian. </w:t>
      </w:r>
      <w:r w:rsidRPr="003C4C6E">
        <w:rPr>
          <w:rFonts w:cstheme="minorHAnsi"/>
          <w:lang w:val="en-US"/>
        </w:rPr>
        <w:t>12</w:t>
      </w:r>
      <w:r w:rsidRPr="003C4C6E">
        <w:rPr>
          <w:rFonts w:cstheme="minorHAnsi"/>
          <w:vertAlign w:val="superscript"/>
          <w:lang w:val="en-US"/>
        </w:rPr>
        <w:t>th</w:t>
      </w:r>
      <w:r w:rsidRPr="003C4C6E">
        <w:rPr>
          <w:rFonts w:cstheme="minorHAnsi"/>
          <w:lang w:val="en-US"/>
        </w:rPr>
        <w:t xml:space="preserve"> February. Available at: </w:t>
      </w:r>
      <w:hyperlink r:id="rId18" w:history="1">
        <w:r w:rsidRPr="003C4C6E">
          <w:rPr>
            <w:rStyle w:val="Hyperlink"/>
            <w:rFonts w:cstheme="minorHAnsi"/>
          </w:rPr>
          <w:t>What is common law and why is it being misinterpreted? | Law | The Guardian</w:t>
        </w:r>
      </w:hyperlink>
      <w:r w:rsidRPr="003C4C6E">
        <w:rPr>
          <w:rFonts w:cstheme="minorHAnsi"/>
        </w:rPr>
        <w:t xml:space="preserve"> (Accessed on: 29</w:t>
      </w:r>
      <w:r w:rsidRPr="003C4C6E">
        <w:rPr>
          <w:rFonts w:cstheme="minorHAnsi"/>
          <w:vertAlign w:val="superscript"/>
        </w:rPr>
        <w:t>th</w:t>
      </w:r>
      <w:r w:rsidRPr="003C4C6E">
        <w:rPr>
          <w:rFonts w:cstheme="minorHAnsi"/>
        </w:rPr>
        <w:t xml:space="preserve"> April 2022).</w:t>
      </w:r>
    </w:p>
    <w:p w14:paraId="52B2DFEF" w14:textId="77777777" w:rsidR="003A7A54" w:rsidRPr="003C4C6E" w:rsidRDefault="003A7A54" w:rsidP="003C4C6E">
      <w:pPr>
        <w:spacing w:line="360" w:lineRule="auto"/>
        <w:ind w:left="360"/>
        <w:rPr>
          <w:rFonts w:cstheme="minorHAnsi"/>
        </w:rPr>
      </w:pPr>
      <w:r w:rsidRPr="003C4C6E">
        <w:rPr>
          <w:rFonts w:cstheme="minorHAnsi"/>
        </w:rPr>
        <w:t xml:space="preserve">Smith, M (2018) </w:t>
      </w:r>
      <w:r w:rsidRPr="003C4C6E">
        <w:rPr>
          <w:rFonts w:cstheme="minorHAnsi"/>
          <w:i/>
          <w:iCs/>
        </w:rPr>
        <w:t xml:space="preserve">Challenges in the Implementation of EU Law at National Level. </w:t>
      </w:r>
      <w:r w:rsidRPr="003C4C6E">
        <w:rPr>
          <w:rFonts w:cstheme="minorHAnsi"/>
        </w:rPr>
        <w:t xml:space="preserve">Available at: </w:t>
      </w:r>
      <w:hyperlink r:id="rId19" w:tgtFrame="_blank" w:history="1">
        <w:r w:rsidRPr="003C4C6E">
          <w:rPr>
            <w:rStyle w:val="Hyperlink"/>
            <w:rFonts w:cstheme="minorHAnsi"/>
            <w:color w:val="1155CC"/>
          </w:rPr>
          <w:t>https://www.europarl.europa.eu/RegData/etudes/BRIE/2018/608841/IPOL_BRI(2018)608841_EN.pdf</w:t>
        </w:r>
      </w:hyperlink>
      <w:r w:rsidRPr="003C4C6E">
        <w:rPr>
          <w:rFonts w:cstheme="minorHAnsi"/>
        </w:rPr>
        <w:t xml:space="preserve"> (Accessed on: 27</w:t>
      </w:r>
      <w:r w:rsidRPr="003C4C6E">
        <w:rPr>
          <w:rFonts w:cstheme="minorHAnsi"/>
          <w:vertAlign w:val="superscript"/>
        </w:rPr>
        <w:t>th</w:t>
      </w:r>
      <w:r w:rsidRPr="003C4C6E">
        <w:rPr>
          <w:rFonts w:cstheme="minorHAnsi"/>
        </w:rPr>
        <w:t xml:space="preserve"> April 2022)</w:t>
      </w:r>
    </w:p>
    <w:p w14:paraId="3345A606" w14:textId="77777777" w:rsidR="003A7A54" w:rsidRPr="003C4C6E" w:rsidRDefault="003A7A54" w:rsidP="003C4C6E">
      <w:pPr>
        <w:spacing w:line="360" w:lineRule="auto"/>
        <w:ind w:left="360"/>
        <w:rPr>
          <w:rFonts w:cstheme="minorHAnsi"/>
        </w:rPr>
      </w:pPr>
      <w:proofErr w:type="spellStart"/>
      <w:r w:rsidRPr="003C4C6E">
        <w:rPr>
          <w:rFonts w:eastAsia="Times New Roman" w:cstheme="minorHAnsi"/>
          <w:shd w:val="clear" w:color="auto" w:fill="FFFFFF"/>
          <w:lang w:eastAsia="en-GB"/>
        </w:rPr>
        <w:t>Squintani</w:t>
      </w:r>
      <w:proofErr w:type="spellEnd"/>
      <w:r w:rsidRPr="003C4C6E">
        <w:rPr>
          <w:rFonts w:eastAsia="Times New Roman" w:cstheme="minorHAnsi"/>
          <w:shd w:val="clear" w:color="auto" w:fill="FFFFFF"/>
          <w:lang w:eastAsia="en-GB"/>
        </w:rPr>
        <w:t xml:space="preserve">, L &amp; </w:t>
      </w:r>
      <w:proofErr w:type="spellStart"/>
      <w:r w:rsidRPr="003C4C6E">
        <w:rPr>
          <w:rFonts w:eastAsia="Times New Roman" w:cstheme="minorHAnsi"/>
          <w:shd w:val="clear" w:color="auto" w:fill="FFFFFF"/>
          <w:lang w:eastAsia="en-GB"/>
        </w:rPr>
        <w:t>Lindeboom</w:t>
      </w:r>
      <w:proofErr w:type="spellEnd"/>
      <w:r w:rsidRPr="003C4C6E">
        <w:rPr>
          <w:rFonts w:eastAsia="Times New Roman" w:cstheme="minorHAnsi"/>
          <w:shd w:val="clear" w:color="auto" w:fill="FFFFFF"/>
          <w:lang w:eastAsia="en-GB"/>
        </w:rPr>
        <w:t xml:space="preserve">, J (2019). ‘The Normative Impact of Invoking Directives: Casting Light on </w:t>
      </w:r>
      <w:proofErr w:type="spellStart"/>
      <w:r w:rsidRPr="003C4C6E">
        <w:rPr>
          <w:rFonts w:eastAsia="Times New Roman" w:cstheme="minorHAnsi"/>
          <w:shd w:val="clear" w:color="auto" w:fill="FFFFFF"/>
          <w:lang w:eastAsia="en-GB"/>
        </w:rPr>
        <w:t>Dirrect</w:t>
      </w:r>
      <w:proofErr w:type="spellEnd"/>
      <w:r w:rsidRPr="003C4C6E">
        <w:rPr>
          <w:rFonts w:eastAsia="Times New Roman" w:cstheme="minorHAnsi"/>
          <w:shd w:val="clear" w:color="auto" w:fill="FFFFFF"/>
          <w:lang w:eastAsia="en-GB"/>
        </w:rPr>
        <w:t xml:space="preserve"> Effect and the Elusive Distinction between Obligations and Mere Adverse Repercussions’ </w:t>
      </w:r>
      <w:r w:rsidRPr="003C4C6E">
        <w:rPr>
          <w:rFonts w:eastAsia="Times New Roman" w:cstheme="minorHAnsi"/>
          <w:i/>
          <w:iCs/>
          <w:shd w:val="clear" w:color="auto" w:fill="FFFFFF"/>
          <w:lang w:eastAsia="en-GB"/>
        </w:rPr>
        <w:t xml:space="preserve">Yearbook of European Law. </w:t>
      </w:r>
      <w:r w:rsidRPr="003C4C6E">
        <w:rPr>
          <w:rFonts w:eastAsia="Times New Roman" w:cstheme="minorHAnsi"/>
          <w:shd w:val="clear" w:color="auto" w:fill="FFFFFF"/>
          <w:lang w:eastAsia="en-GB"/>
        </w:rPr>
        <w:t xml:space="preserve">Vol 38. Issue 1. Pp 18-72. Available at: </w:t>
      </w:r>
      <w:hyperlink r:id="rId20" w:tgtFrame="_blank" w:history="1">
        <w:r w:rsidRPr="003C4C6E">
          <w:rPr>
            <w:rStyle w:val="Hyperlink"/>
            <w:rFonts w:cstheme="minorHAnsi"/>
            <w:color w:val="1155CC"/>
            <w:shd w:val="clear" w:color="auto" w:fill="FFFFFF"/>
          </w:rPr>
          <w:t>https://watermark.silverchair.com/yez004.pdf?token=AQECAHi208BE49Ooan9kkhW_Ercy7Dm3ZL_9Cf3qfKAc485ysgAAAscwggLDBgkqhkiG9w0BBwagggK0MIICsAIBADCCAqkGCSqGSIb3DQEHATAeBglghkgBZQMEAS4wEQQMvXWm2cois6ZhGIHtAgEQgIICepnbAvLV0hEaAn87jLbMdurqe2ENr8gS5_4VxD-Hcc_byDXuwLPYd0TsJMljP5GF6aFAiwXXAiILH2pWjsyW0Mxz4KS609QdxJrKJ3eWqqICMvS-GAKXepY0KdK_alEzI_52wV_GvceY6aMrrcjzHNR60dDsvSdFpBmI67dIJK6RDwoJT2tw5Sd8Hrwr5gdYuB5eBdAZjjJvtqZKXd7n7qpAlB2rPerrUBDSb5cGDlWRjfkQfqc-Slw0loP0_8W1wKggl7_ozroV3_N-</w:t>
        </w:r>
        <w:r w:rsidRPr="003C4C6E">
          <w:rPr>
            <w:rStyle w:val="Hyperlink"/>
            <w:rFonts w:cstheme="minorHAnsi"/>
            <w:color w:val="1155CC"/>
            <w:shd w:val="clear" w:color="auto" w:fill="FFFFFF"/>
          </w:rPr>
          <w:lastRenderedPageBreak/>
          <w:t>EihxEiO_7buKKggxvAymmJi8mXMtwEcYy8NUo2ZvzOuCzWNBx2dkcfb6GOxYiSZgcEsSPg9jlPADVk0FZ02CTW54bQC4W2kGbHiIfmLBKuJn1Z1SASbddd5HMXLEDCdh4hMLoQo_fmsO6DN7FiCbyVqLTzgWZvret9MA7wdi6jNOySAZgEVKd-RuRpCvd19trYOdAJ21dmEaUVrTbP2ZdK6OWnR0Z9mzhxClVUrN8rK4HmZlFO2Vi3tH0F6u2vKbvh4EqO1CizkRZorxmjdcMaiT_YC2Ark8gvV83RA9SX2kVxR2HI-PxIwuQwl6ZCi16hj510qRu6Bmg0oJKDoYEJcGIrZkpSnfXHei4LWiAgioOogMBUFy5zk4FRV6C7hoYijRLvk73YD7lg9G2oH9zPnIvxDROIwVDcZ6YlHBsJoQGEx--y1RkV5_9YU0aEU8dsyLEX9wvSAopTCI5ZVCLWmX7-U5QW83xjc5gPCP9RJ8WwFHHLqcGwpUaFejWlwAnSW77CFToOtXABNpPXPwx2dHmIIrUzNQUMl61lSuQb4ispRX8ujepcHqtWmueyg</w:t>
        </w:r>
      </w:hyperlink>
      <w:r w:rsidRPr="003C4C6E">
        <w:rPr>
          <w:rFonts w:cstheme="minorHAnsi"/>
        </w:rPr>
        <w:t xml:space="preserve"> (Accessed on: 27</w:t>
      </w:r>
      <w:r w:rsidRPr="003C4C6E">
        <w:rPr>
          <w:rFonts w:cstheme="minorHAnsi"/>
          <w:vertAlign w:val="superscript"/>
        </w:rPr>
        <w:t>th</w:t>
      </w:r>
      <w:r w:rsidRPr="003C4C6E">
        <w:rPr>
          <w:rFonts w:cstheme="minorHAnsi"/>
        </w:rPr>
        <w:t xml:space="preserve"> April 2022)</w:t>
      </w:r>
    </w:p>
    <w:p w14:paraId="11FEF1A0" w14:textId="77777777" w:rsidR="003A7A54" w:rsidRPr="003C4C6E" w:rsidRDefault="003A7A54" w:rsidP="003C4C6E">
      <w:pPr>
        <w:spacing w:line="360" w:lineRule="auto"/>
        <w:ind w:left="360"/>
        <w:rPr>
          <w:rFonts w:cstheme="minorHAnsi"/>
          <w:lang w:val="en-US"/>
        </w:rPr>
      </w:pPr>
      <w:r w:rsidRPr="003C4C6E">
        <w:rPr>
          <w:rFonts w:cstheme="minorHAnsi"/>
          <w:lang w:val="en-US"/>
        </w:rPr>
        <w:t xml:space="preserve">Thomas Reuters (2022) </w:t>
      </w:r>
      <w:r w:rsidRPr="003C4C6E">
        <w:rPr>
          <w:rFonts w:cstheme="minorHAnsi"/>
          <w:i/>
          <w:iCs/>
          <w:lang w:val="en-US"/>
        </w:rPr>
        <w:t xml:space="preserve">Direct Effect. </w:t>
      </w:r>
      <w:r w:rsidRPr="003C4C6E">
        <w:rPr>
          <w:rFonts w:cstheme="minorHAnsi"/>
          <w:lang w:val="en-US"/>
        </w:rPr>
        <w:t xml:space="preserve">Available at: </w:t>
      </w:r>
      <w:hyperlink r:id="rId21" w:history="1">
        <w:r w:rsidRPr="003C4C6E">
          <w:rPr>
            <w:rStyle w:val="Hyperlink"/>
            <w:rFonts w:cstheme="minorHAnsi"/>
            <w:lang w:val="en-US"/>
          </w:rPr>
          <w:t>https://uk.practicallaw.thomsonreuters.com/6-107-6114?transitionType=Default&amp;contextData=(sc.Default)&amp;firstPage=true</w:t>
        </w:r>
      </w:hyperlink>
      <w:r w:rsidRPr="003C4C6E">
        <w:rPr>
          <w:rFonts w:cstheme="minorHAnsi"/>
          <w:lang w:val="en-US"/>
        </w:rPr>
        <w:t xml:space="preserve"> (Accessed on: 30</w:t>
      </w:r>
      <w:r w:rsidRPr="003C4C6E">
        <w:rPr>
          <w:rFonts w:cstheme="minorHAnsi"/>
          <w:vertAlign w:val="superscript"/>
          <w:lang w:val="en-US"/>
        </w:rPr>
        <w:t>th</w:t>
      </w:r>
      <w:r w:rsidRPr="003C4C6E">
        <w:rPr>
          <w:rFonts w:cstheme="minorHAnsi"/>
          <w:lang w:val="en-US"/>
        </w:rPr>
        <w:t xml:space="preserve"> March 2022)</w:t>
      </w:r>
    </w:p>
    <w:p w14:paraId="17BD1CFE" w14:textId="77777777" w:rsidR="00E91035" w:rsidRPr="003C4C6E" w:rsidRDefault="00E91035" w:rsidP="003C4C6E">
      <w:pPr>
        <w:ind w:left="360"/>
        <w:rPr>
          <w:rFonts w:cstheme="minorHAnsi"/>
          <w:lang w:val="en-US"/>
        </w:rPr>
      </w:pPr>
    </w:p>
    <w:p w14:paraId="49669EB5" w14:textId="0F315C86" w:rsidR="00692B9D" w:rsidRPr="003C4C6E" w:rsidRDefault="00692B9D" w:rsidP="003C4C6E">
      <w:pPr>
        <w:pStyle w:val="ListParagraph"/>
        <w:rPr>
          <w:rFonts w:cstheme="minorHAnsi"/>
          <w:lang w:val="en-US"/>
        </w:rPr>
      </w:pPr>
    </w:p>
    <w:p w14:paraId="73B72A30" w14:textId="54DA6567" w:rsidR="00692B9D" w:rsidRPr="003C4C6E" w:rsidRDefault="00692B9D" w:rsidP="003C4C6E">
      <w:pPr>
        <w:rPr>
          <w:rFonts w:cstheme="minorHAnsi"/>
        </w:rPr>
      </w:pPr>
    </w:p>
    <w:p w14:paraId="5F822853" w14:textId="77777777" w:rsidR="003A7A54" w:rsidRPr="003C4C6E" w:rsidRDefault="003A7A54" w:rsidP="003C4C6E">
      <w:pPr>
        <w:spacing w:line="360" w:lineRule="auto"/>
        <w:rPr>
          <w:rFonts w:cstheme="minorHAnsi"/>
        </w:rPr>
      </w:pPr>
    </w:p>
    <w:p w14:paraId="1F51DDE8" w14:textId="77777777" w:rsidR="003A7A54" w:rsidRPr="003C4C6E" w:rsidRDefault="003A7A54" w:rsidP="003C4C6E">
      <w:pPr>
        <w:spacing w:line="360" w:lineRule="auto"/>
        <w:rPr>
          <w:rFonts w:eastAsia="Times New Roman" w:cstheme="minorHAnsi"/>
          <w:lang w:eastAsia="en-GB"/>
        </w:rPr>
      </w:pPr>
    </w:p>
    <w:p w14:paraId="22BADA62" w14:textId="77777777" w:rsidR="003A7A54" w:rsidRPr="003C4C6E" w:rsidRDefault="003A7A54" w:rsidP="003C4C6E">
      <w:pPr>
        <w:spacing w:line="360" w:lineRule="auto"/>
        <w:ind w:left="360"/>
        <w:rPr>
          <w:rFonts w:cstheme="minorHAnsi"/>
        </w:rPr>
      </w:pPr>
    </w:p>
    <w:p w14:paraId="7558B7EB" w14:textId="77777777" w:rsidR="003A7A54" w:rsidRPr="003C4C6E" w:rsidRDefault="003A7A54" w:rsidP="003C4C6E">
      <w:pPr>
        <w:pStyle w:val="ListParagraph"/>
        <w:spacing w:line="360" w:lineRule="auto"/>
        <w:rPr>
          <w:rFonts w:cstheme="minorHAnsi"/>
          <w:lang w:val="en-US"/>
        </w:rPr>
      </w:pPr>
    </w:p>
    <w:p w14:paraId="679495CD" w14:textId="77777777" w:rsidR="003A7A54" w:rsidRPr="003C4C6E" w:rsidRDefault="003A7A54" w:rsidP="003C4C6E">
      <w:pPr>
        <w:pStyle w:val="ListParagraph"/>
        <w:spacing w:line="360" w:lineRule="auto"/>
        <w:rPr>
          <w:rFonts w:cstheme="minorHAnsi"/>
        </w:rPr>
      </w:pPr>
    </w:p>
    <w:p w14:paraId="4A43B4CF" w14:textId="77777777" w:rsidR="003A7A54" w:rsidRPr="003C4C6E" w:rsidRDefault="003A7A54" w:rsidP="003C4C6E">
      <w:pPr>
        <w:spacing w:line="360" w:lineRule="auto"/>
        <w:ind w:left="360"/>
        <w:rPr>
          <w:rFonts w:eastAsia="Times New Roman" w:cstheme="minorHAnsi"/>
          <w:lang w:eastAsia="en-GB"/>
        </w:rPr>
      </w:pPr>
      <w:r w:rsidRPr="003C4C6E">
        <w:rPr>
          <w:rFonts w:cstheme="minorHAnsi"/>
        </w:rPr>
        <w:t>B</w:t>
      </w:r>
      <w:hyperlink r:id="rId22" w:history="1">
        <w:r w:rsidRPr="003C4C6E">
          <w:rPr>
            <w:rFonts w:cstheme="minorHAnsi"/>
          </w:rPr>
          <w:t xml:space="preserve">NO </w:t>
        </w:r>
        <w:proofErr w:type="spellStart"/>
        <w:r w:rsidRPr="003C4C6E">
          <w:rPr>
            <w:rFonts w:cstheme="minorHAnsi"/>
          </w:rPr>
          <w:t>Walrave</w:t>
        </w:r>
        <w:proofErr w:type="spellEnd"/>
        <w:r w:rsidRPr="003C4C6E">
          <w:rPr>
            <w:rFonts w:cstheme="minorHAnsi"/>
          </w:rPr>
          <w:t xml:space="preserve">  and LJN Koch v Association Union </w:t>
        </w:r>
        <w:proofErr w:type="spellStart"/>
        <w:r w:rsidRPr="003C4C6E">
          <w:rPr>
            <w:rFonts w:cstheme="minorHAnsi"/>
          </w:rPr>
          <w:t>cycliste</w:t>
        </w:r>
        <w:proofErr w:type="spellEnd"/>
        <w:r w:rsidRPr="003C4C6E">
          <w:rPr>
            <w:rFonts w:cstheme="minorHAnsi"/>
          </w:rPr>
          <w:t xml:space="preserve"> </w:t>
        </w:r>
        <w:proofErr w:type="spellStart"/>
        <w:r w:rsidRPr="003C4C6E">
          <w:rPr>
            <w:rFonts w:cstheme="minorHAnsi"/>
          </w:rPr>
          <w:t>internationale</w:t>
        </w:r>
        <w:proofErr w:type="spellEnd"/>
        <w:r w:rsidRPr="003C4C6E">
          <w:rPr>
            <w:rFonts w:cstheme="minorHAnsi"/>
          </w:rPr>
          <w:t xml:space="preserve">, </w:t>
        </w:r>
        <w:proofErr w:type="spellStart"/>
        <w:r w:rsidRPr="003C4C6E">
          <w:rPr>
            <w:rFonts w:cstheme="minorHAnsi"/>
          </w:rPr>
          <w:t>Koninklijke</w:t>
        </w:r>
        <w:proofErr w:type="spellEnd"/>
        <w:r w:rsidRPr="003C4C6E">
          <w:rPr>
            <w:rFonts w:cstheme="minorHAnsi"/>
          </w:rPr>
          <w:t xml:space="preserve"> </w:t>
        </w:r>
        <w:proofErr w:type="spellStart"/>
        <w:r w:rsidRPr="003C4C6E">
          <w:rPr>
            <w:rFonts w:cstheme="minorHAnsi"/>
          </w:rPr>
          <w:t>Nederlandsche</w:t>
        </w:r>
        <w:proofErr w:type="spellEnd"/>
        <w:r w:rsidRPr="003C4C6E">
          <w:rPr>
            <w:rFonts w:cstheme="minorHAnsi"/>
          </w:rPr>
          <w:t xml:space="preserve"> </w:t>
        </w:r>
        <w:proofErr w:type="spellStart"/>
        <w:r w:rsidRPr="003C4C6E">
          <w:rPr>
            <w:rFonts w:cstheme="minorHAnsi"/>
          </w:rPr>
          <w:t>Wielren</w:t>
        </w:r>
        <w:proofErr w:type="spellEnd"/>
        <w:r w:rsidRPr="003C4C6E">
          <w:rPr>
            <w:rFonts w:cstheme="minorHAnsi"/>
          </w:rPr>
          <w:t xml:space="preserve"> </w:t>
        </w:r>
        <w:proofErr w:type="spellStart"/>
        <w:r w:rsidRPr="003C4C6E">
          <w:rPr>
            <w:rFonts w:cstheme="minorHAnsi"/>
          </w:rPr>
          <w:t>Unie</w:t>
        </w:r>
        <w:proofErr w:type="spellEnd"/>
        <w:r w:rsidRPr="003C4C6E">
          <w:rPr>
            <w:rFonts w:cstheme="minorHAnsi"/>
          </w:rPr>
          <w:t xml:space="preserve"> and </w:t>
        </w:r>
        <w:proofErr w:type="spellStart"/>
        <w:r w:rsidRPr="003C4C6E">
          <w:rPr>
            <w:rFonts w:cstheme="minorHAnsi"/>
          </w:rPr>
          <w:t>Federación</w:t>
        </w:r>
        <w:proofErr w:type="spellEnd"/>
        <w:r w:rsidRPr="003C4C6E">
          <w:rPr>
            <w:rFonts w:cstheme="minorHAnsi"/>
          </w:rPr>
          <w:t xml:space="preserve"> Española </w:t>
        </w:r>
        <w:proofErr w:type="spellStart"/>
        <w:r w:rsidRPr="003C4C6E">
          <w:rPr>
            <w:rFonts w:cstheme="minorHAnsi"/>
          </w:rPr>
          <w:t>Ciclismo</w:t>
        </w:r>
        <w:proofErr w:type="spellEnd"/>
        <w:r w:rsidRPr="003C4C6E">
          <w:rPr>
            <w:rFonts w:cstheme="minorHAnsi"/>
          </w:rPr>
          <w:t>, (1974) Case C-36/74</w:t>
        </w:r>
      </w:hyperlink>
    </w:p>
    <w:p w14:paraId="227C5326" w14:textId="77777777" w:rsidR="003A7A54" w:rsidRPr="003C4C6E" w:rsidRDefault="003A7A54" w:rsidP="003C4C6E">
      <w:pPr>
        <w:spacing w:line="360" w:lineRule="auto"/>
        <w:ind w:left="360"/>
        <w:rPr>
          <w:rFonts w:cstheme="minorHAnsi"/>
        </w:rPr>
      </w:pPr>
      <w:r w:rsidRPr="003C4C6E">
        <w:rPr>
          <w:rStyle w:val="Emphasis"/>
          <w:rFonts w:cstheme="minorHAnsi"/>
          <w:color w:val="212529"/>
          <w:shd w:val="clear" w:color="auto" w:fill="FFFFFF"/>
        </w:rPr>
        <w:t xml:space="preserve">CIA Security International SA v </w:t>
      </w:r>
      <w:proofErr w:type="spellStart"/>
      <w:r w:rsidRPr="003C4C6E">
        <w:rPr>
          <w:rStyle w:val="Emphasis"/>
          <w:rFonts w:cstheme="minorHAnsi"/>
          <w:color w:val="212529"/>
          <w:shd w:val="clear" w:color="auto" w:fill="FFFFFF"/>
        </w:rPr>
        <w:t>Signalson</w:t>
      </w:r>
      <w:proofErr w:type="spellEnd"/>
      <w:r w:rsidRPr="003C4C6E">
        <w:rPr>
          <w:rStyle w:val="Emphasis"/>
          <w:rFonts w:cstheme="minorHAnsi"/>
          <w:color w:val="212529"/>
          <w:shd w:val="clear" w:color="auto" w:fill="FFFFFF"/>
        </w:rPr>
        <w:t xml:space="preserve"> SA and </w:t>
      </w:r>
      <w:proofErr w:type="spellStart"/>
      <w:r w:rsidRPr="003C4C6E">
        <w:rPr>
          <w:rStyle w:val="Emphasis"/>
          <w:rFonts w:cstheme="minorHAnsi"/>
          <w:color w:val="212529"/>
          <w:shd w:val="clear" w:color="auto" w:fill="FFFFFF"/>
        </w:rPr>
        <w:t>Securitel</w:t>
      </w:r>
      <w:proofErr w:type="spellEnd"/>
      <w:r w:rsidRPr="003C4C6E">
        <w:rPr>
          <w:rStyle w:val="Emphasis"/>
          <w:rFonts w:cstheme="minorHAnsi"/>
          <w:color w:val="212529"/>
          <w:shd w:val="clear" w:color="auto" w:fill="FFFFFF"/>
        </w:rPr>
        <w:t xml:space="preserve"> (1996) c-194/94</w:t>
      </w:r>
    </w:p>
    <w:p w14:paraId="168EAC81" w14:textId="588980B9" w:rsidR="003A7A54" w:rsidRPr="003C4C6E" w:rsidRDefault="003A7A54" w:rsidP="003C4C6E">
      <w:pPr>
        <w:spacing w:line="360" w:lineRule="auto"/>
        <w:ind w:left="360"/>
        <w:rPr>
          <w:rFonts w:cstheme="minorHAnsi"/>
          <w:lang w:val="en-US"/>
        </w:rPr>
      </w:pPr>
      <w:r w:rsidRPr="003C4C6E">
        <w:rPr>
          <w:rFonts w:cstheme="minorHAnsi"/>
          <w:lang w:val="en-US"/>
        </w:rPr>
        <w:t>Consolidated version of the Treaty on EU, Art 2 (2012)</w:t>
      </w:r>
    </w:p>
    <w:p w14:paraId="7A7C8037" w14:textId="77777777" w:rsidR="003A7A54" w:rsidRPr="003C4C6E" w:rsidRDefault="003A7A54" w:rsidP="003C4C6E">
      <w:pPr>
        <w:spacing w:line="360" w:lineRule="auto"/>
        <w:ind w:left="360"/>
        <w:rPr>
          <w:rFonts w:cstheme="minorHAnsi"/>
          <w:lang w:val="en-US"/>
        </w:rPr>
      </w:pPr>
      <w:r w:rsidRPr="003C4C6E">
        <w:rPr>
          <w:rFonts w:cstheme="minorHAnsi"/>
          <w:lang w:val="en-US"/>
        </w:rPr>
        <w:t>Consolidated version of the Treaty on EU, Art 4 (3) (2012)</w:t>
      </w:r>
    </w:p>
    <w:p w14:paraId="154FB665" w14:textId="77777777" w:rsidR="003A7A54" w:rsidRPr="003C4C6E" w:rsidRDefault="003A7A54" w:rsidP="003C4C6E">
      <w:pPr>
        <w:spacing w:line="360" w:lineRule="auto"/>
        <w:ind w:left="360"/>
        <w:rPr>
          <w:rFonts w:cstheme="minorHAnsi"/>
        </w:rPr>
      </w:pPr>
      <w:proofErr w:type="spellStart"/>
      <w:r w:rsidRPr="003C4C6E">
        <w:rPr>
          <w:rFonts w:cstheme="minorHAnsi"/>
        </w:rPr>
        <w:t>Defrenne</w:t>
      </w:r>
      <w:proofErr w:type="spellEnd"/>
      <w:r w:rsidRPr="003C4C6E">
        <w:rPr>
          <w:rFonts w:cstheme="minorHAnsi"/>
        </w:rPr>
        <w:t xml:space="preserve"> v Sabena [1976] ER 455</w:t>
      </w:r>
    </w:p>
    <w:p w14:paraId="2E14F046" w14:textId="77777777" w:rsidR="003A7A54" w:rsidRPr="003C4C6E" w:rsidRDefault="003A7A54" w:rsidP="003C4C6E">
      <w:pPr>
        <w:spacing w:line="360" w:lineRule="auto"/>
        <w:ind w:left="360"/>
        <w:rPr>
          <w:rFonts w:cstheme="minorHAnsi"/>
          <w:lang w:val="en-US"/>
        </w:rPr>
      </w:pPr>
      <w:proofErr w:type="spellStart"/>
      <w:r w:rsidRPr="003C4C6E">
        <w:rPr>
          <w:rFonts w:cstheme="minorHAnsi"/>
        </w:rPr>
        <w:t>Dillenkofer</w:t>
      </w:r>
      <w:proofErr w:type="spellEnd"/>
      <w:r w:rsidRPr="003C4C6E">
        <w:rPr>
          <w:rFonts w:cstheme="minorHAnsi"/>
        </w:rPr>
        <w:t xml:space="preserve"> v Germany (1996) C- 188-190/94</w:t>
      </w:r>
    </w:p>
    <w:p w14:paraId="74526E04" w14:textId="77777777" w:rsidR="003A7A54" w:rsidRPr="003C4C6E" w:rsidRDefault="003A7A54" w:rsidP="003C4C6E">
      <w:pPr>
        <w:spacing w:line="360" w:lineRule="auto"/>
        <w:ind w:left="360"/>
        <w:rPr>
          <w:rFonts w:cstheme="minorHAnsi"/>
        </w:rPr>
      </w:pPr>
      <w:r w:rsidRPr="003C4C6E">
        <w:rPr>
          <w:rFonts w:cstheme="minorHAnsi"/>
        </w:rPr>
        <w:t>Duke v GEC Reliance (1988) 1 All ER 626</w:t>
      </w:r>
    </w:p>
    <w:p w14:paraId="19537F53" w14:textId="77777777" w:rsidR="003A7A54" w:rsidRPr="003C4C6E" w:rsidRDefault="003A7A54" w:rsidP="003C4C6E">
      <w:pPr>
        <w:spacing w:line="360" w:lineRule="auto"/>
        <w:ind w:left="360"/>
        <w:rPr>
          <w:rFonts w:eastAsia="Times New Roman" w:cstheme="minorHAnsi"/>
          <w:lang w:eastAsia="en-GB"/>
        </w:rPr>
      </w:pPr>
      <w:r w:rsidRPr="003C4C6E">
        <w:rPr>
          <w:rFonts w:eastAsia="Times New Roman" w:cstheme="minorHAnsi"/>
          <w:color w:val="444444"/>
          <w:shd w:val="clear" w:color="auto" w:fill="FFFFFF"/>
          <w:lang w:eastAsia="en-GB"/>
        </w:rPr>
        <w:t xml:space="preserve">Erich </w:t>
      </w:r>
      <w:proofErr w:type="spellStart"/>
      <w:r w:rsidRPr="003C4C6E">
        <w:rPr>
          <w:rFonts w:eastAsia="Times New Roman" w:cstheme="minorHAnsi"/>
          <w:color w:val="444444"/>
          <w:shd w:val="clear" w:color="auto" w:fill="FFFFFF"/>
          <w:lang w:eastAsia="en-GB"/>
        </w:rPr>
        <w:t>Stauder</w:t>
      </w:r>
      <w:proofErr w:type="spellEnd"/>
      <w:r w:rsidRPr="003C4C6E">
        <w:rPr>
          <w:rFonts w:eastAsia="Times New Roman" w:cstheme="minorHAnsi"/>
          <w:color w:val="444444"/>
          <w:shd w:val="clear" w:color="auto" w:fill="FFFFFF"/>
          <w:lang w:eastAsia="en-GB"/>
        </w:rPr>
        <w:t xml:space="preserve"> v City of Ulm – </w:t>
      </w:r>
      <w:proofErr w:type="spellStart"/>
      <w:r w:rsidRPr="003C4C6E">
        <w:rPr>
          <w:rFonts w:eastAsia="Times New Roman" w:cstheme="minorHAnsi"/>
          <w:color w:val="444444"/>
          <w:shd w:val="clear" w:color="auto" w:fill="FFFFFF"/>
          <w:lang w:eastAsia="en-GB"/>
        </w:rPr>
        <w:t>Sozialamt</w:t>
      </w:r>
      <w:proofErr w:type="spellEnd"/>
      <w:r w:rsidRPr="003C4C6E">
        <w:rPr>
          <w:rFonts w:eastAsia="Times New Roman" w:cstheme="minorHAnsi"/>
          <w:color w:val="444444"/>
          <w:shd w:val="clear" w:color="auto" w:fill="FFFFFF"/>
          <w:lang w:eastAsia="en-GB"/>
        </w:rPr>
        <w:t xml:space="preserve"> (1969) ECLI:EU:</w:t>
      </w:r>
      <w:proofErr w:type="gramStart"/>
      <w:r w:rsidRPr="003C4C6E">
        <w:rPr>
          <w:rFonts w:eastAsia="Times New Roman" w:cstheme="minorHAnsi"/>
          <w:color w:val="444444"/>
          <w:shd w:val="clear" w:color="auto" w:fill="FFFFFF"/>
          <w:lang w:eastAsia="en-GB"/>
        </w:rPr>
        <w:t>C:1969:57</w:t>
      </w:r>
      <w:proofErr w:type="gramEnd"/>
    </w:p>
    <w:p w14:paraId="33484DF9" w14:textId="77777777" w:rsidR="003A7A54" w:rsidRPr="003C4C6E" w:rsidRDefault="003A7A54" w:rsidP="003C4C6E">
      <w:pPr>
        <w:spacing w:line="360" w:lineRule="auto"/>
        <w:ind w:left="360"/>
        <w:rPr>
          <w:rFonts w:cstheme="minorHAnsi"/>
          <w:lang w:val="en-US"/>
        </w:rPr>
      </w:pPr>
      <w:r w:rsidRPr="003C4C6E">
        <w:rPr>
          <w:rFonts w:cstheme="minorHAnsi"/>
          <w:lang w:val="it-IT"/>
        </w:rPr>
        <w:t>Faccini Dori v Recreb, (1994)</w:t>
      </w:r>
      <w:r w:rsidRPr="003C4C6E">
        <w:rPr>
          <w:rFonts w:eastAsia="Times New Roman" w:cstheme="minorHAnsi"/>
          <w:shd w:val="clear" w:color="auto" w:fill="FFFFFF"/>
          <w:lang w:eastAsia="en-GB"/>
        </w:rPr>
        <w:t xml:space="preserve"> ECR I-3325</w:t>
      </w:r>
    </w:p>
    <w:p w14:paraId="77E4137C" w14:textId="77777777" w:rsidR="003A7A54" w:rsidRPr="003C4C6E" w:rsidRDefault="003A7A54" w:rsidP="003C4C6E">
      <w:pPr>
        <w:spacing w:line="360" w:lineRule="auto"/>
        <w:ind w:left="360"/>
        <w:rPr>
          <w:rFonts w:cstheme="minorHAnsi"/>
        </w:rPr>
      </w:pPr>
      <w:r w:rsidRPr="003C4C6E">
        <w:rPr>
          <w:rFonts w:cstheme="minorHAnsi"/>
        </w:rPr>
        <w:t>Farrell v Whitty (2017) Case – 413/15</w:t>
      </w:r>
    </w:p>
    <w:p w14:paraId="03CC6793" w14:textId="77777777" w:rsidR="003A7A54" w:rsidRPr="003C4C6E" w:rsidRDefault="003A7A54" w:rsidP="003C4C6E">
      <w:pPr>
        <w:spacing w:line="360" w:lineRule="auto"/>
        <w:ind w:left="360"/>
        <w:rPr>
          <w:rFonts w:cstheme="minorHAnsi"/>
          <w:lang w:val="en-US"/>
        </w:rPr>
      </w:pPr>
      <w:r w:rsidRPr="003C4C6E">
        <w:rPr>
          <w:rFonts w:eastAsia="Times New Roman" w:cstheme="minorHAnsi"/>
          <w:color w:val="292B2C"/>
          <w:shd w:val="clear" w:color="auto" w:fill="FFFFFF"/>
          <w:lang w:eastAsia="en-GB"/>
        </w:rPr>
        <w:lastRenderedPageBreak/>
        <w:t>Foster v British gas (1990) c- 188/89</w:t>
      </w:r>
    </w:p>
    <w:p w14:paraId="53AE18B1" w14:textId="67A1A147" w:rsidR="003A7A54" w:rsidRPr="003C4C6E" w:rsidRDefault="003A7A54" w:rsidP="003C4C6E">
      <w:pPr>
        <w:spacing w:line="360" w:lineRule="auto"/>
        <w:ind w:left="360"/>
        <w:rPr>
          <w:rFonts w:cstheme="minorHAnsi"/>
        </w:rPr>
      </w:pPr>
      <w:r w:rsidRPr="003C4C6E">
        <w:rPr>
          <w:rFonts w:cstheme="minorHAnsi"/>
        </w:rPr>
        <w:t xml:space="preserve">Francovich and </w:t>
      </w:r>
      <w:proofErr w:type="spellStart"/>
      <w:r w:rsidRPr="003C4C6E">
        <w:rPr>
          <w:rFonts w:cstheme="minorHAnsi"/>
        </w:rPr>
        <w:t>Bonifaci</w:t>
      </w:r>
      <w:proofErr w:type="spellEnd"/>
      <w:r w:rsidRPr="003C4C6E">
        <w:rPr>
          <w:rFonts w:cstheme="minorHAnsi"/>
        </w:rPr>
        <w:t xml:space="preserve"> v Italy (1991) ECR I-5357</w:t>
      </w:r>
      <w:r w:rsidR="003C4C6E" w:rsidRPr="003C4C6E">
        <w:rPr>
          <w:rFonts w:cstheme="minorHAnsi"/>
        </w:rPr>
        <w:t xml:space="preserve"> (a)</w:t>
      </w:r>
    </w:p>
    <w:p w14:paraId="3EB51ADA" w14:textId="71BC483E" w:rsidR="003C4C6E" w:rsidRPr="003C4C6E" w:rsidRDefault="003C4C6E" w:rsidP="003C4C6E">
      <w:pPr>
        <w:spacing w:line="360" w:lineRule="auto"/>
        <w:ind w:left="360"/>
        <w:rPr>
          <w:rFonts w:cstheme="minorHAnsi"/>
        </w:rPr>
      </w:pPr>
      <w:r w:rsidRPr="003C4C6E">
        <w:rPr>
          <w:rFonts w:cstheme="minorHAnsi"/>
        </w:rPr>
        <w:t xml:space="preserve">Francovich and </w:t>
      </w:r>
      <w:proofErr w:type="spellStart"/>
      <w:r w:rsidRPr="003C4C6E">
        <w:rPr>
          <w:rFonts w:cstheme="minorHAnsi"/>
        </w:rPr>
        <w:t>Bonifaci</w:t>
      </w:r>
      <w:proofErr w:type="spellEnd"/>
      <w:r w:rsidRPr="003C4C6E">
        <w:rPr>
          <w:rFonts w:cstheme="minorHAnsi"/>
        </w:rPr>
        <w:t xml:space="preserve"> v Italy (1991) ECR I-5357 (b)</w:t>
      </w:r>
    </w:p>
    <w:p w14:paraId="58F6112C" w14:textId="77777777" w:rsidR="003A7A54" w:rsidRPr="003C4C6E" w:rsidRDefault="003A7A54" w:rsidP="003C4C6E">
      <w:pPr>
        <w:shd w:val="clear" w:color="auto" w:fill="FFFFFF"/>
        <w:spacing w:before="240" w:after="40" w:line="360" w:lineRule="auto"/>
        <w:ind w:left="360"/>
        <w:rPr>
          <w:rFonts w:eastAsia="Times New Roman" w:cstheme="minorHAnsi"/>
          <w:color w:val="222222"/>
          <w:lang w:eastAsia="en-GB"/>
        </w:rPr>
      </w:pPr>
      <w:r w:rsidRPr="003C4C6E">
        <w:rPr>
          <w:rFonts w:eastAsia="Times New Roman" w:cstheme="minorHAnsi"/>
          <w:color w:val="222222"/>
          <w:lang w:eastAsia="en-GB"/>
        </w:rPr>
        <w:t>Grad v </w:t>
      </w:r>
      <w:proofErr w:type="spellStart"/>
      <w:r w:rsidRPr="003C4C6E">
        <w:rPr>
          <w:rFonts w:eastAsia="Times New Roman" w:cstheme="minorHAnsi"/>
          <w:color w:val="222222"/>
          <w:lang w:eastAsia="en-GB"/>
        </w:rPr>
        <w:t>Finanzamt</w:t>
      </w:r>
      <w:proofErr w:type="spellEnd"/>
      <w:r w:rsidRPr="003C4C6E">
        <w:rPr>
          <w:rFonts w:eastAsia="Times New Roman" w:cstheme="minorHAnsi"/>
          <w:color w:val="222222"/>
          <w:lang w:eastAsia="en-GB"/>
        </w:rPr>
        <w:t> </w:t>
      </w:r>
      <w:proofErr w:type="spellStart"/>
      <w:r w:rsidRPr="003C4C6E">
        <w:rPr>
          <w:rFonts w:eastAsia="Times New Roman" w:cstheme="minorHAnsi"/>
          <w:color w:val="222222"/>
          <w:lang w:eastAsia="en-GB"/>
        </w:rPr>
        <w:t>Traunstein</w:t>
      </w:r>
      <w:proofErr w:type="spellEnd"/>
      <w:r w:rsidRPr="003C4C6E">
        <w:rPr>
          <w:rFonts w:eastAsia="Times New Roman" w:cstheme="minorHAnsi"/>
          <w:color w:val="222222"/>
          <w:lang w:eastAsia="en-GB"/>
        </w:rPr>
        <w:t> (1970) Case 9/70 ECR 825</w:t>
      </w:r>
    </w:p>
    <w:p w14:paraId="72FD9AC6" w14:textId="77777777" w:rsidR="003A7A54" w:rsidRPr="003C4C6E" w:rsidRDefault="003A7A54" w:rsidP="003C4C6E">
      <w:pPr>
        <w:spacing w:line="360" w:lineRule="auto"/>
        <w:ind w:left="360"/>
        <w:rPr>
          <w:rFonts w:cstheme="minorHAnsi"/>
          <w:lang w:val="it-IT"/>
        </w:rPr>
      </w:pPr>
      <w:r w:rsidRPr="003C4C6E">
        <w:rPr>
          <w:rFonts w:cstheme="minorHAnsi"/>
          <w:lang w:val="it-IT"/>
        </w:rPr>
        <w:t>Harz v Deutsche Tradax (1984) C-79/83</w:t>
      </w:r>
    </w:p>
    <w:p w14:paraId="06279D50" w14:textId="77777777" w:rsidR="003A7A54" w:rsidRPr="003C4C6E" w:rsidRDefault="003A7A54" w:rsidP="003C4C6E">
      <w:pPr>
        <w:spacing w:line="360" w:lineRule="auto"/>
        <w:ind w:left="360"/>
        <w:rPr>
          <w:rFonts w:cstheme="minorHAnsi"/>
          <w:lang w:val="en-US"/>
        </w:rPr>
      </w:pPr>
      <w:r w:rsidRPr="003C4C6E">
        <w:rPr>
          <w:rFonts w:cstheme="minorHAnsi"/>
        </w:rPr>
        <w:t xml:space="preserve">Inter- </w:t>
      </w:r>
      <w:proofErr w:type="spellStart"/>
      <w:r w:rsidRPr="003C4C6E">
        <w:rPr>
          <w:rFonts w:cstheme="minorHAnsi"/>
        </w:rPr>
        <w:t>Environnement</w:t>
      </w:r>
      <w:proofErr w:type="spellEnd"/>
      <w:r w:rsidRPr="003C4C6E">
        <w:rPr>
          <w:rFonts w:cstheme="minorHAnsi"/>
        </w:rPr>
        <w:t xml:space="preserve"> </w:t>
      </w:r>
      <w:proofErr w:type="spellStart"/>
      <w:r w:rsidRPr="003C4C6E">
        <w:rPr>
          <w:rFonts w:cstheme="minorHAnsi"/>
        </w:rPr>
        <w:t>Wallonie</w:t>
      </w:r>
      <w:proofErr w:type="spellEnd"/>
      <w:r w:rsidRPr="003C4C6E">
        <w:rPr>
          <w:rFonts w:cstheme="minorHAnsi"/>
        </w:rPr>
        <w:t xml:space="preserve"> ASBL v. </w:t>
      </w:r>
      <w:proofErr w:type="spellStart"/>
      <w:r w:rsidRPr="003C4C6E">
        <w:rPr>
          <w:rFonts w:cstheme="minorHAnsi"/>
        </w:rPr>
        <w:t>Région</w:t>
      </w:r>
      <w:proofErr w:type="spellEnd"/>
      <w:r w:rsidRPr="003C4C6E">
        <w:rPr>
          <w:rFonts w:cstheme="minorHAnsi"/>
        </w:rPr>
        <w:t xml:space="preserve"> </w:t>
      </w:r>
      <w:proofErr w:type="spellStart"/>
      <w:r w:rsidRPr="003C4C6E">
        <w:rPr>
          <w:rFonts w:cstheme="minorHAnsi"/>
        </w:rPr>
        <w:t>Wallone</w:t>
      </w:r>
      <w:proofErr w:type="spellEnd"/>
      <w:r w:rsidRPr="003C4C6E">
        <w:rPr>
          <w:rFonts w:cstheme="minorHAnsi"/>
        </w:rPr>
        <w:t>, (1971) ECR I-7411</w:t>
      </w:r>
    </w:p>
    <w:p w14:paraId="38CAB172" w14:textId="77777777" w:rsidR="003A7A54" w:rsidRPr="003C4C6E" w:rsidRDefault="003A7A54" w:rsidP="003C4C6E">
      <w:pPr>
        <w:spacing w:line="360" w:lineRule="auto"/>
        <w:ind w:left="360"/>
        <w:rPr>
          <w:rFonts w:cstheme="minorHAnsi"/>
        </w:rPr>
      </w:pPr>
      <w:proofErr w:type="spellStart"/>
      <w:r w:rsidRPr="003C4C6E">
        <w:rPr>
          <w:rFonts w:cstheme="minorHAnsi"/>
        </w:rPr>
        <w:t>Kobler</w:t>
      </w:r>
      <w:proofErr w:type="spellEnd"/>
      <w:r w:rsidRPr="003C4C6E">
        <w:rPr>
          <w:rFonts w:cstheme="minorHAnsi"/>
        </w:rPr>
        <w:t xml:space="preserve"> v Austria (2003) C – 2244/01</w:t>
      </w:r>
    </w:p>
    <w:p w14:paraId="530642C5" w14:textId="77777777" w:rsidR="003A7A54" w:rsidRPr="003C4C6E" w:rsidRDefault="003A7A54" w:rsidP="003C4C6E">
      <w:pPr>
        <w:shd w:val="clear" w:color="auto" w:fill="FFFFFF"/>
        <w:spacing w:before="240" w:after="40" w:line="360" w:lineRule="auto"/>
        <w:ind w:left="360"/>
        <w:rPr>
          <w:rFonts w:eastAsia="Times New Roman" w:cstheme="minorHAnsi"/>
          <w:color w:val="222222"/>
          <w:lang w:eastAsia="en-GB"/>
        </w:rPr>
      </w:pPr>
      <w:proofErr w:type="spellStart"/>
      <w:r w:rsidRPr="003C4C6E">
        <w:rPr>
          <w:rFonts w:eastAsia="Times New Roman" w:cstheme="minorHAnsi"/>
          <w:color w:val="222222"/>
          <w:lang w:eastAsia="en-GB"/>
        </w:rPr>
        <w:t>Leonesio</w:t>
      </w:r>
      <w:proofErr w:type="spellEnd"/>
      <w:r w:rsidRPr="003C4C6E">
        <w:rPr>
          <w:rFonts w:eastAsia="Times New Roman" w:cstheme="minorHAnsi"/>
          <w:color w:val="222222"/>
          <w:lang w:eastAsia="en-GB"/>
        </w:rPr>
        <w:t> v Italian Ministry of Agriculture [1972] Case 93/71 ECR 287</w:t>
      </w:r>
    </w:p>
    <w:p w14:paraId="323C7009" w14:textId="77777777" w:rsidR="003A7A54" w:rsidRPr="003C4C6E" w:rsidRDefault="003A7A54" w:rsidP="003C4C6E">
      <w:pPr>
        <w:spacing w:line="360" w:lineRule="auto"/>
        <w:ind w:left="360"/>
        <w:rPr>
          <w:rFonts w:cstheme="minorHAnsi"/>
          <w:lang w:val="en-US"/>
        </w:rPr>
      </w:pPr>
      <w:r w:rsidRPr="003C4C6E">
        <w:rPr>
          <w:rFonts w:cstheme="minorHAnsi"/>
        </w:rPr>
        <w:t>Lister v forth dry dock (1988) UKHL 10</w:t>
      </w:r>
    </w:p>
    <w:p w14:paraId="53A2D565" w14:textId="77777777" w:rsidR="003A7A54" w:rsidRPr="003C4C6E" w:rsidRDefault="003A7A54" w:rsidP="003C4C6E">
      <w:pPr>
        <w:spacing w:line="360" w:lineRule="auto"/>
        <w:ind w:left="360"/>
        <w:rPr>
          <w:rFonts w:eastAsia="Times New Roman" w:cstheme="minorHAnsi"/>
          <w:lang w:eastAsia="en-GB"/>
        </w:rPr>
      </w:pPr>
      <w:proofErr w:type="spellStart"/>
      <w:r w:rsidRPr="003C4C6E">
        <w:rPr>
          <w:rFonts w:eastAsia="Times New Roman" w:cstheme="minorHAnsi"/>
          <w:color w:val="444444"/>
          <w:shd w:val="clear" w:color="auto" w:fill="FFFFFF"/>
          <w:lang w:eastAsia="en-GB"/>
        </w:rPr>
        <w:t>Lutticke</w:t>
      </w:r>
      <w:proofErr w:type="spellEnd"/>
      <w:r w:rsidRPr="003C4C6E">
        <w:rPr>
          <w:rFonts w:eastAsia="Times New Roman" w:cstheme="minorHAnsi"/>
          <w:color w:val="444444"/>
          <w:shd w:val="clear" w:color="auto" w:fill="FFFFFF"/>
          <w:lang w:eastAsia="en-GB"/>
        </w:rPr>
        <w:t xml:space="preserve"> (</w:t>
      </w:r>
      <w:proofErr w:type="spellStart"/>
      <w:r w:rsidRPr="003C4C6E">
        <w:rPr>
          <w:rFonts w:eastAsia="Times New Roman" w:cstheme="minorHAnsi"/>
          <w:color w:val="444444"/>
          <w:shd w:val="clear" w:color="auto" w:fill="FFFFFF"/>
          <w:lang w:eastAsia="en-GB"/>
        </w:rPr>
        <w:t>Alfons</w:t>
      </w:r>
      <w:proofErr w:type="spellEnd"/>
      <w:r w:rsidRPr="003C4C6E">
        <w:rPr>
          <w:rFonts w:eastAsia="Times New Roman" w:cstheme="minorHAnsi"/>
          <w:color w:val="444444"/>
          <w:shd w:val="clear" w:color="auto" w:fill="FFFFFF"/>
          <w:lang w:eastAsia="en-GB"/>
        </w:rPr>
        <w:t xml:space="preserve">) GmbH v </w:t>
      </w:r>
      <w:proofErr w:type="spellStart"/>
      <w:r w:rsidRPr="003C4C6E">
        <w:rPr>
          <w:rFonts w:eastAsia="Times New Roman" w:cstheme="minorHAnsi"/>
          <w:color w:val="444444"/>
          <w:shd w:val="clear" w:color="auto" w:fill="FFFFFF"/>
          <w:lang w:eastAsia="en-GB"/>
        </w:rPr>
        <w:t>Hauptzollamt</w:t>
      </w:r>
      <w:proofErr w:type="spellEnd"/>
      <w:r w:rsidRPr="003C4C6E">
        <w:rPr>
          <w:rFonts w:eastAsia="Times New Roman" w:cstheme="minorHAnsi"/>
          <w:color w:val="444444"/>
          <w:shd w:val="clear" w:color="auto" w:fill="FFFFFF"/>
          <w:lang w:eastAsia="en-GB"/>
        </w:rPr>
        <w:t xml:space="preserve"> </w:t>
      </w:r>
      <w:proofErr w:type="spellStart"/>
      <w:r w:rsidRPr="003C4C6E">
        <w:rPr>
          <w:rFonts w:eastAsia="Times New Roman" w:cstheme="minorHAnsi"/>
          <w:color w:val="444444"/>
          <w:shd w:val="clear" w:color="auto" w:fill="FFFFFF"/>
          <w:lang w:eastAsia="en-GB"/>
        </w:rPr>
        <w:t>Sarrelouis</w:t>
      </w:r>
      <w:proofErr w:type="spellEnd"/>
      <w:r w:rsidRPr="003C4C6E">
        <w:rPr>
          <w:rFonts w:eastAsia="Times New Roman" w:cstheme="minorHAnsi"/>
          <w:color w:val="444444"/>
          <w:shd w:val="clear" w:color="auto" w:fill="FFFFFF"/>
          <w:lang w:eastAsia="en-GB"/>
        </w:rPr>
        <w:t xml:space="preserve"> (1966) Case 57-65</w:t>
      </w:r>
    </w:p>
    <w:p w14:paraId="28E17283" w14:textId="77777777" w:rsidR="003A7A54" w:rsidRPr="003C4C6E" w:rsidRDefault="003A7A54" w:rsidP="003C4C6E">
      <w:pPr>
        <w:spacing w:line="360" w:lineRule="auto"/>
        <w:ind w:left="360"/>
        <w:rPr>
          <w:rFonts w:cstheme="minorHAnsi"/>
        </w:rPr>
      </w:pPr>
      <w:r w:rsidRPr="003C4C6E">
        <w:rPr>
          <w:rFonts w:cstheme="minorHAnsi"/>
          <w:lang w:val="it-IT"/>
        </w:rPr>
        <w:t>Marleasing SA v La Comercial Internacional de Alimentacion SA (1990) C- 106/89</w:t>
      </w:r>
    </w:p>
    <w:p w14:paraId="6BF2D7DD" w14:textId="77777777" w:rsidR="003A7A54" w:rsidRPr="003C4C6E" w:rsidRDefault="003A7A54" w:rsidP="003C4C6E">
      <w:pPr>
        <w:spacing w:line="360" w:lineRule="auto"/>
        <w:ind w:left="360"/>
        <w:rPr>
          <w:rFonts w:cstheme="minorHAnsi"/>
          <w:lang w:val="en-US"/>
        </w:rPr>
      </w:pPr>
      <w:r w:rsidRPr="003C4C6E">
        <w:rPr>
          <w:rFonts w:eastAsia="Times New Roman" w:cstheme="minorHAnsi"/>
          <w:color w:val="292B2C"/>
          <w:shd w:val="clear" w:color="auto" w:fill="FFFFFF"/>
          <w:lang w:eastAsia="en-GB"/>
        </w:rPr>
        <w:t>Marshall v Southampton and South-West Hampshire Area Health Authority, (1986) ECR 723</w:t>
      </w:r>
    </w:p>
    <w:p w14:paraId="5E50360A" w14:textId="77777777" w:rsidR="003A7A54" w:rsidRPr="003C4C6E" w:rsidRDefault="003A7A54" w:rsidP="003C4C6E">
      <w:pPr>
        <w:spacing w:line="360" w:lineRule="auto"/>
        <w:ind w:left="360"/>
        <w:rPr>
          <w:rFonts w:eastAsia="Times New Roman" w:cstheme="minorHAnsi"/>
          <w:color w:val="212529"/>
          <w:lang w:eastAsia="en-GB"/>
        </w:rPr>
      </w:pPr>
      <w:r w:rsidRPr="003C4C6E">
        <w:rPr>
          <w:rFonts w:eastAsia="Times New Roman" w:cstheme="minorHAnsi"/>
          <w:color w:val="212529"/>
          <w:lang w:eastAsia="en-GB"/>
        </w:rPr>
        <w:t xml:space="preserve">NV </w:t>
      </w:r>
      <w:proofErr w:type="spellStart"/>
      <w:r w:rsidRPr="003C4C6E">
        <w:rPr>
          <w:rFonts w:eastAsia="Times New Roman" w:cstheme="minorHAnsi"/>
          <w:color w:val="212529"/>
          <w:lang w:eastAsia="en-GB"/>
        </w:rPr>
        <w:t>Algemene</w:t>
      </w:r>
      <w:proofErr w:type="spellEnd"/>
      <w:r w:rsidRPr="003C4C6E">
        <w:rPr>
          <w:rFonts w:eastAsia="Times New Roman" w:cstheme="minorHAnsi"/>
          <w:color w:val="212529"/>
          <w:lang w:eastAsia="en-GB"/>
        </w:rPr>
        <w:t xml:space="preserve"> Transport-Expedite </w:t>
      </w:r>
      <w:proofErr w:type="spellStart"/>
      <w:r w:rsidRPr="003C4C6E">
        <w:rPr>
          <w:rFonts w:eastAsia="Times New Roman" w:cstheme="minorHAnsi"/>
          <w:color w:val="212529"/>
          <w:lang w:eastAsia="en-GB"/>
        </w:rPr>
        <w:t>Onderneming</w:t>
      </w:r>
      <w:proofErr w:type="spellEnd"/>
      <w:r w:rsidRPr="003C4C6E">
        <w:rPr>
          <w:rFonts w:eastAsia="Times New Roman" w:cstheme="minorHAnsi"/>
          <w:color w:val="212529"/>
          <w:lang w:eastAsia="en-GB"/>
        </w:rPr>
        <w:t xml:space="preserve"> Van </w:t>
      </w:r>
      <w:proofErr w:type="spellStart"/>
      <w:r w:rsidRPr="003C4C6E">
        <w:rPr>
          <w:rFonts w:eastAsia="Times New Roman" w:cstheme="minorHAnsi"/>
          <w:color w:val="212529"/>
          <w:lang w:eastAsia="en-GB"/>
        </w:rPr>
        <w:t>Gend</w:t>
      </w:r>
      <w:proofErr w:type="spellEnd"/>
      <w:r w:rsidRPr="003C4C6E">
        <w:rPr>
          <w:rFonts w:eastAsia="Times New Roman" w:cstheme="minorHAnsi"/>
          <w:color w:val="212529"/>
          <w:lang w:eastAsia="en-GB"/>
        </w:rPr>
        <w:t xml:space="preserve"> </w:t>
      </w:r>
      <w:proofErr w:type="spellStart"/>
      <w:r w:rsidRPr="003C4C6E">
        <w:rPr>
          <w:rFonts w:eastAsia="Times New Roman" w:cstheme="minorHAnsi"/>
          <w:color w:val="212529"/>
          <w:lang w:eastAsia="en-GB"/>
        </w:rPr>
        <w:t>en</w:t>
      </w:r>
      <w:proofErr w:type="spellEnd"/>
      <w:r w:rsidRPr="003C4C6E">
        <w:rPr>
          <w:rFonts w:eastAsia="Times New Roman" w:cstheme="minorHAnsi"/>
          <w:color w:val="212529"/>
          <w:lang w:eastAsia="en-GB"/>
        </w:rPr>
        <w:t xml:space="preserve"> Loos v </w:t>
      </w:r>
      <w:proofErr w:type="spellStart"/>
      <w:r w:rsidRPr="003C4C6E">
        <w:rPr>
          <w:rFonts w:eastAsia="Times New Roman" w:cstheme="minorHAnsi"/>
          <w:color w:val="212529"/>
          <w:lang w:eastAsia="en-GB"/>
        </w:rPr>
        <w:t>Nederlandse</w:t>
      </w:r>
      <w:proofErr w:type="spellEnd"/>
      <w:r w:rsidRPr="003C4C6E">
        <w:rPr>
          <w:rFonts w:eastAsia="Times New Roman" w:cstheme="minorHAnsi"/>
          <w:color w:val="212529"/>
          <w:lang w:eastAsia="en-GB"/>
        </w:rPr>
        <w:t xml:space="preserve"> </w:t>
      </w:r>
      <w:proofErr w:type="spellStart"/>
      <w:r w:rsidRPr="003C4C6E">
        <w:rPr>
          <w:rFonts w:eastAsia="Times New Roman" w:cstheme="minorHAnsi"/>
          <w:color w:val="212529"/>
          <w:lang w:eastAsia="en-GB"/>
        </w:rPr>
        <w:t>Administratie</w:t>
      </w:r>
      <w:proofErr w:type="spellEnd"/>
      <w:r w:rsidRPr="003C4C6E">
        <w:rPr>
          <w:rFonts w:eastAsia="Times New Roman" w:cstheme="minorHAnsi"/>
          <w:color w:val="212529"/>
          <w:lang w:eastAsia="en-GB"/>
        </w:rPr>
        <w:t xml:space="preserve"> der </w:t>
      </w:r>
      <w:proofErr w:type="spellStart"/>
      <w:r w:rsidRPr="003C4C6E">
        <w:rPr>
          <w:rFonts w:eastAsia="Times New Roman" w:cstheme="minorHAnsi"/>
          <w:color w:val="212529"/>
          <w:lang w:eastAsia="en-GB"/>
        </w:rPr>
        <w:t>Belastingen</w:t>
      </w:r>
      <w:proofErr w:type="spellEnd"/>
      <w:r w:rsidRPr="003C4C6E">
        <w:rPr>
          <w:rFonts w:eastAsia="Times New Roman" w:cstheme="minorHAnsi"/>
          <w:color w:val="212529"/>
          <w:lang w:eastAsia="en-GB"/>
        </w:rPr>
        <w:t xml:space="preserve"> (1963) Case 26/62 (a)</w:t>
      </w:r>
    </w:p>
    <w:p w14:paraId="4636081B" w14:textId="77777777" w:rsidR="003A7A54" w:rsidRPr="003C4C6E" w:rsidRDefault="003A7A54" w:rsidP="003C4C6E">
      <w:pPr>
        <w:spacing w:line="360" w:lineRule="auto"/>
        <w:ind w:left="360"/>
        <w:rPr>
          <w:rFonts w:eastAsia="Times New Roman" w:cstheme="minorHAnsi"/>
          <w:lang w:eastAsia="en-GB"/>
        </w:rPr>
      </w:pPr>
      <w:r w:rsidRPr="003C4C6E">
        <w:rPr>
          <w:rFonts w:eastAsia="Times New Roman" w:cstheme="minorHAnsi"/>
          <w:color w:val="212529"/>
          <w:lang w:eastAsia="en-GB"/>
        </w:rPr>
        <w:t xml:space="preserve">NV </w:t>
      </w:r>
      <w:proofErr w:type="spellStart"/>
      <w:r w:rsidRPr="003C4C6E">
        <w:rPr>
          <w:rFonts w:eastAsia="Times New Roman" w:cstheme="minorHAnsi"/>
          <w:color w:val="212529"/>
          <w:lang w:eastAsia="en-GB"/>
        </w:rPr>
        <w:t>Algemene</w:t>
      </w:r>
      <w:proofErr w:type="spellEnd"/>
      <w:r w:rsidRPr="003C4C6E">
        <w:rPr>
          <w:rFonts w:eastAsia="Times New Roman" w:cstheme="minorHAnsi"/>
          <w:color w:val="212529"/>
          <w:lang w:eastAsia="en-GB"/>
        </w:rPr>
        <w:t xml:space="preserve"> Transport-Expedite </w:t>
      </w:r>
      <w:proofErr w:type="spellStart"/>
      <w:r w:rsidRPr="003C4C6E">
        <w:rPr>
          <w:rFonts w:eastAsia="Times New Roman" w:cstheme="minorHAnsi"/>
          <w:color w:val="212529"/>
          <w:lang w:eastAsia="en-GB"/>
        </w:rPr>
        <w:t>Onderneming</w:t>
      </w:r>
      <w:proofErr w:type="spellEnd"/>
      <w:r w:rsidRPr="003C4C6E">
        <w:rPr>
          <w:rFonts w:eastAsia="Times New Roman" w:cstheme="minorHAnsi"/>
          <w:color w:val="212529"/>
          <w:lang w:eastAsia="en-GB"/>
        </w:rPr>
        <w:t xml:space="preserve"> Van </w:t>
      </w:r>
      <w:proofErr w:type="spellStart"/>
      <w:r w:rsidRPr="003C4C6E">
        <w:rPr>
          <w:rFonts w:eastAsia="Times New Roman" w:cstheme="minorHAnsi"/>
          <w:color w:val="212529"/>
          <w:lang w:eastAsia="en-GB"/>
        </w:rPr>
        <w:t>Gend</w:t>
      </w:r>
      <w:proofErr w:type="spellEnd"/>
      <w:r w:rsidRPr="003C4C6E">
        <w:rPr>
          <w:rFonts w:eastAsia="Times New Roman" w:cstheme="minorHAnsi"/>
          <w:color w:val="212529"/>
          <w:lang w:eastAsia="en-GB"/>
        </w:rPr>
        <w:t xml:space="preserve"> </w:t>
      </w:r>
      <w:proofErr w:type="spellStart"/>
      <w:r w:rsidRPr="003C4C6E">
        <w:rPr>
          <w:rFonts w:eastAsia="Times New Roman" w:cstheme="minorHAnsi"/>
          <w:color w:val="212529"/>
          <w:lang w:eastAsia="en-GB"/>
        </w:rPr>
        <w:t>en</w:t>
      </w:r>
      <w:proofErr w:type="spellEnd"/>
      <w:r w:rsidRPr="003C4C6E">
        <w:rPr>
          <w:rFonts w:eastAsia="Times New Roman" w:cstheme="minorHAnsi"/>
          <w:color w:val="212529"/>
          <w:lang w:eastAsia="en-GB"/>
        </w:rPr>
        <w:t xml:space="preserve"> Loos v </w:t>
      </w:r>
      <w:proofErr w:type="spellStart"/>
      <w:r w:rsidRPr="003C4C6E">
        <w:rPr>
          <w:rFonts w:eastAsia="Times New Roman" w:cstheme="minorHAnsi"/>
          <w:color w:val="212529"/>
          <w:lang w:eastAsia="en-GB"/>
        </w:rPr>
        <w:t>Nederlandse</w:t>
      </w:r>
      <w:proofErr w:type="spellEnd"/>
      <w:r w:rsidRPr="003C4C6E">
        <w:rPr>
          <w:rFonts w:eastAsia="Times New Roman" w:cstheme="minorHAnsi"/>
          <w:color w:val="212529"/>
          <w:lang w:eastAsia="en-GB"/>
        </w:rPr>
        <w:t xml:space="preserve"> </w:t>
      </w:r>
      <w:proofErr w:type="spellStart"/>
      <w:r w:rsidRPr="003C4C6E">
        <w:rPr>
          <w:rFonts w:eastAsia="Times New Roman" w:cstheme="minorHAnsi"/>
          <w:color w:val="212529"/>
          <w:lang w:eastAsia="en-GB"/>
        </w:rPr>
        <w:t>Administratie</w:t>
      </w:r>
      <w:proofErr w:type="spellEnd"/>
      <w:r w:rsidRPr="003C4C6E">
        <w:rPr>
          <w:rFonts w:eastAsia="Times New Roman" w:cstheme="minorHAnsi"/>
          <w:color w:val="212529"/>
          <w:lang w:eastAsia="en-GB"/>
        </w:rPr>
        <w:t xml:space="preserve"> der </w:t>
      </w:r>
      <w:proofErr w:type="spellStart"/>
      <w:r w:rsidRPr="003C4C6E">
        <w:rPr>
          <w:rFonts w:eastAsia="Times New Roman" w:cstheme="minorHAnsi"/>
          <w:color w:val="212529"/>
          <w:lang w:eastAsia="en-GB"/>
        </w:rPr>
        <w:t>Belastingen</w:t>
      </w:r>
      <w:proofErr w:type="spellEnd"/>
      <w:r w:rsidRPr="003C4C6E">
        <w:rPr>
          <w:rFonts w:eastAsia="Times New Roman" w:cstheme="minorHAnsi"/>
          <w:color w:val="212529"/>
          <w:lang w:eastAsia="en-GB"/>
        </w:rPr>
        <w:t xml:space="preserve"> (1963) Case 26/62 (b)</w:t>
      </w:r>
    </w:p>
    <w:p w14:paraId="21E1D1EC" w14:textId="77777777" w:rsidR="003A7A54" w:rsidRPr="003C4C6E" w:rsidRDefault="003A7A54" w:rsidP="003C4C6E">
      <w:pPr>
        <w:shd w:val="clear" w:color="auto" w:fill="FFFFFF"/>
        <w:spacing w:before="240" w:after="40" w:line="360" w:lineRule="auto"/>
        <w:ind w:left="360"/>
        <w:rPr>
          <w:rFonts w:cstheme="minorHAnsi"/>
          <w:color w:val="000000"/>
        </w:rPr>
      </w:pPr>
      <w:proofErr w:type="spellStart"/>
      <w:r w:rsidRPr="003C4C6E">
        <w:rPr>
          <w:rFonts w:eastAsia="Times New Roman" w:cstheme="minorHAnsi"/>
          <w:color w:val="222222"/>
          <w:lang w:eastAsia="en-GB"/>
        </w:rPr>
        <w:t>Politi</w:t>
      </w:r>
      <w:proofErr w:type="spellEnd"/>
      <w:r w:rsidRPr="003C4C6E">
        <w:rPr>
          <w:rFonts w:eastAsia="Times New Roman" w:cstheme="minorHAnsi"/>
          <w:color w:val="222222"/>
          <w:lang w:eastAsia="en-GB"/>
        </w:rPr>
        <w:t> SAS v </w:t>
      </w:r>
      <w:proofErr w:type="spellStart"/>
      <w:r w:rsidRPr="003C4C6E">
        <w:rPr>
          <w:rFonts w:eastAsia="Times New Roman" w:cstheme="minorHAnsi"/>
          <w:color w:val="222222"/>
          <w:lang w:eastAsia="en-GB"/>
        </w:rPr>
        <w:t>Ministero</w:t>
      </w:r>
      <w:proofErr w:type="spellEnd"/>
      <w:r w:rsidRPr="003C4C6E">
        <w:rPr>
          <w:rFonts w:eastAsia="Times New Roman" w:cstheme="minorHAnsi"/>
          <w:color w:val="222222"/>
          <w:lang w:eastAsia="en-GB"/>
        </w:rPr>
        <w:t> </w:t>
      </w:r>
      <w:proofErr w:type="spellStart"/>
      <w:r w:rsidRPr="003C4C6E">
        <w:rPr>
          <w:rFonts w:eastAsia="Times New Roman" w:cstheme="minorHAnsi"/>
          <w:color w:val="222222"/>
          <w:lang w:eastAsia="en-GB"/>
        </w:rPr>
        <w:t>delle</w:t>
      </w:r>
      <w:proofErr w:type="spellEnd"/>
      <w:r w:rsidRPr="003C4C6E">
        <w:rPr>
          <w:rFonts w:eastAsia="Times New Roman" w:cstheme="minorHAnsi"/>
          <w:color w:val="222222"/>
          <w:lang w:eastAsia="en-GB"/>
        </w:rPr>
        <w:t> </w:t>
      </w:r>
      <w:proofErr w:type="spellStart"/>
      <w:r w:rsidRPr="003C4C6E">
        <w:rPr>
          <w:rFonts w:eastAsia="Times New Roman" w:cstheme="minorHAnsi"/>
          <w:color w:val="222222"/>
          <w:lang w:eastAsia="en-GB"/>
        </w:rPr>
        <w:t>Finanze</w:t>
      </w:r>
      <w:proofErr w:type="spellEnd"/>
      <w:r w:rsidRPr="003C4C6E">
        <w:rPr>
          <w:rFonts w:eastAsia="Times New Roman" w:cstheme="minorHAnsi"/>
          <w:color w:val="222222"/>
          <w:lang w:eastAsia="en-GB"/>
        </w:rPr>
        <w:t xml:space="preserve"> [1973] </w:t>
      </w:r>
      <w:hyperlink r:id="rId23" w:history="1">
        <w:r w:rsidRPr="003C4C6E">
          <w:rPr>
            <w:rStyle w:val="Hyperlink"/>
            <w:rFonts w:cstheme="minorHAnsi"/>
          </w:rPr>
          <w:t>C-43/71</w:t>
        </w:r>
      </w:hyperlink>
      <w:r w:rsidRPr="003C4C6E">
        <w:rPr>
          <w:rFonts w:cstheme="minorHAnsi"/>
          <w:color w:val="000000"/>
        </w:rPr>
        <w:t>, ECR 1971.</w:t>
      </w:r>
    </w:p>
    <w:p w14:paraId="6F3F039A" w14:textId="77777777" w:rsidR="003A7A54" w:rsidRPr="003C4C6E" w:rsidRDefault="003A7A54" w:rsidP="003C4C6E">
      <w:pPr>
        <w:spacing w:line="360" w:lineRule="auto"/>
        <w:ind w:left="360"/>
        <w:rPr>
          <w:rFonts w:cstheme="minorHAnsi"/>
          <w:lang w:val="it-IT"/>
        </w:rPr>
      </w:pPr>
      <w:r w:rsidRPr="003C4C6E">
        <w:rPr>
          <w:rFonts w:cstheme="minorHAnsi"/>
          <w:lang w:val="it-IT"/>
        </w:rPr>
        <w:t>Pubblico Ministero v Tullio Ratti [1979] ECR 1629</w:t>
      </w:r>
    </w:p>
    <w:p w14:paraId="5F7A25FA" w14:textId="77777777" w:rsidR="003A7A54" w:rsidRPr="003C4C6E" w:rsidRDefault="003A7A54" w:rsidP="003C4C6E">
      <w:pPr>
        <w:spacing w:line="360" w:lineRule="auto"/>
        <w:ind w:left="360"/>
        <w:rPr>
          <w:rFonts w:cstheme="minorHAnsi"/>
          <w:lang w:val="en-US"/>
        </w:rPr>
      </w:pPr>
      <w:r w:rsidRPr="003C4C6E">
        <w:rPr>
          <w:rFonts w:cstheme="minorHAnsi"/>
          <w:color w:val="334D55"/>
        </w:rPr>
        <w:t xml:space="preserve">Traghetti del </w:t>
      </w:r>
      <w:proofErr w:type="spellStart"/>
      <w:r w:rsidRPr="003C4C6E">
        <w:rPr>
          <w:rFonts w:cstheme="minorHAnsi"/>
          <w:color w:val="334D55"/>
        </w:rPr>
        <w:t>Mediterraneo</w:t>
      </w:r>
      <w:proofErr w:type="spellEnd"/>
      <w:r w:rsidRPr="003C4C6E">
        <w:rPr>
          <w:rFonts w:cstheme="minorHAnsi"/>
          <w:color w:val="334D55"/>
        </w:rPr>
        <w:t xml:space="preserve"> </w:t>
      </w:r>
      <w:proofErr w:type="spellStart"/>
      <w:r w:rsidRPr="003C4C6E">
        <w:rPr>
          <w:rFonts w:cstheme="minorHAnsi"/>
          <w:color w:val="334D55"/>
        </w:rPr>
        <w:t>SpA</w:t>
      </w:r>
      <w:proofErr w:type="spellEnd"/>
      <w:r w:rsidRPr="003C4C6E">
        <w:rPr>
          <w:rFonts w:cstheme="minorHAnsi"/>
          <w:color w:val="334D55"/>
        </w:rPr>
        <w:t xml:space="preserve"> v Repubblica </w:t>
      </w:r>
      <w:proofErr w:type="spellStart"/>
      <w:r w:rsidRPr="003C4C6E">
        <w:rPr>
          <w:rFonts w:cstheme="minorHAnsi"/>
          <w:color w:val="334D55"/>
        </w:rPr>
        <w:t>italiana</w:t>
      </w:r>
      <w:proofErr w:type="spellEnd"/>
      <w:r w:rsidRPr="003C4C6E">
        <w:rPr>
          <w:rFonts w:cstheme="minorHAnsi"/>
          <w:color w:val="334D55"/>
        </w:rPr>
        <w:t xml:space="preserve"> (2006) C- 173/03</w:t>
      </w:r>
    </w:p>
    <w:p w14:paraId="6C0FCB8C" w14:textId="77777777" w:rsidR="003A7A54" w:rsidRPr="003C4C6E" w:rsidRDefault="003A7A54" w:rsidP="003C4C6E">
      <w:pPr>
        <w:spacing w:line="360" w:lineRule="auto"/>
        <w:ind w:left="360"/>
        <w:rPr>
          <w:rFonts w:cstheme="minorHAnsi"/>
          <w:lang w:val="en-US"/>
        </w:rPr>
      </w:pPr>
      <w:r w:rsidRPr="003C4C6E">
        <w:rPr>
          <w:rFonts w:cstheme="minorHAnsi"/>
          <w:lang w:val="en-US"/>
        </w:rPr>
        <w:t>Treaty of the Functioning of the EU, Article 258 (2008)</w:t>
      </w:r>
    </w:p>
    <w:p w14:paraId="3500B0FF" w14:textId="77777777" w:rsidR="003A7A54" w:rsidRPr="003C4C6E" w:rsidRDefault="003A7A54" w:rsidP="003C4C6E">
      <w:pPr>
        <w:spacing w:line="360" w:lineRule="auto"/>
        <w:ind w:left="360"/>
        <w:rPr>
          <w:rFonts w:cstheme="minorHAnsi"/>
          <w:shd w:val="clear" w:color="auto" w:fill="FFFFFF"/>
        </w:rPr>
      </w:pPr>
      <w:r w:rsidRPr="003C4C6E">
        <w:rPr>
          <w:rFonts w:cstheme="minorHAnsi"/>
          <w:shd w:val="clear" w:color="auto" w:fill="FFFFFF"/>
        </w:rPr>
        <w:t>Treaty of the functioning of the EU, Article 288 (2008) (a)</w:t>
      </w:r>
    </w:p>
    <w:p w14:paraId="7692F948" w14:textId="77777777" w:rsidR="003A7A54" w:rsidRPr="003C4C6E" w:rsidRDefault="003A7A54" w:rsidP="003C4C6E">
      <w:pPr>
        <w:spacing w:line="360" w:lineRule="auto"/>
        <w:ind w:left="360"/>
        <w:rPr>
          <w:rFonts w:cstheme="minorHAnsi"/>
          <w:shd w:val="clear" w:color="auto" w:fill="FFFFFF"/>
        </w:rPr>
      </w:pPr>
      <w:r w:rsidRPr="003C4C6E">
        <w:rPr>
          <w:rFonts w:cstheme="minorHAnsi"/>
          <w:shd w:val="clear" w:color="auto" w:fill="FFFFFF"/>
        </w:rPr>
        <w:t>Treaty of the functioning of the EU, Article 288 (2008) (b)</w:t>
      </w:r>
    </w:p>
    <w:p w14:paraId="7F722667" w14:textId="77777777" w:rsidR="003A7A54" w:rsidRPr="003C4C6E" w:rsidRDefault="003A7A54" w:rsidP="003C4C6E">
      <w:pPr>
        <w:spacing w:line="360" w:lineRule="auto"/>
        <w:ind w:left="360"/>
        <w:rPr>
          <w:rFonts w:cstheme="minorHAnsi"/>
          <w:lang w:val="en-US"/>
        </w:rPr>
      </w:pPr>
      <w:r w:rsidRPr="003C4C6E">
        <w:rPr>
          <w:rFonts w:cstheme="minorHAnsi"/>
          <w:shd w:val="clear" w:color="auto" w:fill="FFFFFF"/>
        </w:rPr>
        <w:t>Treaty of the functioning of the EU, Article 288 (2008) ©</w:t>
      </w:r>
    </w:p>
    <w:p w14:paraId="5938494F" w14:textId="77777777" w:rsidR="003A7A54" w:rsidRPr="003C4C6E" w:rsidRDefault="003A7A54" w:rsidP="003C4C6E">
      <w:pPr>
        <w:shd w:val="clear" w:color="auto" w:fill="FFFFFF"/>
        <w:spacing w:before="240" w:after="40" w:line="360" w:lineRule="auto"/>
        <w:ind w:left="360"/>
        <w:rPr>
          <w:rFonts w:cstheme="minorHAnsi"/>
          <w:color w:val="333333"/>
          <w:shd w:val="clear" w:color="auto" w:fill="FFFFFF"/>
        </w:rPr>
      </w:pPr>
      <w:r w:rsidRPr="003C4C6E">
        <w:rPr>
          <w:rFonts w:cstheme="minorHAnsi"/>
          <w:color w:val="333333"/>
          <w:shd w:val="clear" w:color="auto" w:fill="FFFFFF"/>
        </w:rPr>
        <w:t xml:space="preserve">Ursula Becker v </w:t>
      </w:r>
      <w:proofErr w:type="spellStart"/>
      <w:r w:rsidRPr="003C4C6E">
        <w:rPr>
          <w:rFonts w:cstheme="minorHAnsi"/>
          <w:color w:val="333333"/>
          <w:shd w:val="clear" w:color="auto" w:fill="FFFFFF"/>
        </w:rPr>
        <w:t>Finanzamt</w:t>
      </w:r>
      <w:proofErr w:type="spellEnd"/>
      <w:r w:rsidRPr="003C4C6E">
        <w:rPr>
          <w:rFonts w:cstheme="minorHAnsi"/>
          <w:color w:val="333333"/>
          <w:shd w:val="clear" w:color="auto" w:fill="FFFFFF"/>
        </w:rPr>
        <w:t xml:space="preserve"> Münster-</w:t>
      </w:r>
      <w:proofErr w:type="spellStart"/>
      <w:r w:rsidRPr="003C4C6E">
        <w:rPr>
          <w:rFonts w:cstheme="minorHAnsi"/>
          <w:color w:val="333333"/>
          <w:shd w:val="clear" w:color="auto" w:fill="FFFFFF"/>
        </w:rPr>
        <w:t>Innenstadt</w:t>
      </w:r>
      <w:proofErr w:type="spellEnd"/>
      <w:r w:rsidRPr="003C4C6E">
        <w:rPr>
          <w:rFonts w:cstheme="minorHAnsi"/>
          <w:color w:val="333333"/>
          <w:shd w:val="clear" w:color="auto" w:fill="FFFFFF"/>
        </w:rPr>
        <w:t xml:space="preserve"> (1983) case 8/81 ECR 53</w:t>
      </w:r>
    </w:p>
    <w:p w14:paraId="5F613A55" w14:textId="77777777" w:rsidR="003A7A54" w:rsidRPr="003C4C6E" w:rsidRDefault="003A7A54" w:rsidP="003C4C6E">
      <w:pPr>
        <w:spacing w:line="360" w:lineRule="auto"/>
        <w:ind w:left="360"/>
        <w:rPr>
          <w:rFonts w:cstheme="minorHAnsi"/>
        </w:rPr>
      </w:pPr>
      <w:r w:rsidRPr="003C4C6E">
        <w:rPr>
          <w:rFonts w:cstheme="minorHAnsi"/>
        </w:rPr>
        <w:t xml:space="preserve">Van </w:t>
      </w:r>
      <w:proofErr w:type="spellStart"/>
      <w:r w:rsidRPr="003C4C6E">
        <w:rPr>
          <w:rFonts w:cstheme="minorHAnsi"/>
        </w:rPr>
        <w:t>Duyn</w:t>
      </w:r>
      <w:proofErr w:type="spellEnd"/>
      <w:r w:rsidRPr="003C4C6E">
        <w:rPr>
          <w:rFonts w:cstheme="minorHAnsi"/>
        </w:rPr>
        <w:t xml:space="preserve"> v Home Office, (1974) ECR 1137 a</w:t>
      </w:r>
    </w:p>
    <w:p w14:paraId="3007B887" w14:textId="77777777" w:rsidR="003A7A54" w:rsidRPr="003C4C6E" w:rsidRDefault="003A7A54" w:rsidP="003C4C6E">
      <w:pPr>
        <w:spacing w:line="360" w:lineRule="auto"/>
        <w:ind w:left="360"/>
        <w:rPr>
          <w:rFonts w:cstheme="minorHAnsi"/>
          <w:lang w:val="en-US"/>
        </w:rPr>
      </w:pPr>
      <w:r w:rsidRPr="003C4C6E">
        <w:rPr>
          <w:rFonts w:cstheme="minorHAnsi"/>
        </w:rPr>
        <w:t xml:space="preserve">Van </w:t>
      </w:r>
      <w:proofErr w:type="spellStart"/>
      <w:r w:rsidRPr="003C4C6E">
        <w:rPr>
          <w:rFonts w:cstheme="minorHAnsi"/>
        </w:rPr>
        <w:t>Duyn</w:t>
      </w:r>
      <w:proofErr w:type="spellEnd"/>
      <w:r w:rsidRPr="003C4C6E">
        <w:rPr>
          <w:rFonts w:cstheme="minorHAnsi"/>
        </w:rPr>
        <w:t xml:space="preserve"> v Home Office, (1974) ECR 1137 b</w:t>
      </w:r>
    </w:p>
    <w:p w14:paraId="333EF13B" w14:textId="77777777" w:rsidR="003A7A54" w:rsidRPr="003C4C6E" w:rsidRDefault="003A7A54" w:rsidP="003C4C6E">
      <w:pPr>
        <w:spacing w:line="360" w:lineRule="auto"/>
        <w:ind w:left="360"/>
        <w:rPr>
          <w:rFonts w:cstheme="minorHAnsi"/>
          <w:lang w:val="en-US"/>
        </w:rPr>
      </w:pPr>
      <w:r w:rsidRPr="003C4C6E">
        <w:rPr>
          <w:rFonts w:cstheme="minorHAnsi"/>
          <w:lang w:val="it-IT"/>
        </w:rPr>
        <w:t>Von Colson and Kamann</w:t>
      </w:r>
      <w:r w:rsidRPr="003C4C6E">
        <w:rPr>
          <w:rFonts w:cstheme="minorHAnsi"/>
          <w:shd w:val="clear" w:color="auto" w:fill="FFFFFF"/>
        </w:rPr>
        <w:t xml:space="preserve"> v </w:t>
      </w:r>
      <w:r w:rsidRPr="003C4C6E">
        <w:rPr>
          <w:rFonts w:eastAsia="Times New Roman" w:cstheme="minorHAnsi"/>
          <w:shd w:val="clear" w:color="auto" w:fill="FFFFFF"/>
          <w:lang w:eastAsia="en-GB"/>
        </w:rPr>
        <w:t xml:space="preserve">Land </w:t>
      </w:r>
      <w:proofErr w:type="spellStart"/>
      <w:r w:rsidRPr="003C4C6E">
        <w:rPr>
          <w:rFonts w:eastAsia="Times New Roman" w:cstheme="minorHAnsi"/>
          <w:shd w:val="clear" w:color="auto" w:fill="FFFFFF"/>
          <w:lang w:eastAsia="en-GB"/>
        </w:rPr>
        <w:t>Nordreihn-Westfale</w:t>
      </w:r>
      <w:proofErr w:type="spellEnd"/>
      <w:r w:rsidRPr="003C4C6E">
        <w:rPr>
          <w:rFonts w:eastAsia="Times New Roman" w:cstheme="minorHAnsi"/>
          <w:shd w:val="clear" w:color="auto" w:fill="FFFFFF"/>
          <w:lang w:eastAsia="en-GB"/>
        </w:rPr>
        <w:t>, (</w:t>
      </w:r>
      <w:r w:rsidRPr="003C4C6E">
        <w:rPr>
          <w:rFonts w:cstheme="minorHAnsi"/>
          <w:lang w:val="it-IT"/>
        </w:rPr>
        <w:t>1984) ECR 1891 (a)</w:t>
      </w:r>
    </w:p>
    <w:p w14:paraId="10B92447" w14:textId="0771FC4E" w:rsidR="003A7A54" w:rsidRPr="003C4C6E" w:rsidRDefault="003A7A54" w:rsidP="003C4C6E">
      <w:pPr>
        <w:spacing w:line="360" w:lineRule="auto"/>
        <w:ind w:left="360"/>
        <w:rPr>
          <w:rFonts w:cstheme="minorHAnsi"/>
        </w:rPr>
      </w:pPr>
      <w:r w:rsidRPr="003C4C6E">
        <w:rPr>
          <w:rFonts w:cstheme="minorHAnsi"/>
        </w:rPr>
        <w:t xml:space="preserve">Wagner </w:t>
      </w:r>
      <w:proofErr w:type="spellStart"/>
      <w:r w:rsidRPr="003C4C6E">
        <w:rPr>
          <w:rFonts w:cstheme="minorHAnsi"/>
        </w:rPr>
        <w:t>Miret</w:t>
      </w:r>
      <w:proofErr w:type="spellEnd"/>
      <w:r w:rsidRPr="003C4C6E">
        <w:rPr>
          <w:rFonts w:cstheme="minorHAnsi"/>
        </w:rPr>
        <w:t xml:space="preserve"> v </w:t>
      </w:r>
      <w:proofErr w:type="spellStart"/>
      <w:r w:rsidRPr="003C4C6E">
        <w:rPr>
          <w:rFonts w:cstheme="minorHAnsi"/>
        </w:rPr>
        <w:t>Fondo</w:t>
      </w:r>
      <w:proofErr w:type="spellEnd"/>
      <w:r w:rsidRPr="003C4C6E">
        <w:rPr>
          <w:rFonts w:cstheme="minorHAnsi"/>
        </w:rPr>
        <w:t xml:space="preserve"> De </w:t>
      </w:r>
      <w:proofErr w:type="spellStart"/>
      <w:r w:rsidRPr="003C4C6E">
        <w:rPr>
          <w:rFonts w:cstheme="minorHAnsi"/>
        </w:rPr>
        <w:t>Garantia</w:t>
      </w:r>
      <w:proofErr w:type="spellEnd"/>
      <w:r w:rsidRPr="003C4C6E">
        <w:rPr>
          <w:rFonts w:cstheme="minorHAnsi"/>
        </w:rPr>
        <w:t xml:space="preserve"> </w:t>
      </w:r>
      <w:proofErr w:type="spellStart"/>
      <w:r w:rsidRPr="003C4C6E">
        <w:rPr>
          <w:rFonts w:cstheme="minorHAnsi"/>
        </w:rPr>
        <w:t>Salarial</w:t>
      </w:r>
      <w:proofErr w:type="spellEnd"/>
      <w:r w:rsidRPr="003C4C6E">
        <w:rPr>
          <w:rFonts w:cstheme="minorHAnsi"/>
        </w:rPr>
        <w:t xml:space="preserve"> (1993) ECR I-16911</w:t>
      </w:r>
      <w:r w:rsidR="000F6526" w:rsidRPr="003C4C6E">
        <w:rPr>
          <w:rFonts w:cstheme="minorHAnsi"/>
        </w:rPr>
        <w:t xml:space="preserve"> ()</w:t>
      </w:r>
    </w:p>
    <w:p w14:paraId="29B161FB" w14:textId="5BF2AA09" w:rsidR="003A7A54" w:rsidRPr="003C4C6E" w:rsidRDefault="003A7A54" w:rsidP="003C4C6E">
      <w:pPr>
        <w:pStyle w:val="ListParagraph"/>
        <w:spacing w:line="360" w:lineRule="auto"/>
        <w:rPr>
          <w:rFonts w:cstheme="minorHAnsi"/>
          <w:lang w:val="it-IT"/>
        </w:rPr>
      </w:pPr>
    </w:p>
    <w:sectPr w:rsidR="003A7A54" w:rsidRPr="003C4C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65D4464"/>
    <w:multiLevelType w:val="hybridMultilevel"/>
    <w:tmpl w:val="D3281B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B72650"/>
    <w:multiLevelType w:val="hybridMultilevel"/>
    <w:tmpl w:val="29FAC64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8C389F"/>
    <w:multiLevelType w:val="hybridMultilevel"/>
    <w:tmpl w:val="ACFAA44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B45571"/>
    <w:multiLevelType w:val="hybridMultilevel"/>
    <w:tmpl w:val="0CB286B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130C00"/>
    <w:multiLevelType w:val="hybridMultilevel"/>
    <w:tmpl w:val="DEB8DC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B9D"/>
    <w:rsid w:val="000023DD"/>
    <w:rsid w:val="00014F68"/>
    <w:rsid w:val="00065DC0"/>
    <w:rsid w:val="000C5942"/>
    <w:rsid w:val="000D6533"/>
    <w:rsid w:val="000F5767"/>
    <w:rsid w:val="000F6526"/>
    <w:rsid w:val="00107C0F"/>
    <w:rsid w:val="00134630"/>
    <w:rsid w:val="001347CB"/>
    <w:rsid w:val="0014124C"/>
    <w:rsid w:val="001639F5"/>
    <w:rsid w:val="00177986"/>
    <w:rsid w:val="00183B1A"/>
    <w:rsid w:val="001B7DEE"/>
    <w:rsid w:val="001C307A"/>
    <w:rsid w:val="002002F3"/>
    <w:rsid w:val="002049FF"/>
    <w:rsid w:val="002070A9"/>
    <w:rsid w:val="00233663"/>
    <w:rsid w:val="00237B3F"/>
    <w:rsid w:val="00245C77"/>
    <w:rsid w:val="00256544"/>
    <w:rsid w:val="00264FCD"/>
    <w:rsid w:val="00275F15"/>
    <w:rsid w:val="00297212"/>
    <w:rsid w:val="002A56CC"/>
    <w:rsid w:val="002A7F4D"/>
    <w:rsid w:val="002D5FAD"/>
    <w:rsid w:val="002F0315"/>
    <w:rsid w:val="003225CD"/>
    <w:rsid w:val="003228EF"/>
    <w:rsid w:val="0033163B"/>
    <w:rsid w:val="00355822"/>
    <w:rsid w:val="003A5B15"/>
    <w:rsid w:val="003A7A54"/>
    <w:rsid w:val="003B3C8D"/>
    <w:rsid w:val="003C4C6E"/>
    <w:rsid w:val="003D0329"/>
    <w:rsid w:val="003D24A0"/>
    <w:rsid w:val="003F34AF"/>
    <w:rsid w:val="00436DE3"/>
    <w:rsid w:val="00447136"/>
    <w:rsid w:val="00465311"/>
    <w:rsid w:val="004A0387"/>
    <w:rsid w:val="004E79BB"/>
    <w:rsid w:val="004F28C4"/>
    <w:rsid w:val="0050311B"/>
    <w:rsid w:val="0050453C"/>
    <w:rsid w:val="0051538E"/>
    <w:rsid w:val="00517434"/>
    <w:rsid w:val="00520D09"/>
    <w:rsid w:val="00553662"/>
    <w:rsid w:val="005539B2"/>
    <w:rsid w:val="0056221F"/>
    <w:rsid w:val="005938E0"/>
    <w:rsid w:val="005A1F17"/>
    <w:rsid w:val="005C54D5"/>
    <w:rsid w:val="005C5B9C"/>
    <w:rsid w:val="005C5C44"/>
    <w:rsid w:val="005E7A1C"/>
    <w:rsid w:val="00602111"/>
    <w:rsid w:val="006463E7"/>
    <w:rsid w:val="00663D6C"/>
    <w:rsid w:val="00671F3B"/>
    <w:rsid w:val="00692B9D"/>
    <w:rsid w:val="00692E3E"/>
    <w:rsid w:val="006A5E7E"/>
    <w:rsid w:val="006B081C"/>
    <w:rsid w:val="006C792A"/>
    <w:rsid w:val="006E76AE"/>
    <w:rsid w:val="00715668"/>
    <w:rsid w:val="0076350F"/>
    <w:rsid w:val="00763F22"/>
    <w:rsid w:val="00787D1B"/>
    <w:rsid w:val="00807E21"/>
    <w:rsid w:val="00813E77"/>
    <w:rsid w:val="00822ED8"/>
    <w:rsid w:val="0085530D"/>
    <w:rsid w:val="008A14D0"/>
    <w:rsid w:val="008C0AF3"/>
    <w:rsid w:val="008D582F"/>
    <w:rsid w:val="008D6A6D"/>
    <w:rsid w:val="008E4873"/>
    <w:rsid w:val="0093758A"/>
    <w:rsid w:val="009400B5"/>
    <w:rsid w:val="009742F5"/>
    <w:rsid w:val="009749A5"/>
    <w:rsid w:val="00991C17"/>
    <w:rsid w:val="009A5CF1"/>
    <w:rsid w:val="009B29D8"/>
    <w:rsid w:val="009D4DBB"/>
    <w:rsid w:val="009E5E89"/>
    <w:rsid w:val="009F7B26"/>
    <w:rsid w:val="00A657EB"/>
    <w:rsid w:val="00A83B3E"/>
    <w:rsid w:val="00A857CE"/>
    <w:rsid w:val="00A91DA5"/>
    <w:rsid w:val="00AD4E6C"/>
    <w:rsid w:val="00AD7424"/>
    <w:rsid w:val="00AE4D39"/>
    <w:rsid w:val="00AF6C99"/>
    <w:rsid w:val="00B4607D"/>
    <w:rsid w:val="00B55F02"/>
    <w:rsid w:val="00B57FF0"/>
    <w:rsid w:val="00B65FEB"/>
    <w:rsid w:val="00BA29D8"/>
    <w:rsid w:val="00BB65EA"/>
    <w:rsid w:val="00BD5A96"/>
    <w:rsid w:val="00BD6A7B"/>
    <w:rsid w:val="00BF3988"/>
    <w:rsid w:val="00BF59D1"/>
    <w:rsid w:val="00C23860"/>
    <w:rsid w:val="00C7689B"/>
    <w:rsid w:val="00C80722"/>
    <w:rsid w:val="00CB59CF"/>
    <w:rsid w:val="00D02088"/>
    <w:rsid w:val="00D07C53"/>
    <w:rsid w:val="00D600A3"/>
    <w:rsid w:val="00D642D4"/>
    <w:rsid w:val="00D76213"/>
    <w:rsid w:val="00DB4900"/>
    <w:rsid w:val="00E27857"/>
    <w:rsid w:val="00E4176E"/>
    <w:rsid w:val="00E8371B"/>
    <w:rsid w:val="00E91035"/>
    <w:rsid w:val="00EC093A"/>
    <w:rsid w:val="00EC287F"/>
    <w:rsid w:val="00F45C84"/>
    <w:rsid w:val="00F71FC1"/>
    <w:rsid w:val="00F754A1"/>
    <w:rsid w:val="00FA19B8"/>
    <w:rsid w:val="00FA78AC"/>
    <w:rsid w:val="00FB6840"/>
    <w:rsid w:val="00FC08B8"/>
    <w:rsid w:val="00FE2DCC"/>
    <w:rsid w:val="00FE4E3E"/>
    <w:rsid w:val="00FE64C7"/>
    <w:rsid w:val="00FE7FBC"/>
    <w:rsid w:val="00FF11EB"/>
    <w:rsid w:val="00FF15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498D7"/>
  <w15:chartTrackingRefBased/>
  <w15:docId w15:val="{2382967D-9E0B-294F-8DAD-DEB3544C7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2B9D"/>
    <w:pPr>
      <w:ind w:left="720"/>
      <w:contextualSpacing/>
    </w:pPr>
  </w:style>
  <w:style w:type="character" w:styleId="Hyperlink">
    <w:name w:val="Hyperlink"/>
    <w:basedOn w:val="DefaultParagraphFont"/>
    <w:uiPriority w:val="99"/>
    <w:unhideWhenUsed/>
    <w:rsid w:val="00692B9D"/>
    <w:rPr>
      <w:color w:val="0563C1" w:themeColor="hyperlink"/>
      <w:u w:val="single"/>
    </w:rPr>
  </w:style>
  <w:style w:type="character" w:styleId="UnresolvedMention">
    <w:name w:val="Unresolved Mention"/>
    <w:basedOn w:val="DefaultParagraphFont"/>
    <w:uiPriority w:val="99"/>
    <w:semiHidden/>
    <w:unhideWhenUsed/>
    <w:rsid w:val="00692B9D"/>
    <w:rPr>
      <w:color w:val="605E5C"/>
      <w:shd w:val="clear" w:color="auto" w:fill="E1DFDD"/>
    </w:rPr>
  </w:style>
  <w:style w:type="character" w:styleId="FollowedHyperlink">
    <w:name w:val="FollowedHyperlink"/>
    <w:basedOn w:val="DefaultParagraphFont"/>
    <w:uiPriority w:val="99"/>
    <w:semiHidden/>
    <w:unhideWhenUsed/>
    <w:rsid w:val="00692B9D"/>
    <w:rPr>
      <w:color w:val="954F72" w:themeColor="followedHyperlink"/>
      <w:u w:val="single"/>
    </w:rPr>
  </w:style>
  <w:style w:type="character" w:customStyle="1" w:styleId="apple-converted-space">
    <w:name w:val="apple-converted-space"/>
    <w:basedOn w:val="DefaultParagraphFont"/>
    <w:rsid w:val="009A5CF1"/>
  </w:style>
  <w:style w:type="paragraph" w:styleId="NormalWeb">
    <w:name w:val="Normal (Web)"/>
    <w:basedOn w:val="Normal"/>
    <w:uiPriority w:val="99"/>
    <w:unhideWhenUsed/>
    <w:rsid w:val="00787D1B"/>
    <w:pPr>
      <w:spacing w:before="100" w:beforeAutospacing="1" w:after="100" w:afterAutospacing="1"/>
    </w:pPr>
    <w:rPr>
      <w:rFonts w:ascii="Times New Roman" w:eastAsia="Times New Roman" w:hAnsi="Times New Roman" w:cs="Times New Roman"/>
      <w:lang w:eastAsia="en-GB"/>
    </w:rPr>
  </w:style>
  <w:style w:type="paragraph" w:styleId="Revision">
    <w:name w:val="Revision"/>
    <w:hidden/>
    <w:uiPriority w:val="99"/>
    <w:semiHidden/>
    <w:rsid w:val="003F34AF"/>
  </w:style>
  <w:style w:type="character" w:styleId="Strong">
    <w:name w:val="Strong"/>
    <w:basedOn w:val="DefaultParagraphFont"/>
    <w:uiPriority w:val="22"/>
    <w:qFormat/>
    <w:rsid w:val="00AE4D39"/>
    <w:rPr>
      <w:b/>
      <w:bCs/>
    </w:rPr>
  </w:style>
  <w:style w:type="character" w:styleId="Emphasis">
    <w:name w:val="Emphasis"/>
    <w:basedOn w:val="DefaultParagraphFont"/>
    <w:uiPriority w:val="20"/>
    <w:qFormat/>
    <w:rsid w:val="0050453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5411624">
      <w:bodyDiv w:val="1"/>
      <w:marLeft w:val="0"/>
      <w:marRight w:val="0"/>
      <w:marTop w:val="0"/>
      <w:marBottom w:val="0"/>
      <w:divBdr>
        <w:top w:val="none" w:sz="0" w:space="0" w:color="auto"/>
        <w:left w:val="none" w:sz="0" w:space="0" w:color="auto"/>
        <w:bottom w:val="none" w:sz="0" w:space="0" w:color="auto"/>
        <w:right w:val="none" w:sz="0" w:space="0" w:color="auto"/>
      </w:divBdr>
    </w:div>
    <w:div w:id="994338192">
      <w:bodyDiv w:val="1"/>
      <w:marLeft w:val="0"/>
      <w:marRight w:val="0"/>
      <w:marTop w:val="0"/>
      <w:marBottom w:val="0"/>
      <w:divBdr>
        <w:top w:val="none" w:sz="0" w:space="0" w:color="auto"/>
        <w:left w:val="none" w:sz="0" w:space="0" w:color="auto"/>
        <w:bottom w:val="none" w:sz="0" w:space="0" w:color="auto"/>
        <w:right w:val="none" w:sz="0" w:space="0" w:color="auto"/>
      </w:divBdr>
    </w:div>
    <w:div w:id="1540313032">
      <w:bodyDiv w:val="1"/>
      <w:marLeft w:val="0"/>
      <w:marRight w:val="0"/>
      <w:marTop w:val="0"/>
      <w:marBottom w:val="0"/>
      <w:divBdr>
        <w:top w:val="none" w:sz="0" w:space="0" w:color="auto"/>
        <w:left w:val="none" w:sz="0" w:space="0" w:color="auto"/>
        <w:bottom w:val="none" w:sz="0" w:space="0" w:color="auto"/>
        <w:right w:val="none" w:sz="0" w:space="0" w:color="auto"/>
      </w:divBdr>
    </w:div>
    <w:div w:id="2132017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urofound.europa.eu/observatories/eurwork/industrial-relations-dictionary/direct-effect" TargetMode="External"/><Relationship Id="rId13" Type="http://schemas.openxmlformats.org/officeDocument/2006/relationships/hyperlink" Target="https://www-cambridge-org.ezproxy.uwtsd.ac.uk/core/services/aop-cambridge-core/content/view/D4AFB69C0872CAF8DC6AFDC06A1D6E5E/S0008197307000463a.pdf/the-principle-of-state-liability-in-ec-law-and-the-supreme-courts-of-the-member-states.pdf" TargetMode="External"/><Relationship Id="rId18" Type="http://schemas.openxmlformats.org/officeDocument/2006/relationships/hyperlink" Target="https://www.theguardian.com/law/2022/feb/12/what-is-common-law-and-why-is-it-being-misinterpreted" TargetMode="External"/><Relationship Id="rId3" Type="http://schemas.openxmlformats.org/officeDocument/2006/relationships/settings" Target="settings.xml"/><Relationship Id="rId21" Type="http://schemas.openxmlformats.org/officeDocument/2006/relationships/hyperlink" Target="https://uk.practicallaw.thomsonreuters.com/6-107-6114?transitionType=Default&amp;contextData=(sc.Default)&amp;firstPage=true" TargetMode="External"/><Relationship Id="rId7" Type="http://schemas.openxmlformats.org/officeDocument/2006/relationships/hyperlink" Target="https://www.eurofound.europa.eu/observatories/eurwork/industrial-relations-dictionary/supremacy-of-eu-law" TargetMode="External"/><Relationship Id="rId12" Type="http://schemas.openxmlformats.org/officeDocument/2006/relationships/hyperlink" Target="https://ec.europa.eu/info/law/law-making-process/types-eu-law_en" TargetMode="External"/><Relationship Id="rId17" Type="http://schemas.openxmlformats.org/officeDocument/2006/relationships/hyperlink" Target="https://journals.sagepub.com/doi/pdf/10.1177/1023263X1101800106"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internationallawreview.eu/fisiere/pdf/Pages-from-SUPLIMENT_LAW_REVIEW_2017-04_C_Matusescu.pdf?msclkid=c762f423c7aa11ecab2dc8c840c34283" TargetMode="External"/><Relationship Id="rId20" Type="http://schemas.openxmlformats.org/officeDocument/2006/relationships/hyperlink" Target="https://watermark.silverchair.com/yez004.pdf?token=AQECAHi208BE49Ooan9kkhW_Ercy7Dm3ZL_9Cf3qfKAc485ysgAAAscwggLDBgkqhkiG9w0BBwagggK0MIICsAIBADCCAqkGCSqGSIb3DQEHATAeBglghkgBZQMEAS4wEQQMvXWm2cois6ZhGIHtAgEQgIICepnbAvLV0hEaAn87jLbMdurqe2ENr8gS5_4VxD-Hcc_byDXuwLPYd0TsJMljP5GF6aFAiwXXAiILH2pWjsyW0Mxz4KS609QdxJrKJ3eWqqICMvS-GAKXepY0KdK_alEzI_52wV_GvceY6aMrrcjzHNR60dDsvSdFpBmI67dIJK6RDwoJT2tw5Sd8Hrwr5gdYuB5eBdAZjjJvtqZKXd7n7qpAlB2rPerrUBDSb5cGDlWRjfkQfqc-Slw0loP0_8W1wKggl7_ozroV3_N-EihxEiO_7buKKggxvAymmJi8mXMtwEcYy8NUo2ZvzOuCzWNBx2dkcfb6GOxYiSZgcEsSPg9jlPADVk0FZ02CTW54bQC4W2kGbHiIfmLBKuJn1Z1SASbddd5HMXLEDCdh4hMLoQo_fmsO6DN7FiCbyVqLTzgWZvret9MA7wdi6jNOySAZgEVKd-RuRpCvd19trYOdAJ21dmEaUVrTbP2ZdK6OWnR0Z9mzhxClVUrN8rK4HmZlFO2Vi3tH0F6u2vKbvh4EqO1CizkRZorxmjdcMaiT_YC2Ark8gvV83RA9SX2kVxR2HI-PxIwuQwl6ZCi16hj510qRu6Bmg0oJKDoYEJcGIrZkpSnfXHei4LWiAgioOogMBUFy5zk4FRV6C7hoYijRLvk73YD7lg9G2oH9zPnIvxDROIwVDcZ6YlHBsJoQGEx--y1RkV5_9YU0aEU8dsyLEX9wvSAopTCI5ZVCLWmX7-U5QW83xjc5gPCP9RJ8WwFHHLqcGwpUaFejWlwAnSW77CFToOtXABNpPXPwx2dHmIIrUzNQUMl61lSuQb4ispRX8ujepcHqtWmueyg" TargetMode="External"/><Relationship Id="rId1" Type="http://schemas.openxmlformats.org/officeDocument/2006/relationships/numbering" Target="numbering.xml"/><Relationship Id="rId6" Type="http://schemas.openxmlformats.org/officeDocument/2006/relationships/hyperlink" Target="http://files.libraryfund.org/files/1714/0125_Bk.pdf" TargetMode="External"/><Relationship Id="rId11" Type="http://schemas.openxmlformats.org/officeDocument/2006/relationships/hyperlink" Target="https://ec.europa.eu/info/law/law-making-process/applying-eu-law_en" TargetMode="External"/><Relationship Id="rId24" Type="http://schemas.openxmlformats.org/officeDocument/2006/relationships/fontTable" Target="fontTable.xml"/><Relationship Id="rId5" Type="http://schemas.openxmlformats.org/officeDocument/2006/relationships/hyperlink" Target="https://publications.parliament.uk/pa/ld200304/ldselect/ldeucom/47/47we02.htm" TargetMode="External"/><Relationship Id="rId15" Type="http://schemas.openxmlformats.org/officeDocument/2006/relationships/hyperlink" Target="https://www.europarl.europa.eu/factsheets/en/sheet/146/the-protection-of-article-2-teu-values-in-the-eu" TargetMode="External"/><Relationship Id="rId23" Type="http://schemas.openxmlformats.org/officeDocument/2006/relationships/hyperlink" Target="https://eur-lex.europa.eu/legal-content/EN/AUTO/?uri=celex:61971CJ0043" TargetMode="External"/><Relationship Id="rId10" Type="http://schemas.openxmlformats.org/officeDocument/2006/relationships/hyperlink" Target="https://ec.europa.eu/info/law/law-making-process/applying-eu-law_en" TargetMode="External"/><Relationship Id="rId19" Type="http://schemas.openxmlformats.org/officeDocument/2006/relationships/hyperlink" Target="https://www.europarl.europa.eu/RegData/etudes/BRIE/2018/608841/IPOL_BRI(2018)608841_EN.pdf" TargetMode="External"/><Relationship Id="rId4" Type="http://schemas.openxmlformats.org/officeDocument/2006/relationships/webSettings" Target="webSettings.xml"/><Relationship Id="rId9" Type="http://schemas.openxmlformats.org/officeDocument/2006/relationships/hyperlink" Target="https://ec.europa.eu/info/law/law-making-process/applying-eu-law/infringement-procedure/2020-annual-report-monitoring-application-eu-law_en" TargetMode="External"/><Relationship Id="rId14" Type="http://schemas.openxmlformats.org/officeDocument/2006/relationships/hyperlink" Target="https://shura.shu.ac.uk/8869/3/Marson_-_Holes_in_the_Safety_Net_Paper.pdf" TargetMode="External"/><Relationship Id="rId22" Type="http://schemas.openxmlformats.org/officeDocument/2006/relationships/hyperlink" Target="http://eur-lex.europa.eu/legal-content/EN/TXT/HTML/?uri=CELEX:61974CJ0036&amp;from=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2743</Words>
  <Characters>20497</Characters>
  <Application>Microsoft Office Word</Application>
  <DocSecurity>0</DocSecurity>
  <Lines>401</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Morgan (2018298)</dc:creator>
  <cp:keywords/>
  <dc:description/>
  <cp:lastModifiedBy>Marie Morgan (2018298)</cp:lastModifiedBy>
  <cp:revision>2</cp:revision>
  <cp:lastPrinted>2022-04-28T15:52:00Z</cp:lastPrinted>
  <dcterms:created xsi:type="dcterms:W3CDTF">2022-05-01T15:15:00Z</dcterms:created>
  <dcterms:modified xsi:type="dcterms:W3CDTF">2022-05-01T15:15:00Z</dcterms:modified>
</cp:coreProperties>
</file>